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13G is filed:</w:t>
      </w:r>
    </w:p>
    <w:p>
      <w:pPr>
        <w:spacing w:after="0" w:line="252" w:lineRule="exact"/>
        <w:rPr>
          <w:sz w:val="24"/>
          <w:szCs w:val="24"/>
          <w:color w:val="auto"/>
        </w:rPr>
      </w:pPr>
    </w:p>
    <w:p>
      <w:pPr>
        <w:jc w:val="both"/>
        <w:ind w:left="660" w:right="9400" w:hanging="4"/>
        <w:spacing w:after="0" w:line="274" w:lineRule="auto"/>
        <w:tabs>
          <w:tab w:leader="none" w:pos="855"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860" w:hanging="204"/>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617220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677864100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80" w:hanging="107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5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Harvey Partners, LLC</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20-3760303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tabs>
          <w:tab w:leader="none" w:pos="1000" w:val="left"/>
          <w:tab w:leader="none" w:pos="64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Check the Appropriate Box if a Member of a Group (See Instructions)</w:t>
      </w:r>
      <w:r>
        <w:rPr>
          <w:sz w:val="20"/>
          <w:szCs w:val="20"/>
          <w:color w:val="auto"/>
        </w:rPr>
        <w:tab/>
      </w: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2832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3210"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2832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32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80" w:hanging="107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080" w:hanging="107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80" w:type="dxa"/>
            <w:vAlign w:val="bottom"/>
          </w:tcPr>
          <w:p>
            <w:pPr>
              <w:spacing w:after="0"/>
              <w:rPr>
                <w:sz w:val="20"/>
                <w:szCs w:val="20"/>
                <w:color w:val="auto"/>
              </w:rPr>
            </w:pPr>
            <w:r>
              <w:rPr>
                <w:rFonts w:ascii="Arial" w:cs="Arial" w:eastAsia="Arial" w:hAnsi="Arial"/>
                <w:sz w:val="18"/>
                <w:szCs w:val="18"/>
                <w:color w:val="auto"/>
                <w:w w:val="97"/>
              </w:rPr>
              <w:t>Number of Shares Beneficially Owned</w:t>
            </w:r>
          </w:p>
        </w:tc>
        <w:tc>
          <w:tcPr>
            <w:tcW w:w="260" w:type="dxa"/>
            <w:vAlign w:val="bottom"/>
          </w:tcPr>
          <w:p>
            <w:pPr>
              <w:jc w:val="right"/>
              <w:spacing w:after="0"/>
              <w:rPr>
                <w:sz w:val="20"/>
                <w:szCs w:val="20"/>
                <w:color w:val="auto"/>
              </w:rPr>
            </w:pPr>
            <w:r>
              <w:rPr>
                <w:rFonts w:ascii="Arial" w:cs="Arial" w:eastAsia="Arial" w:hAnsi="Arial"/>
                <w:sz w:val="18"/>
                <w:szCs w:val="18"/>
                <w:color w:val="auto"/>
                <w:w w:val="81"/>
              </w:rPr>
              <w:t>(5)</w:t>
            </w:r>
          </w:p>
        </w:tc>
        <w:tc>
          <w:tcPr>
            <w:tcW w:w="26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5560" w:type="dxa"/>
            <w:vAlign w:val="bottom"/>
            <w:gridSpan w:val="2"/>
          </w:tcPr>
          <w:p>
            <w:pPr>
              <w:jc w:val="right"/>
              <w:ind w:right="4220"/>
              <w:spacing w:after="0"/>
              <w:rPr>
                <w:sz w:val="20"/>
                <w:szCs w:val="20"/>
                <w:color w:val="auto"/>
              </w:rPr>
            </w:pPr>
            <w:r>
              <w:rPr>
                <w:rFonts w:ascii="Arial" w:cs="Arial" w:eastAsia="Arial" w:hAnsi="Arial"/>
                <w:sz w:val="18"/>
                <w:szCs w:val="18"/>
                <w:color w:val="auto"/>
              </w:rPr>
              <w:t>298,201*</w:t>
            </w:r>
          </w:p>
        </w:tc>
        <w:tc>
          <w:tcPr>
            <w:tcW w:w="0" w:type="dxa"/>
            <w:vAlign w:val="bottom"/>
          </w:tcPr>
          <w:p>
            <w:pPr>
              <w:spacing w:after="0"/>
              <w:rPr>
                <w:sz w:val="1"/>
                <w:szCs w:val="1"/>
                <w:color w:val="auto"/>
              </w:rPr>
            </w:pPr>
          </w:p>
        </w:tc>
      </w:tr>
      <w:tr>
        <w:trPr>
          <w:trHeight w:val="175"/>
        </w:trPr>
        <w:tc>
          <w:tcPr>
            <w:tcW w:w="2980" w:type="dxa"/>
            <w:vAlign w:val="bottom"/>
          </w:tcPr>
          <w:p>
            <w:pPr>
              <w:spacing w:after="0" w:line="175" w:lineRule="exact"/>
              <w:rPr>
                <w:sz w:val="20"/>
                <w:szCs w:val="20"/>
                <w:color w:val="auto"/>
              </w:rPr>
            </w:pPr>
            <w:r>
              <w:rPr>
                <w:rFonts w:ascii="Arial" w:cs="Arial" w:eastAsia="Arial" w:hAnsi="Arial"/>
                <w:sz w:val="18"/>
                <w:szCs w:val="18"/>
                <w:color w:val="auto"/>
              </w:rPr>
              <w:t>by</w:t>
            </w:r>
          </w:p>
        </w:tc>
        <w:tc>
          <w:tcPr>
            <w:tcW w:w="2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8"/>
                <w:szCs w:val="18"/>
                <w:color w:val="auto"/>
                <w:w w:val="81"/>
              </w:rPr>
              <w:t>(6)</w:t>
            </w:r>
          </w:p>
        </w:tc>
        <w:tc>
          <w:tcPr>
            <w:tcW w:w="2620" w:type="dxa"/>
            <w:vAlign w:val="bottom"/>
            <w:tcBorders>
              <w:top w:val="single" w:sz="8" w:color="auto"/>
            </w:tcBorders>
          </w:tcPr>
          <w:p>
            <w:pPr>
              <w:ind w:left="40"/>
              <w:spacing w:after="0" w:line="175" w:lineRule="exact"/>
              <w:rPr>
                <w:sz w:val="20"/>
                <w:szCs w:val="20"/>
                <w:color w:val="auto"/>
              </w:rPr>
            </w:pPr>
            <w:r>
              <w:rPr>
                <w:rFonts w:ascii="Arial" w:cs="Arial" w:eastAsia="Arial" w:hAnsi="Arial"/>
                <w:sz w:val="18"/>
                <w:szCs w:val="18"/>
                <w:color w:val="auto"/>
              </w:rPr>
              <w:t>Shared Voting Power:</w:t>
            </w:r>
          </w:p>
        </w:tc>
        <w:tc>
          <w:tcPr>
            <w:tcW w:w="13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8"/>
                <w:szCs w:val="18"/>
                <w:color w:val="auto"/>
              </w:rPr>
              <w:t>0</w:t>
            </w:r>
          </w:p>
        </w:tc>
        <w:tc>
          <w:tcPr>
            <w:tcW w:w="4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980" w:type="dxa"/>
            <w:vAlign w:val="bottom"/>
            <w:vMerge w:val="restart"/>
          </w:tcPr>
          <w:p>
            <w:pPr>
              <w:spacing w:after="0"/>
              <w:rPr>
                <w:sz w:val="20"/>
                <w:szCs w:val="20"/>
                <w:color w:val="auto"/>
              </w:rPr>
            </w:pPr>
            <w:r>
              <w:rPr>
                <w:rFonts w:ascii="Arial" w:cs="Arial" w:eastAsia="Arial" w:hAnsi="Arial"/>
                <w:sz w:val="18"/>
                <w:szCs w:val="18"/>
                <w:color w:val="auto"/>
              </w:rPr>
              <w:t>Each Reporting Person With</w:t>
            </w:r>
          </w:p>
        </w:tc>
        <w:tc>
          <w:tcPr>
            <w:tcW w:w="260" w:type="dxa"/>
            <w:vAlign w:val="bottom"/>
          </w:tcPr>
          <w:p>
            <w:pPr>
              <w:spacing w:after="0"/>
              <w:rPr>
                <w:sz w:val="4"/>
                <w:szCs w:val="4"/>
                <w:color w:val="auto"/>
              </w:rPr>
            </w:pPr>
          </w:p>
        </w:tc>
        <w:tc>
          <w:tcPr>
            <w:tcW w:w="2620" w:type="dxa"/>
            <w:vAlign w:val="bottom"/>
          </w:tcPr>
          <w:p>
            <w:pPr>
              <w:spacing w:after="0"/>
              <w:rPr>
                <w:sz w:val="4"/>
                <w:szCs w:val="4"/>
                <w:color w:val="auto"/>
              </w:rPr>
            </w:pPr>
          </w:p>
        </w:tc>
        <w:tc>
          <w:tcPr>
            <w:tcW w:w="55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980" w:type="dxa"/>
            <w:vAlign w:val="bottom"/>
            <w:vMerge w:val="continue"/>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(7)</w:t>
            </w:r>
          </w:p>
        </w:tc>
        <w:tc>
          <w:tcPr>
            <w:tcW w:w="2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Sole Dispositive Power:</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298,201*</w:t>
            </w:r>
          </w:p>
        </w:tc>
        <w:tc>
          <w:tcPr>
            <w:tcW w:w="4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1"/>
              </w:rPr>
              <w:t>(8)</w:t>
            </w:r>
          </w:p>
        </w:tc>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80" w:hanging="107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298,201*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1060" w:val="left"/>
          <w:tab w:leader="none" w:pos="7580" w:val="left"/>
          <w:tab w:leader="none" w:pos="7820" w:val="left"/>
        </w:tabs>
        <w:rPr>
          <w:sz w:val="20"/>
          <w:szCs w:val="20"/>
          <w:color w:val="auto"/>
        </w:rPr>
      </w:pPr>
      <w:r>
        <w:rPr>
          <w:rFonts w:ascii="Arial" w:cs="Arial" w:eastAsia="Arial" w:hAnsi="Arial"/>
          <w:sz w:val="17"/>
          <w:szCs w:val="17"/>
          <w:color w:val="auto"/>
        </w:rPr>
        <w:t>(10)</w:t>
      </w:r>
      <w:r>
        <w:rPr>
          <w:sz w:val="20"/>
          <w:szCs w:val="20"/>
          <w:color w:val="auto"/>
        </w:rPr>
        <w:tab/>
      </w:r>
      <w:r>
        <w:rPr>
          <w:rFonts w:ascii="Arial" w:cs="Arial" w:eastAsia="Arial" w:hAnsi="Arial"/>
          <w:sz w:val="17"/>
          <w:szCs w:val="17"/>
          <w:color w:val="auto"/>
        </w:rPr>
        <w:t>Check if the Aggregate Amount in Row (9) Excludes Certain Shares (See Instructions):</w:t>
      </w:r>
      <w:r>
        <w:rPr>
          <w:sz w:val="20"/>
          <w:szCs w:val="20"/>
          <w:color w:val="auto"/>
        </w:rPr>
        <w:tab/>
      </w:r>
      <w:r>
        <w:rPr>
          <w:rFonts w:ascii="Arial" w:cs="Arial" w:eastAsia="Arial" w:hAnsi="Arial"/>
          <w:sz w:val="18"/>
          <w:szCs w:val="18"/>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hanging="107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6.11%*</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107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right="320" w:firstLine="8"/>
        <w:spacing w:after="0" w:line="270" w:lineRule="auto"/>
        <w:tabs>
          <w:tab w:leader="none" w:pos="139"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the information set forth in the Quarterly Report on Form 10-Q of Oil-Dri Corporation of America (the “Company”) filed with the Securities and Exchange Commission on December 7, 2012, there were 4,879,226 shares of the Company’s common stock, par value $0.10 (the “Common Stock”), outstanding as of October 31, 2012. As of December 31, 2012, Harvey SMidCap Fund, LP, a Delaware limited partnership (“SMidCap Fund”), held 60,888 shares of Common Stock, Harvey SMidCap Offshore Fund, Ltd., a Cayman Islands exempted company (“SMidCap Offshore Fund”), held 144,687 shares of Common Stock, and Harvey QP, LP, a Delaware limited partnership (“Harvey QP”), held 92,626 shares of Common Stock. Harvey Partners, LLC, a Delaware limited liability company (“Harvey Partners”), is the investment manager of SMidCap Fund, SMidCap Offshore Fund and Harvey QP, and as such, possesses the sole power to vote and the sole power to direct the disposition of all securities of the Company held by SMidCap Fund, SMidCap Offshore Fund and Harvey QP. James A. Schwartz and Jeffrey C. Moskowitz, the Managing Members of Harvey Partners, share voting and investment power with respect to all securities beneficially owned by Harvey Partners.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699135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1(a) Name Of Issuer:  Oil-Dri Corporation of America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1(b) Address of Issuer’s Principal Executive Offices:  410 North Michigan Avenue, Suite 400, Chicago, Illinois 60611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Item 2(a) Name of Person Filing:  Harvey Partners,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2(b) Address of Principal Business Office or, if None, Residence:  135 East 57th Street, 24th Floor, New York, New York 10022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2(c) Citizenship:  Harvey Partners, LLC is a Delaware limited liability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2(d) Title of Class of Securities:  Common Stock, par value $0.10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2(e) CUSIP No.:  677864100</w:t>
      </w:r>
    </w:p>
    <w:p>
      <w:pPr>
        <w:spacing w:after="0" w:line="200" w:lineRule="exact"/>
        <w:rPr>
          <w:sz w:val="20"/>
          <w:szCs w:val="20"/>
          <w:color w:val="auto"/>
        </w:rPr>
      </w:pPr>
    </w:p>
    <w:p>
      <w:pPr>
        <w:spacing w:after="0" w:line="34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Section 240.13d-1(b) or 240.13d-2(b) or (c), check whether the Person Filing is a:</w:t>
      </w:r>
    </w:p>
    <w:p>
      <w:pPr>
        <w:spacing w:after="0" w:line="27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25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(a)</w:t>
            </w:r>
          </w:p>
        </w:tc>
        <w:tc>
          <w:tcPr>
            <w:tcW w:w="4600" w:type="dxa"/>
            <w:vAlign w:val="bottom"/>
          </w:tcPr>
          <w:p>
            <w:pPr>
              <w:ind w:left="40"/>
              <w:spacing w:after="0"/>
              <w:rPr>
                <w:sz w:val="20"/>
                <w:szCs w:val="20"/>
                <w:color w:val="auto"/>
              </w:rPr>
            </w:pPr>
            <w:r>
              <w:rPr>
                <w:rFonts w:ascii="Arial" w:cs="Arial" w:eastAsia="Arial" w:hAnsi="Arial"/>
                <w:sz w:val="18"/>
                <w:szCs w:val="18"/>
                <w:color w:val="auto"/>
              </w:rPr>
              <w:t>Amount Beneficially Owned (as of December 31, 2012):</w:t>
            </w:r>
          </w:p>
        </w:tc>
        <w:tc>
          <w:tcPr>
            <w:tcW w:w="1140" w:type="dxa"/>
            <w:vAlign w:val="bottom"/>
          </w:tcPr>
          <w:p>
            <w:pPr>
              <w:jc w:val="right"/>
              <w:spacing w:after="0"/>
              <w:rPr>
                <w:sz w:val="20"/>
                <w:szCs w:val="20"/>
                <w:color w:val="auto"/>
              </w:rPr>
            </w:pPr>
            <w:r>
              <w:rPr>
                <w:rFonts w:ascii="Arial" w:cs="Arial" w:eastAsia="Arial" w:hAnsi="Arial"/>
                <w:sz w:val="18"/>
                <w:szCs w:val="18"/>
                <w:color w:val="auto"/>
              </w:rPr>
              <w:t>298,201*</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4600" w:type="dxa"/>
            <w:vAlign w:val="bottom"/>
          </w:tcPr>
          <w:p>
            <w:pPr>
              <w:ind w:left="40"/>
              <w:spacing w:after="0"/>
              <w:rPr>
                <w:sz w:val="20"/>
                <w:szCs w:val="20"/>
                <w:color w:val="auto"/>
              </w:rPr>
            </w:pPr>
            <w:r>
              <w:rPr>
                <w:rFonts w:ascii="Arial" w:cs="Arial" w:eastAsia="Arial" w:hAnsi="Arial"/>
                <w:sz w:val="18"/>
                <w:szCs w:val="18"/>
                <w:color w:val="auto"/>
              </w:rPr>
              <w:t>Percent of Class (as of December 31, 2012):</w:t>
            </w:r>
          </w:p>
        </w:tc>
        <w:tc>
          <w:tcPr>
            <w:tcW w:w="114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432"/>
        </w:trPr>
        <w:tc>
          <w:tcPr>
            <w:tcW w:w="300" w:type="dxa"/>
            <w:vAlign w:val="bottom"/>
          </w:tcPr>
          <w:p>
            <w:pPr>
              <w:ind w:left="40"/>
              <w:spacing w:after="0"/>
              <w:rPr>
                <w:sz w:val="20"/>
                <w:szCs w:val="20"/>
                <w:color w:val="auto"/>
              </w:rPr>
            </w:pPr>
            <w:r>
              <w:rPr>
                <w:rFonts w:ascii="Arial" w:cs="Arial" w:eastAsia="Arial" w:hAnsi="Arial"/>
                <w:sz w:val="18"/>
                <w:szCs w:val="18"/>
                <w:color w:val="auto"/>
              </w:rPr>
              <w:t>(c)</w:t>
            </w:r>
          </w:p>
        </w:tc>
        <w:tc>
          <w:tcPr>
            <w:tcW w:w="4600" w:type="dxa"/>
            <w:vAlign w:val="bottom"/>
          </w:tcPr>
          <w:p>
            <w:pPr>
              <w:ind w:left="40"/>
              <w:spacing w:after="0"/>
              <w:rPr>
                <w:sz w:val="20"/>
                <w:szCs w:val="20"/>
                <w:color w:val="auto"/>
              </w:rPr>
            </w:pPr>
            <w:r>
              <w:rPr>
                <w:rFonts w:ascii="Arial" w:cs="Arial" w:eastAsia="Arial" w:hAnsi="Arial"/>
                <w:sz w:val="18"/>
                <w:szCs w:val="18"/>
                <w:color w:val="auto"/>
              </w:rPr>
              <w:t>Number of shares as to which such person has:</w:t>
            </w:r>
          </w:p>
        </w:tc>
        <w:tc>
          <w:tcPr>
            <w:tcW w:w="1140" w:type="dxa"/>
            <w:vAlign w:val="bottom"/>
          </w:tcPr>
          <w:p>
            <w:pPr>
              <w:spacing w:after="0"/>
              <w:rPr>
                <w:sz w:val="24"/>
                <w:szCs w:val="24"/>
                <w:color w:val="auto"/>
              </w:rPr>
            </w:pPr>
          </w:p>
        </w:tc>
      </w:tr>
    </w:tbl>
    <w:p>
      <w:pPr>
        <w:spacing w:after="0" w:line="229"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(i)</w:t>
            </w:r>
          </w:p>
        </w:tc>
        <w:tc>
          <w:tcPr>
            <w:tcW w:w="4200" w:type="dxa"/>
            <w:vAlign w:val="bottom"/>
          </w:tcPr>
          <w:p>
            <w:pPr>
              <w:ind w:left="80"/>
              <w:spacing w:after="0"/>
              <w:rPr>
                <w:sz w:val="20"/>
                <w:szCs w:val="20"/>
                <w:color w:val="auto"/>
              </w:rPr>
            </w:pPr>
            <w:r>
              <w:rPr>
                <w:rFonts w:ascii="Arial" w:cs="Arial" w:eastAsia="Arial" w:hAnsi="Arial"/>
                <w:sz w:val="18"/>
                <w:szCs w:val="18"/>
                <w:color w:val="auto"/>
              </w:rPr>
              <w:t>sole power to vote or to direct the vote:</w:t>
            </w:r>
          </w:p>
        </w:tc>
        <w:tc>
          <w:tcPr>
            <w:tcW w:w="900" w:type="dxa"/>
            <w:vAlign w:val="bottom"/>
          </w:tcPr>
          <w:p>
            <w:pPr>
              <w:jc w:val="right"/>
              <w:spacing w:after="0"/>
              <w:rPr>
                <w:sz w:val="20"/>
                <w:szCs w:val="20"/>
                <w:color w:val="auto"/>
              </w:rPr>
            </w:pPr>
            <w:r>
              <w:rPr>
                <w:rFonts w:ascii="Arial" w:cs="Arial" w:eastAsia="Arial" w:hAnsi="Arial"/>
                <w:sz w:val="18"/>
                <w:szCs w:val="18"/>
                <w:color w:val="auto"/>
              </w:rPr>
              <w:t>298,201*</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(ii)</w:t>
            </w:r>
          </w:p>
        </w:tc>
        <w:tc>
          <w:tcPr>
            <w:tcW w:w="4200" w:type="dxa"/>
            <w:vAlign w:val="bottom"/>
          </w:tcPr>
          <w:p>
            <w:pPr>
              <w:ind w:left="80"/>
              <w:spacing w:after="0"/>
              <w:rPr>
                <w:sz w:val="20"/>
                <w:szCs w:val="20"/>
                <w:color w:val="auto"/>
              </w:rPr>
            </w:pPr>
            <w:r>
              <w:rPr>
                <w:rFonts w:ascii="Arial" w:cs="Arial" w:eastAsia="Arial" w:hAnsi="Arial"/>
                <w:sz w:val="18"/>
                <w:szCs w:val="18"/>
                <w:color w:val="auto"/>
              </w:rPr>
              <w:t>shared power to vote or to direct the vote:</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(iii)</w:t>
            </w:r>
          </w:p>
        </w:tc>
        <w:tc>
          <w:tcPr>
            <w:tcW w:w="4200" w:type="dxa"/>
            <w:vAlign w:val="bottom"/>
          </w:tcPr>
          <w:p>
            <w:pPr>
              <w:ind w:left="80"/>
              <w:spacing w:after="0"/>
              <w:rPr>
                <w:sz w:val="20"/>
                <w:szCs w:val="20"/>
                <w:color w:val="auto"/>
              </w:rPr>
            </w:pPr>
            <w:r>
              <w:rPr>
                <w:rFonts w:ascii="Arial" w:cs="Arial" w:eastAsia="Arial" w:hAnsi="Arial"/>
                <w:sz w:val="18"/>
                <w:szCs w:val="18"/>
                <w:color w:val="auto"/>
              </w:rPr>
              <w:t>sole power to dispose or to direct the disposition of:</w:t>
            </w:r>
          </w:p>
        </w:tc>
        <w:tc>
          <w:tcPr>
            <w:tcW w:w="900" w:type="dxa"/>
            <w:vAlign w:val="bottom"/>
          </w:tcPr>
          <w:p>
            <w:pPr>
              <w:jc w:val="right"/>
              <w:spacing w:after="0"/>
              <w:rPr>
                <w:sz w:val="20"/>
                <w:szCs w:val="20"/>
                <w:color w:val="auto"/>
              </w:rPr>
            </w:pPr>
            <w:r>
              <w:rPr>
                <w:rFonts w:ascii="Arial" w:cs="Arial" w:eastAsia="Arial" w:hAnsi="Arial"/>
                <w:sz w:val="18"/>
                <w:szCs w:val="18"/>
                <w:color w:val="auto"/>
              </w:rPr>
              <w:t>298,201*</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(iv)</w:t>
            </w:r>
          </w:p>
        </w:tc>
        <w:tc>
          <w:tcPr>
            <w:tcW w:w="4200" w:type="dxa"/>
            <w:vAlign w:val="bottom"/>
          </w:tcPr>
          <w:p>
            <w:pPr>
              <w:ind w:left="80"/>
              <w:spacing w:after="0"/>
              <w:rPr>
                <w:sz w:val="20"/>
                <w:szCs w:val="20"/>
                <w:color w:val="auto"/>
              </w:rPr>
            </w:pPr>
            <w:r>
              <w:rPr>
                <w:rFonts w:ascii="Arial" w:cs="Arial" w:eastAsia="Arial" w:hAnsi="Arial"/>
                <w:sz w:val="18"/>
                <w:szCs w:val="18"/>
                <w:color w:val="auto"/>
                <w:w w:val="95"/>
              </w:rPr>
              <w:t>shared power to dispose or to direct the disposition of:</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both"/>
        <w:ind w:firstLine="8"/>
        <w:spacing w:after="0" w:line="287" w:lineRule="auto"/>
        <w:tabs>
          <w:tab w:leader="none" w:pos="16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the information set forth in the Quarterly Report on Form 10-Q of Oil-Dri Corporation of America (the “Company”) filed with the Securities and Exchange Commission on December 7, 2012, there were 4,879,226 shares of the Company’s common stock, par value $0.10 (the “Common Stock”), outstanding as of October 31, 2012. As of December 31, 2012, Harvey SMidCap Fund, LP, a Delaware limited partnership (“SMidCap Fund”), held 60,888 shares of Common Stock, Harvey SMidCap Offshore Fund, Ltd., a Cayman Islands exempted company (“SMidCap Offshore Fund”), held 144,687 shares of Common Stock, and Harvey QP, LP, a Delaware limited partnership (“Harvey QP”), held 92,626 shares of Common Stock. Harvey Partners, LLC, a Delaware limited liability company (“Harvey Partners”), is the investment manager of SMidCap Fund, SMidCap Offshore Fund and Harvey QP, and as such, possesses the sole power to vote and the sole power to direct the disposition of all securities of the Company held by SMidCap Fund, SMidCap Offshore Fund and Harvey QP. James A. Schwartz and Jeffrey C. Moskowitz, the Managing Members of Harvey Partners, share voting and investment power with respect to all securities beneficially owned by Harvey Partners.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664845</wp:posOffset>
            </wp:positionV>
            <wp:extent cx="714756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7560" cy="21590"/>
                    </a:xfrm>
                    <a:prstGeom prst="rect">
                      <a:avLst/>
                    </a:prstGeom>
                    <a:noFill/>
                  </pic:spPr>
                </pic:pic>
              </a:graphicData>
            </a:graphic>
          </wp:anchor>
        </w:drawing>
      </w:r>
    </w:p>
    <w:p>
      <w:pPr>
        <w:sectPr>
          <w:pgSz w:w="11900" w:h="16838" w:orient="portrait"/>
          <w:cols w:equalWidth="0" w:num="1">
            <w:col w:w="10940"/>
          </w:cols>
          <w:pgMar w:left="240" w:top="611" w:right="719" w:bottom="1440" w:gutter="0" w:footer="0" w:header="0"/>
        </w:sectPr>
      </w:pPr>
    </w:p>
    <w:bookmarkStart w:id="3" w:name="page4"/>
    <w:bookmarkEnd w:id="3"/>
    <w:p>
      <w:pPr>
        <w:spacing w:after="0"/>
        <w:tabs>
          <w:tab w:leader="none" w:pos="11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79" w:lineRule="exact"/>
        <w:rPr>
          <w:sz w:val="20"/>
          <w:szCs w:val="20"/>
          <w:color w:val="auto"/>
        </w:rPr>
      </w:pPr>
    </w:p>
    <w:p>
      <w:pPr>
        <w:ind w:right="160" w:firstLine="1287"/>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owner of more than five percent of the class of securities, check the following: [ ]</w:t>
      </w:r>
    </w:p>
    <w:p>
      <w:pPr>
        <w:spacing w:after="0" w:line="200" w:lineRule="exact"/>
        <w:rPr>
          <w:sz w:val="20"/>
          <w:szCs w:val="20"/>
          <w:color w:val="auto"/>
        </w:rPr>
      </w:pPr>
    </w:p>
    <w:p>
      <w:pPr>
        <w:spacing w:after="0" w:line="29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 or Control Person</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both"/>
        <w:ind w:right="100" w:firstLine="1287"/>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29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200" w:lineRule="exact"/>
        <w:rPr>
          <w:sz w:val="20"/>
          <w:szCs w:val="20"/>
          <w:color w:val="auto"/>
        </w:rPr>
      </w:pPr>
    </w:p>
    <w:p>
      <w:pPr>
        <w:spacing w:after="0" w:line="28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February 14, 2013</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HARVEY PARTNERS, LLC</w:t>
      </w: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By:/s/ Jeffrey C. Moskowitz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1045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0451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Jeffrey C. Moskowitz</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Attention: Intentional misstatements or omissions of fact constitute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sectPr>
      <w:pgSz w:w="11900" w:h="16838" w:orient="portrait"/>
      <w:cols w:equalWidth="0" w:num="1">
        <w:col w:w="11280"/>
      </w:cols>
      <w:pgMar w:left="240" w:top="100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9"/>
    </w:lvl>
  </w:abstractNum>
  <w:abstractNum w:abstractNumId="4">
    <w:nsid w:val="507ED7AB"/>
    <w:multiLevelType w:val="hybridMultilevel"/>
    <w:lvl w:ilvl="0">
      <w:lvlJc w:val="left"/>
      <w:lvlText w:val="(%1)"/>
      <w:numFmt w:val="decimal"/>
      <w:start w:val="1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2020-01-28T20:06:15Z</dcterms:created>
  <dcterms:modified xsi:type="dcterms:W3CDTF">2020-01-28T20:06:15Z</dcterms:modified>
</cp:coreProperties>
</file>