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ind w:left="2960"/>
              <w:spacing w:after="0"/>
              <w:rPr>
                <w:sz w:val="20"/>
                <w:szCs w:val="20"/>
                <w:color w:val="auto"/>
              </w:rPr>
            </w:pPr>
            <w:r>
              <w:rPr>
                <w:rFonts w:ascii="Arial" w:cs="Arial" w:eastAsia="Arial" w:hAnsi="Arial"/>
                <w:sz w:val="18"/>
                <w:szCs w:val="18"/>
                <w:color w:val="auto"/>
              </w:rPr>
              <w:t>Date of Report (Date of earliest event reported)</w:t>
            </w:r>
          </w:p>
        </w:tc>
        <w:tc>
          <w:tcPr>
            <w:tcW w:w="44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9, 2008</w:t>
            </w:r>
          </w:p>
        </w:tc>
      </w:tr>
      <w:tr>
        <w:trPr>
          <w:trHeight w:val="459"/>
        </w:trPr>
        <w:tc>
          <w:tcPr>
            <w:tcW w:w="3660" w:type="dxa"/>
            <w:vAlign w:val="bottom"/>
          </w:tcPr>
          <w:p>
            <w:pPr>
              <w:spacing w:after="0"/>
              <w:rPr>
                <w:sz w:val="24"/>
                <w:szCs w:val="24"/>
                <w:color w:val="auto"/>
              </w:rPr>
            </w:pPr>
          </w:p>
        </w:tc>
        <w:tc>
          <w:tcPr>
            <w:tcW w:w="3340" w:type="dxa"/>
            <w:vAlign w:val="bottom"/>
          </w:tcPr>
          <w:p>
            <w:pPr>
              <w:ind w:left="800"/>
              <w:spacing w:after="0"/>
              <w:rPr>
                <w:sz w:val="20"/>
                <w:szCs w:val="20"/>
                <w:color w:val="auto"/>
              </w:rPr>
            </w:pPr>
            <w:r>
              <w:rPr>
                <w:rFonts w:ascii="Arial" w:cs="Arial" w:eastAsia="Arial" w:hAnsi="Arial"/>
                <w:sz w:val="18"/>
                <w:szCs w:val="18"/>
                <w:b w:val="1"/>
                <w:bCs w:val="1"/>
                <w:color w:val="auto"/>
                <w:w w:val="96"/>
              </w:rPr>
              <w:t>Oil-Dri Corporation of America</w:t>
            </w: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3660" w:type="dxa"/>
            <w:vAlign w:val="bottom"/>
            <w:tcBorders>
              <w:bottom w:val="single" w:sz="8" w:color="808080"/>
            </w:tcBorders>
          </w:tcPr>
          <w:p>
            <w:pPr>
              <w:spacing w:after="0"/>
              <w:rPr>
                <w:sz w:val="9"/>
                <w:szCs w:val="9"/>
                <w:color w:val="auto"/>
              </w:rPr>
            </w:pPr>
          </w:p>
        </w:tc>
        <w:tc>
          <w:tcPr>
            <w:tcW w:w="776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8"/>
        </w:trPr>
        <w:tc>
          <w:tcPr>
            <w:tcW w:w="3660" w:type="dxa"/>
            <w:vAlign w:val="bottom"/>
          </w:tcPr>
          <w:p>
            <w:pPr>
              <w:spacing w:after="0"/>
              <w:rPr>
                <w:sz w:val="24"/>
                <w:szCs w:val="24"/>
                <w:color w:val="auto"/>
              </w:rPr>
            </w:pPr>
          </w:p>
        </w:tc>
        <w:tc>
          <w:tcPr>
            <w:tcW w:w="7800" w:type="dxa"/>
            <w:vAlign w:val="bottom"/>
            <w:gridSpan w:val="4"/>
          </w:tcPr>
          <w:p>
            <w:pPr>
              <w:jc w:val="center"/>
              <w:ind w:right="368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66"/>
        </w:trPr>
        <w:tc>
          <w:tcPr>
            <w:tcW w:w="3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3"/>
              </w:rPr>
              <w:t>Delaware</w:t>
            </w:r>
          </w:p>
        </w:tc>
        <w:tc>
          <w:tcPr>
            <w:tcW w:w="334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b w:val="1"/>
                <w:bCs w:val="1"/>
                <w:color w:val="auto"/>
                <w:w w:val="92"/>
              </w:rPr>
              <w:t>0-8675</w:t>
            </w:r>
          </w:p>
        </w:tc>
        <w:tc>
          <w:tcPr>
            <w:tcW w:w="442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36-2048898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660" w:type="dxa"/>
            <w:vAlign w:val="bottom"/>
          </w:tcPr>
          <w:p>
            <w:pPr>
              <w:jc w:val="center"/>
              <w:ind w:left="50"/>
              <w:spacing w:after="0"/>
              <w:rPr>
                <w:sz w:val="20"/>
                <w:szCs w:val="20"/>
                <w:color w:val="auto"/>
              </w:rPr>
            </w:pPr>
            <w:r>
              <w:rPr>
                <w:rFonts w:ascii="Arial" w:cs="Arial" w:eastAsia="Arial" w:hAnsi="Arial"/>
                <w:sz w:val="18"/>
                <w:szCs w:val="18"/>
                <w:color w:val="auto"/>
                <w:w w:val="92"/>
              </w:rPr>
              <w:t>(State or other jurisdiction of incorporation)</w:t>
            </w:r>
          </w:p>
        </w:tc>
        <w:tc>
          <w:tcPr>
            <w:tcW w:w="3340" w:type="dxa"/>
            <w:vAlign w:val="bottom"/>
          </w:tcPr>
          <w:p>
            <w:pPr>
              <w:jc w:val="center"/>
              <w:ind w:left="690"/>
              <w:spacing w:after="0"/>
              <w:rPr>
                <w:sz w:val="20"/>
                <w:szCs w:val="20"/>
                <w:color w:val="auto"/>
              </w:rPr>
            </w:pPr>
            <w:r>
              <w:rPr>
                <w:rFonts w:ascii="Arial" w:cs="Arial" w:eastAsia="Arial" w:hAnsi="Arial"/>
                <w:sz w:val="18"/>
                <w:szCs w:val="18"/>
                <w:color w:val="auto"/>
                <w:w w:val="93"/>
              </w:rPr>
              <w:t>(Commission File Number)</w:t>
            </w:r>
          </w:p>
        </w:tc>
        <w:tc>
          <w:tcPr>
            <w:tcW w:w="4420" w:type="dxa"/>
            <w:vAlign w:val="bottom"/>
          </w:tcPr>
          <w:p>
            <w:pPr>
              <w:jc w:val="right"/>
              <w:ind w:right="550"/>
              <w:spacing w:after="0"/>
              <w:rPr>
                <w:sz w:val="20"/>
                <w:szCs w:val="20"/>
                <w:color w:val="auto"/>
              </w:rPr>
            </w:pPr>
            <w:r>
              <w:rPr>
                <w:rFonts w:ascii="Arial" w:cs="Arial" w:eastAsia="Arial" w:hAnsi="Arial"/>
                <w:sz w:val="18"/>
                <w:szCs w:val="18"/>
                <w:color w:val="auto"/>
              </w:rPr>
              <w:t>(IRS Employer Identification No.)</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7"/>
        </w:trPr>
        <w:tc>
          <w:tcPr>
            <w:tcW w:w="366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410 North Michigan Avenue</w:t>
            </w:r>
          </w:p>
        </w:tc>
        <w:tc>
          <w:tcPr>
            <w:tcW w:w="3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66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Suite 400</w:t>
            </w:r>
          </w:p>
        </w:tc>
        <w:tc>
          <w:tcPr>
            <w:tcW w:w="33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5"/>
        </w:trPr>
        <w:tc>
          <w:tcPr>
            <w:tcW w:w="36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1"/>
              </w:rPr>
              <w:t>Chicago, Illinois</w:t>
            </w:r>
          </w:p>
        </w:tc>
        <w:tc>
          <w:tcPr>
            <w:tcW w:w="33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60611-4213</w:t>
            </w:r>
          </w:p>
        </w:tc>
        <w:tc>
          <w:tcPr>
            <w:tcW w:w="20" w:type="dxa"/>
            <w:vAlign w:val="bottom"/>
          </w:tcPr>
          <w:p>
            <w:pPr>
              <w:spacing w:after="0"/>
              <w:rPr>
                <w:sz w:val="24"/>
                <w:szCs w:val="24"/>
                <w:color w:val="auto"/>
              </w:rPr>
            </w:pPr>
          </w:p>
        </w:tc>
      </w:tr>
      <w:tr>
        <w:trPr>
          <w:trHeight w:val="230"/>
        </w:trPr>
        <w:tc>
          <w:tcPr>
            <w:tcW w:w="3660" w:type="dxa"/>
            <w:vAlign w:val="bottom"/>
          </w:tcPr>
          <w:p>
            <w:pPr>
              <w:jc w:val="center"/>
              <w:ind w:left="30"/>
              <w:spacing w:after="0"/>
              <w:rPr>
                <w:sz w:val="20"/>
                <w:szCs w:val="20"/>
                <w:color w:val="auto"/>
              </w:rPr>
            </w:pPr>
            <w:r>
              <w:rPr>
                <w:rFonts w:ascii="Arial" w:cs="Arial" w:eastAsia="Arial" w:hAnsi="Arial"/>
                <w:sz w:val="18"/>
                <w:szCs w:val="18"/>
                <w:color w:val="auto"/>
                <w:w w:val="92"/>
              </w:rPr>
              <w:t>(Address of principal executive offices)</w:t>
            </w:r>
          </w:p>
        </w:tc>
        <w:tc>
          <w:tcPr>
            <w:tcW w:w="3340" w:type="dxa"/>
            <w:vAlign w:val="bottom"/>
          </w:tcPr>
          <w:p>
            <w:pPr>
              <w:spacing w:after="0"/>
              <w:rPr>
                <w:sz w:val="20"/>
                <w:szCs w:val="20"/>
                <w:color w:val="auto"/>
              </w:rPr>
            </w:pPr>
          </w:p>
        </w:tc>
        <w:tc>
          <w:tcPr>
            <w:tcW w:w="4440" w:type="dxa"/>
            <w:vAlign w:val="bottom"/>
            <w:gridSpan w:val="2"/>
          </w:tcPr>
          <w:p>
            <w:pPr>
              <w:jc w:val="right"/>
              <w:ind w:right="20"/>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20"/>
                <w:szCs w:val="20"/>
                <w:color w:val="auto"/>
              </w:rPr>
            </w:pPr>
          </w:p>
        </w:tc>
      </w:tr>
    </w:tbl>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72" w:right="21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9, 2008, Oil-Dri Corporation of America (the “Registrant”) issued a press release announcing its results of operations for its first quarter ended October 31, 2008.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on December 9, 2008, the Registrant’s Board of Directors declared quarterly cash dividends of $0.14 per share of the Registrant’s Common Stock and $0.105 per share of the Registrant’s Class B Stock. The dividends will be payable on March 6, 2009, to stockholders of record at the close of business on February 20, 2009. A copy of the Registrant’s press release announcing these matters is attached as Exhibit 99.2 and the information contained therein is incorporated herein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20" w:type="dxa"/>
            <w:vAlign w:val="bottom"/>
          </w:tcPr>
          <w:p>
            <w:pPr>
              <w:spacing w:after="0"/>
              <w:rPr>
                <w:sz w:val="18"/>
                <w:szCs w:val="18"/>
                <w:color w:val="auto"/>
              </w:rPr>
            </w:pPr>
          </w:p>
        </w:tc>
      </w:tr>
      <w:tr>
        <w:trPr>
          <w:trHeight w:val="23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22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Description of Exhibits</w:t>
            </w:r>
          </w:p>
        </w:tc>
      </w:tr>
      <w:tr>
        <w:trPr>
          <w:trHeight w:val="648"/>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Arial" w:cs="Arial" w:eastAsia="Arial" w:hAnsi="Arial"/>
                <w:sz w:val="18"/>
                <w:szCs w:val="18"/>
                <w:color w:val="auto"/>
                <w:w w:val="87"/>
              </w:rPr>
              <w:t>Press Release dated December 9,</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2008</w:t>
            </w:r>
          </w:p>
        </w:tc>
        <w:tc>
          <w:tcPr>
            <w:tcW w:w="7220" w:type="dxa"/>
            <w:vAlign w:val="bottom"/>
          </w:tcPr>
          <w:p>
            <w:pPr>
              <w:ind w:left="20"/>
              <w:spacing w:after="0"/>
              <w:rPr>
                <w:sz w:val="20"/>
                <w:szCs w:val="20"/>
                <w:color w:val="auto"/>
              </w:rPr>
            </w:pPr>
            <w:r>
              <w:rPr>
                <w:rFonts w:ascii="Arial" w:cs="Arial" w:eastAsia="Arial" w:hAnsi="Arial"/>
                <w:sz w:val="18"/>
                <w:szCs w:val="18"/>
                <w:color w:val="auto"/>
              </w:rPr>
              <w:t>(Quarterly Earnings)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Arial" w:cs="Arial" w:eastAsia="Arial" w:hAnsi="Arial"/>
                <w:sz w:val="18"/>
                <w:szCs w:val="18"/>
                <w:color w:val="auto"/>
                <w:w w:val="87"/>
              </w:rPr>
              <w:t>Press Release dated December 9,</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2009</w:t>
            </w:r>
          </w:p>
        </w:tc>
        <w:tc>
          <w:tcPr>
            <w:tcW w:w="7220" w:type="dxa"/>
            <w:vAlign w:val="bottom"/>
          </w:tcPr>
          <w:p>
            <w:pPr>
              <w:ind w:left="20"/>
              <w:spacing w:after="0"/>
              <w:rPr>
                <w:sz w:val="20"/>
                <w:szCs w:val="20"/>
                <w:color w:val="auto"/>
              </w:rPr>
            </w:pPr>
            <w:r>
              <w:rPr>
                <w:rFonts w:ascii="Arial" w:cs="Arial" w:eastAsia="Arial" w:hAnsi="Arial"/>
                <w:sz w:val="18"/>
                <w:szCs w:val="18"/>
                <w:color w:val="auto"/>
              </w:rPr>
              <w:t>(Cash Dividends)</w:t>
            </w:r>
          </w:p>
        </w:tc>
      </w:tr>
      <w:tr>
        <w:trPr>
          <w:trHeight w:val="659"/>
        </w:trPr>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OIL-DRI CORPORATION OF AMERICA</w:t>
      </w:r>
    </w:p>
    <w:p>
      <w:pPr>
        <w:spacing w:after="0" w:line="225" w:lineRule="exact"/>
        <w:rPr>
          <w:sz w:val="20"/>
          <w:szCs w:val="20"/>
          <w:color w:val="auto"/>
        </w:rPr>
      </w:pPr>
    </w:p>
    <w:p>
      <w:pPr>
        <w:ind w:left="3420"/>
        <w:spacing w:after="0"/>
        <w:tabs>
          <w:tab w:leader="none" w:pos="3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P. Brissman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14605</wp:posOffset>
            </wp:positionV>
            <wp:extent cx="32759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Charles P. Brissman</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Vice President and General Counsel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20" w:type="dxa"/>
            <w:vAlign w:val="bottom"/>
            <w:gridSpan w:val="3"/>
          </w:tcPr>
          <w:p>
            <w:pPr>
              <w:ind w:left="1020"/>
              <w:spacing w:after="0"/>
              <w:rPr>
                <w:sz w:val="20"/>
                <w:szCs w:val="20"/>
                <w:color w:val="auto"/>
              </w:rPr>
            </w:pPr>
            <w:r>
              <w:rPr>
                <w:rFonts w:ascii="Arial" w:cs="Arial" w:eastAsia="Arial" w:hAnsi="Arial"/>
                <w:sz w:val="18"/>
                <w:szCs w:val="18"/>
                <w:color w:val="auto"/>
              </w:rPr>
              <w:t>Exhibit Index</w:t>
            </w:r>
          </w:p>
        </w:tc>
      </w:tr>
      <w:tr>
        <w:trPr>
          <w:trHeight w:val="465"/>
        </w:trPr>
        <w:tc>
          <w:tcPr>
            <w:tcW w:w="1160" w:type="dxa"/>
            <w:vAlign w:val="bottom"/>
          </w:tcPr>
          <w:p>
            <w:pPr>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22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Description of Exhibits</w:t>
            </w:r>
          </w:p>
        </w:tc>
      </w:tr>
      <w:tr>
        <w:trPr>
          <w:trHeight w:val="648"/>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Arial" w:cs="Arial" w:eastAsia="Arial" w:hAnsi="Arial"/>
                <w:sz w:val="18"/>
                <w:szCs w:val="18"/>
                <w:color w:val="auto"/>
                <w:w w:val="87"/>
              </w:rPr>
              <w:t>Press Release dated December 9,</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2008</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(Quarterly Earnings)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Arial" w:cs="Arial" w:eastAsia="Arial" w:hAnsi="Arial"/>
                <w:sz w:val="18"/>
                <w:szCs w:val="18"/>
                <w:color w:val="auto"/>
                <w:w w:val="87"/>
              </w:rPr>
              <w:t>Press Release dated December 9,</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2008</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(Cash Dividends)</w:t>
            </w:r>
          </w:p>
        </w:tc>
      </w:tr>
      <w:tr>
        <w:trPr>
          <w:trHeight w:val="659"/>
        </w:trPr>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-119380</wp:posOffset>
            </wp:positionV>
            <wp:extent cx="848995" cy="6689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48995" cy="6689090"/>
                    </a:xfrm>
                    <a:prstGeom prst="rect">
                      <a:avLst/>
                    </a:prstGeom>
                    <a:noFill/>
                  </pic:spPr>
                </pic:pic>
              </a:graphicData>
            </a:graphic>
          </wp:anchor>
        </w:drawing>
      </w:r>
    </w:p>
    <w:p>
      <w:pPr>
        <w:spacing w:after="0" w:line="236" w:lineRule="exact"/>
        <w:rPr>
          <w:sz w:val="20"/>
          <w:szCs w:val="20"/>
          <w:color w:val="auto"/>
        </w:rPr>
      </w:pPr>
    </w:p>
    <w:p>
      <w:pPr>
        <w:ind w:left="9160"/>
        <w:spacing w:after="0"/>
        <w:rPr>
          <w:sz w:val="20"/>
          <w:szCs w:val="20"/>
          <w:color w:val="auto"/>
        </w:rPr>
      </w:pPr>
      <w:r>
        <w:rPr>
          <w:rFonts w:ascii="Arial" w:cs="Arial" w:eastAsia="Arial" w:hAnsi="Arial"/>
          <w:sz w:val="16"/>
          <w:szCs w:val="16"/>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97790</wp:posOffset>
            </wp:positionV>
            <wp:extent cx="5659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238" w:lineRule="exact"/>
        <w:rPr>
          <w:sz w:val="20"/>
          <w:szCs w:val="20"/>
          <w:color w:val="auto"/>
        </w:rPr>
      </w:pPr>
    </w:p>
    <w:p>
      <w:pPr>
        <w:ind w:left="1340"/>
        <w:spacing w:after="0"/>
        <w:tabs>
          <w:tab w:leader="none" w:pos="6680" w:val="left"/>
          <w:tab w:leader="none" w:pos="7540" w:val="left"/>
        </w:tabs>
        <w:rPr>
          <w:sz w:val="20"/>
          <w:szCs w:val="20"/>
          <w:color w:val="auto"/>
        </w:rPr>
      </w:pPr>
      <w:r>
        <w:rPr>
          <w:rFonts w:ascii="Arial" w:cs="Arial" w:eastAsia="Arial" w:hAnsi="Arial"/>
          <w:sz w:val="18"/>
          <w:szCs w:val="18"/>
          <w:b w:val="1"/>
          <w:bCs w:val="1"/>
          <w:color w:val="auto"/>
        </w:rPr>
        <w:t xml:space="preserve">Release: </w:t>
      </w:r>
      <w:r>
        <w:rPr>
          <w:rFonts w:ascii="Arial" w:cs="Arial" w:eastAsia="Arial" w:hAnsi="Arial"/>
          <w:sz w:val="18"/>
          <w:szCs w:val="18"/>
          <w:color w:val="auto"/>
        </w:rPr>
        <w:t>Immediate</w:t>
      </w:r>
      <w:r>
        <w:rPr>
          <w:sz w:val="20"/>
          <w:szCs w:val="20"/>
          <w:color w:val="auto"/>
        </w:rPr>
        <w:tab/>
      </w: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6"/>
          <w:szCs w:val="16"/>
          <w:color w:val="auto"/>
        </w:rPr>
        <w:t>Ronda J. Williams 312-706-3232</w:t>
      </w:r>
    </w:p>
    <w:p>
      <w:pPr>
        <w:spacing w:after="0" w:line="252" w:lineRule="exact"/>
        <w:rPr>
          <w:sz w:val="20"/>
          <w:szCs w:val="20"/>
          <w:color w:val="auto"/>
        </w:rPr>
      </w:pPr>
    </w:p>
    <w:p>
      <w:pPr>
        <w:jc w:val="center"/>
        <w:ind w:left="2540"/>
        <w:spacing w:after="0"/>
        <w:rPr>
          <w:sz w:val="20"/>
          <w:szCs w:val="20"/>
          <w:color w:val="auto"/>
        </w:rPr>
      </w:pPr>
      <w:r>
        <w:rPr>
          <w:rFonts w:ascii="Arial" w:cs="Arial" w:eastAsia="Arial" w:hAnsi="Arial"/>
          <w:sz w:val="18"/>
          <w:szCs w:val="18"/>
          <w:b w:val="1"/>
          <w:bCs w:val="1"/>
          <w:color w:val="auto"/>
        </w:rPr>
        <w:t>Oil-Dri Announces First Quarter Results</w:t>
      </w:r>
    </w:p>
    <w:p>
      <w:pPr>
        <w:spacing w:after="0" w:line="256" w:lineRule="exact"/>
        <w:rPr>
          <w:sz w:val="20"/>
          <w:szCs w:val="20"/>
          <w:color w:val="auto"/>
        </w:rPr>
      </w:pPr>
    </w:p>
    <w:p>
      <w:pPr>
        <w:ind w:left="1340" w:right="20"/>
        <w:spacing w:after="0" w:line="264" w:lineRule="auto"/>
        <w:rPr>
          <w:sz w:val="20"/>
          <w:szCs w:val="20"/>
          <w:color w:val="auto"/>
        </w:rPr>
      </w:pPr>
      <w:r>
        <w:rPr>
          <w:rFonts w:ascii="Arial" w:cs="Arial" w:eastAsia="Arial" w:hAnsi="Arial"/>
          <w:sz w:val="18"/>
          <w:szCs w:val="18"/>
          <w:color w:val="auto"/>
        </w:rPr>
        <w:t>CHICAGO – (December 9, 2008) – Oil-Dri Corporation of America (NYSE: ODC) today announced that despite record first quarter net sales, significant increases in the cost of goods, primarily transportation and energy costs, resulted in lower earnings compared to the first quarter one year ago.</w:t>
      </w:r>
    </w:p>
    <w:p>
      <w:pPr>
        <w:spacing w:after="0" w:line="208" w:lineRule="exact"/>
        <w:rPr>
          <w:sz w:val="20"/>
          <w:szCs w:val="20"/>
          <w:color w:val="auto"/>
        </w:rPr>
      </w:pPr>
    </w:p>
    <w:p>
      <w:pPr>
        <w:ind w:left="1340" w:right="220"/>
        <w:spacing w:after="0" w:line="312" w:lineRule="auto"/>
        <w:rPr>
          <w:sz w:val="20"/>
          <w:szCs w:val="20"/>
          <w:color w:val="auto"/>
        </w:rPr>
      </w:pPr>
      <w:r>
        <w:rPr>
          <w:rFonts w:ascii="Arial" w:cs="Arial" w:eastAsia="Arial" w:hAnsi="Arial"/>
          <w:sz w:val="16"/>
          <w:szCs w:val="16"/>
          <w:color w:val="auto"/>
        </w:rPr>
        <w:t>Net sales for the first quarter were $63,128,000, a 14% increase compared with sales of $55,285,000 in the same quarter one year ago. The Company reported net income for the quarter of $2,246,000, or $0.31 per diluted share, an 11% decrease compared with net income of $2,484,000, or $0.35 per diluted share, in the same quarter one year ago.</w:t>
      </w:r>
    </w:p>
    <w:p>
      <w:pPr>
        <w:spacing w:after="0" w:line="170"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UARTER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EVIEW</w:t>
      </w:r>
    </w:p>
    <w:p>
      <w:pPr>
        <w:spacing w:after="0" w:line="256" w:lineRule="exact"/>
        <w:rPr>
          <w:sz w:val="20"/>
          <w:szCs w:val="20"/>
          <w:color w:val="auto"/>
        </w:rPr>
      </w:pPr>
    </w:p>
    <w:p>
      <w:pPr>
        <w:jc w:val="both"/>
        <w:ind w:left="1340" w:right="120"/>
        <w:spacing w:after="0" w:line="264" w:lineRule="auto"/>
        <w:rPr>
          <w:sz w:val="20"/>
          <w:szCs w:val="20"/>
          <w:color w:val="auto"/>
        </w:rPr>
      </w:pPr>
      <w:r>
        <w:rPr>
          <w:rFonts w:ascii="Arial" w:cs="Arial" w:eastAsia="Arial" w:hAnsi="Arial"/>
          <w:sz w:val="18"/>
          <w:szCs w:val="18"/>
          <w:color w:val="auto"/>
        </w:rPr>
        <w:t>President and Chief Executive Officer Daniel S. Jaffee said, “We saw record net sales but reduced gross profit margins in the first quarter. Increased costs for manufacturing, packaging, delivery and energy brought the gross profit margin in the quarter to 19.6%, down from 22.5% gross profit margin reported one year ago.</w:t>
      </w:r>
    </w:p>
    <w:p>
      <w:pPr>
        <w:spacing w:after="0" w:line="208" w:lineRule="exact"/>
        <w:rPr>
          <w:sz w:val="20"/>
          <w:szCs w:val="20"/>
          <w:color w:val="auto"/>
        </w:rPr>
      </w:pPr>
    </w:p>
    <w:p>
      <w:pPr>
        <w:jc w:val="both"/>
        <w:ind w:left="1340" w:right="140"/>
        <w:spacing w:after="0" w:line="286" w:lineRule="auto"/>
        <w:rPr>
          <w:sz w:val="20"/>
          <w:szCs w:val="20"/>
          <w:color w:val="auto"/>
        </w:rPr>
      </w:pPr>
      <w:r>
        <w:rPr>
          <w:rFonts w:ascii="Arial" w:cs="Arial" w:eastAsia="Arial" w:hAnsi="Arial"/>
          <w:sz w:val="17"/>
          <w:szCs w:val="17"/>
          <w:color w:val="auto"/>
        </w:rPr>
        <w:t>“We were successful in implementing price increases in both product groups but not enough to cover the tremendous cost increases experienced. On a quarter-to-quarter basis, kiln fuel was 46% greater in this period than one year ago. Similar increases were absorbed for delivery costs and other energy and energy-related materials.”</w:t>
      </w:r>
    </w:p>
    <w:p>
      <w:pPr>
        <w:spacing w:after="0" w:line="18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EVIEW</w:t>
      </w:r>
    </w:p>
    <w:p>
      <w:pPr>
        <w:spacing w:after="0" w:line="256" w:lineRule="exact"/>
        <w:rPr>
          <w:sz w:val="20"/>
          <w:szCs w:val="20"/>
          <w:color w:val="auto"/>
        </w:rPr>
      </w:pPr>
    </w:p>
    <w:p>
      <w:pPr>
        <w:ind w:left="1340" w:right="40"/>
        <w:spacing w:after="0" w:line="255" w:lineRule="auto"/>
        <w:rPr>
          <w:sz w:val="20"/>
          <w:szCs w:val="20"/>
          <w:color w:val="auto"/>
        </w:rPr>
      </w:pPr>
      <w:r>
        <w:rPr>
          <w:rFonts w:ascii="Arial" w:cs="Arial" w:eastAsia="Arial" w:hAnsi="Arial"/>
          <w:sz w:val="18"/>
          <w:szCs w:val="18"/>
          <w:color w:val="auto"/>
        </w:rPr>
        <w:t>Net sales for the Company’s Retail and Wholesale Products Group were $42,483,000 and group income was $3,162,000, a decrease of 27% in the first quarter. Sales of private label cat litter were strong in both units and dollars. Industrial and automotive products also experienced increased unit shipments and dollar sales from new customers acquired through a small strategic asset acquisition last quarter. Gross margins for the Group tightened dramatically due to increased materials, freight and packaging costs. Manufacturing and processing costs for the Group have outpaced its ability to implement and benefit from price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2265045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5" w:name="page6"/>
    <w:bookmarkEnd w:id="5"/>
    <w:p>
      <w:pPr>
        <w:ind w:left="420" w:right="160"/>
        <w:spacing w:after="0" w:line="257" w:lineRule="auto"/>
        <w:rPr>
          <w:sz w:val="20"/>
          <w:szCs w:val="20"/>
          <w:color w:val="auto"/>
        </w:rPr>
      </w:pPr>
      <w:r>
        <w:rPr>
          <w:rFonts w:ascii="Arial" w:cs="Arial" w:eastAsia="Arial" w:hAnsi="Arial"/>
          <w:sz w:val="18"/>
          <w:szCs w:val="18"/>
          <w:color w:val="auto"/>
        </w:rPr>
        <w:t>Net sales for the Company’s Business-to-Business Products Group were $20,645,000, and group income was $4,426,000, an increase of 11% in the first quarter. Sales of the Group’s bleaching clays, agricultural carriers and co-packaged cat litter products increased in both units and dollars. Higher marketing and promotional spending offset increased net sales of the Group’s animal health and nutrition products. While the Group benefited from increased unit shipments and dollar sales, higher materials and freight costs decreased gross margins in the quarter.</w:t>
      </w:r>
    </w:p>
    <w:p>
      <w:pPr>
        <w:spacing w:after="0" w:line="215" w:lineRule="exact"/>
        <w:rPr>
          <w:sz w:val="20"/>
          <w:szCs w:val="20"/>
          <w:color w:val="auto"/>
        </w:rPr>
      </w:pPr>
    </w:p>
    <w:p>
      <w:pPr>
        <w:jc w:val="both"/>
        <w:ind w:left="420" w:right="680"/>
        <w:spacing w:after="0" w:line="264" w:lineRule="auto"/>
        <w:rPr>
          <w:sz w:val="20"/>
          <w:szCs w:val="20"/>
          <w:color w:val="auto"/>
        </w:rPr>
      </w:pPr>
      <w:r>
        <w:rPr>
          <w:rFonts w:ascii="Arial" w:cs="Arial" w:eastAsia="Arial" w:hAnsi="Arial"/>
          <w:sz w:val="18"/>
          <w:szCs w:val="18"/>
          <w:color w:val="auto"/>
        </w:rPr>
        <w:t>During the quarter, the Group launched and obtained regulatory approval in several important foreign countries for Calibrin-A and Calibrin-Z enterosorbents for mycotoxin binding. Early work is ongoing to educate our distributors and customers about the products’ highly effective performance.</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EVIEW</w:t>
      </w:r>
    </w:p>
    <w:p>
      <w:pPr>
        <w:spacing w:after="0" w:line="27" w:lineRule="exact"/>
        <w:rPr>
          <w:sz w:val="20"/>
          <w:szCs w:val="20"/>
          <w:color w:val="auto"/>
        </w:rPr>
      </w:pPr>
    </w:p>
    <w:p>
      <w:pPr>
        <w:ind w:left="420"/>
        <w:spacing w:after="0" w:line="273" w:lineRule="auto"/>
        <w:rPr>
          <w:sz w:val="20"/>
          <w:szCs w:val="20"/>
          <w:color w:val="auto"/>
        </w:rPr>
      </w:pPr>
      <w:r>
        <w:rPr>
          <w:rFonts w:ascii="Arial" w:cs="Arial" w:eastAsia="Arial" w:hAnsi="Arial"/>
          <w:sz w:val="17"/>
          <w:szCs w:val="17"/>
          <w:color w:val="auto"/>
        </w:rPr>
        <w:t>On October 15, 2008, Oil-Dri’s Board of Directors declared quarterly cash dividends of $0.14 per share of outstanding Common Stock and $0.105 per share of outstanding Class B Stock. The dividends were paid on December 5, 2008 to stockholders of record at the close of business on November 21, 2008. At the October 31, 2008 stock closing price of $16.55 per share and assuming cash dividends continue at the same rate, the annual yield on the Company’s Common Stock is 3.38%.</w:t>
      </w:r>
    </w:p>
    <w:p>
      <w:pPr>
        <w:spacing w:after="0" w:line="204"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color w:val="auto"/>
        </w:rPr>
        <w:t>The Company has paid cash dividends continuously since 1974. The Company’s Board of Directors has increased dividends annually for the past five years.</w:t>
      </w:r>
    </w:p>
    <w:p>
      <w:pPr>
        <w:spacing w:after="0" w:line="197" w:lineRule="exact"/>
        <w:rPr>
          <w:sz w:val="20"/>
          <w:szCs w:val="20"/>
          <w:color w:val="auto"/>
        </w:rPr>
      </w:pPr>
    </w:p>
    <w:p>
      <w:pPr>
        <w:ind w:left="420" w:right="380"/>
        <w:spacing w:after="0" w:line="286" w:lineRule="auto"/>
        <w:rPr>
          <w:sz w:val="20"/>
          <w:szCs w:val="20"/>
          <w:color w:val="auto"/>
        </w:rPr>
      </w:pPr>
      <w:r>
        <w:rPr>
          <w:rFonts w:ascii="Arial" w:cs="Arial" w:eastAsia="Arial" w:hAnsi="Arial"/>
          <w:sz w:val="17"/>
          <w:szCs w:val="17"/>
          <w:color w:val="auto"/>
        </w:rPr>
        <w:t>During the quarter, the Company repurchased 40,834 shares of Common Stock at an average price of $15.78 per share. Cash, cash equivalents and short-term investments at October 31, 2008, totaled $16,771,000. Capital expenditures for the quarter totaled $3,552,000, which was $1,667,000 more than depreciation and amortization of $1,885,000.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386715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517" w:right="259" w:bottom="1440" w:gutter="0" w:footer="0" w:header="0"/>
        </w:sectPr>
      </w:pPr>
    </w:p>
    <w:bookmarkStart w:id="6" w:name="page7"/>
    <w:bookmarkEnd w:id="6"/>
    <w:p>
      <w:pPr>
        <w:ind w:left="420" w:right="180"/>
        <w:spacing w:after="0" w:line="277" w:lineRule="auto"/>
        <w:rPr>
          <w:sz w:val="20"/>
          <w:szCs w:val="20"/>
          <w:color w:val="auto"/>
        </w:rPr>
      </w:pPr>
      <w:r>
        <w:rPr>
          <w:rFonts w:ascii="Arial" w:cs="Arial" w:eastAsia="Arial" w:hAnsi="Arial"/>
          <w:sz w:val="18"/>
          <w:szCs w:val="18"/>
          <w:color w:val="auto"/>
        </w:rPr>
        <w:t>During the quarter, the Company reported a $486,000 reduction to Other Income as compared to the first quarter of fiscal 2008. This reduction was driven by reduced interest income and increased foreign currency exchange losses.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OOKING</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ORWARD</w:t>
      </w:r>
    </w:p>
    <w:p>
      <w:pPr>
        <w:spacing w:after="0" w:line="27" w:lineRule="exact"/>
        <w:rPr>
          <w:sz w:val="20"/>
          <w:szCs w:val="20"/>
          <w:color w:val="auto"/>
        </w:rPr>
      </w:pPr>
    </w:p>
    <w:p>
      <w:pPr>
        <w:ind w:left="420" w:right="400"/>
        <w:spacing w:after="0" w:line="254" w:lineRule="auto"/>
        <w:rPr>
          <w:sz w:val="20"/>
          <w:szCs w:val="20"/>
          <w:color w:val="auto"/>
        </w:rPr>
      </w:pPr>
      <w:r>
        <w:rPr>
          <w:rFonts w:ascii="Arial" w:cs="Arial" w:eastAsia="Arial" w:hAnsi="Arial"/>
          <w:sz w:val="18"/>
          <w:szCs w:val="18"/>
          <w:color w:val="auto"/>
        </w:rPr>
        <w:t>Jaffee continued, “During the past several months, energy and other commodity prices have reversed direction and come down sharply. We anticipate some lower costs in the balance of the year; however, these savings will be moderated by our natural gas forward buying program under which we have already contracted for a substantial portion of our planned kiln fuel needs for fiscal 2009.”</w:t>
      </w:r>
    </w:p>
    <w:p>
      <w:pPr>
        <w:spacing w:after="0" w:line="21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will offer a live webcast of the first quarter earnings teleconference on Wednesday, December 10, 2008, from 10:00 a.m.</w:t>
      </w:r>
    </w:p>
    <w:p>
      <w:pPr>
        <w:spacing w:after="0" w:line="32" w:lineRule="exact"/>
        <w:rPr>
          <w:sz w:val="20"/>
          <w:szCs w:val="20"/>
          <w:color w:val="auto"/>
        </w:rPr>
      </w:pPr>
    </w:p>
    <w:p>
      <w:pPr>
        <w:ind w:left="420" w:right="220"/>
        <w:spacing w:after="0" w:line="261" w:lineRule="auto"/>
        <w:rPr>
          <w:sz w:val="20"/>
          <w:szCs w:val="20"/>
          <w:color w:val="auto"/>
        </w:rPr>
      </w:pPr>
      <w:r>
        <w:rPr>
          <w:rFonts w:ascii="Arial" w:cs="Arial" w:eastAsia="Arial" w:hAnsi="Arial"/>
          <w:sz w:val="18"/>
          <w:szCs w:val="18"/>
          <w:color w:val="auto"/>
        </w:rPr>
        <w:t xml:space="preserve">– 10:30 a.m. CST. To listen to the call via the web, please visit </w:t>
      </w:r>
      <w:r>
        <w:rPr>
          <w:rFonts w:ascii="Arial" w:cs="Arial" w:eastAsia="Arial" w:hAnsi="Arial"/>
          <w:sz w:val="18"/>
          <w:szCs w:val="18"/>
          <w:u w:val="single" w:color="auto"/>
          <w:color w:val="auto"/>
        </w:rPr>
        <w:t>www.streetevents.com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www.oildri.com</w:t>
      </w:r>
      <w:r>
        <w:rPr>
          <w:rFonts w:ascii="Arial" w:cs="Arial" w:eastAsia="Arial" w:hAnsi="Arial"/>
          <w:sz w:val="18"/>
          <w:szCs w:val="18"/>
          <w:color w:val="auto"/>
        </w:rPr>
        <w:t>. An archived recording of the call and written transcripts of all teleconferences are posted on the Oil-Dri website.</w:t>
      </w:r>
    </w:p>
    <w:p>
      <w:pPr>
        <w:spacing w:after="0" w:line="200" w:lineRule="exact"/>
        <w:rPr>
          <w:sz w:val="20"/>
          <w:szCs w:val="20"/>
          <w:color w:val="auto"/>
        </w:rPr>
      </w:pPr>
    </w:p>
    <w:p>
      <w:pPr>
        <w:spacing w:after="0" w:line="254" w:lineRule="exact"/>
        <w:rPr>
          <w:sz w:val="20"/>
          <w:szCs w:val="20"/>
          <w:color w:val="auto"/>
        </w:rPr>
      </w:pPr>
    </w:p>
    <w:p>
      <w:pPr>
        <w:ind w:left="420"/>
        <w:spacing w:after="0" w:line="308" w:lineRule="auto"/>
        <w:rPr>
          <w:sz w:val="20"/>
          <w:szCs w:val="20"/>
          <w:color w:val="auto"/>
        </w:rPr>
      </w:pPr>
      <w:r>
        <w:rPr>
          <w:rFonts w:ascii="Arial" w:cs="Arial" w:eastAsia="Arial" w:hAnsi="Arial"/>
          <w:sz w:val="17"/>
          <w:szCs w:val="17"/>
          <w:i w:val="1"/>
          <w:iCs w:val="1"/>
          <w:color w:val="auto"/>
        </w:rPr>
        <w:t>Oil-Dri Corporation of America is a leading supplier of specialty sorbent products for agricultural, horticultural, fluids purification, specialty markets, animal health and nutrition, industrial and automotive, and is the world’s largest manufacturer of cat litter.</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Calibrin-A and Calibrin-Z are trademarks of the Oil-Dri Corporation of America.</w:t>
      </w:r>
    </w:p>
    <w:p>
      <w:pPr>
        <w:spacing w:after="0" w:line="252" w:lineRule="exact"/>
        <w:rPr>
          <w:sz w:val="20"/>
          <w:szCs w:val="20"/>
          <w:color w:val="auto"/>
        </w:rPr>
      </w:pPr>
    </w:p>
    <w:p>
      <w:pPr>
        <w:ind w:left="420" w:right="40"/>
        <w:spacing w:after="0" w:line="254" w:lineRule="auto"/>
        <w:rPr>
          <w:sz w:val="20"/>
          <w:szCs w:val="20"/>
          <w:color w:val="auto"/>
        </w:rPr>
      </w:pPr>
      <w:r>
        <w:rPr>
          <w:rFonts w:ascii="Arial" w:cs="Arial" w:eastAsia="Arial" w:hAnsi="Arial"/>
          <w:sz w:val="18"/>
          <w:szCs w:val="18"/>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spacing w:after="0" w:line="219" w:lineRule="exact"/>
        <w:rPr>
          <w:sz w:val="20"/>
          <w:szCs w:val="20"/>
          <w:color w:val="auto"/>
        </w:rPr>
      </w:pPr>
    </w:p>
    <w:p>
      <w:pPr>
        <w:ind w:left="420" w:right="80"/>
        <w:spacing w:after="0" w:line="269" w:lineRule="auto"/>
        <w:rPr>
          <w:sz w:val="20"/>
          <w:szCs w:val="20"/>
          <w:color w:val="auto"/>
        </w:rPr>
      </w:pPr>
      <w:r>
        <w:rPr>
          <w:rFonts w:ascii="Arial" w:cs="Arial" w:eastAsia="Arial" w:hAnsi="Arial"/>
          <w:sz w:val="17"/>
          <w:szCs w:val="17"/>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397510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51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for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auto"/>
                <w:w w:val="90"/>
              </w:rPr>
              <w:t>Three Months Ended October 31,</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of Sales</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of Sales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Sales</w:t>
            </w:r>
          </w:p>
        </w:tc>
        <w:tc>
          <w:tcPr>
            <w:tcW w:w="20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63,128</w:t>
            </w: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55,285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(50,752)</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80.4%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(42,855)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Gross Profit</w:t>
            </w:r>
          </w:p>
        </w:tc>
        <w:tc>
          <w:tcPr>
            <w:tcW w:w="1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12,376</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12,430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(8,738)</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(8,860)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3,638</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3,570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1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(505)</w:t>
            </w: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3,077</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3,426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Taxes</w:t>
            </w:r>
          </w:p>
        </w:tc>
        <w:tc>
          <w:tcPr>
            <w:tcW w:w="1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(831)</w:t>
            </w: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CCFFCC"/>
          </w:tcPr>
          <w:p>
            <w:pPr>
              <w:spacing w:after="0"/>
              <w:rPr>
                <w:sz w:val="2"/>
                <w:szCs w:val="2"/>
                <w:color w:val="auto"/>
              </w:rPr>
            </w:pPr>
          </w:p>
        </w:tc>
        <w:tc>
          <w:tcPr>
            <w:tcW w:w="18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8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2,246</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2,484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Per Share:</w:t>
            </w:r>
          </w:p>
        </w:tc>
        <w:tc>
          <w:tcPr>
            <w:tcW w:w="1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20"/>
              <w:spacing w:after="0"/>
              <w:rPr>
                <w:sz w:val="20"/>
                <w:szCs w:val="20"/>
                <w:color w:val="auto"/>
              </w:rPr>
            </w:pPr>
            <w:r>
              <w:rPr>
                <w:rFonts w:ascii="Arial" w:cs="Arial" w:eastAsia="Arial" w:hAnsi="Arial"/>
                <w:sz w:val="18"/>
                <w:szCs w:val="18"/>
                <w:b w:val="1"/>
                <w:bCs w:val="1"/>
                <w:color w:val="auto"/>
              </w:rPr>
              <w:t>Basic Common</w:t>
            </w:r>
          </w:p>
        </w:tc>
        <w:tc>
          <w:tcPr>
            <w:tcW w:w="20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Basic Class B Common</w:t>
            </w:r>
          </w:p>
        </w:tc>
        <w:tc>
          <w:tcPr>
            <w:tcW w:w="20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0.27</w:t>
            </w:r>
          </w:p>
        </w:tc>
        <w:tc>
          <w:tcPr>
            <w:tcW w:w="1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0.31</w:t>
            </w: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20"/>
              <w:spacing w:after="0"/>
              <w:rPr>
                <w:sz w:val="20"/>
                <w:szCs w:val="20"/>
                <w:color w:val="auto"/>
              </w:rPr>
            </w:pPr>
            <w:r>
              <w:rPr>
                <w:rFonts w:ascii="Arial" w:cs="Arial" w:eastAsia="Arial" w:hAnsi="Arial"/>
                <w:sz w:val="18"/>
                <w:szCs w:val="18"/>
                <w:b w:val="1"/>
                <w:bCs w:val="1"/>
                <w:color w:val="auto"/>
              </w:rPr>
              <w:t>Diluted</w:t>
            </w:r>
          </w:p>
        </w:tc>
        <w:tc>
          <w:tcPr>
            <w:tcW w:w="20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0.35</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Basic Common</w:t>
            </w:r>
          </w:p>
        </w:tc>
        <w:tc>
          <w:tcPr>
            <w:tcW w:w="1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5,128</w:t>
            </w:r>
          </w:p>
        </w:tc>
        <w:tc>
          <w:tcPr>
            <w:tcW w:w="1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5,004</w:t>
            </w: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20"/>
              <w:spacing w:after="0"/>
              <w:rPr>
                <w:sz w:val="20"/>
                <w:szCs w:val="20"/>
                <w:color w:val="auto"/>
              </w:rPr>
            </w:pPr>
            <w:r>
              <w:rPr>
                <w:rFonts w:ascii="Arial" w:cs="Arial" w:eastAsia="Arial" w:hAnsi="Arial"/>
                <w:sz w:val="18"/>
                <w:szCs w:val="18"/>
                <w:b w:val="1"/>
                <w:bCs w:val="1"/>
                <w:color w:val="auto"/>
              </w:rPr>
              <w:t>Basic Class B Common</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1,862</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1,840</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Diluted</w:t>
            </w:r>
          </w:p>
        </w:tc>
        <w:tc>
          <w:tcPr>
            <w:tcW w:w="1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7,245</w:t>
            </w:r>
          </w:p>
        </w:tc>
        <w:tc>
          <w:tcPr>
            <w:tcW w:w="1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7,145</w:t>
            </w: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for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ind w:left="340"/>
              <w:spacing w:after="0"/>
              <w:rPr>
                <w:sz w:val="20"/>
                <w:szCs w:val="20"/>
                <w:color w:val="auto"/>
              </w:rPr>
            </w:pPr>
            <w:r>
              <w:rPr>
                <w:rFonts w:ascii="Arial" w:cs="Arial" w:eastAsia="Arial" w:hAnsi="Arial"/>
                <w:sz w:val="18"/>
                <w:szCs w:val="18"/>
                <w:b w:val="1"/>
                <w:bCs w:val="1"/>
                <w:color w:val="auto"/>
              </w:rPr>
              <w:t>As of October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2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20"/>
              <w:spacing w:after="0"/>
              <w:rPr>
                <w:sz w:val="20"/>
                <w:szCs w:val="20"/>
                <w:color w:val="auto"/>
              </w:rPr>
            </w:pPr>
            <w:r>
              <w:rPr>
                <w:rFonts w:ascii="Arial" w:cs="Arial" w:eastAsia="Arial" w:hAnsi="Arial"/>
                <w:sz w:val="18"/>
                <w:szCs w:val="18"/>
                <w:b w:val="1"/>
                <w:bCs w:val="1"/>
                <w:color w:val="auto"/>
              </w:rPr>
              <w:t>Cash and Cash Equivalents</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Investment in Treasury Securities</w:t>
            </w:r>
          </w:p>
        </w:tc>
        <w:tc>
          <w:tcPr>
            <w:tcW w:w="2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15,463</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20"/>
              <w:spacing w:after="0"/>
              <w:rPr>
                <w:sz w:val="20"/>
                <w:szCs w:val="20"/>
                <w:color w:val="auto"/>
              </w:rPr>
            </w:pPr>
            <w:r>
              <w:rPr>
                <w:rFonts w:ascii="Arial" w:cs="Arial" w:eastAsia="Arial" w:hAnsi="Arial"/>
                <w:sz w:val="18"/>
                <w:szCs w:val="18"/>
                <w:b w:val="1"/>
                <w:bCs w:val="1"/>
                <w:color w:val="auto"/>
              </w:rPr>
              <w:t>Accounts Receivable, net</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32,763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Inventories</w:t>
            </w:r>
          </w:p>
        </w:tc>
        <w:tc>
          <w:tcPr>
            <w:tcW w:w="2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19,833</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20"/>
              <w:spacing w:after="0"/>
              <w:rPr>
                <w:sz w:val="20"/>
                <w:szCs w:val="20"/>
                <w:color w:val="auto"/>
              </w:rPr>
            </w:pPr>
            <w:r>
              <w:rPr>
                <w:rFonts w:ascii="Arial" w:cs="Arial" w:eastAsia="Arial" w:hAnsi="Arial"/>
                <w:sz w:val="18"/>
                <w:szCs w:val="18"/>
                <w:b w:val="1"/>
                <w:bCs w:val="1"/>
                <w:color w:val="auto"/>
              </w:rPr>
              <w:t>Prepaid Expenses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2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75,636</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78,592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shd w:val="clear" w:color="auto" w:fill="CCFFCC"/>
          </w:tcPr>
          <w:p>
            <w:pPr>
              <w:spacing w:after="0"/>
              <w:rPr>
                <w:sz w:val="2"/>
                <w:szCs w:val="2"/>
                <w:color w:val="auto"/>
              </w:rPr>
            </w:pPr>
          </w:p>
        </w:tc>
        <w:tc>
          <w:tcPr>
            <w:tcW w:w="20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52,777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2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14,729</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shd w:val="clear" w:color="auto" w:fill="CCFFCC"/>
          </w:tcPr>
          <w:p>
            <w:pPr>
              <w:spacing w:after="0"/>
              <w:rPr>
                <w:sz w:val="2"/>
                <w:szCs w:val="2"/>
                <w:color w:val="auto"/>
              </w:rPr>
            </w:pPr>
          </w:p>
        </w:tc>
        <w:tc>
          <w:tcPr>
            <w:tcW w:w="20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143,142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143,056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Current Maturities of Notes Payable</w:t>
            </w:r>
          </w:p>
        </w:tc>
        <w:tc>
          <w:tcPr>
            <w:tcW w:w="2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1,700</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20"/>
              <w:spacing w:after="0"/>
              <w:rPr>
                <w:sz w:val="20"/>
                <w:szCs w:val="20"/>
                <w:color w:val="auto"/>
              </w:rPr>
            </w:pPr>
            <w:r>
              <w:rPr>
                <w:rFonts w:ascii="Arial" w:cs="Arial" w:eastAsia="Arial" w:hAnsi="Arial"/>
                <w:sz w:val="18"/>
                <w:szCs w:val="18"/>
                <w:b w:val="1"/>
                <w:bCs w:val="1"/>
                <w:color w:val="auto"/>
              </w:rPr>
              <w:t>Accounts Payable</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Dividends Payable</w:t>
            </w:r>
          </w:p>
        </w:tc>
        <w:tc>
          <w:tcPr>
            <w:tcW w:w="2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20"/>
              <w:spacing w:after="0"/>
              <w:rPr>
                <w:sz w:val="20"/>
                <w:szCs w:val="20"/>
                <w:color w:val="auto"/>
              </w:rPr>
            </w:pPr>
            <w:r>
              <w:rPr>
                <w:rFonts w:ascii="Arial" w:cs="Arial" w:eastAsia="Arial" w:hAnsi="Arial"/>
                <w:sz w:val="18"/>
                <w:szCs w:val="18"/>
                <w:b w:val="1"/>
                <w:bCs w:val="1"/>
                <w:color w:val="auto"/>
              </w:rPr>
              <w:t>Accrued Expenses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20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23,819</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Long-Term Liabilities</w:t>
            </w:r>
          </w:p>
        </w:tc>
        <w:tc>
          <w:tcPr>
            <w:tcW w:w="204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Notes Payable</w:t>
            </w:r>
          </w:p>
        </w:tc>
        <w:tc>
          <w:tcPr>
            <w:tcW w:w="2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21,300</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20"/>
              <w:spacing w:after="0"/>
              <w:rPr>
                <w:sz w:val="20"/>
                <w:szCs w:val="20"/>
                <w:color w:val="auto"/>
              </w:rPr>
            </w:pPr>
            <w:r>
              <w:rPr>
                <w:rFonts w:ascii="Arial" w:cs="Arial" w:eastAsia="Arial" w:hAnsi="Arial"/>
                <w:sz w:val="18"/>
                <w:szCs w:val="18"/>
                <w:b w:val="1"/>
                <w:bCs w:val="1"/>
                <w:color w:val="auto"/>
              </w:rPr>
              <w:t>Other Noncurrent Liabilities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FFCC"/>
          </w:tcPr>
          <w:p>
            <w:pPr>
              <w:ind w:left="480"/>
              <w:spacing w:after="0"/>
              <w:rPr>
                <w:sz w:val="20"/>
                <w:szCs w:val="20"/>
                <w:color w:val="auto"/>
              </w:rPr>
            </w:pPr>
            <w:r>
              <w:rPr>
                <w:rFonts w:ascii="Arial" w:cs="Arial" w:eastAsia="Arial" w:hAnsi="Arial"/>
                <w:sz w:val="18"/>
                <w:szCs w:val="18"/>
                <w:b w:val="1"/>
                <w:bCs w:val="1"/>
                <w:color w:val="auto"/>
              </w:rPr>
              <w:t>Total Long-Term Liabilities</w:t>
            </w:r>
          </w:p>
        </w:tc>
        <w:tc>
          <w:tcPr>
            <w:tcW w:w="2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31,423</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shd w:val="clear" w:color="auto" w:fill="CCFFCC"/>
          </w:tcPr>
          <w:p>
            <w:pPr>
              <w:spacing w:after="0"/>
              <w:rPr>
                <w:sz w:val="2"/>
                <w:szCs w:val="2"/>
                <w:color w:val="auto"/>
              </w:rPr>
            </w:pPr>
          </w:p>
        </w:tc>
        <w:tc>
          <w:tcPr>
            <w:tcW w:w="20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87,900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83,358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143,142</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143,056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Borders>
              <w:top w:val="single" w:sz="8" w:color="CCFFCC"/>
            </w:tcBorders>
          </w:tcPr>
          <w:p>
            <w:pPr>
              <w:spacing w:after="0"/>
              <w:rPr>
                <w:sz w:val="18"/>
                <w:szCs w:val="18"/>
                <w:color w:val="auto"/>
              </w:rPr>
            </w:pPr>
          </w:p>
        </w:tc>
        <w:tc>
          <w:tcPr>
            <w:tcW w:w="204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2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12.58</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Acquisitions of Property, Plant and Equipment First Quarter</w:t>
            </w:r>
          </w:p>
        </w:tc>
        <w:tc>
          <w:tcPr>
            <w:tcW w:w="2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3,552</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Depreciation and Amortization Charges First Quarter</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640"/>
        </w:trPr>
        <w:tc>
          <w:tcPr>
            <w:tcW w:w="2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5715</wp:posOffset>
            </wp:positionV>
            <wp:extent cx="15862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2,246</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(Increase) Decrease in Accounts Receivable</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(1,417)</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(Increase) in Inventories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(Decrease) Increase in Accounts Payable</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(Decrease) in Accrued Expenses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Other</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(815)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Total Adjustments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(4,828)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(2,582)</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Capital Expenditures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Net Dispositions (Purchases) of Investment Securities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5,528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4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1,984</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Principal payments on Long-Term Debt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Dividends Paid</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(919)</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Purchase of Treasury Stock</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Other</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(5,767)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6,848</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12,133</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and Cash Equivalents, October 31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1,308</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88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-121920</wp:posOffset>
            </wp:positionV>
            <wp:extent cx="848995" cy="668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48995" cy="6689090"/>
                    </a:xfrm>
                    <a:prstGeom prst="rect">
                      <a:avLst/>
                    </a:prstGeom>
                    <a:noFill/>
                  </pic:spPr>
                </pic:pic>
              </a:graphicData>
            </a:graphic>
          </wp:anchor>
        </w:drawing>
      </w:r>
    </w:p>
    <w:p>
      <w:pPr>
        <w:spacing w:after="0" w:line="238" w:lineRule="exact"/>
        <w:rPr>
          <w:sz w:val="20"/>
          <w:szCs w:val="20"/>
          <w:color w:val="auto"/>
        </w:rPr>
      </w:pPr>
    </w:p>
    <w:p>
      <w:pPr>
        <w:ind w:left="9240"/>
        <w:spacing w:after="0"/>
        <w:rPr>
          <w:sz w:val="20"/>
          <w:szCs w:val="20"/>
          <w:color w:val="auto"/>
        </w:rPr>
      </w:pPr>
      <w:r>
        <w:rPr>
          <w:rFonts w:ascii="Arial" w:cs="Arial" w:eastAsia="Arial" w:hAnsi="Arial"/>
          <w:sz w:val="15"/>
          <w:szCs w:val="15"/>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101600</wp:posOffset>
            </wp:positionV>
            <wp:extent cx="56597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243" w:lineRule="exact"/>
        <w:rPr>
          <w:sz w:val="20"/>
          <w:szCs w:val="20"/>
          <w:color w:val="auto"/>
        </w:rPr>
      </w:pPr>
    </w:p>
    <w:p>
      <w:pPr>
        <w:ind w:left="1340"/>
        <w:spacing w:after="0"/>
        <w:tabs>
          <w:tab w:leader="none" w:pos="6720" w:val="left"/>
          <w:tab w:leader="none" w:pos="7580" w:val="left"/>
        </w:tabs>
        <w:rPr>
          <w:sz w:val="20"/>
          <w:szCs w:val="20"/>
          <w:color w:val="auto"/>
        </w:rPr>
      </w:pPr>
      <w:r>
        <w:rPr>
          <w:rFonts w:ascii="Arial" w:cs="Arial" w:eastAsia="Arial" w:hAnsi="Arial"/>
          <w:sz w:val="18"/>
          <w:szCs w:val="18"/>
          <w:b w:val="1"/>
          <w:bCs w:val="1"/>
          <w:color w:val="auto"/>
        </w:rPr>
        <w:t xml:space="preserve">Release: </w:t>
      </w:r>
      <w:r>
        <w:rPr>
          <w:rFonts w:ascii="Arial" w:cs="Arial" w:eastAsia="Arial" w:hAnsi="Arial"/>
          <w:sz w:val="18"/>
          <w:szCs w:val="18"/>
          <w:color w:val="auto"/>
        </w:rPr>
        <w:t>Immediate</w:t>
      </w:r>
      <w:r>
        <w:rPr>
          <w:sz w:val="20"/>
          <w:szCs w:val="20"/>
          <w:color w:val="auto"/>
        </w:rPr>
        <w:tab/>
      </w: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6"/>
          <w:szCs w:val="16"/>
          <w:color w:val="auto"/>
        </w:rPr>
        <w:t>Ronda J. Williams 312-706-3232</w:t>
      </w:r>
    </w:p>
    <w:p>
      <w:pPr>
        <w:spacing w:after="0" w:line="25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Oil-Dri Board of Directors Declares Dividends</w:t>
      </w:r>
    </w:p>
    <w:p>
      <w:pPr>
        <w:spacing w:after="0" w:line="256" w:lineRule="exact"/>
        <w:rPr>
          <w:sz w:val="20"/>
          <w:szCs w:val="20"/>
          <w:color w:val="auto"/>
        </w:rPr>
      </w:pPr>
    </w:p>
    <w:p>
      <w:pPr>
        <w:jc w:val="both"/>
        <w:ind w:left="1340" w:right="600"/>
        <w:spacing w:after="0" w:line="264" w:lineRule="auto"/>
        <w:rPr>
          <w:sz w:val="20"/>
          <w:szCs w:val="20"/>
          <w:color w:val="auto"/>
        </w:rPr>
      </w:pPr>
      <w:r>
        <w:rPr>
          <w:rFonts w:ascii="Arial" w:cs="Arial" w:eastAsia="Arial" w:hAnsi="Arial"/>
          <w:sz w:val="18"/>
          <w:szCs w:val="18"/>
          <w:color w:val="auto"/>
        </w:rPr>
        <w:t>CHICAGO – December 9, 2008 – The Board of Directors of Oil-Dri Corporation of America (NYSE: ODC) today declared quarterly cash dividends of $0.14 per share of the Company’s Common Stock and $0.105 per share of the Company’s Class B Stock.</w:t>
      </w:r>
    </w:p>
    <w:p>
      <w:pPr>
        <w:spacing w:after="0" w:line="208" w:lineRule="exact"/>
        <w:rPr>
          <w:sz w:val="20"/>
          <w:szCs w:val="20"/>
          <w:color w:val="auto"/>
        </w:rPr>
      </w:pPr>
    </w:p>
    <w:p>
      <w:pPr>
        <w:jc w:val="both"/>
        <w:ind w:left="1340" w:right="620"/>
        <w:spacing w:after="0" w:line="277" w:lineRule="auto"/>
        <w:rPr>
          <w:sz w:val="20"/>
          <w:szCs w:val="20"/>
          <w:color w:val="auto"/>
        </w:rPr>
      </w:pPr>
      <w:r>
        <w:rPr>
          <w:rFonts w:ascii="Arial" w:cs="Arial" w:eastAsia="Arial" w:hAnsi="Arial"/>
          <w:sz w:val="18"/>
          <w:szCs w:val="18"/>
          <w:color w:val="auto"/>
        </w:rPr>
        <w:t>The dividends will be payable on March 6, 2009, to stockholders of record at the close of business on February 20, 2009. The Company has paid cash dividends continuously since 1974.</w:t>
      </w:r>
    </w:p>
    <w:p>
      <w:pPr>
        <w:spacing w:after="0" w:line="197" w:lineRule="exact"/>
        <w:rPr>
          <w:sz w:val="20"/>
          <w:szCs w:val="20"/>
          <w:color w:val="auto"/>
        </w:rPr>
      </w:pPr>
    </w:p>
    <w:p>
      <w:pPr>
        <w:jc w:val="center"/>
        <w:ind w:left="2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220980</wp:posOffset>
            </wp:positionV>
            <wp:extent cx="5659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40" w:right="20"/>
        <w:spacing w:after="0" w:line="277" w:lineRule="auto"/>
        <w:rPr>
          <w:sz w:val="20"/>
          <w:szCs w:val="20"/>
          <w:color w:val="auto"/>
        </w:rPr>
      </w:pPr>
      <w:r>
        <w:rPr>
          <w:rFonts w:ascii="Arial" w:cs="Arial" w:eastAsia="Arial" w:hAnsi="Arial"/>
          <w:sz w:val="18"/>
          <w:szCs w:val="18"/>
          <w:i w:val="1"/>
          <w:iCs w:val="1"/>
          <w:color w:val="auto"/>
        </w:rPr>
        <w:t>Oil-Dri Corporation of America is a leading supplier of specialty sorbent products for industrial, automotive, agricultural, horticultural and specialty markets and the world’s largest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4368800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220"/>
      </w:cols>
      <w:pgMar w:left="14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endash "/>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2020-01-31T16:37:34Z</dcterms:created>
  <dcterms:modified xsi:type="dcterms:W3CDTF">2020-01-31T16:37:34Z</dcterms:modified>
</cp:coreProperties>
</file>