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30"/>
        </w:trPr>
        <w:tc>
          <w:tcPr>
            <w:tcW w:w="2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760" w:type="dxa"/>
            <w:vAlign w:val="bottom"/>
            <w:gridSpan w:val="2"/>
          </w:tcPr>
          <w:p>
            <w:pPr>
              <w:jc w:val="center"/>
              <w:ind w:right="660"/>
              <w:spacing w:after="0"/>
              <w:rPr>
                <w:sz w:val="20"/>
                <w:szCs w:val="20"/>
                <w:color w:val="auto"/>
              </w:rPr>
            </w:pPr>
            <w:r>
              <w:rPr>
                <w:rFonts w:ascii="Arial" w:cs="Arial" w:eastAsia="Arial" w:hAnsi="Arial"/>
                <w:sz w:val="18"/>
                <w:szCs w:val="18"/>
                <w:color w:val="auto"/>
                <w:w w:val="94"/>
              </w:rPr>
              <w:t>UNITED STATES</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486"/>
        </w:trPr>
        <w:tc>
          <w:tcPr>
            <w:tcW w:w="2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500" w:type="dxa"/>
            <w:vAlign w:val="bottom"/>
            <w:gridSpan w:val="3"/>
          </w:tcPr>
          <w:p>
            <w:pPr>
              <w:jc w:val="center"/>
              <w:ind w:left="10"/>
              <w:spacing w:after="0"/>
              <w:rPr>
                <w:sz w:val="20"/>
                <w:szCs w:val="20"/>
                <w:color w:val="auto"/>
              </w:rPr>
            </w:pPr>
            <w:r>
              <w:rPr>
                <w:rFonts w:ascii="Arial" w:cs="Arial" w:eastAsia="Arial" w:hAnsi="Arial"/>
                <w:sz w:val="18"/>
                <w:szCs w:val="18"/>
                <w:color w:val="auto"/>
                <w:w w:val="96"/>
              </w:rPr>
              <w:t>SECURITIES AND EXCHANGE COMMISSION</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86"/>
        </w:trPr>
        <w:tc>
          <w:tcPr>
            <w:tcW w:w="2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760" w:type="dxa"/>
            <w:vAlign w:val="bottom"/>
            <w:gridSpan w:val="2"/>
          </w:tcPr>
          <w:p>
            <w:pPr>
              <w:jc w:val="center"/>
              <w:ind w:right="660"/>
              <w:spacing w:after="0"/>
              <w:rPr>
                <w:sz w:val="20"/>
                <w:szCs w:val="20"/>
                <w:color w:val="auto"/>
              </w:rPr>
            </w:pPr>
            <w:r>
              <w:rPr>
                <w:rFonts w:ascii="Arial" w:cs="Arial" w:eastAsia="Arial" w:hAnsi="Arial"/>
                <w:sz w:val="18"/>
                <w:szCs w:val="18"/>
                <w:color w:val="auto"/>
                <w:w w:val="90"/>
              </w:rPr>
              <w:t>Washington, D. C. 20549</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86"/>
        </w:trPr>
        <w:tc>
          <w:tcPr>
            <w:tcW w:w="2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760" w:type="dxa"/>
            <w:vAlign w:val="bottom"/>
            <w:gridSpan w:val="2"/>
          </w:tcPr>
          <w:p>
            <w:pPr>
              <w:jc w:val="center"/>
              <w:ind w:right="640"/>
              <w:spacing w:after="0"/>
              <w:rPr>
                <w:sz w:val="20"/>
                <w:szCs w:val="20"/>
                <w:color w:val="auto"/>
              </w:rPr>
            </w:pPr>
            <w:r>
              <w:rPr>
                <w:rFonts w:ascii="Arial" w:cs="Arial" w:eastAsia="Arial" w:hAnsi="Arial"/>
                <w:sz w:val="18"/>
                <w:szCs w:val="18"/>
                <w:color w:val="auto"/>
                <w:w w:val="93"/>
              </w:rPr>
              <w:t>FORM 10-Q</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86"/>
        </w:trPr>
        <w:tc>
          <w:tcPr>
            <w:tcW w:w="3420" w:type="dxa"/>
            <w:vAlign w:val="bottom"/>
            <w:gridSpan w:val="4"/>
          </w:tcPr>
          <w:p>
            <w:pPr>
              <w:spacing w:after="0"/>
              <w:rPr>
                <w:sz w:val="20"/>
                <w:szCs w:val="20"/>
                <w:color w:val="auto"/>
              </w:rPr>
            </w:pPr>
            <w:r>
              <w:rPr>
                <w:rFonts w:ascii="Arial" w:cs="Arial" w:eastAsia="Arial" w:hAnsi="Arial"/>
                <w:sz w:val="18"/>
                <w:szCs w:val="18"/>
                <w:color w:val="auto"/>
              </w:rPr>
              <w:t>(Mark One)</w:t>
            </w:r>
          </w:p>
        </w:tc>
        <w:tc>
          <w:tcPr>
            <w:tcW w:w="7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72"/>
        </w:trPr>
        <w:tc>
          <w:tcPr>
            <w:tcW w:w="3420" w:type="dxa"/>
            <w:vAlign w:val="bottom"/>
            <w:gridSpan w:val="4"/>
          </w:tcPr>
          <w:p>
            <w:pPr>
              <w:spacing w:after="0"/>
              <w:rPr>
                <w:sz w:val="20"/>
                <w:szCs w:val="20"/>
                <w:color w:val="auto"/>
              </w:rPr>
            </w:pPr>
            <w:r>
              <w:rPr>
                <w:rFonts w:ascii="Arial" w:cs="Arial" w:eastAsia="Arial" w:hAnsi="Arial"/>
                <w:sz w:val="18"/>
                <w:szCs w:val="18"/>
                <w:color w:val="auto"/>
              </w:rPr>
              <w:t>x</w:t>
            </w:r>
          </w:p>
        </w:tc>
        <w:tc>
          <w:tcPr>
            <w:tcW w:w="5880" w:type="dxa"/>
            <w:vAlign w:val="bottom"/>
            <w:gridSpan w:val="7"/>
          </w:tcPr>
          <w:p>
            <w:pPr>
              <w:jc w:val="center"/>
              <w:ind w:right="480"/>
              <w:spacing w:after="0"/>
              <w:rPr>
                <w:sz w:val="20"/>
                <w:szCs w:val="20"/>
                <w:color w:val="auto"/>
              </w:rPr>
            </w:pPr>
            <w:r>
              <w:rPr>
                <w:rFonts w:ascii="Arial" w:cs="Arial" w:eastAsia="Arial" w:hAnsi="Arial"/>
                <w:sz w:val="18"/>
                <w:szCs w:val="18"/>
                <w:color w:val="auto"/>
                <w:w w:val="91"/>
              </w:rPr>
              <w:t>Quarterly Report Pursuant to Section 13 or 15(d) of the</w:t>
            </w:r>
          </w:p>
        </w:tc>
      </w:tr>
      <w:tr>
        <w:trPr>
          <w:trHeight w:val="216"/>
        </w:trPr>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760" w:type="dxa"/>
            <w:vAlign w:val="bottom"/>
            <w:gridSpan w:val="2"/>
          </w:tcPr>
          <w:p>
            <w:pPr>
              <w:jc w:val="center"/>
              <w:ind w:left="70"/>
              <w:spacing w:after="0"/>
              <w:rPr>
                <w:sz w:val="20"/>
                <w:szCs w:val="20"/>
                <w:color w:val="auto"/>
              </w:rPr>
            </w:pPr>
            <w:r>
              <w:rPr>
                <w:rFonts w:ascii="Arial" w:cs="Arial" w:eastAsia="Arial" w:hAnsi="Arial"/>
                <w:sz w:val="18"/>
                <w:szCs w:val="18"/>
                <w:color w:val="auto"/>
                <w:w w:val="90"/>
              </w:rPr>
              <w:t>Securities Exchange Act of 1934</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30"/>
        </w:trPr>
        <w:tc>
          <w:tcPr>
            <w:tcW w:w="2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760" w:type="dxa"/>
            <w:vAlign w:val="bottom"/>
            <w:gridSpan w:val="2"/>
          </w:tcPr>
          <w:p>
            <w:pPr>
              <w:jc w:val="center"/>
              <w:ind w:left="70"/>
              <w:spacing w:after="0"/>
              <w:rPr>
                <w:sz w:val="20"/>
                <w:szCs w:val="20"/>
                <w:color w:val="auto"/>
              </w:rPr>
            </w:pPr>
            <w:r>
              <w:rPr>
                <w:rFonts w:ascii="Arial" w:cs="Arial" w:eastAsia="Arial" w:hAnsi="Arial"/>
                <w:sz w:val="18"/>
                <w:szCs w:val="18"/>
                <w:color w:val="auto"/>
                <w:w w:val="90"/>
              </w:rPr>
              <w:t>For the Quarterly Period Ended October 31, 2008</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486"/>
        </w:trPr>
        <w:tc>
          <w:tcPr>
            <w:tcW w:w="2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760" w:type="dxa"/>
            <w:vAlign w:val="bottom"/>
            <w:gridSpan w:val="2"/>
          </w:tcPr>
          <w:p>
            <w:pPr>
              <w:jc w:val="center"/>
              <w:ind w:right="660"/>
              <w:spacing w:after="0"/>
              <w:rPr>
                <w:sz w:val="20"/>
                <w:szCs w:val="20"/>
                <w:color w:val="auto"/>
              </w:rPr>
            </w:pPr>
            <w:r>
              <w:rPr>
                <w:rFonts w:ascii="Arial" w:cs="Arial" w:eastAsia="Arial" w:hAnsi="Arial"/>
                <w:sz w:val="18"/>
                <w:szCs w:val="18"/>
                <w:color w:val="auto"/>
                <w:w w:val="96"/>
              </w:rPr>
              <w:t>OR</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72"/>
        </w:trPr>
        <w:tc>
          <w:tcPr>
            <w:tcW w:w="3420" w:type="dxa"/>
            <w:vAlign w:val="bottom"/>
            <w:gridSpan w:val="4"/>
          </w:tcPr>
          <w:p>
            <w:pPr>
              <w:spacing w:after="0" w:line="181" w:lineRule="exact"/>
              <w:rPr>
                <w:sz w:val="20"/>
                <w:szCs w:val="20"/>
                <w:color w:val="auto"/>
              </w:rPr>
            </w:pPr>
            <w:r>
              <w:rPr>
                <w:rFonts w:ascii="MS PGothic" w:cs="MS PGothic" w:eastAsia="MS PGothic" w:hAnsi="MS PGothic"/>
                <w:sz w:val="18"/>
                <w:szCs w:val="18"/>
                <w:color w:val="auto"/>
              </w:rPr>
              <w:t>☐</w:t>
            </w:r>
          </w:p>
        </w:tc>
        <w:tc>
          <w:tcPr>
            <w:tcW w:w="5880" w:type="dxa"/>
            <w:vAlign w:val="bottom"/>
            <w:gridSpan w:val="7"/>
          </w:tcPr>
          <w:p>
            <w:pPr>
              <w:jc w:val="center"/>
              <w:ind w:right="480"/>
              <w:spacing w:after="0"/>
              <w:rPr>
                <w:sz w:val="20"/>
                <w:szCs w:val="20"/>
                <w:color w:val="auto"/>
              </w:rPr>
            </w:pPr>
            <w:r>
              <w:rPr>
                <w:rFonts w:ascii="Arial" w:cs="Arial" w:eastAsia="Arial" w:hAnsi="Arial"/>
                <w:sz w:val="18"/>
                <w:szCs w:val="18"/>
                <w:color w:val="auto"/>
                <w:w w:val="91"/>
              </w:rPr>
              <w:t>Transition Report Pursuant to Section 13 or 15(d) of the</w:t>
            </w:r>
          </w:p>
        </w:tc>
      </w:tr>
      <w:tr>
        <w:trPr>
          <w:trHeight w:val="216"/>
        </w:trPr>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760" w:type="dxa"/>
            <w:vAlign w:val="bottom"/>
            <w:gridSpan w:val="2"/>
          </w:tcPr>
          <w:p>
            <w:pPr>
              <w:jc w:val="center"/>
              <w:ind w:left="70"/>
              <w:spacing w:after="0"/>
              <w:rPr>
                <w:sz w:val="20"/>
                <w:szCs w:val="20"/>
                <w:color w:val="auto"/>
              </w:rPr>
            </w:pPr>
            <w:r>
              <w:rPr>
                <w:rFonts w:ascii="Arial" w:cs="Arial" w:eastAsia="Arial" w:hAnsi="Arial"/>
                <w:sz w:val="18"/>
                <w:szCs w:val="18"/>
                <w:color w:val="auto"/>
                <w:w w:val="90"/>
              </w:rPr>
              <w:t>Securities Exchange Act of 1934</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30"/>
        </w:trPr>
        <w:tc>
          <w:tcPr>
            <w:tcW w:w="2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80" w:type="dxa"/>
            <w:vAlign w:val="bottom"/>
            <w:gridSpan w:val="7"/>
          </w:tcPr>
          <w:p>
            <w:pPr>
              <w:jc w:val="center"/>
              <w:ind w:right="480"/>
              <w:spacing w:after="0"/>
              <w:rPr>
                <w:sz w:val="20"/>
                <w:szCs w:val="20"/>
                <w:color w:val="auto"/>
              </w:rPr>
            </w:pPr>
            <w:r>
              <w:rPr>
                <w:rFonts w:ascii="Arial" w:cs="Arial" w:eastAsia="Arial" w:hAnsi="Arial"/>
                <w:sz w:val="18"/>
                <w:szCs w:val="18"/>
                <w:color w:val="auto"/>
                <w:w w:val="91"/>
              </w:rPr>
              <w:t>For the transition period from _____________ to ______________</w:t>
            </w:r>
          </w:p>
        </w:tc>
      </w:tr>
      <w:tr>
        <w:trPr>
          <w:trHeight w:val="486"/>
        </w:trPr>
        <w:tc>
          <w:tcPr>
            <w:tcW w:w="2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760" w:type="dxa"/>
            <w:vAlign w:val="bottom"/>
            <w:gridSpan w:val="2"/>
          </w:tcPr>
          <w:p>
            <w:pPr>
              <w:jc w:val="center"/>
              <w:ind w:right="660"/>
              <w:spacing w:after="0"/>
              <w:rPr>
                <w:sz w:val="20"/>
                <w:szCs w:val="20"/>
                <w:color w:val="auto"/>
              </w:rPr>
            </w:pPr>
            <w:r>
              <w:rPr>
                <w:rFonts w:ascii="Arial" w:cs="Arial" w:eastAsia="Arial" w:hAnsi="Arial"/>
                <w:sz w:val="18"/>
                <w:szCs w:val="18"/>
                <w:color w:val="auto"/>
                <w:w w:val="91"/>
              </w:rPr>
              <w:t>Commission File Number 0-8675</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46"/>
        </w:trPr>
        <w:tc>
          <w:tcPr>
            <w:tcW w:w="2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OIL-DRI CORPORATION OF AMERICA</w:t>
            </w: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37"/>
        </w:trPr>
        <w:tc>
          <w:tcPr>
            <w:tcW w:w="2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500" w:type="dxa"/>
            <w:vAlign w:val="bottom"/>
            <w:gridSpan w:val="3"/>
          </w:tcPr>
          <w:p>
            <w:pPr>
              <w:jc w:val="center"/>
              <w:spacing w:after="0"/>
              <w:rPr>
                <w:sz w:val="20"/>
                <w:szCs w:val="20"/>
                <w:color w:val="auto"/>
              </w:rPr>
            </w:pPr>
            <w:r>
              <w:rPr>
                <w:rFonts w:ascii="Arial" w:cs="Arial" w:eastAsia="Arial" w:hAnsi="Arial"/>
                <w:sz w:val="18"/>
                <w:szCs w:val="18"/>
                <w:color w:val="auto"/>
                <w:w w:val="90"/>
              </w:rPr>
              <w:t>(Exact name of the registrant as specified in its charter)</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446"/>
        </w:trPr>
        <w:tc>
          <w:tcPr>
            <w:tcW w:w="2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Delaware</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1"/>
              </w:rPr>
              <w:t>36-2048898</w:t>
            </w:r>
          </w:p>
        </w:tc>
        <w:tc>
          <w:tcPr>
            <w:tcW w:w="240" w:type="dxa"/>
            <w:vAlign w:val="bottom"/>
          </w:tcPr>
          <w:p>
            <w:pPr>
              <w:spacing w:after="0"/>
              <w:rPr>
                <w:sz w:val="24"/>
                <w:szCs w:val="24"/>
                <w:color w:val="auto"/>
              </w:rPr>
            </w:pPr>
          </w:p>
        </w:tc>
      </w:tr>
      <w:tr>
        <w:trPr>
          <w:trHeight w:val="222"/>
        </w:trPr>
        <w:tc>
          <w:tcPr>
            <w:tcW w:w="7920" w:type="dxa"/>
            <w:vAlign w:val="bottom"/>
            <w:gridSpan w:val="7"/>
          </w:tcPr>
          <w:p>
            <w:pPr>
              <w:jc w:val="center"/>
              <w:ind w:right="2300"/>
              <w:spacing w:after="0"/>
              <w:rPr>
                <w:sz w:val="20"/>
                <w:szCs w:val="20"/>
                <w:color w:val="auto"/>
              </w:rPr>
            </w:pPr>
            <w:r>
              <w:rPr>
                <w:rFonts w:ascii="Arial" w:cs="Arial" w:eastAsia="Arial" w:hAnsi="Arial"/>
                <w:sz w:val="18"/>
                <w:szCs w:val="18"/>
                <w:color w:val="auto"/>
                <w:w w:val="92"/>
              </w:rPr>
              <w:t>(State or other jurisdiction of incorporation or</w:t>
            </w:r>
          </w:p>
        </w:tc>
        <w:tc>
          <w:tcPr>
            <w:tcW w:w="1380" w:type="dxa"/>
            <w:vAlign w:val="bottom"/>
            <w:gridSpan w:val="4"/>
          </w:tcPr>
          <w:p>
            <w:pPr>
              <w:jc w:val="center"/>
              <w:spacing w:after="0"/>
              <w:rPr>
                <w:sz w:val="20"/>
                <w:szCs w:val="20"/>
                <w:color w:val="auto"/>
              </w:rPr>
            </w:pPr>
            <w:r>
              <w:rPr>
                <w:rFonts w:ascii="Arial" w:cs="Arial" w:eastAsia="Arial" w:hAnsi="Arial"/>
                <w:sz w:val="18"/>
                <w:szCs w:val="18"/>
                <w:color w:val="auto"/>
                <w:w w:val="93"/>
              </w:rPr>
              <w:t>(I.R.S. Employer</w:t>
            </w:r>
          </w:p>
        </w:tc>
      </w:tr>
      <w:tr>
        <w:trPr>
          <w:trHeight w:val="230"/>
        </w:trPr>
        <w:tc>
          <w:tcPr>
            <w:tcW w:w="2220" w:type="dxa"/>
            <w:vAlign w:val="bottom"/>
          </w:tcPr>
          <w:p>
            <w:pPr>
              <w:spacing w:after="0"/>
              <w:rPr>
                <w:sz w:val="20"/>
                <w:szCs w:val="20"/>
                <w:color w:val="auto"/>
              </w:rPr>
            </w:pPr>
          </w:p>
        </w:tc>
        <w:tc>
          <w:tcPr>
            <w:tcW w:w="120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organization)</w:t>
            </w:r>
          </w:p>
        </w:tc>
        <w:tc>
          <w:tcPr>
            <w:tcW w:w="74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80" w:type="dxa"/>
            <w:vAlign w:val="bottom"/>
            <w:gridSpan w:val="4"/>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45"/>
        </w:trPr>
        <w:tc>
          <w:tcPr>
            <w:tcW w:w="7920" w:type="dxa"/>
            <w:vAlign w:val="bottom"/>
            <w:gridSpan w:val="7"/>
          </w:tcPr>
          <w:p>
            <w:pPr>
              <w:jc w:val="center"/>
              <w:ind w:right="2300"/>
              <w:spacing w:after="0"/>
              <w:rPr>
                <w:sz w:val="20"/>
                <w:szCs w:val="20"/>
                <w:color w:val="auto"/>
              </w:rPr>
            </w:pPr>
            <w:r>
              <w:rPr>
                <w:rFonts w:ascii="Arial" w:cs="Arial" w:eastAsia="Arial" w:hAnsi="Arial"/>
                <w:sz w:val="18"/>
                <w:szCs w:val="18"/>
                <w:color w:val="auto"/>
                <w:w w:val="91"/>
              </w:rPr>
              <w:t>410 North Michigan Avenue, Suite 400</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90"/>
        </w:trPr>
        <w:tc>
          <w:tcPr>
            <w:tcW w:w="2220" w:type="dxa"/>
            <w:vAlign w:val="bottom"/>
          </w:tcPr>
          <w:p>
            <w:pPr>
              <w:spacing w:after="0"/>
              <w:rPr>
                <w:sz w:val="16"/>
                <w:szCs w:val="16"/>
                <w:color w:val="auto"/>
              </w:rPr>
            </w:pPr>
          </w:p>
        </w:tc>
        <w:tc>
          <w:tcPr>
            <w:tcW w:w="1200" w:type="dxa"/>
            <w:vAlign w:val="bottom"/>
            <w:gridSpan w:val="3"/>
          </w:tcPr>
          <w:p>
            <w:pPr>
              <w:jc w:val="center"/>
              <w:spacing w:after="0" w:line="190" w:lineRule="exact"/>
              <w:rPr>
                <w:sz w:val="20"/>
                <w:szCs w:val="20"/>
                <w:color w:val="auto"/>
              </w:rPr>
            </w:pPr>
            <w:r>
              <w:rPr>
                <w:rFonts w:ascii="Arial" w:cs="Arial" w:eastAsia="Arial" w:hAnsi="Arial"/>
                <w:sz w:val="18"/>
                <w:szCs w:val="18"/>
                <w:color w:val="auto"/>
                <w:w w:val="95"/>
              </w:rPr>
              <w:t>Chicago, Illinois</w:t>
            </w:r>
          </w:p>
        </w:tc>
        <w:tc>
          <w:tcPr>
            <w:tcW w:w="74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40" w:type="dxa"/>
            <w:vAlign w:val="bottom"/>
            <w:gridSpan w:val="3"/>
          </w:tcPr>
          <w:p>
            <w:pPr>
              <w:jc w:val="center"/>
              <w:ind w:left="190"/>
              <w:spacing w:after="0" w:line="190" w:lineRule="exact"/>
              <w:rPr>
                <w:sz w:val="20"/>
                <w:szCs w:val="20"/>
                <w:color w:val="auto"/>
              </w:rPr>
            </w:pPr>
            <w:r>
              <w:rPr>
                <w:rFonts w:ascii="Arial" w:cs="Arial" w:eastAsia="Arial" w:hAnsi="Arial"/>
                <w:sz w:val="18"/>
                <w:szCs w:val="18"/>
                <w:color w:val="auto"/>
                <w:w w:val="89"/>
              </w:rPr>
              <w:t>60611-4213</w:t>
            </w:r>
          </w:p>
        </w:tc>
        <w:tc>
          <w:tcPr>
            <w:tcW w:w="240" w:type="dxa"/>
            <w:vAlign w:val="bottom"/>
          </w:tcPr>
          <w:p>
            <w:pPr>
              <w:spacing w:after="0"/>
              <w:rPr>
                <w:sz w:val="16"/>
                <w:szCs w:val="16"/>
                <w:color w:val="auto"/>
              </w:rPr>
            </w:pPr>
          </w:p>
        </w:tc>
      </w:tr>
      <w:tr>
        <w:trPr>
          <w:trHeight w:val="20"/>
        </w:trPr>
        <w:tc>
          <w:tcPr>
            <w:tcW w:w="2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64"/>
        </w:trPr>
        <w:tc>
          <w:tcPr>
            <w:tcW w:w="7920" w:type="dxa"/>
            <w:vAlign w:val="bottom"/>
            <w:gridSpan w:val="7"/>
          </w:tcPr>
          <w:p>
            <w:pPr>
              <w:jc w:val="center"/>
              <w:ind w:right="2300"/>
              <w:spacing w:after="0"/>
              <w:rPr>
                <w:sz w:val="20"/>
                <w:szCs w:val="20"/>
                <w:color w:val="auto"/>
              </w:rPr>
            </w:pPr>
            <w:r>
              <w:rPr>
                <w:rFonts w:ascii="Arial" w:cs="Arial" w:eastAsia="Arial" w:hAnsi="Arial"/>
                <w:sz w:val="18"/>
                <w:szCs w:val="18"/>
                <w:color w:val="auto"/>
                <w:w w:val="92"/>
              </w:rPr>
              <w:t>(Address of principal executive offices)</w:t>
            </w: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00" w:type="dxa"/>
            <w:vAlign w:val="bottom"/>
            <w:gridSpan w:val="2"/>
          </w:tcPr>
          <w:p>
            <w:pPr>
              <w:ind w:left="60"/>
              <w:spacing w:after="0"/>
              <w:rPr>
                <w:sz w:val="20"/>
                <w:szCs w:val="20"/>
                <w:color w:val="auto"/>
              </w:rPr>
            </w:pPr>
            <w:r>
              <w:rPr>
                <w:rFonts w:ascii="Arial" w:cs="Arial" w:eastAsia="Arial" w:hAnsi="Arial"/>
                <w:sz w:val="18"/>
                <w:szCs w:val="18"/>
                <w:color w:val="auto"/>
              </w:rPr>
              <w:t>(Zip Code)</w:t>
            </w:r>
          </w:p>
        </w:tc>
      </w:tr>
    </w:tbl>
    <w:p>
      <w:pPr>
        <w:spacing w:after="0"/>
        <w:rPr>
          <w:sz w:val="20"/>
          <w:szCs w:val="20"/>
          <w:color w:val="auto"/>
        </w:rPr>
      </w:pPr>
      <w:r>
        <w:rPr>
          <w:rFonts w:ascii="Arial" w:cs="Arial" w:eastAsia="Arial" w:hAnsi="Arial"/>
          <w:sz w:val="18"/>
          <w:szCs w:val="18"/>
          <w:color w:val="auto"/>
        </w:rPr>
        <w:t>The Registrant's telephone number, including area code: (312) 321-1515</w:t>
      </w:r>
    </w:p>
    <w:p>
      <w:pPr>
        <w:spacing w:after="0" w:line="265" w:lineRule="exact"/>
        <w:rPr>
          <w:sz w:val="24"/>
          <w:szCs w:val="24"/>
          <w:color w:val="auto"/>
        </w:rPr>
      </w:pPr>
    </w:p>
    <w:p>
      <w:pPr>
        <w:ind w:right="400"/>
        <w:spacing w:after="0" w:line="258"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and (2) has been subject to such filing requirements for at least the past 90 days.</w:t>
      </w:r>
    </w:p>
    <w:p>
      <w:pPr>
        <w:spacing w:after="0" w:line="1" w:lineRule="exact"/>
        <w:rPr>
          <w:sz w:val="24"/>
          <w:szCs w:val="24"/>
          <w:color w:val="auto"/>
        </w:rPr>
      </w:pPr>
    </w:p>
    <w:p>
      <w:pPr>
        <w:ind w:left="4880"/>
        <w:spacing w:after="0" w:line="207" w:lineRule="exact"/>
        <w:tabs>
          <w:tab w:leader="none" w:pos="60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319" w:lineRule="exact"/>
        <w:rPr>
          <w:sz w:val="24"/>
          <w:szCs w:val="24"/>
          <w:color w:val="auto"/>
        </w:rPr>
      </w:pPr>
    </w:p>
    <w:p>
      <w:pPr>
        <w:spacing w:after="0" w:line="273"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 w:lineRule="exact"/>
        <w:rPr>
          <w:sz w:val="24"/>
          <w:szCs w:val="24"/>
          <w:color w:val="auto"/>
        </w:rPr>
      </w:pPr>
    </w:p>
    <w:p>
      <w:pPr>
        <w:ind w:left="2400"/>
        <w:spacing w:after="0" w:line="207" w:lineRule="exact"/>
        <w:tabs>
          <w:tab w:leader="none" w:pos="5380" w:val="left"/>
          <w:tab w:leader="none" w:pos="994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Accelerated filer</w:t>
      </w:r>
      <w:r>
        <w:rPr>
          <w:sz w:val="20"/>
          <w:szCs w:val="20"/>
          <w:color w:val="auto"/>
        </w:rPr>
        <w:tab/>
      </w:r>
      <w:r>
        <w:rPr>
          <w:rFonts w:ascii="MS PGothic" w:cs="MS PGothic" w:eastAsia="MS PGothic" w:hAnsi="MS PGothic"/>
          <w:sz w:val="16"/>
          <w:szCs w:val="16"/>
          <w:color w:val="auto"/>
        </w:rPr>
        <w:t>☑</w:t>
      </w:r>
    </w:p>
    <w:p>
      <w:pPr>
        <w:sectPr>
          <w:pgSz w:w="11900" w:h="16838" w:orient="portrait"/>
          <w:cols w:equalWidth="0" w:num="1">
            <w:col w:w="11340"/>
          </w:cols>
          <w:pgMar w:left="240" w:top="503" w:right="319" w:bottom="1440" w:gutter="0" w:footer="0" w:header="0"/>
        </w:sectPr>
      </w:pPr>
    </w:p>
    <w:p>
      <w:pPr>
        <w:spacing w:after="0" w:line="239" w:lineRule="exact"/>
        <w:rPr>
          <w:sz w:val="24"/>
          <w:szCs w:val="24"/>
          <w:color w:val="auto"/>
        </w:rPr>
      </w:pPr>
    </w:p>
    <w:p>
      <w:pPr>
        <w:ind w:left="24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19"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4" w:lineRule="exact"/>
        <w:rPr>
          <w:sz w:val="24"/>
          <w:szCs w:val="24"/>
          <w:color w:val="auto"/>
        </w:rPr>
      </w:pPr>
    </w:p>
    <w:p>
      <w:pPr>
        <w:sectPr>
          <w:pgSz w:w="11900" w:h="16838" w:orient="portrait"/>
          <w:cols w:equalWidth="0" w:num="4">
            <w:col w:w="4680" w:space="720"/>
            <w:col w:w="160" w:space="140"/>
            <w:col w:w="3540" w:space="720"/>
            <w:col w:w="1380"/>
          </w:cols>
          <w:pgMar w:left="240" w:top="503" w:right="319" w:bottom="1440" w:gutter="0" w:footer="0" w:header="0"/>
          <w:type w:val="continuous"/>
        </w:sectPr>
      </w:pPr>
    </w:p>
    <w:p>
      <w:pPr>
        <w:ind w:left="1540"/>
        <w:spacing w:after="0"/>
        <w:rPr>
          <w:sz w:val="20"/>
          <w:szCs w:val="20"/>
          <w:color w:val="auto"/>
        </w:rPr>
      </w:pPr>
      <w:r>
        <w:rPr>
          <w:rFonts w:ascii="Arial" w:cs="Arial" w:eastAsia="Arial" w:hAnsi="Arial"/>
          <w:sz w:val="16"/>
          <w:szCs w:val="16"/>
          <w:color w:val="auto"/>
        </w:rPr>
        <w:t>(Do not check if a smaller reporting company)</w:t>
      </w:r>
    </w:p>
    <w:p>
      <w:pPr>
        <w:sectPr>
          <w:pgSz w:w="11900" w:h="16838" w:orient="portrait"/>
          <w:cols w:equalWidth="0" w:num="1">
            <w:col w:w="11340"/>
          </w:cols>
          <w:pgMar w:left="240" w:top="503" w:right="319" w:bottom="1440" w:gutter="0" w:footer="0" w:header="0"/>
          <w:type w:val="continuous"/>
        </w:sectPr>
      </w:pPr>
    </w:p>
    <w:p>
      <w:pPr>
        <w:spacing w:after="0" w:line="27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 w:lineRule="exact"/>
        <w:rPr>
          <w:sz w:val="24"/>
          <w:szCs w:val="24"/>
          <w:color w:val="auto"/>
        </w:rPr>
      </w:pPr>
    </w:p>
    <w:p>
      <w:pPr>
        <w:ind w:left="4440"/>
        <w:spacing w:after="0" w:line="207" w:lineRule="exact"/>
        <w:tabs>
          <w:tab w:leader="none" w:pos="64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319"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close of the period covered by this report.</w:t>
      </w:r>
    </w:p>
    <w:p>
      <w:pPr>
        <w:spacing w:after="0" w:line="302" w:lineRule="exact"/>
        <w:rPr>
          <w:sz w:val="24"/>
          <w:szCs w:val="24"/>
          <w:color w:val="auto"/>
        </w:rPr>
      </w:pPr>
    </w:p>
    <w:p>
      <w:pPr>
        <w:spacing w:after="0"/>
        <w:rPr>
          <w:sz w:val="20"/>
          <w:szCs w:val="20"/>
          <w:color w:val="auto"/>
        </w:rPr>
      </w:pPr>
      <w:r>
        <w:rPr>
          <w:rFonts w:ascii="Arial" w:cs="Arial" w:eastAsia="Arial" w:hAnsi="Arial"/>
          <w:sz w:val="18"/>
          <w:szCs w:val="18"/>
          <w:color w:val="auto"/>
        </w:rPr>
        <w:t>Common Stock – 5,111,224 Shares</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Class B Stock – 1,914,797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03" w:right="3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820" w:type="dxa"/>
            <w:vAlign w:val="bottom"/>
          </w:tcPr>
          <w:p>
            <w:pPr>
              <w:ind w:left="4300"/>
              <w:spacing w:after="0"/>
              <w:rPr>
                <w:sz w:val="20"/>
                <w:szCs w:val="20"/>
                <w:color w:val="auto"/>
              </w:rPr>
            </w:pPr>
            <w:r>
              <w:rPr>
                <w:rFonts w:ascii="Arial" w:cs="Arial" w:eastAsia="Arial" w:hAnsi="Arial"/>
                <w:sz w:val="18"/>
                <w:szCs w:val="18"/>
                <w:b w:val="1"/>
                <w:bCs w:val="1"/>
                <w:color w:val="auto"/>
              </w:rPr>
              <w:t>CONTENTS</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820" w:type="dxa"/>
            <w:vAlign w:val="bottom"/>
          </w:tcPr>
          <w:p>
            <w:pPr>
              <w:spacing w:after="0"/>
              <w:rPr>
                <w:sz w:val="24"/>
                <w:szCs w:val="24"/>
                <w:color w:val="auto"/>
              </w:rPr>
            </w:pPr>
          </w:p>
        </w:tc>
        <w:tc>
          <w:tcPr>
            <w:tcW w:w="700" w:type="dxa"/>
            <w:vAlign w:val="bottom"/>
            <w:gridSpan w:val="3"/>
          </w:tcPr>
          <w:p>
            <w:pPr>
              <w:ind w:left="1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900" w:type="dxa"/>
            <w:vAlign w:val="bottom"/>
          </w:tcPr>
          <w:p>
            <w:pPr>
              <w:spacing w:after="0"/>
              <w:rPr>
                <w:sz w:val="4"/>
                <w:szCs w:val="4"/>
                <w:color w:val="auto"/>
              </w:rPr>
            </w:pPr>
          </w:p>
        </w:tc>
        <w:tc>
          <w:tcPr>
            <w:tcW w:w="982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00" w:type="dxa"/>
            <w:vAlign w:val="bottom"/>
            <w:shd w:val="clear" w:color="auto" w:fill="CCFFCC"/>
          </w:tcPr>
          <w:p>
            <w:pPr>
              <w:spacing w:after="0"/>
              <w:rPr>
                <w:sz w:val="20"/>
                <w:szCs w:val="20"/>
                <w:color w:val="auto"/>
              </w:rPr>
            </w:pPr>
          </w:p>
        </w:tc>
        <w:tc>
          <w:tcPr>
            <w:tcW w:w="9820" w:type="dxa"/>
            <w:vAlign w:val="bottom"/>
            <w:shd w:val="clear" w:color="auto" w:fill="CCFFCC"/>
          </w:tcPr>
          <w:p>
            <w:pPr>
              <w:ind w:left="2880"/>
              <w:spacing w:after="0"/>
              <w:rPr>
                <w:sz w:val="20"/>
                <w:szCs w:val="20"/>
                <w:color w:val="auto"/>
              </w:rPr>
            </w:pPr>
            <w:r>
              <w:rPr>
                <w:rFonts w:ascii="Arial" w:cs="Arial" w:eastAsia="Arial" w:hAnsi="Arial"/>
                <w:sz w:val="18"/>
                <w:szCs w:val="18"/>
                <w:b w:val="1"/>
                <w:bCs w:val="1"/>
                <w:color w:val="auto"/>
              </w:rPr>
              <w:t>PART I – FINANCIAL INFORMATION</w:t>
            </w:r>
          </w:p>
        </w:tc>
        <w:tc>
          <w:tcPr>
            <w:tcW w:w="38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900" w:type="dxa"/>
            <w:vAlign w:val="bottom"/>
          </w:tcPr>
          <w:p>
            <w:pPr>
              <w:spacing w:after="0"/>
              <w:rPr>
                <w:sz w:val="21"/>
                <w:szCs w:val="21"/>
                <w:color w:val="auto"/>
              </w:rPr>
            </w:pPr>
          </w:p>
        </w:tc>
        <w:tc>
          <w:tcPr>
            <w:tcW w:w="98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1:</w:t>
            </w:r>
          </w:p>
        </w:tc>
        <w:tc>
          <w:tcPr>
            <w:tcW w:w="9820" w:type="dxa"/>
            <w:vAlign w:val="bottom"/>
            <w:shd w:val="clear" w:color="auto" w:fill="CCFFCC"/>
          </w:tcPr>
          <w:p>
            <w:pPr>
              <w:spacing w:after="0"/>
              <w:rPr>
                <w:sz w:val="20"/>
                <w:szCs w:val="20"/>
                <w:color w:val="auto"/>
              </w:rPr>
            </w:pPr>
            <w:r>
              <w:rPr>
                <w:rFonts w:ascii="Arial" w:cs="Arial" w:eastAsia="Arial" w:hAnsi="Arial"/>
                <w:sz w:val="18"/>
                <w:szCs w:val="18"/>
                <w:color w:val="auto"/>
              </w:rPr>
              <w:t>Financial Statements</w:t>
            </w:r>
          </w:p>
        </w:tc>
        <w:tc>
          <w:tcPr>
            <w:tcW w:w="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0"/>
              </w:rPr>
              <w:t>- 14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900" w:type="dxa"/>
            <w:vAlign w:val="bottom"/>
          </w:tcPr>
          <w:p>
            <w:pPr>
              <w:spacing w:after="0"/>
              <w:rPr>
                <w:sz w:val="21"/>
                <w:szCs w:val="21"/>
                <w:color w:val="auto"/>
              </w:rPr>
            </w:pPr>
          </w:p>
        </w:tc>
        <w:tc>
          <w:tcPr>
            <w:tcW w:w="98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9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2:</w:t>
            </w:r>
          </w:p>
        </w:tc>
        <w:tc>
          <w:tcPr>
            <w:tcW w:w="9820" w:type="dxa"/>
            <w:vAlign w:val="bottom"/>
            <w:shd w:val="clear" w:color="auto" w:fill="CCFFCC"/>
          </w:tcPr>
          <w:p>
            <w:pPr>
              <w:spacing w:after="0"/>
              <w:rPr>
                <w:sz w:val="20"/>
                <w:szCs w:val="20"/>
                <w:color w:val="auto"/>
              </w:rPr>
            </w:pPr>
            <w:r>
              <w:rPr>
                <w:rFonts w:ascii="Arial" w:cs="Arial" w:eastAsia="Arial" w:hAnsi="Arial"/>
                <w:sz w:val="18"/>
                <w:szCs w:val="18"/>
                <w:color w:val="auto"/>
              </w:rPr>
              <w:t>Management’s Discussion and Analysis of Financial Condition</w:t>
            </w:r>
          </w:p>
        </w:tc>
        <w:tc>
          <w:tcPr>
            <w:tcW w:w="38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900" w:type="dxa"/>
            <w:vAlign w:val="bottom"/>
            <w:tcBorders>
              <w:bottom w:val="single" w:sz="8" w:color="CCFFCC"/>
            </w:tcBorders>
            <w:shd w:val="clear" w:color="auto" w:fill="CCFFCC"/>
          </w:tcPr>
          <w:p>
            <w:pPr>
              <w:spacing w:after="0"/>
              <w:rPr>
                <w:sz w:val="20"/>
                <w:szCs w:val="20"/>
                <w:color w:val="auto"/>
              </w:rPr>
            </w:pPr>
          </w:p>
        </w:tc>
        <w:tc>
          <w:tcPr>
            <w:tcW w:w="98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and Results Of Operations</w:t>
            </w:r>
          </w:p>
        </w:tc>
        <w:tc>
          <w:tcPr>
            <w:tcW w:w="3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15</w:t>
            </w:r>
          </w:p>
        </w:tc>
        <w:tc>
          <w:tcPr>
            <w:tcW w:w="3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90"/>
              </w:rPr>
              <w:t>- 21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900" w:type="dxa"/>
            <w:vAlign w:val="bottom"/>
          </w:tcPr>
          <w:p>
            <w:pPr>
              <w:spacing w:after="0"/>
              <w:rPr>
                <w:sz w:val="21"/>
                <w:szCs w:val="21"/>
                <w:color w:val="auto"/>
              </w:rPr>
            </w:pPr>
          </w:p>
        </w:tc>
        <w:tc>
          <w:tcPr>
            <w:tcW w:w="98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3:</w:t>
            </w:r>
          </w:p>
        </w:tc>
        <w:tc>
          <w:tcPr>
            <w:tcW w:w="9820" w:type="dxa"/>
            <w:vAlign w:val="bottom"/>
            <w:shd w:val="clear" w:color="auto" w:fill="CCFFCC"/>
          </w:tcPr>
          <w:p>
            <w:pPr>
              <w:spacing w:after="0"/>
              <w:rPr>
                <w:sz w:val="20"/>
                <w:szCs w:val="20"/>
                <w:color w:val="auto"/>
              </w:rPr>
            </w:pPr>
            <w:r>
              <w:rPr>
                <w:rFonts w:ascii="Arial" w:cs="Arial" w:eastAsia="Arial" w:hAnsi="Arial"/>
                <w:sz w:val="18"/>
                <w:szCs w:val="18"/>
                <w:color w:val="auto"/>
              </w:rPr>
              <w:t>Quantitative and Qualitative Disclosures About Market Risk</w:t>
            </w:r>
          </w:p>
        </w:tc>
        <w:tc>
          <w:tcPr>
            <w:tcW w:w="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w:t>
            </w:r>
          </w:p>
        </w:tc>
        <w:tc>
          <w:tcPr>
            <w:tcW w:w="3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0"/>
              </w:rPr>
              <w:t>- 22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900" w:type="dxa"/>
            <w:vAlign w:val="bottom"/>
          </w:tcPr>
          <w:p>
            <w:pPr>
              <w:spacing w:after="0"/>
              <w:rPr>
                <w:sz w:val="21"/>
                <w:szCs w:val="21"/>
                <w:color w:val="auto"/>
              </w:rPr>
            </w:pPr>
          </w:p>
        </w:tc>
        <w:tc>
          <w:tcPr>
            <w:tcW w:w="98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4:</w:t>
            </w:r>
          </w:p>
        </w:tc>
        <w:tc>
          <w:tcPr>
            <w:tcW w:w="9820" w:type="dxa"/>
            <w:vAlign w:val="bottom"/>
            <w:shd w:val="clear" w:color="auto" w:fill="CCFFCC"/>
          </w:tcPr>
          <w:p>
            <w:pPr>
              <w:spacing w:after="0"/>
              <w:rPr>
                <w:sz w:val="20"/>
                <w:szCs w:val="20"/>
                <w:color w:val="auto"/>
              </w:rPr>
            </w:pPr>
            <w:r>
              <w:rPr>
                <w:rFonts w:ascii="Arial" w:cs="Arial" w:eastAsia="Arial" w:hAnsi="Arial"/>
                <w:sz w:val="18"/>
                <w:szCs w:val="18"/>
                <w:color w:val="auto"/>
              </w:rPr>
              <w:t>Controls and Procedures</w:t>
            </w:r>
          </w:p>
        </w:tc>
        <w:tc>
          <w:tcPr>
            <w:tcW w:w="380" w:type="dxa"/>
            <w:vAlign w:val="bottom"/>
            <w:shd w:val="clear" w:color="auto" w:fill="CCFFCC"/>
          </w:tcPr>
          <w:p>
            <w:pPr>
              <w:spacing w:after="0"/>
              <w:rPr>
                <w:sz w:val="18"/>
                <w:szCs w:val="18"/>
                <w:color w:val="auto"/>
              </w:rPr>
            </w:pPr>
          </w:p>
        </w:tc>
        <w:tc>
          <w:tcPr>
            <w:tcW w:w="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8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00" w:type="dxa"/>
            <w:vAlign w:val="bottom"/>
            <w:shd w:val="clear" w:color="auto" w:fill="CCFFCC"/>
          </w:tcPr>
          <w:p>
            <w:pPr>
              <w:spacing w:after="0"/>
              <w:rPr>
                <w:sz w:val="21"/>
                <w:szCs w:val="21"/>
                <w:color w:val="auto"/>
              </w:rPr>
            </w:pPr>
          </w:p>
        </w:tc>
        <w:tc>
          <w:tcPr>
            <w:tcW w:w="9820" w:type="dxa"/>
            <w:vAlign w:val="bottom"/>
            <w:shd w:val="clear" w:color="auto" w:fill="CCFFCC"/>
          </w:tcPr>
          <w:p>
            <w:pPr>
              <w:spacing w:after="0"/>
              <w:rPr>
                <w:sz w:val="21"/>
                <w:szCs w:val="21"/>
                <w:color w:val="auto"/>
              </w:rPr>
            </w:pPr>
          </w:p>
        </w:tc>
        <w:tc>
          <w:tcPr>
            <w:tcW w:w="38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3920"/>
        <w:spacing w:after="0"/>
        <w:rPr>
          <w:sz w:val="20"/>
          <w:szCs w:val="20"/>
          <w:color w:val="auto"/>
        </w:rPr>
      </w:pPr>
      <w:r>
        <w:rPr>
          <w:rFonts w:ascii="Arial" w:cs="Arial" w:eastAsia="Arial" w:hAnsi="Arial"/>
          <w:sz w:val="18"/>
          <w:szCs w:val="18"/>
          <w:b w:val="1"/>
          <w:bCs w:val="1"/>
          <w:color w:val="auto"/>
        </w:rPr>
        <w:t>PART II – OTHER INFORMATION</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860" w:type="dxa"/>
            <w:vAlign w:val="bottom"/>
            <w:shd w:val="clear" w:color="auto" w:fill="CCFFCC"/>
          </w:tcPr>
          <w:p>
            <w:pPr>
              <w:spacing w:after="0"/>
              <w:rPr>
                <w:sz w:val="21"/>
                <w:szCs w:val="21"/>
                <w:color w:val="auto"/>
              </w:rPr>
            </w:pPr>
          </w:p>
        </w:tc>
        <w:tc>
          <w:tcPr>
            <w:tcW w:w="8540" w:type="dxa"/>
            <w:vAlign w:val="bottom"/>
            <w:shd w:val="clear" w:color="auto" w:fill="CCFFCC"/>
          </w:tcPr>
          <w:p>
            <w:pPr>
              <w:spacing w:after="0"/>
              <w:rPr>
                <w:sz w:val="21"/>
                <w:szCs w:val="21"/>
                <w:color w:val="auto"/>
              </w:rPr>
            </w:pPr>
          </w:p>
        </w:tc>
        <w:tc>
          <w:tcPr>
            <w:tcW w:w="2000" w:type="dxa"/>
            <w:vAlign w:val="bottom"/>
            <w:shd w:val="clear" w:color="auto" w:fill="CCFFC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Item 1A:</w:t>
            </w:r>
          </w:p>
        </w:tc>
        <w:tc>
          <w:tcPr>
            <w:tcW w:w="8540" w:type="dxa"/>
            <w:vAlign w:val="bottom"/>
          </w:tcPr>
          <w:p>
            <w:pPr>
              <w:ind w:left="40"/>
              <w:spacing w:after="0"/>
              <w:rPr>
                <w:sz w:val="20"/>
                <w:szCs w:val="20"/>
                <w:color w:val="auto"/>
              </w:rPr>
            </w:pPr>
            <w:r>
              <w:rPr>
                <w:rFonts w:ascii="Arial" w:cs="Arial" w:eastAsia="Arial" w:hAnsi="Arial"/>
                <w:sz w:val="18"/>
                <w:szCs w:val="18"/>
                <w:color w:val="auto"/>
              </w:rPr>
              <w:t>Risk Factors</w:t>
            </w:r>
          </w:p>
        </w:tc>
        <w:tc>
          <w:tcPr>
            <w:tcW w:w="202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60" w:type="dxa"/>
            <w:vAlign w:val="bottom"/>
            <w:shd w:val="clear" w:color="auto" w:fill="CCFFCC"/>
          </w:tcPr>
          <w:p>
            <w:pPr>
              <w:spacing w:after="0"/>
              <w:rPr>
                <w:sz w:val="21"/>
                <w:szCs w:val="21"/>
                <w:color w:val="auto"/>
              </w:rPr>
            </w:pPr>
          </w:p>
        </w:tc>
        <w:tc>
          <w:tcPr>
            <w:tcW w:w="8540" w:type="dxa"/>
            <w:vAlign w:val="bottom"/>
            <w:shd w:val="clear" w:color="auto" w:fill="CCFFCC"/>
          </w:tcPr>
          <w:p>
            <w:pPr>
              <w:spacing w:after="0"/>
              <w:rPr>
                <w:sz w:val="21"/>
                <w:szCs w:val="21"/>
                <w:color w:val="auto"/>
              </w:rPr>
            </w:pPr>
          </w:p>
        </w:tc>
        <w:tc>
          <w:tcPr>
            <w:tcW w:w="2000" w:type="dxa"/>
            <w:vAlign w:val="bottom"/>
            <w:shd w:val="clear" w:color="auto" w:fill="CCFFCC"/>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8540" w:type="dxa"/>
            <w:vAlign w:val="bottom"/>
          </w:tcPr>
          <w:p>
            <w:pPr>
              <w:ind w:left="40"/>
              <w:spacing w:after="0"/>
              <w:rPr>
                <w:sz w:val="20"/>
                <w:szCs w:val="20"/>
                <w:color w:val="auto"/>
              </w:rPr>
            </w:pPr>
            <w:r>
              <w:rPr>
                <w:rFonts w:ascii="Arial" w:cs="Arial" w:eastAsia="Arial" w:hAnsi="Arial"/>
                <w:sz w:val="18"/>
                <w:szCs w:val="18"/>
                <w:color w:val="auto"/>
              </w:rPr>
              <w:t>Unregistered Sales of Equity Securities and Use of Proceeds</w:t>
            </w:r>
          </w:p>
        </w:tc>
        <w:tc>
          <w:tcPr>
            <w:tcW w:w="200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60" w:type="dxa"/>
            <w:vAlign w:val="bottom"/>
            <w:shd w:val="clear" w:color="auto" w:fill="CCFFCC"/>
          </w:tcPr>
          <w:p>
            <w:pPr>
              <w:spacing w:after="0"/>
              <w:rPr>
                <w:sz w:val="21"/>
                <w:szCs w:val="21"/>
                <w:color w:val="auto"/>
              </w:rPr>
            </w:pPr>
          </w:p>
        </w:tc>
        <w:tc>
          <w:tcPr>
            <w:tcW w:w="8540" w:type="dxa"/>
            <w:vAlign w:val="bottom"/>
            <w:shd w:val="clear" w:color="auto" w:fill="CCFFCC"/>
          </w:tcPr>
          <w:p>
            <w:pPr>
              <w:spacing w:after="0"/>
              <w:rPr>
                <w:sz w:val="21"/>
                <w:szCs w:val="21"/>
                <w:color w:val="auto"/>
              </w:rPr>
            </w:pPr>
          </w:p>
        </w:tc>
        <w:tc>
          <w:tcPr>
            <w:tcW w:w="2000" w:type="dxa"/>
            <w:vAlign w:val="bottom"/>
            <w:shd w:val="clear" w:color="auto" w:fill="CCFFCC"/>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8540" w:type="dxa"/>
            <w:vAlign w:val="bottom"/>
          </w:tcPr>
          <w:p>
            <w:pPr>
              <w:ind w:left="40"/>
              <w:spacing w:after="0"/>
              <w:rPr>
                <w:sz w:val="20"/>
                <w:szCs w:val="20"/>
                <w:color w:val="auto"/>
              </w:rPr>
            </w:pPr>
            <w:r>
              <w:rPr>
                <w:rFonts w:ascii="Arial" w:cs="Arial" w:eastAsia="Arial" w:hAnsi="Arial"/>
                <w:sz w:val="18"/>
                <w:szCs w:val="18"/>
                <w:color w:val="auto"/>
              </w:rPr>
              <w:t>Exhibits</w:t>
            </w:r>
          </w:p>
        </w:tc>
        <w:tc>
          <w:tcPr>
            <w:tcW w:w="200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60" w:type="dxa"/>
            <w:vAlign w:val="bottom"/>
            <w:shd w:val="clear" w:color="auto" w:fill="CCFFCC"/>
          </w:tcPr>
          <w:p>
            <w:pPr>
              <w:spacing w:after="0"/>
              <w:rPr>
                <w:sz w:val="21"/>
                <w:szCs w:val="21"/>
                <w:color w:val="auto"/>
              </w:rPr>
            </w:pPr>
          </w:p>
        </w:tc>
        <w:tc>
          <w:tcPr>
            <w:tcW w:w="8540" w:type="dxa"/>
            <w:vAlign w:val="bottom"/>
            <w:shd w:val="clear" w:color="auto" w:fill="CCFFCC"/>
          </w:tcPr>
          <w:p>
            <w:pPr>
              <w:spacing w:after="0"/>
              <w:rPr>
                <w:sz w:val="21"/>
                <w:szCs w:val="21"/>
                <w:color w:val="auto"/>
              </w:rPr>
            </w:pPr>
          </w:p>
        </w:tc>
        <w:tc>
          <w:tcPr>
            <w:tcW w:w="2000" w:type="dxa"/>
            <w:vAlign w:val="bottom"/>
            <w:shd w:val="clear" w:color="auto" w:fill="CCFFCC"/>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8"/>
                <w:szCs w:val="18"/>
                <w:b w:val="1"/>
                <w:bCs w:val="1"/>
                <w:color w:val="auto"/>
                <w:w w:val="90"/>
              </w:rPr>
              <w:t>Signatures</w:t>
            </w:r>
          </w:p>
        </w:tc>
        <w:tc>
          <w:tcPr>
            <w:tcW w:w="854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60" w:type="dxa"/>
            <w:vAlign w:val="bottom"/>
            <w:shd w:val="clear" w:color="auto" w:fill="CCFFCC"/>
          </w:tcPr>
          <w:p>
            <w:pPr>
              <w:spacing w:after="0"/>
              <w:rPr>
                <w:sz w:val="21"/>
                <w:szCs w:val="21"/>
                <w:color w:val="auto"/>
              </w:rPr>
            </w:pPr>
          </w:p>
        </w:tc>
        <w:tc>
          <w:tcPr>
            <w:tcW w:w="8540" w:type="dxa"/>
            <w:vAlign w:val="bottom"/>
            <w:shd w:val="clear" w:color="auto" w:fill="CCFFCC"/>
          </w:tcPr>
          <w:p>
            <w:pPr>
              <w:spacing w:after="0"/>
              <w:rPr>
                <w:sz w:val="21"/>
                <w:szCs w:val="21"/>
                <w:color w:val="auto"/>
              </w:rPr>
            </w:pPr>
          </w:p>
        </w:tc>
        <w:tc>
          <w:tcPr>
            <w:tcW w:w="2000" w:type="dxa"/>
            <w:vAlign w:val="bottom"/>
            <w:shd w:val="clear" w:color="auto" w:fill="CCFFCC"/>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860" w:type="dxa"/>
            <w:vAlign w:val="bottom"/>
          </w:tcPr>
          <w:p>
            <w:pPr>
              <w:spacing w:after="0"/>
              <w:rPr>
                <w:sz w:val="20"/>
                <w:szCs w:val="20"/>
                <w:color w:val="auto"/>
              </w:rPr>
            </w:pPr>
            <w:r>
              <w:rPr>
                <w:rFonts w:ascii="Arial" w:cs="Arial" w:eastAsia="Arial" w:hAnsi="Arial"/>
                <w:sz w:val="18"/>
                <w:szCs w:val="18"/>
                <w:b w:val="1"/>
                <w:bCs w:val="1"/>
                <w:color w:val="auto"/>
              </w:rPr>
              <w:t>Exhibits</w:t>
            </w:r>
          </w:p>
        </w:tc>
        <w:tc>
          <w:tcPr>
            <w:tcW w:w="854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540" w:type="dxa"/>
            <w:vAlign w:val="bottom"/>
          </w:tcPr>
          <w:p>
            <w:pPr>
              <w:ind w:left="3600"/>
              <w:spacing w:after="0"/>
              <w:rPr>
                <w:sz w:val="20"/>
                <w:szCs w:val="20"/>
                <w:color w:val="auto"/>
              </w:rPr>
            </w:pPr>
            <w:r>
              <w:rPr>
                <w:rFonts w:ascii="Arial" w:cs="Arial" w:eastAsia="Arial" w:hAnsi="Arial"/>
                <w:sz w:val="18"/>
                <w:szCs w:val="18"/>
                <w:b w:val="1"/>
                <w:bCs w:val="1"/>
                <w:color w:val="auto"/>
              </w:rPr>
              <w:t>FORWARD-LOOKING STATEMENTS</w:t>
            </w:r>
          </w:p>
        </w:tc>
        <w:tc>
          <w:tcPr>
            <w:tcW w:w="2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ind w:firstLine="810"/>
        <w:spacing w:after="0" w:line="271" w:lineRule="auto"/>
        <w:rPr>
          <w:sz w:val="20"/>
          <w:szCs w:val="20"/>
          <w:color w:val="auto"/>
        </w:rPr>
      </w:pPr>
      <w:r>
        <w:rPr>
          <w:rFonts w:ascii="Arial" w:cs="Arial" w:eastAsia="Arial" w:hAnsi="Arial"/>
          <w:sz w:val="17"/>
          <w:szCs w:val="17"/>
          <w:color w:val="auto"/>
        </w:rPr>
        <w:t>Certain statements in this report, including, but not limited to, those under the heading “Management’s Discussion and Analysis of Financial Condition and Results of Operations” and those statements elsewhere in this report and other documents we file with the Commission contain forward-looking statements that are based on current expectations, estimates, forecasts and projections about our future performance, our business, our beliefs, and our management’s assumptions. In addition, we, or others on our behalf, may make forward-looking statements in press releases or written statements, or in our communications and discussions with investors and analysts in the normal course of business through meetings, webcasts, phone calls, and conference calls. Words such as “expect,” “outlook,” “forecast,” “would”, “could,” “should,” “project,” “intend,” “plan,” “continue,” “believe,” “seek,” “estimate,” “anticipate,” “believe”, “may,” “assume,” variations of such words and similar expressions are intended to identify such forward-looking statements, which are made pursuant to the safe harbor provisions of the Private Securities Litigation Reform Act of 1995.</w:t>
      </w:r>
    </w:p>
    <w:p>
      <w:pPr>
        <w:spacing w:after="0" w:line="233" w:lineRule="exact"/>
        <w:rPr>
          <w:sz w:val="20"/>
          <w:szCs w:val="20"/>
          <w:color w:val="auto"/>
        </w:rPr>
      </w:pPr>
    </w:p>
    <w:p>
      <w:pPr>
        <w:jc w:val="both"/>
        <w:ind w:firstLine="810"/>
        <w:spacing w:after="0" w:line="255" w:lineRule="auto"/>
        <w:rPr>
          <w:sz w:val="20"/>
          <w:szCs w:val="20"/>
          <w:color w:val="auto"/>
        </w:rPr>
      </w:pPr>
      <w:r>
        <w:rPr>
          <w:rFonts w:ascii="Arial" w:cs="Arial" w:eastAsia="Arial" w:hAnsi="Arial"/>
          <w:sz w:val="18"/>
          <w:szCs w:val="18"/>
          <w:color w:val="auto"/>
        </w:rPr>
        <w:t>Such statements are subject to certain risks, uncertainties and assumptions that could cause actual results to differ materially, including those described in Item 1A, Risk Factors, of our Annual Report on Form 10-K for the fiscal year ended July 31, 2008, which risk factors are incorporated herein by reference. Should one or more of these or other risks or uncertainties materialize, or should underlying assumptions prove incorrect, actual results may vary materially from those anticipated, intended, expected, believed, estimated, projected or planned. You are cautioned not to place undue reliance on these forward-looking statements, which speak only as of the date hereof. Except to the extent required by law, we do not have any intention or obligation to update publicly any forward-looking statements after the distribution of this report, whether as a result of new information, future events, changes in assumptions, or otherwise.</w:t>
      </w:r>
    </w:p>
    <w:p>
      <w:pPr>
        <w:spacing w:after="0" w:line="239"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TRADEMARK NOTICE</w:t>
      </w:r>
    </w:p>
    <w:p>
      <w:pPr>
        <w:spacing w:after="0" w:line="283" w:lineRule="exact"/>
        <w:rPr>
          <w:sz w:val="20"/>
          <w:szCs w:val="20"/>
          <w:color w:val="auto"/>
        </w:rPr>
      </w:pPr>
    </w:p>
    <w:p>
      <w:pPr>
        <w:jc w:val="both"/>
        <w:ind w:firstLine="810"/>
        <w:spacing w:after="0" w:line="264" w:lineRule="auto"/>
        <w:rPr>
          <w:sz w:val="20"/>
          <w:szCs w:val="20"/>
          <w:color w:val="auto"/>
        </w:rPr>
      </w:pPr>
      <w:r>
        <w:rPr>
          <w:rFonts w:ascii="Arial" w:cs="Arial" w:eastAsia="Arial" w:hAnsi="Arial"/>
          <w:sz w:val="18"/>
          <w:szCs w:val="18"/>
          <w:color w:val="auto"/>
        </w:rPr>
        <w:t>Oil-Dri, Agsorb, Cat’s Pride, Jonny Cat, KatKit, ConditionAde, Pelunite, Perform, Select, Pure-Flo, UltraClear, Poultry Guard, Flo-Fre and Terra Green are all registered trademarks of Oil-Dri Corporation of America or of its subsidiaries. Pro’s Choice and Saular are trademarks of Oil-Dri Corporation of America. Fresh Step is a registered trademark of The Clorox Company.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8340" w:type="dxa"/>
            <w:vAlign w:val="bottom"/>
            <w:gridSpan w:val="4"/>
          </w:tcPr>
          <w:p>
            <w:pPr>
              <w:spacing w:after="0"/>
              <w:rPr>
                <w:sz w:val="20"/>
                <w:szCs w:val="20"/>
                <w:color w:val="auto"/>
              </w:rPr>
            </w:pPr>
            <w:r>
              <w:rPr>
                <w:rFonts w:ascii="Arial" w:cs="Arial" w:eastAsia="Arial" w:hAnsi="Arial"/>
                <w:sz w:val="18"/>
                <w:szCs w:val="18"/>
                <w:b w:val="1"/>
                <w:bCs w:val="1"/>
                <w:color w:val="auto"/>
              </w:rPr>
              <w:t>PART I - FINANCIAL INFORMATION</w:t>
            </w: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8340" w:type="dxa"/>
            <w:vAlign w:val="bottom"/>
            <w:gridSpan w:val="4"/>
          </w:tcPr>
          <w:p>
            <w:pPr>
              <w:spacing w:after="0"/>
              <w:rPr>
                <w:sz w:val="20"/>
                <w:szCs w:val="20"/>
                <w:color w:val="auto"/>
              </w:rPr>
            </w:pPr>
            <w:r>
              <w:rPr>
                <w:rFonts w:ascii="Arial" w:cs="Arial" w:eastAsia="Arial" w:hAnsi="Arial"/>
                <w:sz w:val="18"/>
                <w:szCs w:val="18"/>
                <w:b w:val="1"/>
                <w:bCs w:val="1"/>
                <w:color w:val="auto"/>
              </w:rPr>
              <w:t>ITEM 1. Financial Statements</w:t>
            </w: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920" w:type="dxa"/>
            <w:vAlign w:val="bottom"/>
          </w:tcPr>
          <w:p>
            <w:pPr>
              <w:jc w:val="center"/>
              <w:ind w:left="570"/>
              <w:spacing w:after="0"/>
              <w:rPr>
                <w:sz w:val="20"/>
                <w:szCs w:val="20"/>
                <w:color w:val="auto"/>
              </w:rPr>
            </w:pPr>
            <w:r>
              <w:rPr>
                <w:rFonts w:ascii="Arial" w:cs="Arial" w:eastAsia="Arial" w:hAnsi="Arial"/>
                <w:sz w:val="18"/>
                <w:szCs w:val="18"/>
                <w:b w:val="1"/>
                <w:bCs w:val="1"/>
                <w:color w:val="auto"/>
              </w:rPr>
              <w:t>OIL-DRI CORPORATION OF AMERICA &amp; SUBSIDIARIES</w:t>
            </w: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920" w:type="dxa"/>
            <w:vAlign w:val="bottom"/>
          </w:tcPr>
          <w:p>
            <w:pPr>
              <w:jc w:val="center"/>
              <w:ind w:left="57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920" w:type="dxa"/>
            <w:vAlign w:val="bottom"/>
          </w:tcPr>
          <w:p>
            <w:pPr>
              <w:jc w:val="center"/>
              <w:ind w:left="570"/>
              <w:spacing w:after="0"/>
              <w:rPr>
                <w:sz w:val="20"/>
                <w:szCs w:val="20"/>
                <w:color w:val="auto"/>
              </w:rPr>
            </w:pPr>
            <w:r>
              <w:rPr>
                <w:rFonts w:ascii="Arial" w:cs="Arial" w:eastAsia="Arial" w:hAnsi="Arial"/>
                <w:sz w:val="18"/>
                <w:szCs w:val="18"/>
                <w:b w:val="1"/>
                <w:bCs w:val="1"/>
                <w:color w:val="auto"/>
                <w:w w:val="88"/>
              </w:rPr>
              <w:t>(in thousands of dollars)</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920" w:type="dxa"/>
            <w:vAlign w:val="bottom"/>
          </w:tcPr>
          <w:p>
            <w:pPr>
              <w:jc w:val="center"/>
              <w:ind w:left="570"/>
              <w:spacing w:after="0"/>
              <w:rPr>
                <w:sz w:val="20"/>
                <w:szCs w:val="20"/>
                <w:color w:val="auto"/>
              </w:rPr>
            </w:pPr>
            <w:r>
              <w:rPr>
                <w:rFonts w:ascii="Arial" w:cs="Arial" w:eastAsia="Arial" w:hAnsi="Arial"/>
                <w:sz w:val="18"/>
                <w:szCs w:val="18"/>
                <w:b w:val="1"/>
                <w:bCs w:val="1"/>
                <w:color w:val="auto"/>
                <w:w w:val="91"/>
              </w:rPr>
              <w:t>(unaudited)</w:t>
            </w: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4"/>
              </w:rPr>
              <w:t>October 31,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July 31,</w:t>
            </w: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2008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00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260" w:type="dxa"/>
            <w:vAlign w:val="bottom"/>
            <w:shd w:val="clear" w:color="auto" w:fill="CCFFCC"/>
          </w:tcPr>
          <w:p>
            <w:pPr>
              <w:spacing w:after="0"/>
              <w:rPr>
                <w:sz w:val="21"/>
                <w:szCs w:val="21"/>
                <w:color w:val="auto"/>
              </w:rPr>
            </w:pPr>
          </w:p>
        </w:tc>
        <w:tc>
          <w:tcPr>
            <w:tcW w:w="5920" w:type="dxa"/>
            <w:vAlign w:val="bottom"/>
            <w:shd w:val="clear" w:color="auto" w:fill="CCFFCC"/>
          </w:tcPr>
          <w:p>
            <w:pPr>
              <w:ind w:left="1340"/>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FFCC"/>
          </w:tcPr>
          <w:p>
            <w:pPr>
              <w:spacing w:after="0"/>
              <w:rPr>
                <w:sz w:val="21"/>
                <w:szCs w:val="21"/>
                <w:color w:val="auto"/>
              </w:rPr>
            </w:pPr>
          </w:p>
        </w:tc>
        <w:tc>
          <w:tcPr>
            <w:tcW w:w="122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8340" w:type="dxa"/>
            <w:vAlign w:val="bottom"/>
            <w:gridSpan w:val="4"/>
          </w:tcPr>
          <w:p>
            <w:pPr>
              <w:spacing w:after="0" w:line="202" w:lineRule="exact"/>
              <w:rPr>
                <w:sz w:val="20"/>
                <w:szCs w:val="20"/>
                <w:color w:val="auto"/>
              </w:rPr>
            </w:pPr>
            <w:r>
              <w:rPr>
                <w:rFonts w:ascii="Arial" w:cs="Arial" w:eastAsia="Arial" w:hAnsi="Arial"/>
                <w:sz w:val="18"/>
                <w:szCs w:val="18"/>
                <w:b w:val="1"/>
                <w:bCs w:val="1"/>
                <w:color w:val="auto"/>
              </w:rPr>
              <w:t>Current Assets</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0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8340" w:type="dxa"/>
            <w:vAlign w:val="bottom"/>
            <w:gridSpan w:val="4"/>
            <w:shd w:val="clear" w:color="auto" w:fill="CCFFCC"/>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1,308</w:t>
            </w:r>
          </w:p>
        </w:tc>
        <w:tc>
          <w:tcPr>
            <w:tcW w:w="140" w:type="dxa"/>
            <w:vAlign w:val="bottom"/>
            <w:shd w:val="clear" w:color="auto" w:fill="CCFFCC"/>
          </w:tcPr>
          <w:p>
            <w:pPr>
              <w:spacing w:after="0"/>
              <w:rPr>
                <w:sz w:val="21"/>
                <w:szCs w:val="21"/>
                <w:color w:val="auto"/>
              </w:rPr>
            </w:pPr>
          </w:p>
        </w:tc>
        <w:tc>
          <w:tcPr>
            <w:tcW w:w="3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6,848</w:t>
            </w:r>
          </w:p>
        </w:tc>
        <w:tc>
          <w:tcPr>
            <w:tcW w:w="0" w:type="dxa"/>
            <w:vAlign w:val="bottom"/>
          </w:tcPr>
          <w:p>
            <w:pPr>
              <w:spacing w:after="0"/>
              <w:rPr>
                <w:sz w:val="1"/>
                <w:szCs w:val="1"/>
                <w:color w:val="auto"/>
              </w:rPr>
            </w:pPr>
          </w:p>
        </w:tc>
      </w:tr>
      <w:tr>
        <w:trPr>
          <w:trHeight w:val="243"/>
        </w:trPr>
        <w:tc>
          <w:tcPr>
            <w:tcW w:w="8340" w:type="dxa"/>
            <w:vAlign w:val="bottom"/>
            <w:gridSpan w:val="4"/>
          </w:tcPr>
          <w:p>
            <w:pPr>
              <w:spacing w:after="0"/>
              <w:rPr>
                <w:sz w:val="20"/>
                <w:szCs w:val="20"/>
                <w:color w:val="auto"/>
              </w:rPr>
            </w:pPr>
            <w:r>
              <w:rPr>
                <w:rFonts w:ascii="Arial" w:cs="Arial" w:eastAsia="Arial" w:hAnsi="Arial"/>
                <w:sz w:val="18"/>
                <w:szCs w:val="18"/>
                <w:color w:val="auto"/>
              </w:rPr>
              <w:t>Investment in securities</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15,463</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20,916</w:t>
            </w:r>
          </w:p>
        </w:tc>
        <w:tc>
          <w:tcPr>
            <w:tcW w:w="0" w:type="dxa"/>
            <w:vAlign w:val="bottom"/>
          </w:tcPr>
          <w:p>
            <w:pPr>
              <w:spacing w:after="0"/>
              <w:rPr>
                <w:sz w:val="1"/>
                <w:szCs w:val="1"/>
                <w:color w:val="auto"/>
              </w:rPr>
            </w:pPr>
          </w:p>
        </w:tc>
      </w:tr>
      <w:tr>
        <w:trPr>
          <w:trHeight w:val="243"/>
        </w:trPr>
        <w:tc>
          <w:tcPr>
            <w:tcW w:w="8340" w:type="dxa"/>
            <w:vAlign w:val="bottom"/>
            <w:gridSpan w:val="4"/>
            <w:shd w:val="clear" w:color="auto" w:fill="CCFFCC"/>
          </w:tcPr>
          <w:p>
            <w:pPr>
              <w:spacing w:after="0"/>
              <w:rPr>
                <w:sz w:val="20"/>
                <w:szCs w:val="20"/>
                <w:color w:val="auto"/>
              </w:rPr>
            </w:pPr>
            <w:r>
              <w:rPr>
                <w:rFonts w:ascii="Arial" w:cs="Arial" w:eastAsia="Arial" w:hAnsi="Arial"/>
                <w:sz w:val="18"/>
                <w:szCs w:val="18"/>
                <w:color w:val="auto"/>
              </w:rPr>
              <w:t>Accounts receivable, less allowance of $644 and</w:t>
            </w:r>
          </w:p>
        </w:tc>
        <w:tc>
          <w:tcPr>
            <w:tcW w:w="160" w:type="dxa"/>
            <w:vAlign w:val="bottom"/>
            <w:shd w:val="clear" w:color="auto" w:fill="CCFFCC"/>
          </w:tcPr>
          <w:p>
            <w:pPr>
              <w:spacing w:after="0"/>
              <w:rPr>
                <w:sz w:val="21"/>
                <w:szCs w:val="21"/>
                <w:color w:val="auto"/>
              </w:rPr>
            </w:pPr>
          </w:p>
        </w:tc>
        <w:tc>
          <w:tcPr>
            <w:tcW w:w="122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4"/>
            <w:shd w:val="clear" w:color="auto" w:fill="CCFFCC"/>
          </w:tcPr>
          <w:p>
            <w:pPr>
              <w:ind w:left="180"/>
              <w:spacing w:after="0"/>
              <w:rPr>
                <w:sz w:val="20"/>
                <w:szCs w:val="20"/>
                <w:color w:val="auto"/>
              </w:rPr>
            </w:pPr>
            <w:r>
              <w:rPr>
                <w:rFonts w:ascii="Arial" w:cs="Arial" w:eastAsia="Arial" w:hAnsi="Arial"/>
                <w:sz w:val="18"/>
                <w:szCs w:val="18"/>
                <w:color w:val="auto"/>
              </w:rPr>
              <w:t>$614 at October 31, 2008 and July 31, 2008, respectively</w:t>
            </w:r>
          </w:p>
        </w:tc>
        <w:tc>
          <w:tcPr>
            <w:tcW w:w="160" w:type="dxa"/>
            <w:vAlign w:val="bottom"/>
            <w:shd w:val="clear" w:color="auto" w:fill="CCFFCC"/>
          </w:tcPr>
          <w:p>
            <w:pPr>
              <w:spacing w:after="0"/>
              <w:rPr>
                <w:sz w:val="21"/>
                <w:szCs w:val="21"/>
                <w:color w:val="auto"/>
              </w:rPr>
            </w:pP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32,763</w:t>
            </w: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31,383</w:t>
            </w:r>
          </w:p>
        </w:tc>
        <w:tc>
          <w:tcPr>
            <w:tcW w:w="0" w:type="dxa"/>
            <w:vAlign w:val="bottom"/>
          </w:tcPr>
          <w:p>
            <w:pPr>
              <w:spacing w:after="0"/>
              <w:rPr>
                <w:sz w:val="1"/>
                <w:szCs w:val="1"/>
                <w:color w:val="auto"/>
              </w:rPr>
            </w:pPr>
          </w:p>
        </w:tc>
      </w:tr>
      <w:tr>
        <w:trPr>
          <w:trHeight w:val="243"/>
        </w:trPr>
        <w:tc>
          <w:tcPr>
            <w:tcW w:w="8340" w:type="dxa"/>
            <w:vAlign w:val="bottom"/>
            <w:gridSpan w:val="4"/>
          </w:tcPr>
          <w:p>
            <w:pPr>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19,833</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17,744</w:t>
            </w:r>
          </w:p>
        </w:tc>
        <w:tc>
          <w:tcPr>
            <w:tcW w:w="0" w:type="dxa"/>
            <w:vAlign w:val="bottom"/>
          </w:tcPr>
          <w:p>
            <w:pPr>
              <w:spacing w:after="0"/>
              <w:rPr>
                <w:sz w:val="1"/>
                <w:szCs w:val="1"/>
                <w:color w:val="auto"/>
              </w:rPr>
            </w:pPr>
          </w:p>
        </w:tc>
      </w:tr>
      <w:tr>
        <w:trPr>
          <w:trHeight w:val="243"/>
        </w:trPr>
        <w:tc>
          <w:tcPr>
            <w:tcW w:w="8340" w:type="dxa"/>
            <w:vAlign w:val="bottom"/>
            <w:gridSpan w:val="4"/>
            <w:shd w:val="clear" w:color="auto" w:fill="CCFFCC"/>
          </w:tcPr>
          <w:p>
            <w:pPr>
              <w:spacing w:after="0"/>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CCFFCC"/>
          </w:tcPr>
          <w:p>
            <w:pPr>
              <w:spacing w:after="0"/>
              <w:rPr>
                <w:sz w:val="21"/>
                <w:szCs w:val="21"/>
                <w:color w:val="auto"/>
              </w:rPr>
            </w:pP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890</w:t>
            </w: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43"/>
        </w:trPr>
        <w:tc>
          <w:tcPr>
            <w:tcW w:w="8340" w:type="dxa"/>
            <w:vAlign w:val="bottom"/>
            <w:gridSpan w:val="4"/>
          </w:tcPr>
          <w:p>
            <w:pPr>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5,379</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40" w:type="dxa"/>
            <w:vAlign w:val="bottom"/>
            <w:gridSpan w:val="4"/>
            <w:shd w:val="clear" w:color="auto" w:fill="CCFFCC"/>
          </w:tcPr>
          <w:p>
            <w:pPr>
              <w:ind w:left="340"/>
              <w:spacing w:after="0"/>
              <w:rPr>
                <w:sz w:val="20"/>
                <w:szCs w:val="20"/>
                <w:color w:val="auto"/>
              </w:rPr>
            </w:pPr>
            <w:r>
              <w:rPr>
                <w:rFonts w:ascii="Arial" w:cs="Arial" w:eastAsia="Arial" w:hAnsi="Arial"/>
                <w:sz w:val="18"/>
                <w:szCs w:val="18"/>
                <w:b w:val="1"/>
                <w:bCs w:val="1"/>
                <w:color w:val="auto"/>
              </w:rPr>
              <w:t>Total Current Assets</w:t>
            </w:r>
          </w:p>
        </w:tc>
        <w:tc>
          <w:tcPr>
            <w:tcW w:w="160" w:type="dxa"/>
            <w:vAlign w:val="bottom"/>
            <w:shd w:val="clear" w:color="auto" w:fill="CCFFCC"/>
          </w:tcPr>
          <w:p>
            <w:pPr>
              <w:spacing w:after="0"/>
              <w:rPr>
                <w:sz w:val="20"/>
                <w:szCs w:val="20"/>
                <w:color w:val="auto"/>
              </w:rPr>
            </w:pP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75,636</w:t>
            </w:r>
          </w:p>
        </w:tc>
        <w:tc>
          <w:tcPr>
            <w:tcW w:w="14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82,651</w:t>
            </w:r>
          </w:p>
        </w:tc>
        <w:tc>
          <w:tcPr>
            <w:tcW w:w="0" w:type="dxa"/>
            <w:vAlign w:val="bottom"/>
          </w:tcPr>
          <w:p>
            <w:pPr>
              <w:spacing w:after="0"/>
              <w:rPr>
                <w:sz w:val="1"/>
                <w:szCs w:val="1"/>
                <w:color w:val="auto"/>
              </w:rPr>
            </w:pPr>
          </w:p>
        </w:tc>
      </w:tr>
      <w:tr>
        <w:trPr>
          <w:trHeight w:val="237"/>
        </w:trPr>
        <w:tc>
          <w:tcPr>
            <w:tcW w:w="1000" w:type="dxa"/>
            <w:vAlign w:val="bottom"/>
            <w:tcBorders>
              <w:top w:val="single" w:sz="8" w:color="CCFFCC"/>
            </w:tcBorders>
          </w:tcPr>
          <w:p>
            <w:pPr>
              <w:spacing w:after="0"/>
              <w:rPr>
                <w:sz w:val="20"/>
                <w:szCs w:val="20"/>
                <w:color w:val="auto"/>
              </w:rPr>
            </w:pPr>
          </w:p>
        </w:tc>
        <w:tc>
          <w:tcPr>
            <w:tcW w:w="160" w:type="dxa"/>
            <w:vAlign w:val="bottom"/>
            <w:tcBorders>
              <w:top w:val="single" w:sz="8" w:color="CCFFCC"/>
            </w:tcBorders>
          </w:tcPr>
          <w:p>
            <w:pPr>
              <w:spacing w:after="0"/>
              <w:rPr>
                <w:sz w:val="20"/>
                <w:szCs w:val="20"/>
                <w:color w:val="auto"/>
              </w:rPr>
            </w:pPr>
          </w:p>
        </w:tc>
        <w:tc>
          <w:tcPr>
            <w:tcW w:w="1260" w:type="dxa"/>
            <w:vAlign w:val="bottom"/>
            <w:tcBorders>
              <w:top w:val="single" w:sz="8" w:color="CCFFCC"/>
            </w:tcBorders>
          </w:tcPr>
          <w:p>
            <w:pPr>
              <w:spacing w:after="0"/>
              <w:rPr>
                <w:sz w:val="20"/>
                <w:szCs w:val="20"/>
                <w:color w:val="auto"/>
              </w:rPr>
            </w:pPr>
          </w:p>
        </w:tc>
        <w:tc>
          <w:tcPr>
            <w:tcW w:w="5920" w:type="dxa"/>
            <w:vAlign w:val="bottom"/>
            <w:tcBorders>
              <w:top w:val="single" w:sz="8" w:color="CCFFCC"/>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40" w:type="dxa"/>
            <w:vAlign w:val="bottom"/>
            <w:tcBorders>
              <w:top w:val="single" w:sz="8" w:color="CCFFCC"/>
            </w:tcBorders>
          </w:tcPr>
          <w:p>
            <w:pPr>
              <w:spacing w:after="0"/>
              <w:rPr>
                <w:sz w:val="20"/>
                <w:szCs w:val="20"/>
                <w:color w:val="auto"/>
              </w:rPr>
            </w:pPr>
          </w:p>
        </w:tc>
        <w:tc>
          <w:tcPr>
            <w:tcW w:w="80" w:type="dxa"/>
            <w:vAlign w:val="bottom"/>
            <w:tcBorders>
              <w:top w:val="single" w:sz="8" w:color="CCFFCC"/>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340" w:type="dxa"/>
            <w:vAlign w:val="bottom"/>
            <w:gridSpan w:val="4"/>
            <w:shd w:val="clear" w:color="auto" w:fill="CCFFCC"/>
          </w:tcPr>
          <w:p>
            <w:pPr>
              <w:spacing w:after="0" w:line="202" w:lineRule="exact"/>
              <w:rPr>
                <w:sz w:val="20"/>
                <w:szCs w:val="20"/>
                <w:color w:val="auto"/>
              </w:rPr>
            </w:pPr>
            <w:r>
              <w:rPr>
                <w:rFonts w:ascii="Arial" w:cs="Arial" w:eastAsia="Arial" w:hAnsi="Arial"/>
                <w:sz w:val="18"/>
                <w:szCs w:val="18"/>
                <w:b w:val="1"/>
                <w:bCs w:val="1"/>
                <w:color w:val="auto"/>
              </w:rPr>
              <w:t>Property, Plant and Equipment</w:t>
            </w:r>
          </w:p>
        </w:tc>
        <w:tc>
          <w:tcPr>
            <w:tcW w:w="160" w:type="dxa"/>
            <w:vAlign w:val="bottom"/>
            <w:shd w:val="clear" w:color="auto" w:fill="CCFFCC"/>
          </w:tcPr>
          <w:p>
            <w:pPr>
              <w:spacing w:after="0"/>
              <w:rPr>
                <w:sz w:val="19"/>
                <w:szCs w:val="19"/>
                <w:color w:val="auto"/>
              </w:rPr>
            </w:pPr>
          </w:p>
        </w:tc>
        <w:tc>
          <w:tcPr>
            <w:tcW w:w="122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14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42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Cost</w:t>
            </w:r>
          </w:p>
        </w:tc>
        <w:tc>
          <w:tcPr>
            <w:tcW w:w="5920" w:type="dxa"/>
            <w:vAlign w:val="bottom"/>
            <w:tcBorders>
              <w:top w:val="single" w:sz="8" w:color="CCFFCC"/>
            </w:tcBorders>
          </w:tcPr>
          <w:p>
            <w:pPr>
              <w:spacing w:after="0"/>
              <w:rPr>
                <w:sz w:val="21"/>
                <w:szCs w:val="21"/>
                <w:color w:val="auto"/>
              </w:rPr>
            </w:pPr>
          </w:p>
        </w:tc>
        <w:tc>
          <w:tcPr>
            <w:tcW w:w="160" w:type="dxa"/>
            <w:vAlign w:val="bottom"/>
            <w:tcBorders>
              <w:top w:val="single" w:sz="8" w:color="CCFFCC"/>
            </w:tcBorders>
          </w:tcPr>
          <w:p>
            <w:pPr>
              <w:spacing w:after="0"/>
              <w:rPr>
                <w:sz w:val="21"/>
                <w:szCs w:val="21"/>
                <w:color w:val="auto"/>
              </w:rPr>
            </w:pPr>
          </w:p>
        </w:tc>
        <w:tc>
          <w:tcPr>
            <w:tcW w:w="1220" w:type="dxa"/>
            <w:vAlign w:val="bottom"/>
            <w:tcBorders>
              <w:top w:val="single" w:sz="8" w:color="CCFFCC"/>
            </w:tcBorders>
          </w:tcPr>
          <w:p>
            <w:pPr>
              <w:jc w:val="right"/>
              <w:spacing w:after="0"/>
              <w:rPr>
                <w:sz w:val="20"/>
                <w:szCs w:val="20"/>
                <w:color w:val="auto"/>
              </w:rPr>
            </w:pPr>
            <w:r>
              <w:rPr>
                <w:rFonts w:ascii="Arial" w:cs="Arial" w:eastAsia="Arial" w:hAnsi="Arial"/>
                <w:sz w:val="18"/>
                <w:szCs w:val="18"/>
                <w:b w:val="1"/>
                <w:bCs w:val="1"/>
                <w:color w:val="auto"/>
              </w:rPr>
              <w:t>157,796</w:t>
            </w:r>
          </w:p>
        </w:tc>
        <w:tc>
          <w:tcPr>
            <w:tcW w:w="140" w:type="dxa"/>
            <w:vAlign w:val="bottom"/>
            <w:tcBorders>
              <w:top w:val="single" w:sz="8" w:color="CCFFCC"/>
            </w:tcBorders>
          </w:tcPr>
          <w:p>
            <w:pPr>
              <w:spacing w:after="0"/>
              <w:rPr>
                <w:sz w:val="21"/>
                <w:szCs w:val="21"/>
                <w:color w:val="auto"/>
              </w:rPr>
            </w:pPr>
          </w:p>
        </w:tc>
        <w:tc>
          <w:tcPr>
            <w:tcW w:w="80" w:type="dxa"/>
            <w:vAlign w:val="bottom"/>
            <w:tcBorders>
              <w:top w:val="single" w:sz="8" w:color="CCFFCC"/>
            </w:tcBorders>
          </w:tcPr>
          <w:p>
            <w:pPr>
              <w:spacing w:after="0"/>
              <w:rPr>
                <w:sz w:val="21"/>
                <w:szCs w:val="21"/>
                <w:color w:val="auto"/>
              </w:rPr>
            </w:pPr>
          </w:p>
        </w:tc>
        <w:tc>
          <w:tcPr>
            <w:tcW w:w="240" w:type="dxa"/>
            <w:vAlign w:val="bottom"/>
            <w:tcBorders>
              <w:top w:val="single" w:sz="8" w:color="CCFFCC"/>
            </w:tcBorders>
          </w:tcPr>
          <w:p>
            <w:pPr>
              <w:spacing w:after="0"/>
              <w:rPr>
                <w:sz w:val="21"/>
                <w:szCs w:val="21"/>
                <w:color w:val="auto"/>
              </w:rPr>
            </w:pPr>
          </w:p>
        </w:tc>
        <w:tc>
          <w:tcPr>
            <w:tcW w:w="1240" w:type="dxa"/>
            <w:vAlign w:val="bottom"/>
            <w:tcBorders>
              <w:top w:val="single" w:sz="8" w:color="CCFFCC"/>
            </w:tcBorders>
            <w:gridSpan w:val="2"/>
          </w:tcPr>
          <w:p>
            <w:pPr>
              <w:jc w:val="right"/>
              <w:ind w:right="100"/>
              <w:spacing w:after="0"/>
              <w:rPr>
                <w:sz w:val="20"/>
                <w:szCs w:val="20"/>
                <w:color w:val="auto"/>
              </w:rPr>
            </w:pPr>
            <w:r>
              <w:rPr>
                <w:rFonts w:ascii="Arial" w:cs="Arial" w:eastAsia="Arial" w:hAnsi="Arial"/>
                <w:sz w:val="18"/>
                <w:szCs w:val="18"/>
                <w:color w:val="auto"/>
              </w:rPr>
              <w:t>155,934</w:t>
            </w:r>
          </w:p>
        </w:tc>
        <w:tc>
          <w:tcPr>
            <w:tcW w:w="0" w:type="dxa"/>
            <w:vAlign w:val="bottom"/>
          </w:tcPr>
          <w:p>
            <w:pPr>
              <w:spacing w:after="0"/>
              <w:rPr>
                <w:sz w:val="1"/>
                <w:szCs w:val="1"/>
                <w:color w:val="auto"/>
              </w:rPr>
            </w:pPr>
          </w:p>
        </w:tc>
      </w:tr>
      <w:tr>
        <w:trPr>
          <w:trHeight w:val="243"/>
        </w:trPr>
        <w:tc>
          <w:tcPr>
            <w:tcW w:w="8340" w:type="dxa"/>
            <w:vAlign w:val="bottom"/>
            <w:gridSpan w:val="4"/>
            <w:shd w:val="clear" w:color="auto" w:fill="CCFFCC"/>
          </w:tcPr>
          <w:p>
            <w:pPr>
              <w:spacing w:after="0"/>
              <w:rPr>
                <w:sz w:val="20"/>
                <w:szCs w:val="20"/>
                <w:color w:val="auto"/>
              </w:rPr>
            </w:pPr>
            <w:r>
              <w:rPr>
                <w:rFonts w:ascii="Arial" w:cs="Arial" w:eastAsia="Arial" w:hAnsi="Arial"/>
                <w:sz w:val="18"/>
                <w:szCs w:val="18"/>
                <w:color w:val="auto"/>
              </w:rPr>
              <w:t>Less accumulated depreciation and amortization</w:t>
            </w:r>
          </w:p>
        </w:tc>
        <w:tc>
          <w:tcPr>
            <w:tcW w:w="160" w:type="dxa"/>
            <w:vAlign w:val="bottom"/>
            <w:shd w:val="clear" w:color="auto" w:fill="CCFFCC"/>
          </w:tcPr>
          <w:p>
            <w:pPr>
              <w:spacing w:after="0"/>
              <w:rPr>
                <w:sz w:val="21"/>
                <w:szCs w:val="21"/>
                <w:color w:val="auto"/>
              </w:rPr>
            </w:pPr>
          </w:p>
        </w:tc>
        <w:tc>
          <w:tcPr>
            <w:tcW w:w="13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(105,019)</w:t>
            </w:r>
          </w:p>
        </w:tc>
        <w:tc>
          <w:tcPr>
            <w:tcW w:w="8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(104,494)</w:t>
            </w:r>
          </w:p>
        </w:tc>
        <w:tc>
          <w:tcPr>
            <w:tcW w:w="0" w:type="dxa"/>
            <w:vAlign w:val="bottom"/>
          </w:tcPr>
          <w:p>
            <w:pPr>
              <w:spacing w:after="0"/>
              <w:rPr>
                <w:sz w:val="1"/>
                <w:szCs w:val="1"/>
                <w:color w:val="auto"/>
              </w:rPr>
            </w:pPr>
          </w:p>
        </w:tc>
      </w:tr>
      <w:tr>
        <w:trPr>
          <w:trHeight w:val="237"/>
        </w:trPr>
        <w:tc>
          <w:tcPr>
            <w:tcW w:w="8340" w:type="dxa"/>
            <w:vAlign w:val="bottom"/>
            <w:tcBorders>
              <w:top w:val="single" w:sz="8" w:color="CCFFCC"/>
            </w:tcBorders>
            <w:gridSpan w:val="4"/>
          </w:tcPr>
          <w:p>
            <w:pPr>
              <w:ind w:left="340"/>
              <w:spacing w:after="0"/>
              <w:rPr>
                <w:sz w:val="20"/>
                <w:szCs w:val="20"/>
                <w:color w:val="auto"/>
              </w:rPr>
            </w:pPr>
            <w:r>
              <w:rPr>
                <w:rFonts w:ascii="Arial" w:cs="Arial" w:eastAsia="Arial" w:hAnsi="Arial"/>
                <w:sz w:val="18"/>
                <w:szCs w:val="18"/>
                <w:b w:val="1"/>
                <w:bCs w:val="1"/>
                <w:color w:val="auto"/>
              </w:rPr>
              <w:t>Total Property, Plant and Equipment, Net</w:t>
            </w:r>
          </w:p>
        </w:tc>
        <w:tc>
          <w:tcPr>
            <w:tcW w:w="1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52,777</w:t>
            </w:r>
          </w:p>
        </w:tc>
        <w:tc>
          <w:tcPr>
            <w:tcW w:w="140" w:type="dxa"/>
            <w:vAlign w:val="bottom"/>
            <w:tcBorders>
              <w:top w:val="single" w:sz="8" w:color="CCFFCC"/>
            </w:tcBorders>
          </w:tcPr>
          <w:p>
            <w:pPr>
              <w:spacing w:after="0"/>
              <w:rPr>
                <w:sz w:val="20"/>
                <w:szCs w:val="20"/>
                <w:color w:val="auto"/>
              </w:rPr>
            </w:pPr>
          </w:p>
        </w:tc>
        <w:tc>
          <w:tcPr>
            <w:tcW w:w="80" w:type="dxa"/>
            <w:vAlign w:val="bottom"/>
            <w:tcBorders>
              <w:top w:val="single" w:sz="8" w:color="CCFFC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51,440</w:t>
            </w:r>
          </w:p>
        </w:tc>
        <w:tc>
          <w:tcPr>
            <w:tcW w:w="100" w:type="dxa"/>
            <w:vAlign w:val="bottom"/>
            <w:tcBorders>
              <w:top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0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260" w:type="dxa"/>
            <w:vAlign w:val="bottom"/>
            <w:shd w:val="clear" w:color="auto" w:fill="CCFFCC"/>
          </w:tcPr>
          <w:p>
            <w:pPr>
              <w:spacing w:after="0"/>
              <w:rPr>
                <w:sz w:val="20"/>
                <w:szCs w:val="20"/>
                <w:color w:val="auto"/>
              </w:rPr>
            </w:pPr>
          </w:p>
        </w:tc>
        <w:tc>
          <w:tcPr>
            <w:tcW w:w="592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2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114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340" w:type="dxa"/>
            <w:vAlign w:val="bottom"/>
            <w:gridSpan w:val="4"/>
          </w:tcPr>
          <w:p>
            <w:pPr>
              <w:spacing w:after="0" w:line="202" w:lineRule="exact"/>
              <w:rPr>
                <w:sz w:val="20"/>
                <w:szCs w:val="20"/>
                <w:color w:val="auto"/>
              </w:rPr>
            </w:pPr>
            <w:r>
              <w:rPr>
                <w:rFonts w:ascii="Arial" w:cs="Arial" w:eastAsia="Arial" w:hAnsi="Arial"/>
                <w:sz w:val="18"/>
                <w:szCs w:val="18"/>
                <w:b w:val="1"/>
                <w:bCs w:val="1"/>
                <w:color w:val="auto"/>
              </w:rPr>
              <w:t>Other Assets</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00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8340" w:type="dxa"/>
            <w:vAlign w:val="bottom"/>
            <w:gridSpan w:val="4"/>
            <w:shd w:val="clear" w:color="auto" w:fill="CCFFCC"/>
          </w:tcPr>
          <w:p>
            <w:pPr>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FFCC"/>
          </w:tcPr>
          <w:p>
            <w:pPr>
              <w:spacing w:after="0"/>
              <w:rPr>
                <w:sz w:val="21"/>
                <w:szCs w:val="21"/>
                <w:color w:val="auto"/>
              </w:rPr>
            </w:pP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5,162</w:t>
            </w: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5,162</w:t>
            </w:r>
          </w:p>
        </w:tc>
        <w:tc>
          <w:tcPr>
            <w:tcW w:w="0" w:type="dxa"/>
            <w:vAlign w:val="bottom"/>
          </w:tcPr>
          <w:p>
            <w:pPr>
              <w:spacing w:after="0"/>
              <w:rPr>
                <w:sz w:val="1"/>
                <w:szCs w:val="1"/>
                <w:color w:val="auto"/>
              </w:rPr>
            </w:pPr>
          </w:p>
        </w:tc>
      </w:tr>
      <w:tr>
        <w:trPr>
          <w:trHeight w:val="243"/>
        </w:trPr>
        <w:tc>
          <w:tcPr>
            <w:tcW w:w="8340" w:type="dxa"/>
            <w:vAlign w:val="bottom"/>
            <w:gridSpan w:val="4"/>
          </w:tcPr>
          <w:p>
            <w:pPr>
              <w:spacing w:after="0"/>
              <w:rPr>
                <w:sz w:val="20"/>
                <w:szCs w:val="20"/>
                <w:color w:val="auto"/>
              </w:rPr>
            </w:pPr>
            <w:r>
              <w:rPr>
                <w:rFonts w:ascii="Arial" w:cs="Arial" w:eastAsia="Arial" w:hAnsi="Arial"/>
                <w:sz w:val="18"/>
                <w:szCs w:val="18"/>
                <w:color w:val="auto"/>
              </w:rPr>
              <w:t>Trademarks and patents, net of accumulated amortization</w:t>
            </w: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4"/>
          </w:tcPr>
          <w:p>
            <w:pPr>
              <w:ind w:left="180"/>
              <w:spacing w:after="0"/>
              <w:rPr>
                <w:sz w:val="20"/>
                <w:szCs w:val="20"/>
                <w:color w:val="auto"/>
              </w:rPr>
            </w:pPr>
            <w:r>
              <w:rPr>
                <w:rFonts w:ascii="Arial" w:cs="Arial" w:eastAsia="Arial" w:hAnsi="Arial"/>
                <w:sz w:val="18"/>
                <w:szCs w:val="18"/>
                <w:color w:val="auto"/>
              </w:rPr>
              <w:t>of $356 and $349 at October 31, 2008 and July 31, 2008, respectively</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734</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43"/>
        </w:trPr>
        <w:tc>
          <w:tcPr>
            <w:tcW w:w="8340" w:type="dxa"/>
            <w:vAlign w:val="bottom"/>
            <w:gridSpan w:val="4"/>
            <w:shd w:val="clear" w:color="auto" w:fill="CCFFCC"/>
          </w:tcPr>
          <w:p>
            <w:pPr>
              <w:spacing w:after="0"/>
              <w:rPr>
                <w:sz w:val="20"/>
                <w:szCs w:val="20"/>
                <w:color w:val="auto"/>
              </w:rPr>
            </w:pPr>
            <w:r>
              <w:rPr>
                <w:rFonts w:ascii="Arial" w:cs="Arial" w:eastAsia="Arial" w:hAnsi="Arial"/>
                <w:sz w:val="18"/>
                <w:szCs w:val="18"/>
                <w:color w:val="auto"/>
              </w:rPr>
              <w:t>Debt issuance costs, net of accumulated amortization</w:t>
            </w:r>
          </w:p>
        </w:tc>
        <w:tc>
          <w:tcPr>
            <w:tcW w:w="160" w:type="dxa"/>
            <w:vAlign w:val="bottom"/>
            <w:shd w:val="clear" w:color="auto" w:fill="CCFFCC"/>
          </w:tcPr>
          <w:p>
            <w:pPr>
              <w:spacing w:after="0"/>
              <w:rPr>
                <w:sz w:val="21"/>
                <w:szCs w:val="21"/>
                <w:color w:val="auto"/>
              </w:rPr>
            </w:pPr>
          </w:p>
        </w:tc>
        <w:tc>
          <w:tcPr>
            <w:tcW w:w="122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4"/>
            <w:shd w:val="clear" w:color="auto" w:fill="CCFFCC"/>
          </w:tcPr>
          <w:p>
            <w:pPr>
              <w:ind w:left="180"/>
              <w:spacing w:after="0"/>
              <w:rPr>
                <w:sz w:val="20"/>
                <w:szCs w:val="20"/>
                <w:color w:val="auto"/>
              </w:rPr>
            </w:pPr>
            <w:r>
              <w:rPr>
                <w:rFonts w:ascii="Arial" w:cs="Arial" w:eastAsia="Arial" w:hAnsi="Arial"/>
                <w:sz w:val="18"/>
                <w:szCs w:val="18"/>
                <w:color w:val="auto"/>
              </w:rPr>
              <w:t>of $544 and $525 at October 31, 2008 and July 31, 2008, respectively</w:t>
            </w:r>
          </w:p>
        </w:tc>
        <w:tc>
          <w:tcPr>
            <w:tcW w:w="160" w:type="dxa"/>
            <w:vAlign w:val="bottom"/>
            <w:shd w:val="clear" w:color="auto" w:fill="CCFFCC"/>
          </w:tcPr>
          <w:p>
            <w:pPr>
              <w:spacing w:after="0"/>
              <w:rPr>
                <w:sz w:val="21"/>
                <w:szCs w:val="21"/>
                <w:color w:val="auto"/>
              </w:rPr>
            </w:pP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319</w:t>
            </w: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29"/>
        </w:trPr>
        <w:tc>
          <w:tcPr>
            <w:tcW w:w="8340" w:type="dxa"/>
            <w:vAlign w:val="bottom"/>
            <w:gridSpan w:val="4"/>
          </w:tcPr>
          <w:p>
            <w:pPr>
              <w:spacing w:after="0"/>
              <w:rPr>
                <w:sz w:val="20"/>
                <w:szCs w:val="20"/>
                <w:color w:val="auto"/>
              </w:rPr>
            </w:pPr>
            <w:r>
              <w:rPr>
                <w:rFonts w:ascii="Arial" w:cs="Arial" w:eastAsia="Arial" w:hAnsi="Arial"/>
                <w:sz w:val="18"/>
                <w:szCs w:val="18"/>
                <w:color w:val="auto"/>
              </w:rPr>
              <w:t>Licensing agreements and non-compete agreements, net of</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40" w:type="dxa"/>
            <w:vAlign w:val="bottom"/>
            <w:gridSpan w:val="4"/>
          </w:tcPr>
          <w:p>
            <w:pPr>
              <w:ind w:left="180"/>
              <w:spacing w:after="0"/>
              <w:rPr>
                <w:sz w:val="20"/>
                <w:szCs w:val="20"/>
                <w:color w:val="auto"/>
              </w:rPr>
            </w:pPr>
            <w:r>
              <w:rPr>
                <w:rFonts w:ascii="Arial" w:cs="Arial" w:eastAsia="Arial" w:hAnsi="Arial"/>
                <w:sz w:val="18"/>
                <w:szCs w:val="18"/>
                <w:color w:val="auto"/>
              </w:rPr>
              <w:t>accumulated amortization of $3,083 and $2,987 at</w:t>
            </w:r>
          </w:p>
        </w:tc>
        <w:tc>
          <w:tcPr>
            <w:tcW w:w="160" w:type="dxa"/>
            <w:vAlign w:val="bottom"/>
          </w:tcPr>
          <w:p>
            <w:pPr>
              <w:spacing w:after="0"/>
              <w:rPr>
                <w:sz w:val="18"/>
                <w:szCs w:val="18"/>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1,656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40" w:type="dxa"/>
            <w:vAlign w:val="bottom"/>
            <w:gridSpan w:val="4"/>
          </w:tcPr>
          <w:p>
            <w:pPr>
              <w:ind w:left="180"/>
              <w:spacing w:after="0"/>
              <w:rPr>
                <w:sz w:val="20"/>
                <w:szCs w:val="20"/>
                <w:color w:val="auto"/>
              </w:rPr>
            </w:pPr>
            <w:r>
              <w:rPr>
                <w:rFonts w:ascii="Arial" w:cs="Arial" w:eastAsia="Arial" w:hAnsi="Arial"/>
                <w:sz w:val="18"/>
                <w:szCs w:val="18"/>
                <w:color w:val="auto"/>
              </w:rPr>
              <w:t>October 31, 2008 and July 31, 2008, respectively</w:t>
            </w:r>
          </w:p>
        </w:tc>
        <w:tc>
          <w:tcPr>
            <w:tcW w:w="16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1,752</w:t>
            </w:r>
          </w:p>
        </w:tc>
        <w:tc>
          <w:tcPr>
            <w:tcW w:w="0" w:type="dxa"/>
            <w:vAlign w:val="bottom"/>
          </w:tcPr>
          <w:p>
            <w:pPr>
              <w:spacing w:after="0"/>
              <w:rPr>
                <w:sz w:val="1"/>
                <w:szCs w:val="1"/>
                <w:color w:val="auto"/>
              </w:rPr>
            </w:pPr>
          </w:p>
        </w:tc>
      </w:tr>
      <w:tr>
        <w:trPr>
          <w:trHeight w:val="243"/>
        </w:trPr>
        <w:tc>
          <w:tcPr>
            <w:tcW w:w="8340" w:type="dxa"/>
            <w:vAlign w:val="bottom"/>
            <w:gridSpan w:val="4"/>
            <w:shd w:val="clear" w:color="auto" w:fill="CCFFCC"/>
          </w:tcPr>
          <w:p>
            <w:pPr>
              <w:spacing w:after="0"/>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CCFFCC"/>
          </w:tcPr>
          <w:p>
            <w:pPr>
              <w:spacing w:after="0"/>
              <w:rPr>
                <w:sz w:val="21"/>
                <w:szCs w:val="21"/>
                <w:color w:val="auto"/>
              </w:rPr>
            </w:pP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2,112</w:t>
            </w: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2,048</w:t>
            </w:r>
          </w:p>
        </w:tc>
        <w:tc>
          <w:tcPr>
            <w:tcW w:w="0" w:type="dxa"/>
            <w:vAlign w:val="bottom"/>
          </w:tcPr>
          <w:p>
            <w:pPr>
              <w:spacing w:after="0"/>
              <w:rPr>
                <w:sz w:val="1"/>
                <w:szCs w:val="1"/>
                <w:color w:val="auto"/>
              </w:rPr>
            </w:pPr>
          </w:p>
        </w:tc>
      </w:tr>
      <w:tr>
        <w:trPr>
          <w:trHeight w:val="243"/>
        </w:trPr>
        <w:tc>
          <w:tcPr>
            <w:tcW w:w="8340" w:type="dxa"/>
            <w:vAlign w:val="bottom"/>
            <w:gridSpan w:val="4"/>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4,746</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40" w:type="dxa"/>
            <w:vAlign w:val="bottom"/>
            <w:tcBorders>
              <w:bottom w:val="single" w:sz="8" w:color="CCFFCC"/>
            </w:tcBorders>
            <w:gridSpan w:val="4"/>
            <w:shd w:val="clear" w:color="auto" w:fill="CCFFCC"/>
          </w:tcPr>
          <w:p>
            <w:pPr>
              <w:ind w:left="340"/>
              <w:spacing w:after="0"/>
              <w:rPr>
                <w:sz w:val="20"/>
                <w:szCs w:val="20"/>
                <w:color w:val="auto"/>
              </w:rPr>
            </w:pPr>
            <w:r>
              <w:rPr>
                <w:rFonts w:ascii="Arial" w:cs="Arial" w:eastAsia="Arial" w:hAnsi="Arial"/>
                <w:sz w:val="18"/>
                <w:szCs w:val="18"/>
                <w:b w:val="1"/>
                <w:bCs w:val="1"/>
                <w:color w:val="auto"/>
              </w:rPr>
              <w:t>Total Other Assets</w:t>
            </w:r>
          </w:p>
        </w:tc>
        <w:tc>
          <w:tcPr>
            <w:tcW w:w="160" w:type="dxa"/>
            <w:vAlign w:val="bottom"/>
            <w:tcBorders>
              <w:bottom w:val="single" w:sz="8" w:color="auto"/>
            </w:tcBorders>
            <w:shd w:val="clear" w:color="auto" w:fill="CCFFCC"/>
          </w:tcPr>
          <w:p>
            <w:pPr>
              <w:spacing w:after="0"/>
              <w:rPr>
                <w:sz w:val="20"/>
                <w:szCs w:val="20"/>
                <w:color w:val="auto"/>
              </w:rPr>
            </w:pPr>
          </w:p>
        </w:tc>
        <w:tc>
          <w:tcPr>
            <w:tcW w:w="12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14,729</w:t>
            </w:r>
          </w:p>
        </w:tc>
        <w:tc>
          <w:tcPr>
            <w:tcW w:w="140" w:type="dxa"/>
            <w:vAlign w:val="bottom"/>
            <w:tcBorders>
              <w:bottom w:val="single" w:sz="8" w:color="CCFFCC"/>
            </w:tcBorders>
            <w:shd w:val="clear" w:color="auto" w:fill="CCFFCC"/>
          </w:tcPr>
          <w:p>
            <w:pPr>
              <w:spacing w:after="0"/>
              <w:rPr>
                <w:sz w:val="20"/>
                <w:szCs w:val="20"/>
                <w:color w:val="auto"/>
              </w:rPr>
            </w:pPr>
          </w:p>
        </w:tc>
        <w:tc>
          <w:tcPr>
            <w:tcW w:w="80" w:type="dxa"/>
            <w:vAlign w:val="bottom"/>
            <w:tcBorders>
              <w:bottom w:val="single" w:sz="8" w:color="CCFFCC"/>
            </w:tcBorders>
            <w:shd w:val="clear" w:color="auto" w:fill="CCFFCC"/>
          </w:tcPr>
          <w:p>
            <w:pPr>
              <w:spacing w:after="0"/>
              <w:rPr>
                <w:sz w:val="20"/>
                <w:szCs w:val="20"/>
                <w:color w:val="auto"/>
              </w:rPr>
            </w:pPr>
          </w:p>
        </w:tc>
        <w:tc>
          <w:tcPr>
            <w:tcW w:w="240" w:type="dxa"/>
            <w:vAlign w:val="bottom"/>
            <w:tcBorders>
              <w:bottom w:val="single" w:sz="8" w:color="auto"/>
            </w:tcBorders>
            <w:shd w:val="clear" w:color="auto" w:fill="CCFFCC"/>
          </w:tcPr>
          <w:p>
            <w:pPr>
              <w:spacing w:after="0"/>
              <w:rPr>
                <w:sz w:val="20"/>
                <w:szCs w:val="20"/>
                <w:color w:val="auto"/>
              </w:rPr>
            </w:pPr>
          </w:p>
        </w:tc>
        <w:tc>
          <w:tcPr>
            <w:tcW w:w="1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14,897</w:t>
            </w:r>
          </w:p>
        </w:tc>
        <w:tc>
          <w:tcPr>
            <w:tcW w:w="100" w:type="dxa"/>
            <w:vAlign w:val="bottom"/>
            <w:tcBorders>
              <w:bottom w:val="single" w:sz="8" w:color="CCFFCC"/>
            </w:tcBorders>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gridSpan w:val="2"/>
          </w:tcPr>
          <w:p>
            <w:pPr>
              <w:spacing w:after="0"/>
              <w:rPr>
                <w:sz w:val="20"/>
                <w:szCs w:val="20"/>
                <w:color w:val="auto"/>
              </w:rPr>
            </w:pPr>
          </w:p>
        </w:tc>
        <w:tc>
          <w:tcPr>
            <w:tcW w:w="124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8340" w:type="dxa"/>
            <w:vAlign w:val="bottom"/>
            <w:gridSpan w:val="4"/>
            <w:shd w:val="clear" w:color="auto" w:fill="CCFFCC"/>
          </w:tcPr>
          <w:p>
            <w:pPr>
              <w:spacing w:after="0"/>
              <w:rPr>
                <w:sz w:val="20"/>
                <w:szCs w:val="20"/>
                <w:color w:val="auto"/>
              </w:rPr>
            </w:pPr>
            <w:r>
              <w:rPr>
                <w:rFonts w:ascii="Arial" w:cs="Arial" w:eastAsia="Arial" w:hAnsi="Arial"/>
                <w:sz w:val="18"/>
                <w:szCs w:val="18"/>
                <w:b w:val="1"/>
                <w:bCs w:val="1"/>
                <w:color w:val="auto"/>
              </w:rPr>
              <w:t>Total Assets</w:t>
            </w: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143,142</w:t>
            </w:r>
          </w:p>
        </w:tc>
        <w:tc>
          <w:tcPr>
            <w:tcW w:w="140" w:type="dxa"/>
            <w:vAlign w:val="bottom"/>
            <w:shd w:val="clear" w:color="auto" w:fill="CCFFCC"/>
          </w:tcPr>
          <w:p>
            <w:pPr>
              <w:spacing w:after="0"/>
              <w:rPr>
                <w:sz w:val="24"/>
                <w:szCs w:val="24"/>
                <w:color w:val="auto"/>
              </w:rPr>
            </w:pPr>
          </w:p>
        </w:tc>
        <w:tc>
          <w:tcPr>
            <w:tcW w:w="3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148,988</w:t>
            </w:r>
          </w:p>
        </w:tc>
        <w:tc>
          <w:tcPr>
            <w:tcW w:w="0" w:type="dxa"/>
            <w:vAlign w:val="bottom"/>
          </w:tcPr>
          <w:p>
            <w:pPr>
              <w:spacing w:after="0"/>
              <w:rPr>
                <w:sz w:val="1"/>
                <w:szCs w:val="1"/>
                <w:color w:val="auto"/>
              </w:rPr>
            </w:pPr>
          </w:p>
        </w:tc>
      </w:tr>
      <w:tr>
        <w:trPr>
          <w:trHeight w:val="467"/>
        </w:trPr>
        <w:tc>
          <w:tcPr>
            <w:tcW w:w="8340" w:type="dxa"/>
            <w:vAlign w:val="bottom"/>
            <w:tcBorders>
              <w:top w:val="single" w:sz="8" w:color="CCFFCC"/>
            </w:tcBorders>
            <w:gridSpan w:val="4"/>
          </w:tcPr>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tc>
        <w:tc>
          <w:tcPr>
            <w:tcW w:w="1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40" w:type="dxa"/>
            <w:vAlign w:val="bottom"/>
            <w:tcBorders>
              <w:top w:val="single" w:sz="8" w:color="CCFFCC"/>
            </w:tcBorders>
          </w:tcPr>
          <w:p>
            <w:pPr>
              <w:spacing w:after="0"/>
              <w:rPr>
                <w:sz w:val="24"/>
                <w:szCs w:val="24"/>
                <w:color w:val="auto"/>
              </w:rPr>
            </w:pPr>
          </w:p>
        </w:tc>
        <w:tc>
          <w:tcPr>
            <w:tcW w:w="80" w:type="dxa"/>
            <w:vAlign w:val="bottom"/>
            <w:tcBorders>
              <w:top w:val="single" w:sz="8" w:color="CCFFC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340" w:type="dxa"/>
            <w:vAlign w:val="bottom"/>
            <w:gridSpan w:val="4"/>
          </w:tcPr>
          <w:p>
            <w:pPr>
              <w:jc w:val="center"/>
              <w:ind w:left="2990"/>
              <w:spacing w:after="0"/>
              <w:rPr>
                <w:sz w:val="20"/>
                <w:szCs w:val="20"/>
                <w:color w:val="auto"/>
              </w:rPr>
            </w:pPr>
            <w:r>
              <w:rPr>
                <w:rFonts w:ascii="Arial" w:cs="Arial" w:eastAsia="Arial" w:hAnsi="Arial"/>
                <w:sz w:val="18"/>
                <w:szCs w:val="18"/>
                <w:color w:val="auto"/>
                <w:w w:val="99"/>
              </w:rPr>
              <w:t>3</w:t>
            </w: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0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59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 w:name="page4"/>
    <w:bookmarkEnd w:id="3"/>
    <w:p>
      <w:pPr>
        <w:jc w:val="center"/>
        <w:ind w:left="820"/>
        <w:spacing w:after="0"/>
        <w:rPr>
          <w:sz w:val="20"/>
          <w:szCs w:val="20"/>
          <w:color w:val="auto"/>
        </w:rPr>
      </w:pPr>
      <w:r>
        <w:rPr>
          <w:rFonts w:ascii="Arial" w:cs="Arial" w:eastAsia="Arial" w:hAnsi="Arial"/>
          <w:sz w:val="18"/>
          <w:szCs w:val="18"/>
          <w:b w:val="1"/>
          <w:bCs w:val="1"/>
          <w:color w:val="auto"/>
        </w:rPr>
        <w:t>OIL-DRI CORPORATION OF AMERICA &amp; SUBSIDIARIES</w:t>
      </w:r>
    </w:p>
    <w:p>
      <w:pPr>
        <w:spacing w:after="0" w:line="27" w:lineRule="exact"/>
        <w:rPr>
          <w:sz w:val="20"/>
          <w:szCs w:val="20"/>
          <w:color w:val="auto"/>
        </w:rPr>
      </w:pPr>
    </w:p>
    <w:p>
      <w:pPr>
        <w:jc w:val="center"/>
        <w:ind w:left="8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left="820"/>
        <w:spacing w:after="0"/>
        <w:rPr>
          <w:sz w:val="20"/>
          <w:szCs w:val="20"/>
          <w:color w:val="auto"/>
        </w:rPr>
      </w:pPr>
      <w:r>
        <w:rPr>
          <w:rFonts w:ascii="Arial" w:cs="Arial" w:eastAsia="Arial" w:hAnsi="Arial"/>
          <w:sz w:val="18"/>
          <w:szCs w:val="18"/>
          <w:b w:val="1"/>
          <w:bCs w:val="1"/>
          <w:color w:val="auto"/>
        </w:rPr>
        <w:t>(in thousands of dollars)</w:t>
      </w:r>
    </w:p>
    <w:p>
      <w:pPr>
        <w:spacing w:after="0" w:line="9" w:lineRule="exact"/>
        <w:rPr>
          <w:sz w:val="20"/>
          <w:szCs w:val="20"/>
          <w:color w:val="auto"/>
        </w:rPr>
      </w:pPr>
    </w:p>
    <w:p>
      <w:pPr>
        <w:jc w:val="center"/>
        <w:ind w:left="820"/>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6"/>
              </w:rPr>
              <w:t>October 31,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July 31,</w:t>
            </w:r>
          </w:p>
        </w:tc>
        <w:tc>
          <w:tcPr>
            <w:tcW w:w="0" w:type="dxa"/>
            <w:vAlign w:val="bottom"/>
          </w:tcPr>
          <w:p>
            <w:pPr>
              <w:spacing w:after="0"/>
              <w:rPr>
                <w:sz w:val="1"/>
                <w:szCs w:val="1"/>
                <w:color w:val="auto"/>
              </w:rPr>
            </w:pPr>
          </w:p>
        </w:tc>
      </w:tr>
      <w:tr>
        <w:trPr>
          <w:trHeight w:val="234"/>
        </w:trPr>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2008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44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400" w:type="dxa"/>
            <w:vAlign w:val="bottom"/>
            <w:shd w:val="clear" w:color="auto" w:fill="CCFFCC"/>
          </w:tcPr>
          <w:p>
            <w:pPr>
              <w:ind w:left="500"/>
              <w:spacing w:after="0"/>
              <w:rPr>
                <w:sz w:val="20"/>
                <w:szCs w:val="20"/>
                <w:color w:val="auto"/>
              </w:rPr>
            </w:pPr>
            <w:r>
              <w:rPr>
                <w:rFonts w:ascii="Arial" w:cs="Arial" w:eastAsia="Arial" w:hAnsi="Arial"/>
                <w:sz w:val="18"/>
                <w:szCs w:val="18"/>
                <w:b w:val="1"/>
                <w:bCs w:val="1"/>
                <w:color w:val="auto"/>
              </w:rPr>
              <w:t>LIABILITIES &amp; STOCKHOLDERS’ EQUITY</w:t>
            </w:r>
          </w:p>
        </w:tc>
        <w:tc>
          <w:tcPr>
            <w:tcW w:w="2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22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8120" w:type="dxa"/>
            <w:vAlign w:val="bottom"/>
            <w:gridSpan w:val="4"/>
          </w:tcPr>
          <w:p>
            <w:pPr>
              <w:spacing w:after="0" w:line="202" w:lineRule="exact"/>
              <w:rPr>
                <w:sz w:val="20"/>
                <w:szCs w:val="20"/>
                <w:color w:val="auto"/>
              </w:rPr>
            </w:pPr>
            <w:r>
              <w:rPr>
                <w:rFonts w:ascii="Arial" w:cs="Arial" w:eastAsia="Arial" w:hAnsi="Arial"/>
                <w:sz w:val="18"/>
                <w:szCs w:val="18"/>
                <w:b w:val="1"/>
                <w:bCs w:val="1"/>
                <w:color w:val="auto"/>
              </w:rPr>
              <w:t>Current Liabilities</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44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8120" w:type="dxa"/>
            <w:vAlign w:val="bottom"/>
            <w:gridSpan w:val="4"/>
            <w:shd w:val="clear" w:color="auto" w:fill="CCFFCC"/>
          </w:tcPr>
          <w:p>
            <w:pPr>
              <w:spacing w:after="0"/>
              <w:rPr>
                <w:sz w:val="20"/>
                <w:szCs w:val="20"/>
                <w:color w:val="auto"/>
              </w:rPr>
            </w:pPr>
            <w:r>
              <w:rPr>
                <w:rFonts w:ascii="Arial" w:cs="Arial" w:eastAsia="Arial" w:hAnsi="Arial"/>
                <w:sz w:val="18"/>
                <w:szCs w:val="18"/>
                <w:color w:val="auto"/>
              </w:rPr>
              <w:t>Current maturities of notes payable</w:t>
            </w:r>
          </w:p>
        </w:tc>
        <w:tc>
          <w:tcPr>
            <w:tcW w:w="3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1,700</w:t>
            </w:r>
          </w:p>
        </w:tc>
        <w:tc>
          <w:tcPr>
            <w:tcW w:w="140" w:type="dxa"/>
            <w:vAlign w:val="bottom"/>
            <w:shd w:val="clear" w:color="auto" w:fill="CCFFCC"/>
          </w:tcPr>
          <w:p>
            <w:pPr>
              <w:spacing w:after="0"/>
              <w:rPr>
                <w:sz w:val="21"/>
                <w:szCs w:val="21"/>
                <w:color w:val="auto"/>
              </w:rPr>
            </w:pPr>
          </w:p>
        </w:tc>
        <w:tc>
          <w:tcPr>
            <w:tcW w:w="3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5,580</w:t>
            </w:r>
          </w:p>
        </w:tc>
        <w:tc>
          <w:tcPr>
            <w:tcW w:w="0" w:type="dxa"/>
            <w:vAlign w:val="bottom"/>
          </w:tcPr>
          <w:p>
            <w:pPr>
              <w:spacing w:after="0"/>
              <w:rPr>
                <w:sz w:val="1"/>
                <w:szCs w:val="1"/>
                <w:color w:val="auto"/>
              </w:rPr>
            </w:pPr>
          </w:p>
        </w:tc>
      </w:tr>
      <w:tr>
        <w:trPr>
          <w:trHeight w:val="243"/>
        </w:trPr>
        <w:tc>
          <w:tcPr>
            <w:tcW w:w="8120" w:type="dxa"/>
            <w:vAlign w:val="bottom"/>
            <w:gridSpan w:val="4"/>
          </w:tcPr>
          <w:p>
            <w:pPr>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7,365</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7,491</w:t>
            </w:r>
          </w:p>
        </w:tc>
        <w:tc>
          <w:tcPr>
            <w:tcW w:w="0" w:type="dxa"/>
            <w:vAlign w:val="bottom"/>
          </w:tcPr>
          <w:p>
            <w:pPr>
              <w:spacing w:after="0"/>
              <w:rPr>
                <w:sz w:val="1"/>
                <w:szCs w:val="1"/>
                <w:color w:val="auto"/>
              </w:rPr>
            </w:pPr>
          </w:p>
        </w:tc>
      </w:tr>
      <w:tr>
        <w:trPr>
          <w:trHeight w:val="243"/>
        </w:trPr>
        <w:tc>
          <w:tcPr>
            <w:tcW w:w="8120" w:type="dxa"/>
            <w:vAlign w:val="bottom"/>
            <w:gridSpan w:val="4"/>
            <w:shd w:val="clear" w:color="auto" w:fill="CCFFCC"/>
          </w:tcPr>
          <w:p>
            <w:pPr>
              <w:spacing w:after="0"/>
              <w:rPr>
                <w:sz w:val="20"/>
                <w:szCs w:val="20"/>
                <w:color w:val="auto"/>
              </w:rPr>
            </w:pPr>
            <w:r>
              <w:rPr>
                <w:rFonts w:ascii="Arial" w:cs="Arial" w:eastAsia="Arial" w:hAnsi="Arial"/>
                <w:sz w:val="18"/>
                <w:szCs w:val="18"/>
                <w:color w:val="auto"/>
              </w:rPr>
              <w:t>Dividends payable</w:t>
            </w:r>
          </w:p>
        </w:tc>
        <w:tc>
          <w:tcPr>
            <w:tcW w:w="2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917</w:t>
            </w: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43"/>
        </w:trPr>
        <w:tc>
          <w:tcPr>
            <w:tcW w:w="8120" w:type="dxa"/>
            <w:vAlign w:val="bottom"/>
            <w:gridSpan w:val="4"/>
          </w:tcPr>
          <w:p>
            <w:pPr>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gridSpan w:val="4"/>
            <w:shd w:val="clear" w:color="auto" w:fill="CCFFCC"/>
          </w:tcPr>
          <w:p>
            <w:pPr>
              <w:ind w:left="180"/>
              <w:spacing w:after="0"/>
              <w:rPr>
                <w:sz w:val="20"/>
                <w:szCs w:val="20"/>
                <w:color w:val="auto"/>
              </w:rPr>
            </w:pPr>
            <w:r>
              <w:rPr>
                <w:rFonts w:ascii="Arial" w:cs="Arial" w:eastAsia="Arial" w:hAnsi="Arial"/>
                <w:sz w:val="18"/>
                <w:szCs w:val="18"/>
                <w:color w:val="auto"/>
              </w:rPr>
              <w:t>Salaries, wages and commissions</w:t>
            </w:r>
          </w:p>
        </w:tc>
        <w:tc>
          <w:tcPr>
            <w:tcW w:w="2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3,008</w:t>
            </w: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5,578</w:t>
            </w:r>
          </w:p>
        </w:tc>
        <w:tc>
          <w:tcPr>
            <w:tcW w:w="0" w:type="dxa"/>
            <w:vAlign w:val="bottom"/>
          </w:tcPr>
          <w:p>
            <w:pPr>
              <w:spacing w:after="0"/>
              <w:rPr>
                <w:sz w:val="1"/>
                <w:szCs w:val="1"/>
                <w:color w:val="auto"/>
              </w:rPr>
            </w:pPr>
          </w:p>
        </w:tc>
      </w:tr>
      <w:tr>
        <w:trPr>
          <w:trHeight w:val="243"/>
        </w:trPr>
        <w:tc>
          <w:tcPr>
            <w:tcW w:w="8120" w:type="dxa"/>
            <w:vAlign w:val="bottom"/>
            <w:gridSpan w:val="4"/>
          </w:tcPr>
          <w:p>
            <w:pPr>
              <w:ind w:left="180"/>
              <w:spacing w:after="0"/>
              <w:rPr>
                <w:sz w:val="20"/>
                <w:szCs w:val="20"/>
                <w:color w:val="auto"/>
              </w:rPr>
            </w:pPr>
            <w:r>
              <w:rPr>
                <w:rFonts w:ascii="Arial" w:cs="Arial" w:eastAsia="Arial" w:hAnsi="Arial"/>
                <w:sz w:val="18"/>
                <w:szCs w:val="18"/>
                <w:color w:val="auto"/>
              </w:rPr>
              <w:t>Trade promotions and advertising</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2,436</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2,126</w:t>
            </w:r>
          </w:p>
        </w:tc>
        <w:tc>
          <w:tcPr>
            <w:tcW w:w="0" w:type="dxa"/>
            <w:vAlign w:val="bottom"/>
          </w:tcPr>
          <w:p>
            <w:pPr>
              <w:spacing w:after="0"/>
              <w:rPr>
                <w:sz w:val="1"/>
                <w:szCs w:val="1"/>
                <w:color w:val="auto"/>
              </w:rPr>
            </w:pPr>
          </w:p>
        </w:tc>
      </w:tr>
      <w:tr>
        <w:trPr>
          <w:trHeight w:val="243"/>
        </w:trPr>
        <w:tc>
          <w:tcPr>
            <w:tcW w:w="8120" w:type="dxa"/>
            <w:vAlign w:val="bottom"/>
            <w:gridSpan w:val="4"/>
            <w:shd w:val="clear" w:color="auto" w:fill="CCFFCC"/>
          </w:tcPr>
          <w:p>
            <w:pPr>
              <w:ind w:left="180"/>
              <w:spacing w:after="0"/>
              <w:rPr>
                <w:sz w:val="20"/>
                <w:szCs w:val="20"/>
                <w:color w:val="auto"/>
              </w:rPr>
            </w:pPr>
            <w:r>
              <w:rPr>
                <w:rFonts w:ascii="Arial" w:cs="Arial" w:eastAsia="Arial" w:hAnsi="Arial"/>
                <w:sz w:val="18"/>
                <w:szCs w:val="18"/>
                <w:color w:val="auto"/>
              </w:rPr>
              <w:t>Freight</w:t>
            </w:r>
          </w:p>
        </w:tc>
        <w:tc>
          <w:tcPr>
            <w:tcW w:w="2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2,185</w:t>
            </w: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2,345</w:t>
            </w:r>
          </w:p>
        </w:tc>
        <w:tc>
          <w:tcPr>
            <w:tcW w:w="0" w:type="dxa"/>
            <w:vAlign w:val="bottom"/>
          </w:tcPr>
          <w:p>
            <w:pPr>
              <w:spacing w:after="0"/>
              <w:rPr>
                <w:sz w:val="1"/>
                <w:szCs w:val="1"/>
                <w:color w:val="auto"/>
              </w:rPr>
            </w:pPr>
          </w:p>
        </w:tc>
      </w:tr>
      <w:tr>
        <w:trPr>
          <w:trHeight w:val="243"/>
        </w:trPr>
        <w:tc>
          <w:tcPr>
            <w:tcW w:w="8120" w:type="dxa"/>
            <w:vAlign w:val="bottom"/>
            <w:gridSpan w:val="4"/>
          </w:tcPr>
          <w:p>
            <w:pPr>
              <w:ind w:left="18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6,208</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20" w:type="dxa"/>
            <w:vAlign w:val="bottom"/>
            <w:gridSpan w:val="4"/>
            <w:shd w:val="clear" w:color="auto" w:fill="CCFFCC"/>
          </w:tcPr>
          <w:p>
            <w:pPr>
              <w:ind w:left="340"/>
              <w:spacing w:after="0"/>
              <w:rPr>
                <w:sz w:val="20"/>
                <w:szCs w:val="20"/>
                <w:color w:val="auto"/>
              </w:rPr>
            </w:pPr>
            <w:r>
              <w:rPr>
                <w:rFonts w:ascii="Arial" w:cs="Arial" w:eastAsia="Arial" w:hAnsi="Arial"/>
                <w:sz w:val="18"/>
                <w:szCs w:val="18"/>
                <w:b w:val="1"/>
                <w:bCs w:val="1"/>
                <w:color w:val="auto"/>
              </w:rPr>
              <w:t>Total Current Liabilities</w:t>
            </w:r>
          </w:p>
        </w:tc>
        <w:tc>
          <w:tcPr>
            <w:tcW w:w="22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23,819</w:t>
            </w:r>
          </w:p>
        </w:tc>
        <w:tc>
          <w:tcPr>
            <w:tcW w:w="14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30,101</w:t>
            </w:r>
          </w:p>
        </w:tc>
        <w:tc>
          <w:tcPr>
            <w:tcW w:w="0" w:type="dxa"/>
            <w:vAlign w:val="bottom"/>
          </w:tcPr>
          <w:p>
            <w:pPr>
              <w:spacing w:after="0"/>
              <w:rPr>
                <w:sz w:val="1"/>
                <w:szCs w:val="1"/>
                <w:color w:val="auto"/>
              </w:rPr>
            </w:pPr>
          </w:p>
        </w:tc>
      </w:tr>
      <w:tr>
        <w:trPr>
          <w:trHeight w:val="237"/>
        </w:trPr>
        <w:tc>
          <w:tcPr>
            <w:tcW w:w="1440" w:type="dxa"/>
            <w:vAlign w:val="bottom"/>
            <w:tcBorders>
              <w:top w:val="single" w:sz="8" w:color="CCFFCC"/>
            </w:tcBorders>
          </w:tcPr>
          <w:p>
            <w:pPr>
              <w:spacing w:after="0"/>
              <w:rPr>
                <w:sz w:val="20"/>
                <w:szCs w:val="20"/>
                <w:color w:val="auto"/>
              </w:rPr>
            </w:pPr>
          </w:p>
        </w:tc>
        <w:tc>
          <w:tcPr>
            <w:tcW w:w="180" w:type="dxa"/>
            <w:vAlign w:val="bottom"/>
            <w:tcBorders>
              <w:top w:val="single" w:sz="8" w:color="CCFFCC"/>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6400" w:type="dxa"/>
            <w:vAlign w:val="bottom"/>
            <w:tcBorders>
              <w:top w:val="single" w:sz="8" w:color="CCFFCC"/>
            </w:tcBorders>
          </w:tcPr>
          <w:p>
            <w:pPr>
              <w:spacing w:after="0"/>
              <w:rPr>
                <w:sz w:val="20"/>
                <w:szCs w:val="20"/>
                <w:color w:val="auto"/>
              </w:rPr>
            </w:pPr>
          </w:p>
        </w:tc>
        <w:tc>
          <w:tcPr>
            <w:tcW w:w="220" w:type="dxa"/>
            <w:vAlign w:val="bottom"/>
            <w:tcBorders>
              <w:top w:val="single" w:sz="8" w:color="CCFFCC"/>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40" w:type="dxa"/>
            <w:vAlign w:val="bottom"/>
            <w:tcBorders>
              <w:top w:val="single" w:sz="8" w:color="CCFFCC"/>
            </w:tcBorders>
          </w:tcPr>
          <w:p>
            <w:pPr>
              <w:spacing w:after="0"/>
              <w:rPr>
                <w:sz w:val="20"/>
                <w:szCs w:val="20"/>
                <w:color w:val="auto"/>
              </w:rPr>
            </w:pPr>
          </w:p>
        </w:tc>
        <w:tc>
          <w:tcPr>
            <w:tcW w:w="80" w:type="dxa"/>
            <w:vAlign w:val="bottom"/>
            <w:tcBorders>
              <w:top w:val="single" w:sz="8" w:color="CCFFCC"/>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720" w:type="dxa"/>
            <w:vAlign w:val="bottom"/>
            <w:tcBorders>
              <w:bottom w:val="single" w:sz="8" w:color="auto"/>
            </w:tcBorders>
            <w:gridSpan w:val="3"/>
            <w:shd w:val="clear" w:color="auto" w:fill="CCFFCC"/>
          </w:tcPr>
          <w:p>
            <w:pPr>
              <w:spacing w:after="0" w:line="202" w:lineRule="exact"/>
              <w:rPr>
                <w:sz w:val="20"/>
                <w:szCs w:val="20"/>
                <w:color w:val="auto"/>
              </w:rPr>
            </w:pPr>
            <w:r>
              <w:rPr>
                <w:rFonts w:ascii="Arial" w:cs="Arial" w:eastAsia="Arial" w:hAnsi="Arial"/>
                <w:sz w:val="18"/>
                <w:szCs w:val="18"/>
                <w:b w:val="1"/>
                <w:bCs w:val="1"/>
                <w:color w:val="auto"/>
                <w:w w:val="91"/>
              </w:rPr>
              <w:t>Noncurrent Liabilities</w:t>
            </w:r>
          </w:p>
        </w:tc>
        <w:tc>
          <w:tcPr>
            <w:tcW w:w="6400" w:type="dxa"/>
            <w:vAlign w:val="bottom"/>
            <w:tcBorders>
              <w:bottom w:val="single" w:sz="8" w:color="CCFFCC"/>
            </w:tcBorders>
            <w:shd w:val="clear" w:color="auto" w:fill="CCFFCC"/>
          </w:tcPr>
          <w:p>
            <w:pPr>
              <w:spacing w:after="0"/>
              <w:rPr>
                <w:sz w:val="19"/>
                <w:szCs w:val="19"/>
                <w:color w:val="auto"/>
              </w:rPr>
            </w:pPr>
          </w:p>
        </w:tc>
        <w:tc>
          <w:tcPr>
            <w:tcW w:w="220" w:type="dxa"/>
            <w:vAlign w:val="bottom"/>
            <w:tcBorders>
              <w:bottom w:val="single" w:sz="8" w:color="CCFFCC"/>
            </w:tcBorders>
            <w:shd w:val="clear" w:color="auto" w:fill="CCFFCC"/>
          </w:tcPr>
          <w:p>
            <w:pPr>
              <w:spacing w:after="0"/>
              <w:rPr>
                <w:sz w:val="19"/>
                <w:szCs w:val="19"/>
                <w:color w:val="auto"/>
              </w:rPr>
            </w:pPr>
          </w:p>
        </w:tc>
        <w:tc>
          <w:tcPr>
            <w:tcW w:w="160" w:type="dxa"/>
            <w:vAlign w:val="bottom"/>
            <w:tcBorders>
              <w:bottom w:val="single" w:sz="8" w:color="CCFFCC"/>
            </w:tcBorders>
            <w:shd w:val="clear" w:color="auto" w:fill="CCFFCC"/>
          </w:tcPr>
          <w:p>
            <w:pPr>
              <w:spacing w:after="0"/>
              <w:rPr>
                <w:sz w:val="19"/>
                <w:szCs w:val="19"/>
                <w:color w:val="auto"/>
              </w:rPr>
            </w:pPr>
          </w:p>
        </w:tc>
        <w:tc>
          <w:tcPr>
            <w:tcW w:w="1220" w:type="dxa"/>
            <w:vAlign w:val="bottom"/>
            <w:tcBorders>
              <w:bottom w:val="single" w:sz="8" w:color="CCFFCC"/>
            </w:tcBorders>
            <w:shd w:val="clear" w:color="auto" w:fill="CCFFCC"/>
          </w:tcPr>
          <w:p>
            <w:pPr>
              <w:spacing w:after="0"/>
              <w:rPr>
                <w:sz w:val="19"/>
                <w:szCs w:val="19"/>
                <w:color w:val="auto"/>
              </w:rPr>
            </w:pPr>
          </w:p>
        </w:tc>
        <w:tc>
          <w:tcPr>
            <w:tcW w:w="140" w:type="dxa"/>
            <w:vAlign w:val="bottom"/>
            <w:tcBorders>
              <w:bottom w:val="single" w:sz="8" w:color="CCFFCC"/>
            </w:tcBorders>
            <w:shd w:val="clear" w:color="auto" w:fill="CCFFCC"/>
          </w:tcPr>
          <w:p>
            <w:pPr>
              <w:spacing w:after="0"/>
              <w:rPr>
                <w:sz w:val="19"/>
                <w:szCs w:val="19"/>
                <w:color w:val="auto"/>
              </w:rPr>
            </w:pPr>
          </w:p>
        </w:tc>
        <w:tc>
          <w:tcPr>
            <w:tcW w:w="80" w:type="dxa"/>
            <w:vAlign w:val="bottom"/>
            <w:tcBorders>
              <w:bottom w:val="single" w:sz="8" w:color="CCFFCC"/>
            </w:tcBorders>
            <w:shd w:val="clear" w:color="auto" w:fill="CCFFCC"/>
          </w:tcPr>
          <w:p>
            <w:pPr>
              <w:spacing w:after="0"/>
              <w:rPr>
                <w:sz w:val="19"/>
                <w:szCs w:val="19"/>
                <w:color w:val="auto"/>
              </w:rPr>
            </w:pPr>
          </w:p>
        </w:tc>
        <w:tc>
          <w:tcPr>
            <w:tcW w:w="240" w:type="dxa"/>
            <w:vAlign w:val="bottom"/>
            <w:tcBorders>
              <w:bottom w:val="single" w:sz="8" w:color="CCFFCC"/>
            </w:tcBorders>
            <w:shd w:val="clear" w:color="auto" w:fill="CCFFCC"/>
          </w:tcPr>
          <w:p>
            <w:pPr>
              <w:spacing w:after="0"/>
              <w:rPr>
                <w:sz w:val="19"/>
                <w:szCs w:val="19"/>
                <w:color w:val="auto"/>
              </w:rPr>
            </w:pPr>
          </w:p>
        </w:tc>
        <w:tc>
          <w:tcPr>
            <w:tcW w:w="1140" w:type="dxa"/>
            <w:vAlign w:val="bottom"/>
            <w:tcBorders>
              <w:bottom w:val="single" w:sz="8" w:color="CCFFCC"/>
            </w:tcBorders>
            <w:shd w:val="clear" w:color="auto" w:fill="CCFFCC"/>
          </w:tcPr>
          <w:p>
            <w:pPr>
              <w:spacing w:after="0"/>
              <w:rPr>
                <w:sz w:val="19"/>
                <w:szCs w:val="19"/>
                <w:color w:val="auto"/>
              </w:rPr>
            </w:pPr>
          </w:p>
        </w:tc>
        <w:tc>
          <w:tcPr>
            <w:tcW w:w="10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120" w:type="dxa"/>
            <w:vAlign w:val="bottom"/>
            <w:gridSpan w:val="4"/>
          </w:tcPr>
          <w:p>
            <w:pPr>
              <w:spacing w:after="0"/>
              <w:rPr>
                <w:sz w:val="20"/>
                <w:szCs w:val="20"/>
                <w:color w:val="auto"/>
              </w:rPr>
            </w:pPr>
            <w:r>
              <w:rPr>
                <w:rFonts w:ascii="Arial" w:cs="Arial" w:eastAsia="Arial" w:hAnsi="Arial"/>
                <w:sz w:val="18"/>
                <w:szCs w:val="18"/>
                <w:color w:val="auto"/>
              </w:rPr>
              <w:t>Notes payable</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21,300</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21,500</w:t>
            </w:r>
          </w:p>
        </w:tc>
        <w:tc>
          <w:tcPr>
            <w:tcW w:w="0" w:type="dxa"/>
            <w:vAlign w:val="bottom"/>
          </w:tcPr>
          <w:p>
            <w:pPr>
              <w:spacing w:after="0"/>
              <w:rPr>
                <w:sz w:val="1"/>
                <w:szCs w:val="1"/>
                <w:color w:val="auto"/>
              </w:rPr>
            </w:pPr>
          </w:p>
        </w:tc>
      </w:tr>
      <w:tr>
        <w:trPr>
          <w:trHeight w:val="243"/>
        </w:trPr>
        <w:tc>
          <w:tcPr>
            <w:tcW w:w="8120" w:type="dxa"/>
            <w:vAlign w:val="bottom"/>
            <w:gridSpan w:val="4"/>
            <w:shd w:val="clear" w:color="auto" w:fill="CCFFCC"/>
          </w:tcPr>
          <w:p>
            <w:pPr>
              <w:spacing w:after="0"/>
              <w:rPr>
                <w:sz w:val="20"/>
                <w:szCs w:val="20"/>
                <w:color w:val="auto"/>
              </w:rPr>
            </w:pPr>
            <w:r>
              <w:rPr>
                <w:rFonts w:ascii="Arial" w:cs="Arial" w:eastAsia="Arial" w:hAnsi="Arial"/>
                <w:sz w:val="18"/>
                <w:szCs w:val="18"/>
                <w:color w:val="auto"/>
              </w:rPr>
              <w:t>Deferred compensation</w:t>
            </w:r>
          </w:p>
        </w:tc>
        <w:tc>
          <w:tcPr>
            <w:tcW w:w="2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5,634</w:t>
            </w: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5,498</w:t>
            </w:r>
          </w:p>
        </w:tc>
        <w:tc>
          <w:tcPr>
            <w:tcW w:w="0" w:type="dxa"/>
            <w:vAlign w:val="bottom"/>
          </w:tcPr>
          <w:p>
            <w:pPr>
              <w:spacing w:after="0"/>
              <w:rPr>
                <w:sz w:val="1"/>
                <w:szCs w:val="1"/>
                <w:color w:val="auto"/>
              </w:rPr>
            </w:pPr>
          </w:p>
        </w:tc>
      </w:tr>
      <w:tr>
        <w:trPr>
          <w:trHeight w:val="243"/>
        </w:trPr>
        <w:tc>
          <w:tcPr>
            <w:tcW w:w="8120" w:type="dxa"/>
            <w:vAlign w:val="bottom"/>
            <w:gridSpan w:val="4"/>
          </w:tcPr>
          <w:p>
            <w:pPr>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4,489</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20" w:type="dxa"/>
            <w:vAlign w:val="bottom"/>
            <w:tcBorders>
              <w:bottom w:val="single" w:sz="8" w:color="CCFFCC"/>
            </w:tcBorders>
            <w:gridSpan w:val="4"/>
            <w:shd w:val="clear" w:color="auto" w:fill="CCFFCC"/>
          </w:tcPr>
          <w:p>
            <w:pPr>
              <w:ind w:left="340"/>
              <w:spacing w:after="0"/>
              <w:rPr>
                <w:sz w:val="20"/>
                <w:szCs w:val="20"/>
                <w:color w:val="auto"/>
              </w:rPr>
            </w:pPr>
            <w:r>
              <w:rPr>
                <w:rFonts w:ascii="Arial" w:cs="Arial" w:eastAsia="Arial" w:hAnsi="Arial"/>
                <w:sz w:val="18"/>
                <w:szCs w:val="18"/>
                <w:b w:val="1"/>
                <w:bCs w:val="1"/>
                <w:color w:val="auto"/>
              </w:rPr>
              <w:t>Total Noncurrent Liabilities</w:t>
            </w:r>
          </w:p>
        </w:tc>
        <w:tc>
          <w:tcPr>
            <w:tcW w:w="22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auto"/>
            </w:tcBorders>
            <w:shd w:val="clear" w:color="auto" w:fill="CCFFCC"/>
          </w:tcPr>
          <w:p>
            <w:pPr>
              <w:spacing w:after="0"/>
              <w:rPr>
                <w:sz w:val="20"/>
                <w:szCs w:val="20"/>
                <w:color w:val="auto"/>
              </w:rPr>
            </w:pPr>
          </w:p>
        </w:tc>
        <w:tc>
          <w:tcPr>
            <w:tcW w:w="12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31,423</w:t>
            </w:r>
          </w:p>
        </w:tc>
        <w:tc>
          <w:tcPr>
            <w:tcW w:w="140" w:type="dxa"/>
            <w:vAlign w:val="bottom"/>
            <w:tcBorders>
              <w:bottom w:val="single" w:sz="8" w:color="CCFFCC"/>
            </w:tcBorders>
            <w:shd w:val="clear" w:color="auto" w:fill="CCFFCC"/>
          </w:tcPr>
          <w:p>
            <w:pPr>
              <w:spacing w:after="0"/>
              <w:rPr>
                <w:sz w:val="20"/>
                <w:szCs w:val="20"/>
                <w:color w:val="auto"/>
              </w:rPr>
            </w:pPr>
          </w:p>
        </w:tc>
        <w:tc>
          <w:tcPr>
            <w:tcW w:w="80" w:type="dxa"/>
            <w:vAlign w:val="bottom"/>
            <w:tcBorders>
              <w:bottom w:val="single" w:sz="8" w:color="CCFFCC"/>
            </w:tcBorders>
            <w:shd w:val="clear" w:color="auto" w:fill="CCFFCC"/>
          </w:tcPr>
          <w:p>
            <w:pPr>
              <w:spacing w:after="0"/>
              <w:rPr>
                <w:sz w:val="20"/>
                <w:szCs w:val="20"/>
                <w:color w:val="auto"/>
              </w:rPr>
            </w:pPr>
          </w:p>
        </w:tc>
        <w:tc>
          <w:tcPr>
            <w:tcW w:w="240" w:type="dxa"/>
            <w:vAlign w:val="bottom"/>
            <w:tcBorders>
              <w:bottom w:val="single" w:sz="8" w:color="auto"/>
            </w:tcBorders>
            <w:shd w:val="clear" w:color="auto" w:fill="CCFFCC"/>
          </w:tcPr>
          <w:p>
            <w:pPr>
              <w:spacing w:after="0"/>
              <w:rPr>
                <w:sz w:val="20"/>
                <w:szCs w:val="20"/>
                <w:color w:val="auto"/>
              </w:rPr>
            </w:pPr>
          </w:p>
        </w:tc>
        <w:tc>
          <w:tcPr>
            <w:tcW w:w="1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31,261</w:t>
            </w:r>
          </w:p>
        </w:tc>
        <w:tc>
          <w:tcPr>
            <w:tcW w:w="100" w:type="dxa"/>
            <w:vAlign w:val="bottom"/>
            <w:tcBorders>
              <w:bottom w:val="single" w:sz="8" w:color="CCFFCC"/>
            </w:tcBorders>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20" w:type="dxa"/>
            <w:vAlign w:val="bottom"/>
            <w:gridSpan w:val="4"/>
            <w:shd w:val="clear" w:color="auto" w:fill="CCFFCC"/>
          </w:tcPr>
          <w:p>
            <w:pPr>
              <w:ind w:left="340"/>
              <w:spacing w:after="0"/>
              <w:rPr>
                <w:sz w:val="20"/>
                <w:szCs w:val="20"/>
                <w:color w:val="auto"/>
              </w:rPr>
            </w:pPr>
            <w:r>
              <w:rPr>
                <w:rFonts w:ascii="Arial" w:cs="Arial" w:eastAsia="Arial" w:hAnsi="Arial"/>
                <w:sz w:val="18"/>
                <w:szCs w:val="18"/>
                <w:b w:val="1"/>
                <w:bCs w:val="1"/>
                <w:color w:val="auto"/>
              </w:rPr>
              <w:t>Total Liabilities</w:t>
            </w:r>
          </w:p>
        </w:tc>
        <w:tc>
          <w:tcPr>
            <w:tcW w:w="2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55,242</w:t>
            </w: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61,362</w:t>
            </w:r>
          </w:p>
        </w:tc>
        <w:tc>
          <w:tcPr>
            <w:tcW w:w="0" w:type="dxa"/>
            <w:vAlign w:val="bottom"/>
          </w:tcPr>
          <w:p>
            <w:pPr>
              <w:spacing w:after="0"/>
              <w:rPr>
                <w:sz w:val="1"/>
                <w:szCs w:val="1"/>
                <w:color w:val="auto"/>
              </w:rPr>
            </w:pPr>
          </w:p>
        </w:tc>
      </w:tr>
      <w:tr>
        <w:trPr>
          <w:trHeight w:val="237"/>
        </w:trPr>
        <w:tc>
          <w:tcPr>
            <w:tcW w:w="1440" w:type="dxa"/>
            <w:vAlign w:val="bottom"/>
            <w:tcBorders>
              <w:top w:val="single" w:sz="8" w:color="CCFFCC"/>
            </w:tcBorders>
          </w:tcPr>
          <w:p>
            <w:pPr>
              <w:spacing w:after="0"/>
              <w:rPr>
                <w:sz w:val="20"/>
                <w:szCs w:val="20"/>
                <w:color w:val="auto"/>
              </w:rPr>
            </w:pPr>
          </w:p>
        </w:tc>
        <w:tc>
          <w:tcPr>
            <w:tcW w:w="180" w:type="dxa"/>
            <w:vAlign w:val="bottom"/>
            <w:tcBorders>
              <w:top w:val="single" w:sz="8" w:color="CCFFCC"/>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6400" w:type="dxa"/>
            <w:vAlign w:val="bottom"/>
            <w:tcBorders>
              <w:top w:val="single" w:sz="8" w:color="CCFFCC"/>
            </w:tcBorders>
          </w:tcPr>
          <w:p>
            <w:pPr>
              <w:spacing w:after="0"/>
              <w:rPr>
                <w:sz w:val="20"/>
                <w:szCs w:val="20"/>
                <w:color w:val="auto"/>
              </w:rPr>
            </w:pPr>
          </w:p>
        </w:tc>
        <w:tc>
          <w:tcPr>
            <w:tcW w:w="220" w:type="dxa"/>
            <w:vAlign w:val="bottom"/>
            <w:tcBorders>
              <w:top w:val="single" w:sz="8" w:color="CCFFCC"/>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40" w:type="dxa"/>
            <w:vAlign w:val="bottom"/>
            <w:tcBorders>
              <w:top w:val="single" w:sz="8" w:color="CCFFCC"/>
            </w:tcBorders>
          </w:tcPr>
          <w:p>
            <w:pPr>
              <w:spacing w:after="0"/>
              <w:rPr>
                <w:sz w:val="20"/>
                <w:szCs w:val="20"/>
                <w:color w:val="auto"/>
              </w:rPr>
            </w:pPr>
          </w:p>
        </w:tc>
        <w:tc>
          <w:tcPr>
            <w:tcW w:w="80" w:type="dxa"/>
            <w:vAlign w:val="bottom"/>
            <w:tcBorders>
              <w:top w:val="single" w:sz="8" w:color="CCFFCC"/>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620" w:type="dxa"/>
            <w:vAlign w:val="bottom"/>
            <w:tcBorders>
              <w:bottom w:val="single" w:sz="8" w:color="auto"/>
            </w:tcBorders>
            <w:gridSpan w:val="2"/>
            <w:shd w:val="clear" w:color="auto" w:fill="CCFFCC"/>
          </w:tcPr>
          <w:p>
            <w:pPr>
              <w:spacing w:after="0" w:line="202" w:lineRule="exact"/>
              <w:rPr>
                <w:sz w:val="20"/>
                <w:szCs w:val="20"/>
                <w:color w:val="auto"/>
              </w:rPr>
            </w:pPr>
            <w:r>
              <w:rPr>
                <w:rFonts w:ascii="Arial" w:cs="Arial" w:eastAsia="Arial" w:hAnsi="Arial"/>
                <w:sz w:val="18"/>
                <w:szCs w:val="18"/>
                <w:b w:val="1"/>
                <w:bCs w:val="1"/>
                <w:color w:val="auto"/>
                <w:w w:val="89"/>
              </w:rPr>
              <w:t>Stockholders’ Equity</w:t>
            </w:r>
          </w:p>
        </w:tc>
        <w:tc>
          <w:tcPr>
            <w:tcW w:w="6500" w:type="dxa"/>
            <w:vAlign w:val="bottom"/>
            <w:tcBorders>
              <w:bottom w:val="single" w:sz="8" w:color="CCFFCC"/>
            </w:tcBorders>
            <w:gridSpan w:val="2"/>
            <w:shd w:val="clear" w:color="auto" w:fill="CCFFCC"/>
          </w:tcPr>
          <w:p>
            <w:pPr>
              <w:spacing w:after="0"/>
              <w:rPr>
                <w:sz w:val="19"/>
                <w:szCs w:val="19"/>
                <w:color w:val="auto"/>
              </w:rPr>
            </w:pPr>
          </w:p>
        </w:tc>
        <w:tc>
          <w:tcPr>
            <w:tcW w:w="220" w:type="dxa"/>
            <w:vAlign w:val="bottom"/>
            <w:tcBorders>
              <w:bottom w:val="single" w:sz="8" w:color="CCFFCC"/>
            </w:tcBorders>
            <w:shd w:val="clear" w:color="auto" w:fill="CCFFCC"/>
          </w:tcPr>
          <w:p>
            <w:pPr>
              <w:spacing w:after="0"/>
              <w:rPr>
                <w:sz w:val="19"/>
                <w:szCs w:val="19"/>
                <w:color w:val="auto"/>
              </w:rPr>
            </w:pPr>
          </w:p>
        </w:tc>
        <w:tc>
          <w:tcPr>
            <w:tcW w:w="160" w:type="dxa"/>
            <w:vAlign w:val="bottom"/>
            <w:tcBorders>
              <w:bottom w:val="single" w:sz="8" w:color="CCFFCC"/>
            </w:tcBorders>
            <w:shd w:val="clear" w:color="auto" w:fill="CCFFCC"/>
          </w:tcPr>
          <w:p>
            <w:pPr>
              <w:spacing w:after="0"/>
              <w:rPr>
                <w:sz w:val="19"/>
                <w:szCs w:val="19"/>
                <w:color w:val="auto"/>
              </w:rPr>
            </w:pPr>
          </w:p>
        </w:tc>
        <w:tc>
          <w:tcPr>
            <w:tcW w:w="1220" w:type="dxa"/>
            <w:vAlign w:val="bottom"/>
            <w:tcBorders>
              <w:bottom w:val="single" w:sz="8" w:color="CCFFCC"/>
            </w:tcBorders>
            <w:shd w:val="clear" w:color="auto" w:fill="CCFFCC"/>
          </w:tcPr>
          <w:p>
            <w:pPr>
              <w:spacing w:after="0"/>
              <w:rPr>
                <w:sz w:val="19"/>
                <w:szCs w:val="19"/>
                <w:color w:val="auto"/>
              </w:rPr>
            </w:pPr>
          </w:p>
        </w:tc>
        <w:tc>
          <w:tcPr>
            <w:tcW w:w="140" w:type="dxa"/>
            <w:vAlign w:val="bottom"/>
            <w:tcBorders>
              <w:bottom w:val="single" w:sz="8" w:color="CCFFCC"/>
            </w:tcBorders>
            <w:shd w:val="clear" w:color="auto" w:fill="CCFFCC"/>
          </w:tcPr>
          <w:p>
            <w:pPr>
              <w:spacing w:after="0"/>
              <w:rPr>
                <w:sz w:val="19"/>
                <w:szCs w:val="19"/>
                <w:color w:val="auto"/>
              </w:rPr>
            </w:pPr>
          </w:p>
        </w:tc>
        <w:tc>
          <w:tcPr>
            <w:tcW w:w="80" w:type="dxa"/>
            <w:vAlign w:val="bottom"/>
            <w:tcBorders>
              <w:bottom w:val="single" w:sz="8" w:color="CCFFCC"/>
            </w:tcBorders>
            <w:shd w:val="clear" w:color="auto" w:fill="CCFFCC"/>
          </w:tcPr>
          <w:p>
            <w:pPr>
              <w:spacing w:after="0"/>
              <w:rPr>
                <w:sz w:val="19"/>
                <w:szCs w:val="19"/>
                <w:color w:val="auto"/>
              </w:rPr>
            </w:pPr>
          </w:p>
        </w:tc>
        <w:tc>
          <w:tcPr>
            <w:tcW w:w="240" w:type="dxa"/>
            <w:vAlign w:val="bottom"/>
            <w:tcBorders>
              <w:bottom w:val="single" w:sz="8" w:color="CCFFCC"/>
            </w:tcBorders>
            <w:shd w:val="clear" w:color="auto" w:fill="CCFFCC"/>
          </w:tcPr>
          <w:p>
            <w:pPr>
              <w:spacing w:after="0"/>
              <w:rPr>
                <w:sz w:val="19"/>
                <w:szCs w:val="19"/>
                <w:color w:val="auto"/>
              </w:rPr>
            </w:pPr>
          </w:p>
        </w:tc>
        <w:tc>
          <w:tcPr>
            <w:tcW w:w="1140" w:type="dxa"/>
            <w:vAlign w:val="bottom"/>
            <w:tcBorders>
              <w:bottom w:val="single" w:sz="8" w:color="CCFFCC"/>
            </w:tcBorders>
            <w:shd w:val="clear" w:color="auto" w:fill="CCFFCC"/>
          </w:tcPr>
          <w:p>
            <w:pPr>
              <w:spacing w:after="0"/>
              <w:rPr>
                <w:sz w:val="19"/>
                <w:szCs w:val="19"/>
                <w:color w:val="auto"/>
              </w:rPr>
            </w:pPr>
          </w:p>
        </w:tc>
        <w:tc>
          <w:tcPr>
            <w:tcW w:w="10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120" w:type="dxa"/>
            <w:vAlign w:val="bottom"/>
            <w:gridSpan w:val="4"/>
          </w:tcPr>
          <w:p>
            <w:pPr>
              <w:spacing w:after="0"/>
              <w:rPr>
                <w:sz w:val="20"/>
                <w:szCs w:val="20"/>
                <w:color w:val="auto"/>
              </w:rPr>
            </w:pPr>
            <w:r>
              <w:rPr>
                <w:rFonts w:ascii="Arial" w:cs="Arial" w:eastAsia="Arial" w:hAnsi="Arial"/>
                <w:sz w:val="18"/>
                <w:szCs w:val="18"/>
                <w:color w:val="auto"/>
              </w:rPr>
              <w:t>Common Stock, par value $.10 per share, issued</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gridSpan w:val="4"/>
          </w:tcPr>
          <w:p>
            <w:pPr>
              <w:ind w:left="180"/>
              <w:spacing w:after="0"/>
              <w:rPr>
                <w:sz w:val="20"/>
                <w:szCs w:val="20"/>
                <w:color w:val="auto"/>
              </w:rPr>
            </w:pPr>
            <w:r>
              <w:rPr>
                <w:rFonts w:ascii="Arial" w:cs="Arial" w:eastAsia="Arial" w:hAnsi="Arial"/>
                <w:sz w:val="18"/>
                <w:szCs w:val="18"/>
                <w:color w:val="auto"/>
              </w:rPr>
              <w:t>7,404,200 shares at October 31, 2008 and 7,392,475 shares at July 31, 2008</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740</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43"/>
        </w:trPr>
        <w:tc>
          <w:tcPr>
            <w:tcW w:w="8120" w:type="dxa"/>
            <w:vAlign w:val="bottom"/>
            <w:gridSpan w:val="4"/>
            <w:shd w:val="clear" w:color="auto" w:fill="CCFFCC"/>
          </w:tcPr>
          <w:p>
            <w:pPr>
              <w:spacing w:after="0"/>
              <w:rPr>
                <w:sz w:val="20"/>
                <w:szCs w:val="20"/>
                <w:color w:val="auto"/>
              </w:rPr>
            </w:pPr>
            <w:r>
              <w:rPr>
                <w:rFonts w:ascii="Arial" w:cs="Arial" w:eastAsia="Arial" w:hAnsi="Arial"/>
                <w:sz w:val="18"/>
                <w:szCs w:val="18"/>
                <w:color w:val="auto"/>
              </w:rPr>
              <w:t>Class B Stock, par value $.10 per share, issued</w:t>
            </w:r>
          </w:p>
        </w:tc>
        <w:tc>
          <w:tcPr>
            <w:tcW w:w="2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22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gridSpan w:val="4"/>
            <w:shd w:val="clear" w:color="auto" w:fill="CCFFCC"/>
          </w:tcPr>
          <w:p>
            <w:pPr>
              <w:ind w:left="180"/>
              <w:spacing w:after="0"/>
              <w:rPr>
                <w:sz w:val="20"/>
                <w:szCs w:val="20"/>
                <w:color w:val="auto"/>
              </w:rPr>
            </w:pPr>
            <w:r>
              <w:rPr>
                <w:rFonts w:ascii="Arial" w:cs="Arial" w:eastAsia="Arial" w:hAnsi="Arial"/>
                <w:sz w:val="18"/>
                <w:szCs w:val="18"/>
                <w:color w:val="auto"/>
              </w:rPr>
              <w:t>2,239,538 shares at October 31, 2008 and 2,239,538 shares at July 31, 2008</w:t>
            </w:r>
          </w:p>
        </w:tc>
        <w:tc>
          <w:tcPr>
            <w:tcW w:w="2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224</w:t>
            </w: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43"/>
        </w:trPr>
        <w:tc>
          <w:tcPr>
            <w:tcW w:w="8120" w:type="dxa"/>
            <w:vAlign w:val="bottom"/>
            <w:gridSpan w:val="4"/>
          </w:tcPr>
          <w:p>
            <w:pPr>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22,447</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22,218</w:t>
            </w:r>
          </w:p>
        </w:tc>
        <w:tc>
          <w:tcPr>
            <w:tcW w:w="0" w:type="dxa"/>
            <w:vAlign w:val="bottom"/>
          </w:tcPr>
          <w:p>
            <w:pPr>
              <w:spacing w:after="0"/>
              <w:rPr>
                <w:sz w:val="1"/>
                <w:szCs w:val="1"/>
                <w:color w:val="auto"/>
              </w:rPr>
            </w:pPr>
          </w:p>
        </w:tc>
      </w:tr>
      <w:tr>
        <w:trPr>
          <w:trHeight w:val="243"/>
        </w:trPr>
        <w:tc>
          <w:tcPr>
            <w:tcW w:w="8120" w:type="dxa"/>
            <w:vAlign w:val="bottom"/>
            <w:gridSpan w:val="4"/>
            <w:shd w:val="clear" w:color="auto" w:fill="CCFFCC"/>
          </w:tcPr>
          <w:p>
            <w:pPr>
              <w:spacing w:after="0"/>
              <w:rPr>
                <w:sz w:val="20"/>
                <w:szCs w:val="20"/>
                <w:color w:val="auto"/>
              </w:rPr>
            </w:pPr>
            <w:r>
              <w:rPr>
                <w:rFonts w:ascii="Arial" w:cs="Arial" w:eastAsia="Arial" w:hAnsi="Arial"/>
                <w:sz w:val="18"/>
                <w:szCs w:val="18"/>
                <w:color w:val="auto"/>
              </w:rPr>
              <w:t>Restricted unearned stock compensation</w:t>
            </w:r>
          </w:p>
        </w:tc>
        <w:tc>
          <w:tcPr>
            <w:tcW w:w="2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3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(599)</w:t>
            </w:r>
          </w:p>
        </w:tc>
        <w:tc>
          <w:tcPr>
            <w:tcW w:w="8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43"/>
        </w:trPr>
        <w:tc>
          <w:tcPr>
            <w:tcW w:w="8120" w:type="dxa"/>
            <w:vAlign w:val="bottom"/>
            <w:gridSpan w:val="4"/>
          </w:tcPr>
          <w:p>
            <w:pPr>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107,199</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105,966</w:t>
            </w:r>
          </w:p>
        </w:tc>
        <w:tc>
          <w:tcPr>
            <w:tcW w:w="0" w:type="dxa"/>
            <w:vAlign w:val="bottom"/>
          </w:tcPr>
          <w:p>
            <w:pPr>
              <w:spacing w:after="0"/>
              <w:rPr>
                <w:sz w:val="1"/>
                <w:szCs w:val="1"/>
                <w:color w:val="auto"/>
              </w:rPr>
            </w:pPr>
          </w:p>
        </w:tc>
      </w:tr>
      <w:tr>
        <w:trPr>
          <w:trHeight w:val="243"/>
        </w:trPr>
        <w:tc>
          <w:tcPr>
            <w:tcW w:w="8120" w:type="dxa"/>
            <w:vAlign w:val="bottom"/>
            <w:gridSpan w:val="4"/>
            <w:shd w:val="clear" w:color="auto" w:fill="CCFFCC"/>
          </w:tcPr>
          <w:p>
            <w:pPr>
              <w:spacing w:after="0"/>
              <w:rPr>
                <w:sz w:val="20"/>
                <w:szCs w:val="20"/>
                <w:color w:val="auto"/>
              </w:rPr>
            </w:pPr>
            <w:r>
              <w:rPr>
                <w:rFonts w:ascii="Arial" w:cs="Arial" w:eastAsia="Arial" w:hAnsi="Arial"/>
                <w:sz w:val="18"/>
                <w:szCs w:val="18"/>
                <w:color w:val="auto"/>
              </w:rPr>
              <w:t>Accumulated Other Comprehensive Income</w:t>
            </w:r>
          </w:p>
        </w:tc>
        <w:tc>
          <w:tcPr>
            <w:tcW w:w="2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22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gridSpan w:val="4"/>
          </w:tcPr>
          <w:p>
            <w:pPr>
              <w:ind w:left="180"/>
              <w:spacing w:after="0"/>
              <w:rPr>
                <w:sz w:val="20"/>
                <w:szCs w:val="20"/>
                <w:color w:val="auto"/>
              </w:rPr>
            </w:pPr>
            <w:r>
              <w:rPr>
                <w:rFonts w:ascii="Arial" w:cs="Arial" w:eastAsia="Arial" w:hAnsi="Arial"/>
                <w:sz w:val="18"/>
                <w:szCs w:val="18"/>
                <w:color w:val="auto"/>
              </w:rPr>
              <w:t>Unrealized gain on marketable securities</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52</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43"/>
        </w:trPr>
        <w:tc>
          <w:tcPr>
            <w:tcW w:w="8120" w:type="dxa"/>
            <w:vAlign w:val="bottom"/>
            <w:gridSpan w:val="4"/>
            <w:shd w:val="clear" w:color="auto" w:fill="CCFFCC"/>
          </w:tcPr>
          <w:p>
            <w:pPr>
              <w:ind w:left="180"/>
              <w:spacing w:after="0"/>
              <w:rPr>
                <w:sz w:val="20"/>
                <w:szCs w:val="20"/>
                <w:color w:val="auto"/>
              </w:rPr>
            </w:pPr>
            <w:r>
              <w:rPr>
                <w:rFonts w:ascii="Arial" w:cs="Arial" w:eastAsia="Arial" w:hAnsi="Arial"/>
                <w:sz w:val="18"/>
                <w:szCs w:val="18"/>
                <w:color w:val="auto"/>
              </w:rPr>
              <w:t>Pension and postretirement benefits</w:t>
            </w:r>
          </w:p>
        </w:tc>
        <w:tc>
          <w:tcPr>
            <w:tcW w:w="2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3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(109)</w:t>
            </w:r>
          </w:p>
        </w:tc>
        <w:tc>
          <w:tcPr>
            <w:tcW w:w="8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43"/>
        </w:trPr>
        <w:tc>
          <w:tcPr>
            <w:tcW w:w="8120" w:type="dxa"/>
            <w:vAlign w:val="bottom"/>
            <w:gridSpan w:val="4"/>
          </w:tcPr>
          <w:p>
            <w:pPr>
              <w:ind w:left="180"/>
              <w:spacing w:after="0"/>
              <w:rPr>
                <w:sz w:val="20"/>
                <w:szCs w:val="20"/>
                <w:color w:val="auto"/>
              </w:rPr>
            </w:pPr>
            <w:r>
              <w:rPr>
                <w:rFonts w:ascii="Arial" w:cs="Arial" w:eastAsia="Arial" w:hAnsi="Arial"/>
                <w:sz w:val="18"/>
                <w:szCs w:val="18"/>
                <w:color w:val="auto"/>
              </w:rPr>
              <w:t>Cumulative translation adjustment</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(162)</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64"/>
        </w:trPr>
        <w:tc>
          <w:tcPr>
            <w:tcW w:w="1440" w:type="dxa"/>
            <w:vAlign w:val="bottom"/>
            <w:shd w:val="clear" w:color="auto" w:fill="CCFFCC"/>
          </w:tcPr>
          <w:p>
            <w:pPr>
              <w:spacing w:after="0"/>
              <w:rPr>
                <w:sz w:val="22"/>
                <w:szCs w:val="22"/>
                <w:color w:val="auto"/>
              </w:rPr>
            </w:pPr>
          </w:p>
        </w:tc>
        <w:tc>
          <w:tcPr>
            <w:tcW w:w="18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6400" w:type="dxa"/>
            <w:vAlign w:val="bottom"/>
            <w:shd w:val="clear" w:color="auto" w:fill="CCFFCC"/>
          </w:tcPr>
          <w:p>
            <w:pPr>
              <w:spacing w:after="0"/>
              <w:rPr>
                <w:sz w:val="22"/>
                <w:szCs w:val="22"/>
                <w:color w:val="auto"/>
              </w:rPr>
            </w:pPr>
          </w:p>
        </w:tc>
        <w:tc>
          <w:tcPr>
            <w:tcW w:w="220" w:type="dxa"/>
            <w:vAlign w:val="bottom"/>
            <w:shd w:val="clear" w:color="auto" w:fill="CCFFCC"/>
          </w:tcPr>
          <w:p>
            <w:pPr>
              <w:spacing w:after="0"/>
              <w:rPr>
                <w:sz w:val="22"/>
                <w:szCs w:val="22"/>
                <w:color w:val="auto"/>
              </w:rPr>
            </w:pPr>
          </w:p>
        </w:tc>
        <w:tc>
          <w:tcPr>
            <w:tcW w:w="160" w:type="dxa"/>
            <w:vAlign w:val="bottom"/>
            <w:tcBorders>
              <w:top w:val="single" w:sz="8" w:color="auto"/>
            </w:tcBorders>
            <w:shd w:val="clear" w:color="auto" w:fill="CCFFCC"/>
          </w:tcPr>
          <w:p>
            <w:pPr>
              <w:spacing w:after="0"/>
              <w:rPr>
                <w:sz w:val="22"/>
                <w:szCs w:val="22"/>
                <w:color w:val="auto"/>
              </w:rPr>
            </w:pPr>
          </w:p>
        </w:tc>
        <w:tc>
          <w:tcPr>
            <w:tcW w:w="12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129,792</w:t>
            </w:r>
          </w:p>
        </w:tc>
        <w:tc>
          <w:tcPr>
            <w:tcW w:w="140" w:type="dxa"/>
            <w:vAlign w:val="bottom"/>
            <w:shd w:val="clear" w:color="auto" w:fill="CCFFCC"/>
          </w:tcPr>
          <w:p>
            <w:pPr>
              <w:spacing w:after="0"/>
              <w:rPr>
                <w:sz w:val="22"/>
                <w:szCs w:val="22"/>
                <w:color w:val="auto"/>
              </w:rPr>
            </w:pPr>
          </w:p>
        </w:tc>
        <w:tc>
          <w:tcPr>
            <w:tcW w:w="80" w:type="dxa"/>
            <w:vAlign w:val="bottom"/>
            <w:shd w:val="clear" w:color="auto" w:fill="CCFFCC"/>
          </w:tcPr>
          <w:p>
            <w:pPr>
              <w:spacing w:after="0"/>
              <w:rPr>
                <w:sz w:val="22"/>
                <w:szCs w:val="22"/>
                <w:color w:val="auto"/>
              </w:rPr>
            </w:pPr>
          </w:p>
        </w:tc>
        <w:tc>
          <w:tcPr>
            <w:tcW w:w="240" w:type="dxa"/>
            <w:vAlign w:val="bottom"/>
            <w:tcBorders>
              <w:top w:val="single" w:sz="8" w:color="auto"/>
            </w:tcBorders>
            <w:shd w:val="clear" w:color="auto" w:fill="CCFFCC"/>
          </w:tcPr>
          <w:p>
            <w:pPr>
              <w:spacing w:after="0"/>
              <w:rPr>
                <w:sz w:val="22"/>
                <w:szCs w:val="22"/>
                <w:color w:val="auto"/>
              </w:rPr>
            </w:pPr>
          </w:p>
        </w:tc>
        <w:tc>
          <w:tcPr>
            <w:tcW w:w="1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129,032</w:t>
            </w:r>
          </w:p>
        </w:tc>
        <w:tc>
          <w:tcPr>
            <w:tcW w:w="100" w:type="dxa"/>
            <w:vAlign w:val="bottom"/>
            <w:shd w:val="clear" w:color="auto" w:fill="CCFFCC"/>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120" w:type="dxa"/>
            <w:vAlign w:val="bottom"/>
            <w:gridSpan w:val="4"/>
          </w:tcPr>
          <w:p>
            <w:pPr>
              <w:spacing w:after="0"/>
              <w:rPr>
                <w:sz w:val="20"/>
                <w:szCs w:val="20"/>
                <w:color w:val="auto"/>
              </w:rPr>
            </w:pPr>
            <w:r>
              <w:rPr>
                <w:rFonts w:ascii="Arial" w:cs="Arial" w:eastAsia="Arial" w:hAnsi="Arial"/>
                <w:sz w:val="18"/>
                <w:szCs w:val="18"/>
                <w:color w:val="auto"/>
              </w:rPr>
              <w:t>Less Treasury Stock, at cost (2,292,976 Common and 324,741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gridSpan w:val="4"/>
            <w:shd w:val="clear" w:color="auto" w:fill="CCFFCC"/>
          </w:tcPr>
          <w:p>
            <w:pPr>
              <w:ind w:left="180"/>
              <w:spacing w:after="0"/>
              <w:rPr>
                <w:sz w:val="20"/>
                <w:szCs w:val="20"/>
                <w:color w:val="auto"/>
              </w:rPr>
            </w:pPr>
            <w:r>
              <w:rPr>
                <w:rFonts w:ascii="Arial" w:cs="Arial" w:eastAsia="Arial" w:hAnsi="Arial"/>
                <w:sz w:val="18"/>
                <w:szCs w:val="18"/>
                <w:color w:val="auto"/>
              </w:rPr>
              <w:t>Class B shares at October 31, 2008 and 2,261,942 Common and</w:t>
            </w:r>
          </w:p>
        </w:tc>
        <w:tc>
          <w:tcPr>
            <w:tcW w:w="2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22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gridSpan w:val="4"/>
            <w:shd w:val="clear" w:color="auto" w:fill="CCFFCC"/>
          </w:tcPr>
          <w:p>
            <w:pPr>
              <w:ind w:left="180"/>
              <w:spacing w:after="0"/>
              <w:rPr>
                <w:sz w:val="20"/>
                <w:szCs w:val="20"/>
                <w:color w:val="auto"/>
              </w:rPr>
            </w:pPr>
            <w:r>
              <w:rPr>
                <w:rFonts w:ascii="Arial" w:cs="Arial" w:eastAsia="Arial" w:hAnsi="Arial"/>
                <w:sz w:val="18"/>
                <w:szCs w:val="18"/>
                <w:color w:val="auto"/>
              </w:rPr>
              <w:t>324,741 Class B shares at July 31, 2008)</w:t>
            </w:r>
          </w:p>
        </w:tc>
        <w:tc>
          <w:tcPr>
            <w:tcW w:w="2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3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(41,892)</w:t>
            </w:r>
          </w:p>
        </w:tc>
        <w:tc>
          <w:tcPr>
            <w:tcW w:w="8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(41,406)</w:t>
            </w:r>
          </w:p>
        </w:tc>
        <w:tc>
          <w:tcPr>
            <w:tcW w:w="0" w:type="dxa"/>
            <w:vAlign w:val="bottom"/>
          </w:tcPr>
          <w:p>
            <w:pPr>
              <w:spacing w:after="0"/>
              <w:rPr>
                <w:sz w:val="1"/>
                <w:szCs w:val="1"/>
                <w:color w:val="auto"/>
              </w:rPr>
            </w:pPr>
          </w:p>
        </w:tc>
      </w:tr>
      <w:tr>
        <w:trPr>
          <w:trHeight w:val="237"/>
        </w:trPr>
        <w:tc>
          <w:tcPr>
            <w:tcW w:w="8120" w:type="dxa"/>
            <w:vAlign w:val="bottom"/>
            <w:tcBorders>
              <w:top w:val="single" w:sz="8" w:color="CCFFCC"/>
            </w:tcBorders>
            <w:gridSpan w:val="4"/>
          </w:tcPr>
          <w:p>
            <w:pPr>
              <w:ind w:left="340"/>
              <w:spacing w:after="0"/>
              <w:rPr>
                <w:sz w:val="20"/>
                <w:szCs w:val="20"/>
                <w:color w:val="auto"/>
              </w:rPr>
            </w:pPr>
            <w:r>
              <w:rPr>
                <w:rFonts w:ascii="Arial" w:cs="Arial" w:eastAsia="Arial" w:hAnsi="Arial"/>
                <w:sz w:val="18"/>
                <w:szCs w:val="18"/>
                <w:b w:val="1"/>
                <w:bCs w:val="1"/>
                <w:color w:val="auto"/>
              </w:rPr>
              <w:t>Total Stockholders’ Equity</w:t>
            </w:r>
          </w:p>
        </w:tc>
        <w:tc>
          <w:tcPr>
            <w:tcW w:w="220" w:type="dxa"/>
            <w:vAlign w:val="bottom"/>
            <w:tcBorders>
              <w:top w:val="single" w:sz="8" w:color="CCFFCC"/>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87,900</w:t>
            </w:r>
          </w:p>
        </w:tc>
        <w:tc>
          <w:tcPr>
            <w:tcW w:w="140" w:type="dxa"/>
            <w:vAlign w:val="bottom"/>
            <w:tcBorders>
              <w:top w:val="single" w:sz="8" w:color="CCFFCC"/>
            </w:tcBorders>
          </w:tcPr>
          <w:p>
            <w:pPr>
              <w:spacing w:after="0"/>
              <w:rPr>
                <w:sz w:val="20"/>
                <w:szCs w:val="20"/>
                <w:color w:val="auto"/>
              </w:rPr>
            </w:pPr>
          </w:p>
        </w:tc>
        <w:tc>
          <w:tcPr>
            <w:tcW w:w="80" w:type="dxa"/>
            <w:vAlign w:val="bottom"/>
            <w:tcBorders>
              <w:top w:val="single" w:sz="8" w:color="CCFFC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87,626</w:t>
            </w:r>
          </w:p>
        </w:tc>
        <w:tc>
          <w:tcPr>
            <w:tcW w:w="100" w:type="dxa"/>
            <w:vAlign w:val="bottom"/>
            <w:tcBorders>
              <w:top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4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640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2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114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20" w:type="dxa"/>
            <w:vAlign w:val="bottom"/>
            <w:gridSpan w:val="4"/>
          </w:tcPr>
          <w:p>
            <w:pPr>
              <w:spacing w:after="0"/>
              <w:rPr>
                <w:sz w:val="20"/>
                <w:szCs w:val="20"/>
                <w:color w:val="auto"/>
              </w:rPr>
            </w:pPr>
            <w:r>
              <w:rPr>
                <w:rFonts w:ascii="Arial" w:cs="Arial" w:eastAsia="Arial" w:hAnsi="Arial"/>
                <w:sz w:val="18"/>
                <w:szCs w:val="18"/>
                <w:b w:val="1"/>
                <w:bCs w:val="1"/>
                <w:color w:val="auto"/>
              </w:rPr>
              <w:t>Total Liabilities &amp; Stockholders’ Equity</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143,142</w:t>
            </w:r>
          </w:p>
        </w:tc>
        <w:tc>
          <w:tcPr>
            <w:tcW w:w="140" w:type="dxa"/>
            <w:vAlign w:val="bottom"/>
          </w:tcPr>
          <w:p>
            <w:pPr>
              <w:spacing w:after="0"/>
              <w:rPr>
                <w:sz w:val="21"/>
                <w:szCs w:val="21"/>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148,988</w:t>
            </w:r>
          </w:p>
        </w:tc>
        <w:tc>
          <w:tcPr>
            <w:tcW w:w="0" w:type="dxa"/>
            <w:vAlign w:val="bottom"/>
          </w:tcPr>
          <w:p>
            <w:pPr>
              <w:spacing w:after="0"/>
              <w:rPr>
                <w:sz w:val="1"/>
                <w:szCs w:val="1"/>
                <w:color w:val="auto"/>
              </w:rPr>
            </w:pPr>
          </w:p>
        </w:tc>
      </w:tr>
      <w:tr>
        <w:trPr>
          <w:trHeight w:val="20"/>
        </w:trPr>
        <w:tc>
          <w:tcPr>
            <w:tcW w:w="8120" w:type="dxa"/>
            <w:vAlign w:val="bottom"/>
            <w:gridSpan w:val="4"/>
            <w:vMerge w:val="restart"/>
          </w:tcPr>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8120" w:type="dxa"/>
            <w:vAlign w:val="bottom"/>
            <w:gridSpan w:val="4"/>
            <w:vMerge w:val="continue"/>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120" w:type="dxa"/>
            <w:vAlign w:val="bottom"/>
            <w:gridSpan w:val="4"/>
          </w:tcPr>
          <w:p>
            <w:pPr>
              <w:ind w:left="566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4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4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OIL-DRI CORPORATION OF AMERICA &amp;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and Retained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80" w:type="dxa"/>
            <w:vAlign w:val="bottom"/>
            <w:gridSpan w:val="7"/>
          </w:tcPr>
          <w:p>
            <w:pPr>
              <w:jc w:val="right"/>
              <w:ind w:right="460"/>
              <w:spacing w:after="0"/>
              <w:rPr>
                <w:sz w:val="20"/>
                <w:szCs w:val="20"/>
                <w:color w:val="auto"/>
              </w:rPr>
            </w:pPr>
            <w:r>
              <w:rPr>
                <w:rFonts w:ascii="Arial" w:cs="Arial" w:eastAsia="Arial" w:hAnsi="Arial"/>
                <w:sz w:val="18"/>
                <w:szCs w:val="18"/>
                <w:b w:val="1"/>
                <w:bCs w:val="1"/>
                <w:color w:val="auto"/>
                <w:w w:val="96"/>
              </w:rPr>
              <w:t>For The Three Months Ended</w:t>
            </w:r>
          </w:p>
        </w:tc>
      </w:tr>
      <w:tr>
        <w:trPr>
          <w:trHeight w:val="234"/>
        </w:trPr>
        <w:tc>
          <w:tcPr>
            <w:tcW w:w="8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5"/>
          </w:tcPr>
          <w:p>
            <w:pPr>
              <w:jc w:val="right"/>
              <w:ind w:right="30"/>
              <w:spacing w:after="0"/>
              <w:rPr>
                <w:sz w:val="20"/>
                <w:szCs w:val="20"/>
                <w:color w:val="auto"/>
              </w:rPr>
            </w:pPr>
            <w:r>
              <w:rPr>
                <w:rFonts w:ascii="Arial" w:cs="Arial" w:eastAsia="Arial" w:hAnsi="Arial"/>
                <w:sz w:val="18"/>
                <w:szCs w:val="18"/>
                <w:b w:val="1"/>
                <w:bCs w:val="1"/>
                <w:color w:val="auto"/>
              </w:rPr>
              <w:t>October 31</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64"/>
        </w:trPr>
        <w:tc>
          <w:tcPr>
            <w:tcW w:w="83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2008</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2"/>
                <w:szCs w:val="22"/>
                <w:color w:val="auto"/>
              </w:rPr>
            </w:pPr>
          </w:p>
        </w:tc>
      </w:tr>
      <w:tr>
        <w:trPr>
          <w:trHeight w:val="237"/>
        </w:trPr>
        <w:tc>
          <w:tcPr>
            <w:tcW w:w="8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83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Sales</w:t>
            </w:r>
          </w:p>
        </w:tc>
        <w:tc>
          <w:tcPr>
            <w:tcW w:w="200" w:type="dxa"/>
            <w:vAlign w:val="bottom"/>
            <w:shd w:val="clear" w:color="auto" w:fill="CCFFC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63,128</w:t>
            </w:r>
          </w:p>
        </w:tc>
        <w:tc>
          <w:tcPr>
            <w:tcW w:w="120" w:type="dxa"/>
            <w:vAlign w:val="bottom"/>
            <w:shd w:val="clear" w:color="auto" w:fill="CCFFCC"/>
          </w:tcPr>
          <w:p>
            <w:pPr>
              <w:spacing w:after="0"/>
              <w:rPr>
                <w:sz w:val="21"/>
                <w:szCs w:val="21"/>
                <w:color w:val="auto"/>
              </w:rPr>
            </w:pPr>
          </w:p>
        </w:tc>
        <w:tc>
          <w:tcPr>
            <w:tcW w:w="480" w:type="dxa"/>
            <w:vAlign w:val="bottom"/>
            <w:gridSpan w:val="2"/>
            <w:shd w:val="clear" w:color="auto" w:fill="CCFFCC"/>
          </w:tcPr>
          <w:p>
            <w:pPr>
              <w:jc w:val="right"/>
              <w:ind w:right="21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55,285</w:t>
            </w: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Cost of Sales</w:t>
            </w:r>
          </w:p>
        </w:tc>
        <w:tc>
          <w:tcPr>
            <w:tcW w:w="200" w:type="dxa"/>
            <w:vAlign w:val="bottom"/>
          </w:tcPr>
          <w:p>
            <w:pPr>
              <w:spacing w:after="0"/>
              <w:rPr>
                <w:sz w:val="21"/>
                <w:szCs w:val="21"/>
                <w:color w:val="auto"/>
              </w:rPr>
            </w:pPr>
          </w:p>
        </w:tc>
        <w:tc>
          <w:tcPr>
            <w:tcW w:w="132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(50,752)</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(42,855)</w:t>
            </w:r>
          </w:p>
        </w:tc>
      </w:tr>
      <w:tr>
        <w:trPr>
          <w:trHeight w:val="237"/>
        </w:trPr>
        <w:tc>
          <w:tcPr>
            <w:tcW w:w="83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Gross Profit</w:t>
            </w:r>
          </w:p>
        </w:tc>
        <w:tc>
          <w:tcPr>
            <w:tcW w:w="200" w:type="dxa"/>
            <w:vAlign w:val="bottom"/>
            <w:tcBorders>
              <w:top w:val="single" w:sz="8" w:color="auto"/>
            </w:tcBorders>
            <w:shd w:val="clear" w:color="auto" w:fill="CCFFCC"/>
          </w:tcPr>
          <w:p>
            <w:pPr>
              <w:spacing w:after="0"/>
              <w:rPr>
                <w:sz w:val="20"/>
                <w:szCs w:val="20"/>
                <w:color w:val="auto"/>
              </w:rPr>
            </w:pPr>
          </w:p>
        </w:tc>
        <w:tc>
          <w:tcPr>
            <w:tcW w:w="11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12,376</w:t>
            </w:r>
          </w:p>
        </w:tc>
        <w:tc>
          <w:tcPr>
            <w:tcW w:w="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400" w:type="dxa"/>
            <w:vAlign w:val="bottom"/>
            <w:tcBorders>
              <w:top w:val="single" w:sz="8" w:color="auto"/>
            </w:tcBorders>
            <w:shd w:val="clear" w:color="auto" w:fill="CCFFCC"/>
          </w:tcPr>
          <w:p>
            <w:pPr>
              <w:spacing w:after="0"/>
              <w:rPr>
                <w:sz w:val="20"/>
                <w:szCs w:val="20"/>
                <w:color w:val="auto"/>
              </w:rPr>
            </w:pPr>
          </w:p>
        </w:tc>
        <w:tc>
          <w:tcPr>
            <w:tcW w:w="9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12,430</w:t>
            </w:r>
          </w:p>
        </w:tc>
        <w:tc>
          <w:tcPr>
            <w:tcW w:w="100" w:type="dxa"/>
            <w:vAlign w:val="bottom"/>
            <w:shd w:val="clear" w:color="auto" w:fill="CCFFCC"/>
          </w:tcPr>
          <w:p>
            <w:pPr>
              <w:spacing w:after="0"/>
              <w:rPr>
                <w:sz w:val="20"/>
                <w:szCs w:val="20"/>
                <w:color w:val="auto"/>
              </w:rPr>
            </w:pP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tcPr>
          <w:p>
            <w:pPr>
              <w:spacing w:after="0"/>
              <w:rPr>
                <w:sz w:val="21"/>
                <w:szCs w:val="21"/>
                <w:color w:val="auto"/>
              </w:rPr>
            </w:pPr>
          </w:p>
        </w:tc>
        <w:tc>
          <w:tcPr>
            <w:tcW w:w="132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(8,738)</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(8,860)</w:t>
            </w:r>
          </w:p>
        </w:tc>
      </w:tr>
      <w:tr>
        <w:trPr>
          <w:trHeight w:val="237"/>
        </w:trPr>
        <w:tc>
          <w:tcPr>
            <w:tcW w:w="83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Income from Operations</w:t>
            </w:r>
          </w:p>
        </w:tc>
        <w:tc>
          <w:tcPr>
            <w:tcW w:w="200" w:type="dxa"/>
            <w:vAlign w:val="bottom"/>
            <w:tcBorders>
              <w:top w:val="single" w:sz="8" w:color="auto"/>
            </w:tcBorders>
            <w:shd w:val="clear" w:color="auto" w:fill="CCFFCC"/>
          </w:tcPr>
          <w:p>
            <w:pPr>
              <w:spacing w:after="0"/>
              <w:rPr>
                <w:sz w:val="20"/>
                <w:szCs w:val="20"/>
                <w:color w:val="auto"/>
              </w:rPr>
            </w:pPr>
          </w:p>
        </w:tc>
        <w:tc>
          <w:tcPr>
            <w:tcW w:w="1200" w:type="dxa"/>
            <w:vAlign w:val="bottom"/>
            <w:tcBorders>
              <w:top w:val="single" w:sz="8" w:color="auto"/>
            </w:tcBorders>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3,638</w:t>
            </w:r>
          </w:p>
        </w:tc>
        <w:tc>
          <w:tcPr>
            <w:tcW w:w="12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400" w:type="dxa"/>
            <w:vAlign w:val="bottom"/>
            <w:tcBorders>
              <w:top w:val="single" w:sz="8" w:color="auto"/>
            </w:tcBorders>
            <w:shd w:val="clear" w:color="auto" w:fill="CCFFCC"/>
          </w:tcPr>
          <w:p>
            <w:pPr>
              <w:spacing w:after="0"/>
              <w:rPr>
                <w:sz w:val="20"/>
                <w:szCs w:val="20"/>
                <w:color w:val="auto"/>
              </w:rPr>
            </w:pPr>
          </w:p>
        </w:tc>
        <w:tc>
          <w:tcPr>
            <w:tcW w:w="9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3,570</w:t>
            </w:r>
          </w:p>
        </w:tc>
        <w:tc>
          <w:tcPr>
            <w:tcW w:w="100" w:type="dxa"/>
            <w:vAlign w:val="bottom"/>
            <w:shd w:val="clear" w:color="auto" w:fill="CCFFCC"/>
          </w:tcPr>
          <w:p>
            <w:pPr>
              <w:spacing w:after="0"/>
              <w:rPr>
                <w:sz w:val="20"/>
                <w:szCs w:val="20"/>
                <w:color w:val="auto"/>
              </w:rPr>
            </w:pPr>
          </w:p>
        </w:tc>
      </w:tr>
      <w:tr>
        <w:trPr>
          <w:trHeight w:val="237"/>
        </w:trPr>
        <w:tc>
          <w:tcPr>
            <w:tcW w:w="8340" w:type="dxa"/>
            <w:vAlign w:val="bottom"/>
            <w:tcBorders>
              <w:top w:val="single" w:sz="8" w:color="CCFFCC"/>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20" w:type="dxa"/>
            <w:vAlign w:val="bottom"/>
            <w:tcBorders>
              <w:top w:val="single" w:sz="8" w:color="CCFFCC"/>
            </w:tcBorders>
          </w:tcPr>
          <w:p>
            <w:pPr>
              <w:spacing w:after="0"/>
              <w:rPr>
                <w:sz w:val="20"/>
                <w:szCs w:val="20"/>
                <w:color w:val="auto"/>
              </w:rPr>
            </w:pPr>
          </w:p>
        </w:tc>
        <w:tc>
          <w:tcPr>
            <w:tcW w:w="120" w:type="dxa"/>
            <w:vAlign w:val="bottom"/>
            <w:tcBorders>
              <w:top w:val="single" w:sz="8" w:color="CCFFCC"/>
            </w:tcBorders>
          </w:tcPr>
          <w:p>
            <w:pPr>
              <w:spacing w:after="0"/>
              <w:rPr>
                <w:sz w:val="20"/>
                <w:szCs w:val="20"/>
                <w:color w:val="auto"/>
              </w:rPr>
            </w:pPr>
          </w:p>
        </w:tc>
        <w:tc>
          <w:tcPr>
            <w:tcW w:w="80" w:type="dxa"/>
            <w:vAlign w:val="bottom"/>
            <w:tcBorders>
              <w:top w:val="single" w:sz="8" w:color="CCFFCC"/>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r>
      <w:tr>
        <w:trPr>
          <w:trHeight w:val="243"/>
        </w:trPr>
        <w:tc>
          <w:tcPr>
            <w:tcW w:w="83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Other Income (Expense)</w:t>
            </w:r>
          </w:p>
        </w:tc>
        <w:tc>
          <w:tcPr>
            <w:tcW w:w="200" w:type="dxa"/>
            <w:vAlign w:val="bottom"/>
            <w:shd w:val="clear" w:color="auto" w:fill="CCFFCC"/>
          </w:tcPr>
          <w:p>
            <w:pPr>
              <w:spacing w:after="0"/>
              <w:rPr>
                <w:sz w:val="21"/>
                <w:szCs w:val="21"/>
                <w:color w:val="auto"/>
              </w:rPr>
            </w:pPr>
          </w:p>
        </w:tc>
        <w:tc>
          <w:tcPr>
            <w:tcW w:w="118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400" w:type="dxa"/>
            <w:vAlign w:val="bottom"/>
            <w:shd w:val="clear" w:color="auto" w:fill="CCFFCC"/>
          </w:tcPr>
          <w:p>
            <w:pPr>
              <w:spacing w:after="0"/>
              <w:rPr>
                <w:sz w:val="21"/>
                <w:szCs w:val="21"/>
                <w:color w:val="auto"/>
              </w:rPr>
            </w:pPr>
          </w:p>
        </w:tc>
        <w:tc>
          <w:tcPr>
            <w:tcW w:w="9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1"/>
                <w:szCs w:val="21"/>
                <w:color w:val="auto"/>
              </w:rPr>
            </w:pPr>
          </w:p>
        </w:tc>
        <w:tc>
          <w:tcPr>
            <w:tcW w:w="132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(505)</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(547)</w:t>
            </w:r>
          </w:p>
        </w:tc>
      </w:tr>
      <w:tr>
        <w:trPr>
          <w:trHeight w:val="243"/>
        </w:trPr>
        <w:tc>
          <w:tcPr>
            <w:tcW w:w="83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Interest income</w:t>
            </w:r>
          </w:p>
        </w:tc>
        <w:tc>
          <w:tcPr>
            <w:tcW w:w="200" w:type="dxa"/>
            <w:vAlign w:val="bottom"/>
            <w:shd w:val="clear" w:color="auto" w:fill="CCFFCC"/>
          </w:tcPr>
          <w:p>
            <w:pPr>
              <w:spacing w:after="0"/>
              <w:rPr>
                <w:sz w:val="21"/>
                <w:szCs w:val="21"/>
                <w:color w:val="auto"/>
              </w:rPr>
            </w:pPr>
          </w:p>
        </w:tc>
        <w:tc>
          <w:tcPr>
            <w:tcW w:w="12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165</w:t>
            </w:r>
          </w:p>
        </w:tc>
        <w:tc>
          <w:tcPr>
            <w:tcW w:w="12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400" w:type="dxa"/>
            <w:vAlign w:val="bottom"/>
            <w:shd w:val="clear" w:color="auto" w:fill="CCFFCC"/>
          </w:tcPr>
          <w:p>
            <w:pPr>
              <w:spacing w:after="0"/>
              <w:rPr>
                <w:sz w:val="21"/>
                <w:szCs w:val="21"/>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368</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200" w:type="dxa"/>
            <w:vAlign w:val="bottom"/>
          </w:tcPr>
          <w:p>
            <w:pPr>
              <w:spacing w:after="0"/>
              <w:rPr>
                <w:sz w:val="21"/>
                <w:szCs w:val="21"/>
                <w:color w:val="auto"/>
              </w:rPr>
            </w:pPr>
          </w:p>
        </w:tc>
        <w:tc>
          <w:tcPr>
            <w:tcW w:w="132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(221)</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r>
      <w:tr>
        <w:trPr>
          <w:trHeight w:val="20"/>
        </w:trPr>
        <w:tc>
          <w:tcPr>
            <w:tcW w:w="8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8340" w:type="dxa"/>
            <w:vAlign w:val="bottom"/>
            <w:shd w:val="clear" w:color="auto" w:fill="CCFFCC"/>
          </w:tcPr>
          <w:p>
            <w:pPr>
              <w:ind w:left="340"/>
              <w:spacing w:after="0"/>
              <w:rPr>
                <w:sz w:val="20"/>
                <w:szCs w:val="20"/>
                <w:color w:val="auto"/>
              </w:rPr>
            </w:pPr>
            <w:r>
              <w:rPr>
                <w:rFonts w:ascii="Arial" w:cs="Arial" w:eastAsia="Arial" w:hAnsi="Arial"/>
                <w:sz w:val="18"/>
                <w:szCs w:val="18"/>
                <w:b w:val="1"/>
                <w:bCs w:val="1"/>
                <w:color w:val="auto"/>
              </w:rPr>
              <w:t>Total Other Income (Expense), Net</w:t>
            </w:r>
          </w:p>
        </w:tc>
        <w:tc>
          <w:tcPr>
            <w:tcW w:w="200" w:type="dxa"/>
            <w:vAlign w:val="bottom"/>
            <w:shd w:val="clear" w:color="auto" w:fill="CCFFCC"/>
          </w:tcPr>
          <w:p>
            <w:pPr>
              <w:spacing w:after="0"/>
              <w:rPr>
                <w:sz w:val="20"/>
                <w:szCs w:val="20"/>
                <w:color w:val="auto"/>
              </w:rPr>
            </w:pPr>
          </w:p>
        </w:tc>
        <w:tc>
          <w:tcPr>
            <w:tcW w:w="132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(561)</w:t>
            </w:r>
          </w:p>
        </w:tc>
        <w:tc>
          <w:tcPr>
            <w:tcW w:w="80" w:type="dxa"/>
            <w:vAlign w:val="bottom"/>
            <w:shd w:val="clear" w:color="auto" w:fill="CCFFCC"/>
          </w:tcPr>
          <w:p>
            <w:pPr>
              <w:spacing w:after="0"/>
              <w:rPr>
                <w:sz w:val="20"/>
                <w:szCs w:val="20"/>
                <w:color w:val="auto"/>
              </w:rPr>
            </w:pPr>
          </w:p>
        </w:tc>
        <w:tc>
          <w:tcPr>
            <w:tcW w:w="400" w:type="dxa"/>
            <w:vAlign w:val="bottom"/>
            <w:shd w:val="clear" w:color="auto" w:fill="CCFFCC"/>
          </w:tcPr>
          <w:p>
            <w:pPr>
              <w:spacing w:after="0"/>
              <w:rPr>
                <w:sz w:val="20"/>
                <w:szCs w:val="20"/>
                <w:color w:val="auto"/>
              </w:rPr>
            </w:pP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(144)</w:t>
            </w:r>
          </w:p>
        </w:tc>
      </w:tr>
      <w:tr>
        <w:trPr>
          <w:trHeight w:val="237"/>
        </w:trPr>
        <w:tc>
          <w:tcPr>
            <w:tcW w:w="8340" w:type="dxa"/>
            <w:vAlign w:val="bottom"/>
            <w:tcBorders>
              <w:top w:val="single" w:sz="8" w:color="CCFFCC"/>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20" w:type="dxa"/>
            <w:vAlign w:val="bottom"/>
            <w:tcBorders>
              <w:top w:val="single" w:sz="8" w:color="CCFFCC"/>
            </w:tcBorders>
          </w:tcPr>
          <w:p>
            <w:pPr>
              <w:spacing w:after="0"/>
              <w:rPr>
                <w:sz w:val="20"/>
                <w:szCs w:val="20"/>
                <w:color w:val="auto"/>
              </w:rPr>
            </w:pPr>
          </w:p>
        </w:tc>
        <w:tc>
          <w:tcPr>
            <w:tcW w:w="120" w:type="dxa"/>
            <w:vAlign w:val="bottom"/>
            <w:tcBorders>
              <w:top w:val="single" w:sz="8" w:color="CCFFCC"/>
            </w:tcBorders>
          </w:tcPr>
          <w:p>
            <w:pPr>
              <w:spacing w:after="0"/>
              <w:rPr>
                <w:sz w:val="20"/>
                <w:szCs w:val="20"/>
                <w:color w:val="auto"/>
              </w:rPr>
            </w:pPr>
          </w:p>
        </w:tc>
        <w:tc>
          <w:tcPr>
            <w:tcW w:w="80" w:type="dxa"/>
            <w:vAlign w:val="bottom"/>
            <w:tcBorders>
              <w:top w:val="single" w:sz="8" w:color="CCFFCC"/>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r>
      <w:tr>
        <w:trPr>
          <w:trHeight w:val="243"/>
        </w:trPr>
        <w:tc>
          <w:tcPr>
            <w:tcW w:w="83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Income Before Income Taxes</w:t>
            </w:r>
          </w:p>
        </w:tc>
        <w:tc>
          <w:tcPr>
            <w:tcW w:w="200" w:type="dxa"/>
            <w:vAlign w:val="bottom"/>
            <w:shd w:val="clear" w:color="auto" w:fill="CCFFCC"/>
          </w:tcPr>
          <w:p>
            <w:pPr>
              <w:spacing w:after="0"/>
              <w:rPr>
                <w:sz w:val="21"/>
                <w:szCs w:val="21"/>
                <w:color w:val="auto"/>
              </w:rPr>
            </w:pPr>
          </w:p>
        </w:tc>
        <w:tc>
          <w:tcPr>
            <w:tcW w:w="12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3,077</w:t>
            </w:r>
          </w:p>
        </w:tc>
        <w:tc>
          <w:tcPr>
            <w:tcW w:w="12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400" w:type="dxa"/>
            <w:vAlign w:val="bottom"/>
            <w:shd w:val="clear" w:color="auto" w:fill="CCFFCC"/>
          </w:tcPr>
          <w:p>
            <w:pPr>
              <w:spacing w:after="0"/>
              <w:rPr>
                <w:sz w:val="21"/>
                <w:szCs w:val="21"/>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3,426</w:t>
            </w: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Income taxes</w:t>
            </w:r>
          </w:p>
        </w:tc>
        <w:tc>
          <w:tcPr>
            <w:tcW w:w="200" w:type="dxa"/>
            <w:vAlign w:val="bottom"/>
          </w:tcPr>
          <w:p>
            <w:pPr>
              <w:spacing w:after="0"/>
              <w:rPr>
                <w:sz w:val="21"/>
                <w:szCs w:val="21"/>
                <w:color w:val="auto"/>
              </w:rPr>
            </w:pPr>
          </w:p>
        </w:tc>
        <w:tc>
          <w:tcPr>
            <w:tcW w:w="132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(831)</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(942)</w:t>
            </w:r>
          </w:p>
        </w:tc>
      </w:tr>
      <w:tr>
        <w:trPr>
          <w:trHeight w:val="237"/>
        </w:trPr>
        <w:tc>
          <w:tcPr>
            <w:tcW w:w="83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Income</w:t>
            </w:r>
          </w:p>
        </w:tc>
        <w:tc>
          <w:tcPr>
            <w:tcW w:w="200" w:type="dxa"/>
            <w:vAlign w:val="bottom"/>
            <w:tcBorders>
              <w:top w:val="single" w:sz="8" w:color="auto"/>
            </w:tcBorders>
            <w:shd w:val="clear" w:color="auto" w:fill="CCFFCC"/>
          </w:tcPr>
          <w:p>
            <w:pPr>
              <w:spacing w:after="0"/>
              <w:rPr>
                <w:sz w:val="20"/>
                <w:szCs w:val="20"/>
                <w:color w:val="auto"/>
              </w:rPr>
            </w:pPr>
          </w:p>
        </w:tc>
        <w:tc>
          <w:tcPr>
            <w:tcW w:w="11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2,246</w:t>
            </w:r>
          </w:p>
        </w:tc>
        <w:tc>
          <w:tcPr>
            <w:tcW w:w="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400" w:type="dxa"/>
            <w:vAlign w:val="bottom"/>
            <w:tcBorders>
              <w:top w:val="single" w:sz="8" w:color="auto"/>
            </w:tcBorders>
            <w:shd w:val="clear" w:color="auto" w:fill="CCFFCC"/>
          </w:tcPr>
          <w:p>
            <w:pPr>
              <w:spacing w:after="0"/>
              <w:rPr>
                <w:sz w:val="20"/>
                <w:szCs w:val="20"/>
                <w:color w:val="auto"/>
              </w:rPr>
            </w:pPr>
          </w:p>
        </w:tc>
        <w:tc>
          <w:tcPr>
            <w:tcW w:w="9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2,484</w:t>
            </w:r>
          </w:p>
        </w:tc>
        <w:tc>
          <w:tcPr>
            <w:tcW w:w="100" w:type="dxa"/>
            <w:vAlign w:val="bottom"/>
            <w:shd w:val="clear" w:color="auto" w:fill="CCFFCC"/>
          </w:tcPr>
          <w:p>
            <w:pPr>
              <w:spacing w:after="0"/>
              <w:rPr>
                <w:sz w:val="20"/>
                <w:szCs w:val="20"/>
                <w:color w:val="auto"/>
              </w:rPr>
            </w:pPr>
          </w:p>
        </w:tc>
      </w:tr>
      <w:tr>
        <w:trPr>
          <w:trHeight w:val="243"/>
        </w:trPr>
        <w:tc>
          <w:tcPr>
            <w:tcW w:w="8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83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Retained Earnings</w:t>
            </w:r>
          </w:p>
        </w:tc>
        <w:tc>
          <w:tcPr>
            <w:tcW w:w="200" w:type="dxa"/>
            <w:vAlign w:val="bottom"/>
            <w:shd w:val="clear" w:color="auto" w:fill="CCFFCC"/>
          </w:tcPr>
          <w:p>
            <w:pPr>
              <w:spacing w:after="0"/>
              <w:rPr>
                <w:sz w:val="21"/>
                <w:szCs w:val="21"/>
                <w:color w:val="auto"/>
              </w:rPr>
            </w:pPr>
          </w:p>
        </w:tc>
        <w:tc>
          <w:tcPr>
            <w:tcW w:w="118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400" w:type="dxa"/>
            <w:vAlign w:val="bottom"/>
            <w:shd w:val="clear" w:color="auto" w:fill="CCFFCC"/>
          </w:tcPr>
          <w:p>
            <w:pPr>
              <w:spacing w:after="0"/>
              <w:rPr>
                <w:sz w:val="21"/>
                <w:szCs w:val="21"/>
                <w:color w:val="auto"/>
              </w:rPr>
            </w:pPr>
          </w:p>
        </w:tc>
        <w:tc>
          <w:tcPr>
            <w:tcW w:w="9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Balance at beginning of year</w:t>
            </w:r>
          </w:p>
        </w:tc>
        <w:tc>
          <w:tcPr>
            <w:tcW w:w="200" w:type="dxa"/>
            <w:vAlign w:val="bottom"/>
          </w:tcPr>
          <w:p>
            <w:pPr>
              <w:spacing w:after="0"/>
              <w:rPr>
                <w:sz w:val="21"/>
                <w:szCs w:val="21"/>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105,966</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100,503</w:t>
            </w:r>
          </w:p>
        </w:tc>
      </w:tr>
      <w:tr>
        <w:trPr>
          <w:trHeight w:val="243"/>
        </w:trPr>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Cash dividends declared and treasury stock issuances</w:t>
            </w:r>
          </w:p>
        </w:tc>
        <w:tc>
          <w:tcPr>
            <w:tcW w:w="200" w:type="dxa"/>
            <w:vAlign w:val="bottom"/>
            <w:shd w:val="clear" w:color="auto" w:fill="CCFFCC"/>
          </w:tcPr>
          <w:p>
            <w:pPr>
              <w:spacing w:after="0"/>
              <w:rPr>
                <w:sz w:val="21"/>
                <w:szCs w:val="21"/>
                <w:color w:val="auto"/>
              </w:rPr>
            </w:pPr>
          </w:p>
        </w:tc>
        <w:tc>
          <w:tcPr>
            <w:tcW w:w="132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(1,013)</w:t>
            </w:r>
          </w:p>
        </w:tc>
        <w:tc>
          <w:tcPr>
            <w:tcW w:w="80" w:type="dxa"/>
            <w:vAlign w:val="bottom"/>
            <w:shd w:val="clear" w:color="auto" w:fill="CCFFCC"/>
          </w:tcPr>
          <w:p>
            <w:pPr>
              <w:spacing w:after="0"/>
              <w:rPr>
                <w:sz w:val="21"/>
                <w:szCs w:val="21"/>
                <w:color w:val="auto"/>
              </w:rPr>
            </w:pPr>
          </w:p>
        </w:tc>
        <w:tc>
          <w:tcPr>
            <w:tcW w:w="400" w:type="dxa"/>
            <w:vAlign w:val="bottom"/>
            <w:shd w:val="clear" w:color="auto" w:fill="CCFFCC"/>
          </w:tcPr>
          <w:p>
            <w:pPr>
              <w:spacing w:after="0"/>
              <w:rPr>
                <w:sz w:val="21"/>
                <w:szCs w:val="21"/>
                <w:color w:val="auto"/>
              </w:rPr>
            </w:pP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(843)</w:t>
            </w:r>
          </w:p>
        </w:tc>
      </w:tr>
      <w:tr>
        <w:trPr>
          <w:trHeight w:val="237"/>
        </w:trPr>
        <w:tc>
          <w:tcPr>
            <w:tcW w:w="8340" w:type="dxa"/>
            <w:vAlign w:val="bottom"/>
            <w:tcBorders>
              <w:top w:val="single" w:sz="8" w:color="CCFFCC"/>
            </w:tcBorders>
          </w:tcPr>
          <w:p>
            <w:pPr>
              <w:spacing w:after="0"/>
              <w:rPr>
                <w:sz w:val="20"/>
                <w:szCs w:val="20"/>
                <w:color w:val="auto"/>
              </w:rPr>
            </w:pPr>
            <w:r>
              <w:rPr>
                <w:rFonts w:ascii="Arial" w:cs="Arial" w:eastAsia="Arial" w:hAnsi="Arial"/>
                <w:sz w:val="18"/>
                <w:szCs w:val="18"/>
                <w:b w:val="1"/>
                <w:bCs w:val="1"/>
                <w:color w:val="auto"/>
              </w:rPr>
              <w:t>Retained Earnings – October 31</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107,199</w:t>
            </w:r>
          </w:p>
        </w:tc>
        <w:tc>
          <w:tcPr>
            <w:tcW w:w="20" w:type="dxa"/>
            <w:vAlign w:val="bottom"/>
            <w:tcBorders>
              <w:top w:val="single" w:sz="8" w:color="CCFFCC"/>
            </w:tcBorders>
          </w:tcPr>
          <w:p>
            <w:pPr>
              <w:spacing w:after="0"/>
              <w:rPr>
                <w:sz w:val="20"/>
                <w:szCs w:val="20"/>
                <w:color w:val="auto"/>
              </w:rPr>
            </w:pPr>
          </w:p>
        </w:tc>
        <w:tc>
          <w:tcPr>
            <w:tcW w:w="120" w:type="dxa"/>
            <w:vAlign w:val="bottom"/>
            <w:tcBorders>
              <w:top w:val="single" w:sz="8" w:color="CCFFCC"/>
            </w:tcBorders>
          </w:tcPr>
          <w:p>
            <w:pPr>
              <w:spacing w:after="0"/>
              <w:rPr>
                <w:sz w:val="20"/>
                <w:szCs w:val="20"/>
                <w:color w:val="auto"/>
              </w:rPr>
            </w:pPr>
          </w:p>
        </w:tc>
        <w:tc>
          <w:tcPr>
            <w:tcW w:w="80" w:type="dxa"/>
            <w:vAlign w:val="bottom"/>
            <w:tcBorders>
              <w:top w:val="single" w:sz="8" w:color="CCFFCC"/>
            </w:tcBorders>
          </w:tcPr>
          <w:p>
            <w:pPr>
              <w:spacing w:after="0"/>
              <w:rPr>
                <w:sz w:val="20"/>
                <w:szCs w:val="20"/>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102,144</w:t>
            </w:r>
          </w:p>
        </w:tc>
        <w:tc>
          <w:tcPr>
            <w:tcW w:w="100" w:type="dxa"/>
            <w:vAlign w:val="bottom"/>
            <w:tcBorders>
              <w:top w:val="single" w:sz="8" w:color="CCFFCC"/>
            </w:tcBorders>
          </w:tcPr>
          <w:p>
            <w:pPr>
              <w:spacing w:after="0"/>
              <w:rPr>
                <w:sz w:val="20"/>
                <w:szCs w:val="20"/>
                <w:color w:val="auto"/>
              </w:rPr>
            </w:pP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834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1180" w:type="dxa"/>
            <w:vAlign w:val="bottom"/>
            <w:shd w:val="clear" w:color="auto" w:fill="CCFFCC"/>
          </w:tcPr>
          <w:p>
            <w:pPr>
              <w:spacing w:after="0"/>
              <w:rPr>
                <w:sz w:val="19"/>
                <w:szCs w:val="19"/>
                <w:color w:val="auto"/>
              </w:rPr>
            </w:pPr>
          </w:p>
        </w:tc>
        <w:tc>
          <w:tcPr>
            <w:tcW w:w="2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400" w:type="dxa"/>
            <w:vAlign w:val="bottom"/>
            <w:shd w:val="clear" w:color="auto" w:fill="CCFFCC"/>
          </w:tcPr>
          <w:p>
            <w:pPr>
              <w:spacing w:after="0"/>
              <w:rPr>
                <w:sz w:val="19"/>
                <w:szCs w:val="19"/>
                <w:color w:val="auto"/>
              </w:rPr>
            </w:pPr>
          </w:p>
        </w:tc>
        <w:tc>
          <w:tcPr>
            <w:tcW w:w="98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r>
      <w:tr>
        <w:trPr>
          <w:trHeight w:val="243"/>
        </w:trPr>
        <w:tc>
          <w:tcPr>
            <w:tcW w:w="8340" w:type="dxa"/>
            <w:vAlign w:val="bottom"/>
          </w:tcPr>
          <w:p>
            <w:pPr>
              <w:spacing w:after="0"/>
              <w:rPr>
                <w:sz w:val="20"/>
                <w:szCs w:val="20"/>
                <w:color w:val="auto"/>
              </w:rPr>
            </w:pPr>
            <w:r>
              <w:rPr>
                <w:rFonts w:ascii="Arial" w:cs="Arial" w:eastAsia="Arial" w:hAnsi="Arial"/>
                <w:sz w:val="18"/>
                <w:szCs w:val="18"/>
                <w:b w:val="1"/>
                <w:bCs w:val="1"/>
                <w:color w:val="auto"/>
              </w:rPr>
              <w:t>Net Income Per Share</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8340" w:type="dxa"/>
            <w:vAlign w:val="bottom"/>
            <w:shd w:val="clear" w:color="auto" w:fill="CCFFCC"/>
          </w:tcPr>
          <w:p>
            <w:pPr>
              <w:ind w:left="180"/>
              <w:spacing w:after="0"/>
              <w:rPr>
                <w:sz w:val="20"/>
                <w:szCs w:val="20"/>
                <w:color w:val="auto"/>
              </w:rPr>
            </w:pPr>
            <w:r>
              <w:rPr>
                <w:rFonts w:ascii="Arial" w:cs="Arial" w:eastAsia="Arial" w:hAnsi="Arial"/>
                <w:sz w:val="18"/>
                <w:szCs w:val="18"/>
                <w:b w:val="1"/>
                <w:bCs w:val="1"/>
                <w:color w:val="auto"/>
              </w:rPr>
              <w:t>Basic Common</w:t>
            </w:r>
          </w:p>
        </w:tc>
        <w:tc>
          <w:tcPr>
            <w:tcW w:w="200" w:type="dxa"/>
            <w:vAlign w:val="bottom"/>
            <w:shd w:val="clear" w:color="auto" w:fill="CCFFC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0.34</w:t>
            </w:r>
          </w:p>
        </w:tc>
        <w:tc>
          <w:tcPr>
            <w:tcW w:w="120" w:type="dxa"/>
            <w:vAlign w:val="bottom"/>
            <w:shd w:val="clear" w:color="auto" w:fill="CCFFCC"/>
          </w:tcPr>
          <w:p>
            <w:pPr>
              <w:spacing w:after="0"/>
              <w:rPr>
                <w:sz w:val="21"/>
                <w:szCs w:val="21"/>
                <w:color w:val="auto"/>
              </w:rPr>
            </w:pPr>
          </w:p>
        </w:tc>
        <w:tc>
          <w:tcPr>
            <w:tcW w:w="480" w:type="dxa"/>
            <w:vAlign w:val="bottom"/>
            <w:gridSpan w:val="2"/>
            <w:shd w:val="clear" w:color="auto" w:fill="CCFFCC"/>
          </w:tcPr>
          <w:p>
            <w:pPr>
              <w:jc w:val="right"/>
              <w:ind w:right="21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0.38</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b w:val="1"/>
                <w:bCs w:val="1"/>
                <w:color w:val="auto"/>
              </w:rPr>
              <w:t>Basic Class B</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0.27</w:t>
            </w:r>
          </w:p>
        </w:tc>
        <w:tc>
          <w:tcPr>
            <w:tcW w:w="120" w:type="dxa"/>
            <w:vAlign w:val="bottom"/>
          </w:tcPr>
          <w:p>
            <w:pPr>
              <w:spacing w:after="0"/>
              <w:rPr>
                <w:sz w:val="21"/>
                <w:szCs w:val="21"/>
                <w:color w:val="auto"/>
              </w:rPr>
            </w:pPr>
          </w:p>
        </w:tc>
        <w:tc>
          <w:tcPr>
            <w:tcW w:w="4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0.31</w:t>
            </w:r>
          </w:p>
        </w:tc>
      </w:tr>
      <w:tr>
        <w:trPr>
          <w:trHeight w:val="243"/>
        </w:trPr>
        <w:tc>
          <w:tcPr>
            <w:tcW w:w="8340" w:type="dxa"/>
            <w:vAlign w:val="bottom"/>
            <w:shd w:val="clear" w:color="auto" w:fill="CCFFCC"/>
          </w:tcPr>
          <w:p>
            <w:pPr>
              <w:ind w:left="180"/>
              <w:spacing w:after="0"/>
              <w:rPr>
                <w:sz w:val="20"/>
                <w:szCs w:val="20"/>
                <w:color w:val="auto"/>
              </w:rPr>
            </w:pPr>
            <w:r>
              <w:rPr>
                <w:rFonts w:ascii="Arial" w:cs="Arial" w:eastAsia="Arial" w:hAnsi="Arial"/>
                <w:sz w:val="18"/>
                <w:szCs w:val="18"/>
                <w:b w:val="1"/>
                <w:bCs w:val="1"/>
                <w:color w:val="auto"/>
              </w:rPr>
              <w:t>Diluted</w:t>
            </w:r>
          </w:p>
        </w:tc>
        <w:tc>
          <w:tcPr>
            <w:tcW w:w="200" w:type="dxa"/>
            <w:vAlign w:val="bottom"/>
            <w:shd w:val="clear" w:color="auto" w:fill="CCFFC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0.31</w:t>
            </w:r>
          </w:p>
        </w:tc>
        <w:tc>
          <w:tcPr>
            <w:tcW w:w="120" w:type="dxa"/>
            <w:vAlign w:val="bottom"/>
            <w:shd w:val="clear" w:color="auto" w:fill="CCFFCC"/>
          </w:tcPr>
          <w:p>
            <w:pPr>
              <w:spacing w:after="0"/>
              <w:rPr>
                <w:sz w:val="21"/>
                <w:szCs w:val="21"/>
                <w:color w:val="auto"/>
              </w:rPr>
            </w:pPr>
          </w:p>
        </w:tc>
        <w:tc>
          <w:tcPr>
            <w:tcW w:w="480" w:type="dxa"/>
            <w:vAlign w:val="bottom"/>
            <w:gridSpan w:val="2"/>
            <w:shd w:val="clear" w:color="auto" w:fill="CCFFCC"/>
          </w:tcPr>
          <w:p>
            <w:pPr>
              <w:jc w:val="right"/>
              <w:ind w:right="21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0.35</w:t>
            </w:r>
          </w:p>
        </w:tc>
      </w:tr>
      <w:tr>
        <w:trPr>
          <w:trHeight w:val="243"/>
        </w:trPr>
        <w:tc>
          <w:tcPr>
            <w:tcW w:w="8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83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Average Shares Outstanding</w:t>
            </w:r>
          </w:p>
        </w:tc>
        <w:tc>
          <w:tcPr>
            <w:tcW w:w="200" w:type="dxa"/>
            <w:vAlign w:val="bottom"/>
            <w:shd w:val="clear" w:color="auto" w:fill="CCFFCC"/>
          </w:tcPr>
          <w:p>
            <w:pPr>
              <w:spacing w:after="0"/>
              <w:rPr>
                <w:sz w:val="21"/>
                <w:szCs w:val="21"/>
                <w:color w:val="auto"/>
              </w:rPr>
            </w:pPr>
          </w:p>
        </w:tc>
        <w:tc>
          <w:tcPr>
            <w:tcW w:w="118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400" w:type="dxa"/>
            <w:vAlign w:val="bottom"/>
            <w:shd w:val="clear" w:color="auto" w:fill="CCFFCC"/>
          </w:tcPr>
          <w:p>
            <w:pPr>
              <w:spacing w:after="0"/>
              <w:rPr>
                <w:sz w:val="21"/>
                <w:szCs w:val="21"/>
                <w:color w:val="auto"/>
              </w:rPr>
            </w:pPr>
          </w:p>
        </w:tc>
        <w:tc>
          <w:tcPr>
            <w:tcW w:w="9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b w:val="1"/>
                <w:bCs w:val="1"/>
                <w:color w:val="auto"/>
              </w:rPr>
              <w:t>Basic Common</w:t>
            </w:r>
          </w:p>
        </w:tc>
        <w:tc>
          <w:tcPr>
            <w:tcW w:w="2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5,128</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5,004</w:t>
            </w:r>
          </w:p>
        </w:tc>
        <w:tc>
          <w:tcPr>
            <w:tcW w:w="100" w:type="dxa"/>
            <w:vAlign w:val="bottom"/>
          </w:tcPr>
          <w:p>
            <w:pPr>
              <w:spacing w:after="0"/>
              <w:rPr>
                <w:sz w:val="21"/>
                <w:szCs w:val="21"/>
                <w:color w:val="auto"/>
              </w:rPr>
            </w:pP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83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8"/>
                <w:szCs w:val="18"/>
                <w:b w:val="1"/>
                <w:bCs w:val="1"/>
                <w:color w:val="auto"/>
              </w:rPr>
              <w:t>Basic Class B</w:t>
            </w:r>
          </w:p>
        </w:tc>
        <w:tc>
          <w:tcPr>
            <w:tcW w:w="200" w:type="dxa"/>
            <w:vAlign w:val="bottom"/>
            <w:tcBorders>
              <w:bottom w:val="single" w:sz="8" w:color="auto"/>
            </w:tcBorders>
            <w:shd w:val="clear" w:color="auto" w:fill="CCFFCC"/>
          </w:tcPr>
          <w:p>
            <w:pPr>
              <w:spacing w:after="0"/>
              <w:rPr>
                <w:sz w:val="22"/>
                <w:szCs w:val="22"/>
                <w:color w:val="auto"/>
              </w:rPr>
            </w:pPr>
          </w:p>
        </w:tc>
        <w:tc>
          <w:tcPr>
            <w:tcW w:w="1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1,862</w:t>
            </w:r>
          </w:p>
        </w:tc>
        <w:tc>
          <w:tcPr>
            <w:tcW w:w="20" w:type="dxa"/>
            <w:vAlign w:val="bottom"/>
            <w:tcBorders>
              <w:bottom w:val="single" w:sz="8" w:color="CCFFCC"/>
            </w:tcBorders>
            <w:shd w:val="clear" w:color="auto" w:fill="CCFFCC"/>
          </w:tcPr>
          <w:p>
            <w:pPr>
              <w:spacing w:after="0"/>
              <w:rPr>
                <w:sz w:val="22"/>
                <w:szCs w:val="22"/>
                <w:color w:val="auto"/>
              </w:rPr>
            </w:pPr>
          </w:p>
        </w:tc>
        <w:tc>
          <w:tcPr>
            <w:tcW w:w="120" w:type="dxa"/>
            <w:vAlign w:val="bottom"/>
            <w:tcBorders>
              <w:bottom w:val="single" w:sz="8" w:color="CCFFCC"/>
            </w:tcBorders>
            <w:shd w:val="clear" w:color="auto" w:fill="CCFFCC"/>
          </w:tcPr>
          <w:p>
            <w:pPr>
              <w:spacing w:after="0"/>
              <w:rPr>
                <w:sz w:val="22"/>
                <w:szCs w:val="22"/>
                <w:color w:val="auto"/>
              </w:rPr>
            </w:pPr>
          </w:p>
        </w:tc>
        <w:tc>
          <w:tcPr>
            <w:tcW w:w="80" w:type="dxa"/>
            <w:vAlign w:val="bottom"/>
            <w:tcBorders>
              <w:bottom w:val="single" w:sz="8" w:color="CCFFCC"/>
            </w:tcBorders>
            <w:shd w:val="clear" w:color="auto" w:fill="CCFFCC"/>
          </w:tcPr>
          <w:p>
            <w:pPr>
              <w:spacing w:after="0"/>
              <w:rPr>
                <w:sz w:val="22"/>
                <w:szCs w:val="22"/>
                <w:color w:val="auto"/>
              </w:rPr>
            </w:pPr>
          </w:p>
        </w:tc>
        <w:tc>
          <w:tcPr>
            <w:tcW w:w="400" w:type="dxa"/>
            <w:vAlign w:val="bottom"/>
            <w:tcBorders>
              <w:bottom w:val="single" w:sz="8" w:color="auto"/>
            </w:tcBorders>
            <w:shd w:val="clear" w:color="auto" w:fill="CCFFCC"/>
          </w:tcPr>
          <w:p>
            <w:pPr>
              <w:spacing w:after="0"/>
              <w:rPr>
                <w:sz w:val="22"/>
                <w:szCs w:val="22"/>
                <w:color w:val="auto"/>
              </w:rPr>
            </w:pP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1,840</w:t>
            </w:r>
          </w:p>
        </w:tc>
        <w:tc>
          <w:tcPr>
            <w:tcW w:w="100" w:type="dxa"/>
            <w:vAlign w:val="bottom"/>
            <w:tcBorders>
              <w:bottom w:val="single" w:sz="8" w:color="CCFFCC"/>
            </w:tcBorders>
            <w:shd w:val="clear" w:color="auto" w:fill="CCFFCC"/>
          </w:tcPr>
          <w:p>
            <w:pPr>
              <w:spacing w:after="0"/>
              <w:rPr>
                <w:sz w:val="22"/>
                <w:szCs w:val="22"/>
                <w:color w:val="auto"/>
              </w:rPr>
            </w:pPr>
          </w:p>
        </w:tc>
      </w:tr>
      <w:tr>
        <w:trPr>
          <w:trHeight w:val="224"/>
        </w:trPr>
        <w:tc>
          <w:tcPr>
            <w:tcW w:w="8340" w:type="dxa"/>
            <w:vAlign w:val="bottom"/>
          </w:tcPr>
          <w:p>
            <w:pPr>
              <w:ind w:left="180"/>
              <w:spacing w:after="0"/>
              <w:rPr>
                <w:sz w:val="20"/>
                <w:szCs w:val="20"/>
                <w:color w:val="auto"/>
              </w:rPr>
            </w:pPr>
            <w:r>
              <w:rPr>
                <w:rFonts w:ascii="Arial" w:cs="Arial" w:eastAsia="Arial" w:hAnsi="Arial"/>
                <w:sz w:val="18"/>
                <w:szCs w:val="18"/>
                <w:b w:val="1"/>
                <w:bCs w:val="1"/>
                <w:color w:val="auto"/>
              </w:rPr>
              <w:t>Diluted</w:t>
            </w:r>
          </w:p>
        </w:tc>
        <w:tc>
          <w:tcPr>
            <w:tcW w:w="20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7,245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7,145</w:t>
            </w:r>
          </w:p>
        </w:tc>
      </w:tr>
      <w:tr>
        <w:trPr>
          <w:trHeight w:val="20"/>
        </w:trPr>
        <w:tc>
          <w:tcPr>
            <w:tcW w:w="8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5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5" w:name="page6"/>
    <w:bookmarkEnd w:id="5"/>
    <w:p>
      <w:pPr>
        <w:ind w:left="4260"/>
        <w:spacing w:after="0"/>
        <w:rPr>
          <w:sz w:val="20"/>
          <w:szCs w:val="20"/>
          <w:color w:val="auto"/>
        </w:rPr>
      </w:pPr>
      <w:r>
        <w:rPr>
          <w:rFonts w:ascii="Arial" w:cs="Arial" w:eastAsia="Arial" w:hAnsi="Arial"/>
          <w:sz w:val="18"/>
          <w:szCs w:val="18"/>
          <w:b w:val="1"/>
          <w:bCs w:val="1"/>
          <w:color w:val="auto"/>
        </w:rPr>
        <w:t>OIL-DRI CORPORATION OF AMERICA &amp; SUBSIDIARIES</w:t>
      </w:r>
    </w:p>
    <w:p>
      <w:pPr>
        <w:spacing w:after="0" w:line="27"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ind w:left="820"/>
        <w:spacing w:after="0"/>
        <w:rPr>
          <w:sz w:val="20"/>
          <w:szCs w:val="20"/>
          <w:color w:val="auto"/>
        </w:rPr>
      </w:pPr>
      <w:r>
        <w:rPr>
          <w:rFonts w:ascii="Arial" w:cs="Arial" w:eastAsia="Arial" w:hAnsi="Arial"/>
          <w:sz w:val="18"/>
          <w:szCs w:val="18"/>
          <w:b w:val="1"/>
          <w:bCs w:val="1"/>
          <w:color w:val="auto"/>
        </w:rPr>
        <w:t>(in thousands of dollars)</w:t>
      </w:r>
    </w:p>
    <w:p>
      <w:pPr>
        <w:spacing w:after="0" w:line="9" w:lineRule="exact"/>
        <w:rPr>
          <w:sz w:val="20"/>
          <w:szCs w:val="20"/>
          <w:color w:val="auto"/>
        </w:rPr>
      </w:pPr>
    </w:p>
    <w:p>
      <w:pPr>
        <w:jc w:val="center"/>
        <w:ind w:left="8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1" w:lineRule="exact"/>
        <w:rPr>
          <w:sz w:val="20"/>
          <w:szCs w:val="20"/>
          <w:color w:val="auto"/>
        </w:rPr>
      </w:pPr>
    </w:p>
    <w:p>
      <w:pPr>
        <w:jc w:val="center"/>
        <w:ind w:left="8240"/>
        <w:spacing w:after="0"/>
        <w:rPr>
          <w:sz w:val="20"/>
          <w:szCs w:val="20"/>
          <w:color w:val="auto"/>
        </w:rPr>
      </w:pPr>
      <w:r>
        <w:rPr>
          <w:rFonts w:ascii="Arial" w:cs="Arial" w:eastAsia="Arial" w:hAnsi="Arial"/>
          <w:sz w:val="18"/>
          <w:szCs w:val="18"/>
          <w:b w:val="1"/>
          <w:bCs w:val="1"/>
          <w:color w:val="auto"/>
        </w:rPr>
        <w:t>For The Three Months Ended</w:t>
      </w:r>
    </w:p>
    <w:p>
      <w:pPr>
        <w:spacing w:after="0" w:line="27" w:lineRule="exact"/>
        <w:rPr>
          <w:sz w:val="20"/>
          <w:szCs w:val="20"/>
          <w:color w:val="auto"/>
        </w:rPr>
      </w:pPr>
    </w:p>
    <w:p>
      <w:pPr>
        <w:jc w:val="center"/>
        <w:ind w:left="8240"/>
        <w:spacing w:after="0"/>
        <w:rPr>
          <w:sz w:val="20"/>
          <w:szCs w:val="20"/>
          <w:color w:val="auto"/>
        </w:rPr>
      </w:pPr>
      <w:r>
        <w:rPr>
          <w:rFonts w:ascii="Arial" w:cs="Arial" w:eastAsia="Arial" w:hAnsi="Arial"/>
          <w:sz w:val="18"/>
          <w:szCs w:val="18"/>
          <w:b w:val="1"/>
          <w:bCs w:val="1"/>
          <w:color w:val="auto"/>
        </w:rPr>
        <w:t>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5715</wp:posOffset>
            </wp:positionV>
            <wp:extent cx="18865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2008</w:t>
            </w:r>
          </w:p>
        </w:tc>
        <w:tc>
          <w:tcPr>
            <w:tcW w:w="4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Income</w:t>
            </w:r>
          </w:p>
        </w:tc>
        <w:tc>
          <w:tcPr>
            <w:tcW w:w="920" w:type="dxa"/>
            <w:vAlign w:val="bottom"/>
            <w:shd w:val="clear" w:color="auto" w:fill="CCFFCC"/>
          </w:tcPr>
          <w:p>
            <w:pPr>
              <w:jc w:val="right"/>
              <w:ind w:right="730"/>
              <w:spacing w:after="0"/>
              <w:rPr>
                <w:sz w:val="20"/>
                <w:szCs w:val="20"/>
                <w:color w:val="auto"/>
              </w:rPr>
            </w:pPr>
            <w:r>
              <w:rPr>
                <w:rFonts w:ascii="Arial" w:cs="Arial" w:eastAsia="Arial" w:hAnsi="Arial"/>
                <w:sz w:val="18"/>
                <w:szCs w:val="18"/>
                <w:b w:val="1"/>
                <w:bCs w:val="1"/>
                <w:color w:val="auto"/>
                <w:w w:val="79"/>
              </w:rPr>
              <w:t>$</w:t>
            </w:r>
          </w:p>
        </w:tc>
        <w:tc>
          <w:tcPr>
            <w:tcW w:w="6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w w:val="97"/>
              </w:rPr>
              <w:t>2,246</w:t>
            </w:r>
          </w:p>
        </w:tc>
        <w:tc>
          <w:tcPr>
            <w:tcW w:w="3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2,484</w:t>
            </w:r>
          </w:p>
        </w:tc>
        <w:tc>
          <w:tcPr>
            <w:tcW w:w="0" w:type="dxa"/>
            <w:vAlign w:val="bottom"/>
          </w:tcPr>
          <w:p>
            <w:pPr>
              <w:spacing w:after="0"/>
              <w:rPr>
                <w:sz w:val="1"/>
                <w:szCs w:val="1"/>
                <w:color w:val="auto"/>
              </w:rPr>
            </w:pPr>
          </w:p>
        </w:tc>
      </w:tr>
      <w:tr>
        <w:trPr>
          <w:trHeight w:val="243"/>
        </w:trPr>
        <w:tc>
          <w:tcPr>
            <w:tcW w:w="8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Other Comprehensive Income:</w:t>
            </w:r>
          </w:p>
        </w:tc>
        <w:tc>
          <w:tcPr>
            <w:tcW w:w="92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0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Unrealized (loss) gain on marketable securities</w:t>
            </w:r>
          </w:p>
        </w:tc>
        <w:tc>
          <w:tcPr>
            <w:tcW w:w="920" w:type="dxa"/>
            <w:vAlign w:val="bottom"/>
          </w:tcPr>
          <w:p>
            <w:pPr>
              <w:spacing w:after="0"/>
              <w:rPr>
                <w:sz w:val="21"/>
                <w:szCs w:val="21"/>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(16)</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83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Pension and postretirement benefits</w:t>
            </w:r>
          </w:p>
        </w:tc>
        <w:tc>
          <w:tcPr>
            <w:tcW w:w="920" w:type="dxa"/>
            <w:vAlign w:val="bottom"/>
            <w:shd w:val="clear" w:color="auto" w:fill="CCFFCC"/>
          </w:tcPr>
          <w:p>
            <w:pPr>
              <w:spacing w:after="0"/>
              <w:rPr>
                <w:sz w:val="21"/>
                <w:szCs w:val="21"/>
                <w:color w:val="auto"/>
              </w:rPr>
            </w:pPr>
          </w:p>
        </w:tc>
        <w:tc>
          <w:tcPr>
            <w:tcW w:w="6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12</w:t>
            </w:r>
          </w:p>
        </w:tc>
        <w:tc>
          <w:tcPr>
            <w:tcW w:w="8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Cumulative translation adjustment</w:t>
            </w:r>
          </w:p>
        </w:tc>
        <w:tc>
          <w:tcPr>
            <w:tcW w:w="920" w:type="dxa"/>
            <w:vAlign w:val="bottom"/>
          </w:tcPr>
          <w:p>
            <w:pPr>
              <w:spacing w:after="0"/>
              <w:rPr>
                <w:sz w:val="21"/>
                <w:szCs w:val="21"/>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(774)</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37"/>
        </w:trPr>
        <w:tc>
          <w:tcPr>
            <w:tcW w:w="8340" w:type="dxa"/>
            <w:vAlign w:val="bottom"/>
            <w:shd w:val="clear" w:color="auto" w:fill="CCFFCC"/>
          </w:tcPr>
          <w:p>
            <w:pPr>
              <w:spacing w:after="0"/>
              <w:rPr>
                <w:sz w:val="20"/>
                <w:szCs w:val="20"/>
                <w:color w:val="auto"/>
              </w:rPr>
            </w:pPr>
          </w:p>
        </w:tc>
        <w:tc>
          <w:tcPr>
            <w:tcW w:w="920" w:type="dxa"/>
            <w:vAlign w:val="bottom"/>
            <w:tcBorders>
              <w:top w:val="single" w:sz="8" w:color="auto"/>
            </w:tcBorders>
            <w:shd w:val="clear" w:color="auto" w:fill="CCFFCC"/>
          </w:tcPr>
          <w:p>
            <w:pPr>
              <w:spacing w:after="0"/>
              <w:rPr>
                <w:sz w:val="20"/>
                <w:szCs w:val="20"/>
                <w:color w:val="auto"/>
              </w:rPr>
            </w:pPr>
          </w:p>
        </w:tc>
        <w:tc>
          <w:tcPr>
            <w:tcW w:w="460" w:type="dxa"/>
            <w:vAlign w:val="bottom"/>
            <w:tcBorders>
              <w:top w:val="single" w:sz="8" w:color="auto"/>
            </w:tcBorders>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300" w:type="dxa"/>
            <w:vAlign w:val="bottom"/>
            <w:tcBorders>
              <w:top w:val="single" w:sz="8" w:color="auto"/>
            </w:tcBorders>
            <w:shd w:val="clear" w:color="auto" w:fill="CCFFCC"/>
          </w:tcPr>
          <w:p>
            <w:pPr>
              <w:spacing w:after="0"/>
              <w:rPr>
                <w:sz w:val="20"/>
                <w:szCs w:val="20"/>
                <w:color w:val="auto"/>
              </w:rPr>
            </w:pPr>
          </w:p>
        </w:tc>
        <w:tc>
          <w:tcPr>
            <w:tcW w:w="108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40" w:type="dxa"/>
            <w:vAlign w:val="bottom"/>
          </w:tcPr>
          <w:p>
            <w:pPr>
              <w:spacing w:after="0"/>
              <w:rPr>
                <w:sz w:val="20"/>
                <w:szCs w:val="20"/>
                <w:color w:val="auto"/>
              </w:rPr>
            </w:pPr>
            <w:r>
              <w:rPr>
                <w:rFonts w:ascii="Arial" w:cs="Arial" w:eastAsia="Arial" w:hAnsi="Arial"/>
                <w:sz w:val="18"/>
                <w:szCs w:val="18"/>
                <w:b w:val="1"/>
                <w:bCs w:val="1"/>
                <w:color w:val="auto"/>
              </w:rPr>
              <w:t>Total Comprehensive Income</w:t>
            </w:r>
          </w:p>
        </w:tc>
        <w:tc>
          <w:tcPr>
            <w:tcW w:w="920" w:type="dxa"/>
            <w:vAlign w:val="bottom"/>
          </w:tcPr>
          <w:p>
            <w:pPr>
              <w:jc w:val="right"/>
              <w:ind w:right="730"/>
              <w:spacing w:after="0"/>
              <w:rPr>
                <w:sz w:val="20"/>
                <w:szCs w:val="20"/>
                <w:color w:val="auto"/>
              </w:rPr>
            </w:pPr>
            <w:r>
              <w:rPr>
                <w:rFonts w:ascii="Arial" w:cs="Arial" w:eastAsia="Arial" w:hAnsi="Arial"/>
                <w:sz w:val="18"/>
                <w:szCs w:val="18"/>
                <w:b w:val="1"/>
                <w:bCs w:val="1"/>
                <w:color w:val="auto"/>
                <w:w w:val="79"/>
              </w:rPr>
              <w:t>$</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7"/>
              </w:rPr>
              <w:t>1,468</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2,963</w:t>
            </w: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834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340" w:type="dxa"/>
            <w:vAlign w:val="bottom"/>
          </w:tcPr>
          <w:p>
            <w:pPr>
              <w:ind w:left="5660"/>
              <w:spacing w:after="0"/>
              <w:rPr>
                <w:sz w:val="20"/>
                <w:szCs w:val="20"/>
                <w:color w:val="auto"/>
              </w:rPr>
            </w:pPr>
            <w:r>
              <w:rPr>
                <w:rFonts w:ascii="Arial" w:cs="Arial" w:eastAsia="Arial" w:hAnsi="Arial"/>
                <w:sz w:val="18"/>
                <w:szCs w:val="18"/>
                <w:color w:val="auto"/>
              </w:rPr>
              <w:t>6</w:t>
            </w: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83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OIL-DRI CORPORATION OF AMERICA &amp;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p>
      <w:pPr>
        <w:jc w:val="center"/>
        <w:ind w:left="8240"/>
        <w:spacing w:after="0"/>
        <w:rPr>
          <w:sz w:val="20"/>
          <w:szCs w:val="20"/>
          <w:color w:val="auto"/>
        </w:rPr>
      </w:pPr>
      <w:r>
        <w:rPr>
          <w:rFonts w:ascii="Arial" w:cs="Arial" w:eastAsia="Arial" w:hAnsi="Arial"/>
          <w:sz w:val="18"/>
          <w:szCs w:val="18"/>
          <w:b w:val="1"/>
          <w:bCs w:val="1"/>
          <w:color w:val="auto"/>
        </w:rPr>
        <w:t>For The Three Months</w:t>
      </w:r>
    </w:p>
    <w:p>
      <w:pPr>
        <w:spacing w:after="0" w:line="27" w:lineRule="exact"/>
        <w:rPr>
          <w:sz w:val="20"/>
          <w:szCs w:val="20"/>
          <w:color w:val="auto"/>
        </w:rPr>
      </w:pPr>
    </w:p>
    <w:p>
      <w:pPr>
        <w:jc w:val="center"/>
        <w:ind w:left="8240"/>
        <w:spacing w:after="0"/>
        <w:rPr>
          <w:sz w:val="20"/>
          <w:szCs w:val="20"/>
          <w:color w:val="auto"/>
        </w:rPr>
      </w:pPr>
      <w:r>
        <w:rPr>
          <w:rFonts w:ascii="Arial" w:cs="Arial" w:eastAsia="Arial" w:hAnsi="Arial"/>
          <w:sz w:val="18"/>
          <w:szCs w:val="18"/>
          <w:b w:val="1"/>
          <w:bCs w:val="1"/>
          <w:color w:val="auto"/>
        </w:rPr>
        <w:t>Ended 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5715</wp:posOffset>
            </wp:positionV>
            <wp:extent cx="18865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00" w:type="dxa"/>
            <w:vAlign w:val="bottom"/>
            <w:gridSpan w:val="4"/>
            <w:shd w:val="clear" w:color="auto" w:fill="CCFFCC"/>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40" w:type="dxa"/>
            <w:vAlign w:val="bottom"/>
            <w:tcBorders>
              <w:left w:val="single" w:sz="8" w:color="CCFFCC"/>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0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Net Income</w:t>
            </w:r>
          </w:p>
        </w:tc>
        <w:tc>
          <w:tcPr>
            <w:tcW w:w="4100" w:type="dxa"/>
            <w:vAlign w:val="bottom"/>
            <w:tcBorders>
              <w:top w:val="single" w:sz="8" w:color="CCFFCC"/>
            </w:tcBorders>
          </w:tcPr>
          <w:p>
            <w:pPr>
              <w:spacing w:after="0"/>
              <w:rPr>
                <w:sz w:val="21"/>
                <w:szCs w:val="21"/>
                <w:color w:val="auto"/>
              </w:rPr>
            </w:pPr>
          </w:p>
        </w:tc>
        <w:tc>
          <w:tcPr>
            <w:tcW w:w="520" w:type="dxa"/>
            <w:vAlign w:val="bottom"/>
            <w:tcBorders>
              <w:top w:val="single" w:sz="8" w:color="CCFFCC"/>
            </w:tcBorders>
            <w:gridSpan w:val="2"/>
          </w:tcPr>
          <w:p>
            <w:pPr>
              <w:jc w:val="right"/>
              <w:ind w:right="11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top w:val="single" w:sz="8" w:color="CCFFCC"/>
            </w:tcBorders>
          </w:tcPr>
          <w:p>
            <w:pPr>
              <w:jc w:val="right"/>
              <w:spacing w:after="0"/>
              <w:rPr>
                <w:sz w:val="20"/>
                <w:szCs w:val="20"/>
                <w:color w:val="auto"/>
              </w:rPr>
            </w:pPr>
            <w:r>
              <w:rPr>
                <w:rFonts w:ascii="Arial" w:cs="Arial" w:eastAsia="Arial" w:hAnsi="Arial"/>
                <w:sz w:val="18"/>
                <w:szCs w:val="18"/>
                <w:b w:val="1"/>
                <w:bCs w:val="1"/>
                <w:color w:val="auto"/>
              </w:rPr>
              <w:t>2,246</w:t>
            </w:r>
          </w:p>
        </w:tc>
        <w:tc>
          <w:tcPr>
            <w:tcW w:w="140" w:type="dxa"/>
            <w:vAlign w:val="bottom"/>
            <w:tcBorders>
              <w:top w:val="single" w:sz="8" w:color="CCFFCC"/>
            </w:tcBorders>
          </w:tcPr>
          <w:p>
            <w:pPr>
              <w:spacing w:after="0"/>
              <w:rPr>
                <w:sz w:val="21"/>
                <w:szCs w:val="21"/>
                <w:color w:val="auto"/>
              </w:rPr>
            </w:pPr>
          </w:p>
        </w:tc>
        <w:tc>
          <w:tcPr>
            <w:tcW w:w="380" w:type="dxa"/>
            <w:vAlign w:val="bottom"/>
            <w:tcBorders>
              <w:top w:val="single" w:sz="8" w:color="CCFFCC"/>
            </w:tcBorders>
            <w:gridSpan w:val="2"/>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CCFFCC"/>
            </w:tcBorders>
            <w:gridSpan w:val="2"/>
          </w:tcPr>
          <w:p>
            <w:pPr>
              <w:jc w:val="right"/>
              <w:ind w:right="100"/>
              <w:spacing w:after="0"/>
              <w:rPr>
                <w:sz w:val="20"/>
                <w:szCs w:val="20"/>
                <w:color w:val="auto"/>
              </w:rPr>
            </w:pPr>
            <w:r>
              <w:rPr>
                <w:rFonts w:ascii="Arial" w:cs="Arial" w:eastAsia="Arial" w:hAnsi="Arial"/>
                <w:sz w:val="18"/>
                <w:szCs w:val="18"/>
                <w:color w:val="auto"/>
              </w:rPr>
              <w:t>2,484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100" w:type="dxa"/>
            <w:vAlign w:val="bottom"/>
            <w:gridSpan w:val="4"/>
            <w:shd w:val="clear" w:color="auto" w:fill="CCFFCC"/>
          </w:tcPr>
          <w:p>
            <w:pPr>
              <w:spacing w:after="0"/>
              <w:rPr>
                <w:sz w:val="20"/>
                <w:szCs w:val="20"/>
                <w:color w:val="auto"/>
              </w:rPr>
            </w:pPr>
            <w:r>
              <w:rPr>
                <w:rFonts w:ascii="Arial" w:cs="Arial" w:eastAsia="Arial" w:hAnsi="Arial"/>
                <w:sz w:val="18"/>
                <w:szCs w:val="18"/>
                <w:color w:val="auto"/>
              </w:rPr>
              <w:t>Adjustments to reconcile net income to net cash</w:t>
            </w:r>
          </w:p>
        </w:tc>
        <w:tc>
          <w:tcPr>
            <w:tcW w:w="220" w:type="dxa"/>
            <w:vAlign w:val="bottom"/>
            <w:shd w:val="clear" w:color="auto" w:fill="CCFFCC"/>
          </w:tcPr>
          <w:p>
            <w:pPr>
              <w:spacing w:after="0"/>
              <w:rPr>
                <w:sz w:val="20"/>
                <w:szCs w:val="20"/>
                <w:color w:val="auto"/>
              </w:rPr>
            </w:pPr>
          </w:p>
        </w:tc>
        <w:tc>
          <w:tcPr>
            <w:tcW w:w="300" w:type="dxa"/>
            <w:vAlign w:val="bottom"/>
            <w:tcBorders>
              <w:top w:val="single" w:sz="8" w:color="auto"/>
            </w:tcBorders>
            <w:shd w:val="clear" w:color="auto" w:fill="CCFFCC"/>
          </w:tcPr>
          <w:p>
            <w:pPr>
              <w:spacing w:after="0"/>
              <w:rPr>
                <w:sz w:val="20"/>
                <w:szCs w:val="20"/>
                <w:color w:val="auto"/>
              </w:rPr>
            </w:pPr>
          </w:p>
        </w:tc>
        <w:tc>
          <w:tcPr>
            <w:tcW w:w="1080" w:type="dxa"/>
            <w:vAlign w:val="bottom"/>
            <w:tcBorders>
              <w:top w:val="single" w:sz="8" w:color="auto"/>
            </w:tcBorders>
            <w:shd w:val="clear" w:color="auto" w:fill="CCFFCC"/>
          </w:tcPr>
          <w:p>
            <w:pPr>
              <w:spacing w:after="0"/>
              <w:rPr>
                <w:sz w:val="20"/>
                <w:szCs w:val="20"/>
                <w:color w:val="auto"/>
              </w:rPr>
            </w:pPr>
          </w:p>
        </w:tc>
        <w:tc>
          <w:tcPr>
            <w:tcW w:w="140" w:type="dxa"/>
            <w:vAlign w:val="bottom"/>
            <w:tcBorders>
              <w:left w:val="single" w:sz="8" w:color="CCFFCC"/>
            </w:tcBorders>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300" w:type="dxa"/>
            <w:vAlign w:val="bottom"/>
            <w:tcBorders>
              <w:top w:val="single" w:sz="8" w:color="auto"/>
            </w:tcBorders>
            <w:shd w:val="clear" w:color="auto" w:fill="CCFFCC"/>
          </w:tcPr>
          <w:p>
            <w:pPr>
              <w:spacing w:after="0"/>
              <w:rPr>
                <w:sz w:val="20"/>
                <w:szCs w:val="20"/>
                <w:color w:val="auto"/>
              </w:rPr>
            </w:pPr>
          </w:p>
        </w:tc>
        <w:tc>
          <w:tcPr>
            <w:tcW w:w="108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gridSpan w:val="4"/>
            <w:shd w:val="clear" w:color="auto" w:fill="CCFFCC"/>
          </w:tcPr>
          <w:p>
            <w:pPr>
              <w:ind w:left="160"/>
              <w:spacing w:after="0"/>
              <w:rPr>
                <w:sz w:val="20"/>
                <w:szCs w:val="20"/>
                <w:color w:val="auto"/>
              </w:rPr>
            </w:pPr>
            <w:r>
              <w:rPr>
                <w:rFonts w:ascii="Arial" w:cs="Arial" w:eastAsia="Arial" w:hAnsi="Arial"/>
                <w:sz w:val="18"/>
                <w:szCs w:val="18"/>
                <w:color w:val="auto"/>
              </w:rPr>
              <w:t>provided by operating activities:</w:t>
            </w:r>
          </w:p>
        </w:tc>
        <w:tc>
          <w:tcPr>
            <w:tcW w:w="22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080" w:type="dxa"/>
            <w:vAlign w:val="bottom"/>
            <w:shd w:val="clear" w:color="auto" w:fill="CCFFCC"/>
          </w:tcPr>
          <w:p>
            <w:pPr>
              <w:spacing w:after="0"/>
              <w:rPr>
                <w:sz w:val="21"/>
                <w:szCs w:val="21"/>
                <w:color w:val="auto"/>
              </w:rPr>
            </w:pPr>
          </w:p>
        </w:tc>
        <w:tc>
          <w:tcPr>
            <w:tcW w:w="140" w:type="dxa"/>
            <w:vAlign w:val="bottom"/>
            <w:tcBorders>
              <w:left w:val="single" w:sz="8" w:color="CCFFCC"/>
            </w:tcBorders>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0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gridSpan w:val="4"/>
          </w:tcPr>
          <w:p>
            <w:pPr>
              <w:ind w:left="3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1,885</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1,862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gridSpan w:val="4"/>
            <w:shd w:val="clear" w:color="auto" w:fill="CCFFCC"/>
          </w:tcPr>
          <w:p>
            <w:pPr>
              <w:ind w:left="320"/>
              <w:spacing w:after="0"/>
              <w:rPr>
                <w:sz w:val="20"/>
                <w:szCs w:val="20"/>
                <w:color w:val="auto"/>
              </w:rPr>
            </w:pPr>
            <w:r>
              <w:rPr>
                <w:rFonts w:ascii="Arial" w:cs="Arial" w:eastAsia="Arial" w:hAnsi="Arial"/>
                <w:sz w:val="18"/>
                <w:szCs w:val="18"/>
                <w:color w:val="auto"/>
              </w:rPr>
              <w:t>Amortization of investment discount</w:t>
            </w:r>
          </w:p>
        </w:tc>
        <w:tc>
          <w:tcPr>
            <w:tcW w:w="22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2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(75)</w:t>
            </w:r>
          </w:p>
        </w:tc>
        <w:tc>
          <w:tcPr>
            <w:tcW w:w="8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1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gridSpan w:val="4"/>
          </w:tcPr>
          <w:p>
            <w:pPr>
              <w:ind w:left="320"/>
              <w:spacing w:after="0"/>
              <w:rPr>
                <w:sz w:val="20"/>
                <w:szCs w:val="20"/>
                <w:color w:val="auto"/>
              </w:rPr>
            </w:pPr>
            <w:r>
              <w:rPr>
                <w:rFonts w:ascii="Arial" w:cs="Arial" w:eastAsia="Arial" w:hAnsi="Arial"/>
                <w:sz w:val="18"/>
                <w:szCs w:val="18"/>
                <w:color w:val="auto"/>
              </w:rPr>
              <w:t>Non-cash stock compensation expense</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159</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gridSpan w:val="4"/>
            <w:shd w:val="clear" w:color="auto" w:fill="CCFFCC"/>
          </w:tcPr>
          <w:p>
            <w:pPr>
              <w:ind w:left="320"/>
              <w:spacing w:after="0"/>
              <w:rPr>
                <w:sz w:val="20"/>
                <w:szCs w:val="20"/>
                <w:color w:val="auto"/>
              </w:rPr>
            </w:pPr>
            <w:r>
              <w:rPr>
                <w:rFonts w:ascii="Arial" w:cs="Arial" w:eastAsia="Arial" w:hAnsi="Arial"/>
                <w:sz w:val="18"/>
                <w:szCs w:val="18"/>
                <w:color w:val="auto"/>
              </w:rPr>
              <w:t>Excess tax benefits for share-based payments</w:t>
            </w:r>
          </w:p>
        </w:tc>
        <w:tc>
          <w:tcPr>
            <w:tcW w:w="22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2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(61)</w:t>
            </w:r>
          </w:p>
        </w:tc>
        <w:tc>
          <w:tcPr>
            <w:tcW w:w="8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1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gridSpan w:val="4"/>
          </w:tcPr>
          <w:p>
            <w:pPr>
              <w:ind w:left="32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(11)</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gridSpan w:val="4"/>
            <w:shd w:val="clear" w:color="auto" w:fill="CCFFCC"/>
          </w:tcPr>
          <w:p>
            <w:pPr>
              <w:ind w:left="320"/>
              <w:spacing w:after="0"/>
              <w:rPr>
                <w:sz w:val="20"/>
                <w:szCs w:val="20"/>
                <w:color w:val="auto"/>
              </w:rPr>
            </w:pPr>
            <w:r>
              <w:rPr>
                <w:rFonts w:ascii="Arial" w:cs="Arial" w:eastAsia="Arial" w:hAnsi="Arial"/>
                <w:sz w:val="18"/>
                <w:szCs w:val="18"/>
                <w:color w:val="auto"/>
              </w:rPr>
              <w:t>Provision for bad debts</w:t>
            </w:r>
          </w:p>
        </w:tc>
        <w:tc>
          <w:tcPr>
            <w:tcW w:w="22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37</w:t>
            </w:r>
          </w:p>
        </w:tc>
        <w:tc>
          <w:tcPr>
            <w:tcW w:w="140" w:type="dxa"/>
            <w:vAlign w:val="bottom"/>
            <w:tcBorders>
              <w:left w:val="single" w:sz="8" w:color="CCFFCC"/>
            </w:tcBorders>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gridSpan w:val="4"/>
          </w:tcPr>
          <w:p>
            <w:pPr>
              <w:ind w:left="320"/>
              <w:spacing w:after="0"/>
              <w:rPr>
                <w:sz w:val="20"/>
                <w:szCs w:val="20"/>
                <w:color w:val="auto"/>
              </w:rPr>
            </w:pPr>
            <w:r>
              <w:rPr>
                <w:rFonts w:ascii="Arial" w:cs="Arial" w:eastAsia="Arial" w:hAnsi="Arial"/>
                <w:sz w:val="18"/>
                <w:szCs w:val="18"/>
                <w:color w:val="auto"/>
              </w:rPr>
              <w:t>Loss on the sale of fixed assets</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gridSpan w:val="4"/>
            <w:shd w:val="clear" w:color="auto" w:fill="CCFFCC"/>
          </w:tcPr>
          <w:p>
            <w:pPr>
              <w:ind w:left="320"/>
              <w:spacing w:after="0"/>
              <w:rPr>
                <w:sz w:val="20"/>
                <w:szCs w:val="20"/>
                <w:color w:val="auto"/>
              </w:rPr>
            </w:pPr>
            <w:r>
              <w:rPr>
                <w:rFonts w:ascii="Arial" w:cs="Arial" w:eastAsia="Arial" w:hAnsi="Arial"/>
                <w:sz w:val="18"/>
                <w:szCs w:val="18"/>
                <w:color w:val="auto"/>
              </w:rPr>
              <w:t>(Increase) Decrease in:</w:t>
            </w:r>
          </w:p>
        </w:tc>
        <w:tc>
          <w:tcPr>
            <w:tcW w:w="22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080" w:type="dxa"/>
            <w:vAlign w:val="bottom"/>
            <w:shd w:val="clear" w:color="auto" w:fill="CCFFCC"/>
          </w:tcPr>
          <w:p>
            <w:pPr>
              <w:spacing w:after="0"/>
              <w:rPr>
                <w:sz w:val="21"/>
                <w:szCs w:val="21"/>
                <w:color w:val="auto"/>
              </w:rPr>
            </w:pPr>
          </w:p>
        </w:tc>
        <w:tc>
          <w:tcPr>
            <w:tcW w:w="140" w:type="dxa"/>
            <w:vAlign w:val="bottom"/>
            <w:tcBorders>
              <w:left w:val="single" w:sz="8" w:color="CCFFCC"/>
            </w:tcBorders>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0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gridSpan w:val="4"/>
          </w:tcPr>
          <w:p>
            <w:pPr>
              <w:ind w:left="480"/>
              <w:spacing w:after="0"/>
              <w:rPr>
                <w:sz w:val="20"/>
                <w:szCs w:val="20"/>
                <w:color w:val="auto"/>
              </w:rPr>
            </w:pPr>
            <w:r>
              <w:rPr>
                <w:rFonts w:ascii="Arial" w:cs="Arial" w:eastAsia="Arial" w:hAnsi="Arial"/>
                <w:sz w:val="18"/>
                <w:szCs w:val="18"/>
                <w:color w:val="auto"/>
              </w:rPr>
              <w:t>Accounts receivable</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(1,417)</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gridSpan w:val="4"/>
            <w:shd w:val="clear" w:color="auto" w:fill="CCFFCC"/>
          </w:tcPr>
          <w:p>
            <w:pPr>
              <w:ind w:left="480"/>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2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(2,089)</w:t>
            </w:r>
          </w:p>
        </w:tc>
        <w:tc>
          <w:tcPr>
            <w:tcW w:w="8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1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(2,299)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gridSpan w:val="4"/>
          </w:tcPr>
          <w:p>
            <w:pPr>
              <w:ind w:left="480"/>
              <w:spacing w:after="0"/>
              <w:rPr>
                <w:sz w:val="20"/>
                <w:szCs w:val="20"/>
                <w:color w:val="auto"/>
              </w:rPr>
            </w:pPr>
            <w:r>
              <w:rPr>
                <w:rFonts w:ascii="Arial" w:cs="Arial" w:eastAsia="Arial" w:hAnsi="Arial"/>
                <w:sz w:val="18"/>
                <w:szCs w:val="18"/>
                <w:color w:val="auto"/>
              </w:rPr>
              <w:t>Prepaid expenses</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(509)</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gridSpan w:val="4"/>
            <w:shd w:val="clear" w:color="auto" w:fill="CCFFCC"/>
          </w:tcPr>
          <w:p>
            <w:pPr>
              <w:ind w:left="480"/>
              <w:spacing w:after="0"/>
              <w:rPr>
                <w:sz w:val="20"/>
                <w:szCs w:val="20"/>
                <w:color w:val="auto"/>
              </w:rPr>
            </w:pPr>
            <w:r>
              <w:rPr>
                <w:rFonts w:ascii="Arial" w:cs="Arial" w:eastAsia="Arial" w:hAnsi="Arial"/>
                <w:sz w:val="18"/>
                <w:szCs w:val="18"/>
                <w:color w:val="auto"/>
              </w:rPr>
              <w:t>Other assets</w:t>
            </w:r>
          </w:p>
        </w:tc>
        <w:tc>
          <w:tcPr>
            <w:tcW w:w="22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2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(1,081)</w:t>
            </w:r>
          </w:p>
        </w:tc>
        <w:tc>
          <w:tcPr>
            <w:tcW w:w="8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gridSpan w:val="4"/>
          </w:tcPr>
          <w:p>
            <w:pPr>
              <w:ind w:left="320"/>
              <w:spacing w:after="0"/>
              <w:rPr>
                <w:sz w:val="20"/>
                <w:szCs w:val="20"/>
                <w:color w:val="auto"/>
              </w:rPr>
            </w:pPr>
            <w:r>
              <w:rPr>
                <w:rFonts w:ascii="Arial" w:cs="Arial" w:eastAsia="Arial" w:hAnsi="Arial"/>
                <w:sz w:val="18"/>
                <w:szCs w:val="18"/>
                <w:color w:val="auto"/>
              </w:rPr>
              <w:t>Increase (Decrease) in:</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gridSpan w:val="4"/>
            <w:shd w:val="clear" w:color="auto" w:fill="CCFFCC"/>
          </w:tcPr>
          <w:p>
            <w:pPr>
              <w:ind w:left="48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2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(118)</w:t>
            </w:r>
          </w:p>
        </w:tc>
        <w:tc>
          <w:tcPr>
            <w:tcW w:w="8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gridSpan w:val="4"/>
          </w:tcPr>
          <w:p>
            <w:pPr>
              <w:ind w:left="480"/>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(2,274)</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(2,606)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gridSpan w:val="4"/>
            <w:shd w:val="clear" w:color="auto" w:fill="CCFFCC"/>
          </w:tcPr>
          <w:p>
            <w:pPr>
              <w:ind w:left="480"/>
              <w:spacing w:after="0"/>
              <w:rPr>
                <w:sz w:val="20"/>
                <w:szCs w:val="20"/>
                <w:color w:val="auto"/>
              </w:rPr>
            </w:pPr>
            <w:r>
              <w:rPr>
                <w:rFonts w:ascii="Arial" w:cs="Arial" w:eastAsia="Arial" w:hAnsi="Arial"/>
                <w:sz w:val="18"/>
                <w:szCs w:val="18"/>
                <w:color w:val="auto"/>
              </w:rPr>
              <w:t>Deferred compensation</w:t>
            </w:r>
          </w:p>
        </w:tc>
        <w:tc>
          <w:tcPr>
            <w:tcW w:w="22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136</w:t>
            </w:r>
          </w:p>
        </w:tc>
        <w:tc>
          <w:tcPr>
            <w:tcW w:w="140" w:type="dxa"/>
            <w:vAlign w:val="bottom"/>
            <w:tcBorders>
              <w:left w:val="single" w:sz="8" w:color="CCFFCC"/>
            </w:tcBorders>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100" w:type="dxa"/>
            <w:vAlign w:val="bottom"/>
            <w:gridSpan w:val="4"/>
          </w:tcPr>
          <w:p>
            <w:pPr>
              <w:ind w:left="480"/>
              <w:spacing w:after="0"/>
              <w:rPr>
                <w:sz w:val="20"/>
                <w:szCs w:val="20"/>
                <w:color w:val="auto"/>
              </w:rPr>
            </w:pPr>
            <w:r>
              <w:rPr>
                <w:rFonts w:ascii="Arial" w:cs="Arial" w:eastAsia="Arial" w:hAnsi="Arial"/>
                <w:sz w:val="18"/>
                <w:szCs w:val="18"/>
                <w:color w:val="auto"/>
              </w:rPr>
              <w:t>Other liabilities</w:t>
            </w:r>
          </w:p>
        </w:tc>
        <w:tc>
          <w:tcPr>
            <w:tcW w:w="2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589</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100" w:type="dxa"/>
            <w:vAlign w:val="bottom"/>
            <w:gridSpan w:val="4"/>
            <w:shd w:val="clear" w:color="auto" w:fill="CCFFCC"/>
          </w:tcPr>
          <w:p>
            <w:pPr>
              <w:ind w:left="800"/>
              <w:spacing w:after="0"/>
              <w:rPr>
                <w:sz w:val="20"/>
                <w:szCs w:val="20"/>
                <w:color w:val="auto"/>
              </w:rPr>
            </w:pPr>
            <w:r>
              <w:rPr>
                <w:rFonts w:ascii="Arial" w:cs="Arial" w:eastAsia="Arial" w:hAnsi="Arial"/>
                <w:sz w:val="18"/>
                <w:szCs w:val="18"/>
                <w:b w:val="1"/>
                <w:bCs w:val="1"/>
                <w:color w:val="auto"/>
              </w:rPr>
              <w:t>Total Adjustments</w:t>
            </w:r>
          </w:p>
        </w:tc>
        <w:tc>
          <w:tcPr>
            <w:tcW w:w="22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2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(4,828)</w:t>
            </w:r>
          </w:p>
        </w:tc>
        <w:tc>
          <w:tcPr>
            <w:tcW w:w="8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1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(2,480)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410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100" w:type="dxa"/>
            <w:vAlign w:val="bottom"/>
            <w:gridSpan w:val="4"/>
          </w:tcPr>
          <w:p>
            <w:pPr>
              <w:ind w:left="160"/>
              <w:spacing w:after="0"/>
              <w:rPr>
                <w:sz w:val="20"/>
                <w:szCs w:val="20"/>
                <w:color w:val="auto"/>
              </w:rPr>
            </w:pPr>
            <w:r>
              <w:rPr>
                <w:rFonts w:ascii="Arial" w:cs="Arial" w:eastAsia="Arial" w:hAnsi="Arial"/>
                <w:sz w:val="18"/>
                <w:szCs w:val="18"/>
                <w:b w:val="1"/>
                <w:bCs w:val="1"/>
                <w:color w:val="auto"/>
              </w:rPr>
              <w:t>Net Cash (Used in) Provided by Operating Activities</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(2,582)</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40" w:type="dxa"/>
            <w:vAlign w:val="bottom"/>
            <w:shd w:val="clear" w:color="auto" w:fill="CCFFCC"/>
          </w:tcPr>
          <w:p>
            <w:pPr>
              <w:spacing w:after="0"/>
              <w:rPr>
                <w:sz w:val="20"/>
                <w:szCs w:val="20"/>
                <w:color w:val="auto"/>
              </w:rPr>
            </w:pPr>
          </w:p>
        </w:tc>
        <w:tc>
          <w:tcPr>
            <w:tcW w:w="20" w:type="dxa"/>
            <w:vAlign w:val="bottom"/>
            <w:shd w:val="clear" w:color="auto" w:fill="CCFFCC"/>
          </w:tcPr>
          <w:p>
            <w:pPr>
              <w:spacing w:after="0"/>
              <w:rPr>
                <w:sz w:val="20"/>
                <w:szCs w:val="20"/>
                <w:color w:val="auto"/>
              </w:rPr>
            </w:pPr>
          </w:p>
        </w:tc>
        <w:tc>
          <w:tcPr>
            <w:tcW w:w="40" w:type="dxa"/>
            <w:vAlign w:val="bottom"/>
            <w:shd w:val="clear" w:color="auto" w:fill="CCFFCC"/>
          </w:tcPr>
          <w:p>
            <w:pPr>
              <w:spacing w:after="0"/>
              <w:rPr>
                <w:sz w:val="20"/>
                <w:szCs w:val="20"/>
                <w:color w:val="auto"/>
              </w:rPr>
            </w:pPr>
          </w:p>
        </w:tc>
        <w:tc>
          <w:tcPr>
            <w:tcW w:w="410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300" w:type="dxa"/>
            <w:vAlign w:val="bottom"/>
            <w:tcBorders>
              <w:top w:val="single" w:sz="8" w:color="auto"/>
            </w:tcBorders>
            <w:shd w:val="clear" w:color="auto" w:fill="CCFFCC"/>
          </w:tcPr>
          <w:p>
            <w:pPr>
              <w:spacing w:after="0"/>
              <w:rPr>
                <w:sz w:val="20"/>
                <w:szCs w:val="20"/>
                <w:color w:val="auto"/>
              </w:rPr>
            </w:pPr>
          </w:p>
        </w:tc>
        <w:tc>
          <w:tcPr>
            <w:tcW w:w="1080" w:type="dxa"/>
            <w:vAlign w:val="bottom"/>
            <w:tcBorders>
              <w:top w:val="single" w:sz="8" w:color="auto"/>
            </w:tcBorders>
            <w:shd w:val="clear" w:color="auto" w:fill="CCFFCC"/>
          </w:tcPr>
          <w:p>
            <w:pPr>
              <w:spacing w:after="0"/>
              <w:rPr>
                <w:sz w:val="20"/>
                <w:szCs w:val="20"/>
                <w:color w:val="auto"/>
              </w:rPr>
            </w:pPr>
          </w:p>
        </w:tc>
        <w:tc>
          <w:tcPr>
            <w:tcW w:w="140" w:type="dxa"/>
            <w:vAlign w:val="bottom"/>
            <w:tcBorders>
              <w:left w:val="single" w:sz="8" w:color="CCFFCC"/>
            </w:tcBorders>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300" w:type="dxa"/>
            <w:vAlign w:val="bottom"/>
            <w:tcBorders>
              <w:top w:val="single" w:sz="8" w:color="auto"/>
            </w:tcBorders>
            <w:shd w:val="clear" w:color="auto" w:fill="CCFFCC"/>
          </w:tcPr>
          <w:p>
            <w:pPr>
              <w:spacing w:after="0"/>
              <w:rPr>
                <w:sz w:val="20"/>
                <w:szCs w:val="20"/>
                <w:color w:val="auto"/>
              </w:rPr>
            </w:pPr>
          </w:p>
        </w:tc>
        <w:tc>
          <w:tcPr>
            <w:tcW w:w="108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120" w:type="dxa"/>
            <w:vAlign w:val="bottom"/>
            <w:gridSpan w:val="5"/>
          </w:tcPr>
          <w:p>
            <w:pPr>
              <w:spacing w:after="0" w:line="202" w:lineRule="exact"/>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9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gridSpan w:val="4"/>
            <w:shd w:val="clear" w:color="auto" w:fill="CCFFCC"/>
          </w:tcPr>
          <w:p>
            <w:pPr>
              <w:ind w:left="160"/>
              <w:spacing w:after="0"/>
              <w:rPr>
                <w:sz w:val="20"/>
                <w:szCs w:val="20"/>
                <w:color w:val="auto"/>
              </w:rPr>
            </w:pPr>
            <w:r>
              <w:rPr>
                <w:rFonts w:ascii="Arial" w:cs="Arial" w:eastAsia="Arial" w:hAnsi="Arial"/>
                <w:sz w:val="18"/>
                <w:szCs w:val="18"/>
                <w:color w:val="auto"/>
              </w:rPr>
              <w:t>Capital expenditures</w:t>
            </w:r>
          </w:p>
        </w:tc>
        <w:tc>
          <w:tcPr>
            <w:tcW w:w="22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2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(3,552)</w:t>
            </w:r>
          </w:p>
        </w:tc>
        <w:tc>
          <w:tcPr>
            <w:tcW w:w="8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1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(2,147)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gridSpan w:val="4"/>
          </w:tcPr>
          <w:p>
            <w:pPr>
              <w:ind w:left="160"/>
              <w:spacing w:after="0"/>
              <w:rPr>
                <w:sz w:val="20"/>
                <w:szCs w:val="20"/>
                <w:color w:val="auto"/>
              </w:rPr>
            </w:pPr>
            <w:r>
              <w:rPr>
                <w:rFonts w:ascii="Arial" w:cs="Arial" w:eastAsia="Arial" w:hAnsi="Arial"/>
                <w:sz w:val="18"/>
                <w:szCs w:val="18"/>
                <w:color w:val="auto"/>
              </w:rPr>
              <w:t>Proceeds from sale of property, plant and equipment</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gridSpan w:val="4"/>
            <w:shd w:val="clear" w:color="auto" w:fill="CCFFCC"/>
          </w:tcPr>
          <w:p>
            <w:pPr>
              <w:ind w:left="160"/>
              <w:spacing w:after="0"/>
              <w:rPr>
                <w:sz w:val="20"/>
                <w:szCs w:val="20"/>
                <w:color w:val="auto"/>
              </w:rPr>
            </w:pPr>
            <w:r>
              <w:rPr>
                <w:rFonts w:ascii="Arial" w:cs="Arial" w:eastAsia="Arial" w:hAnsi="Arial"/>
                <w:sz w:val="18"/>
                <w:szCs w:val="18"/>
                <w:color w:val="auto"/>
              </w:rPr>
              <w:t>Purchases of investment securities</w:t>
            </w:r>
          </w:p>
        </w:tc>
        <w:tc>
          <w:tcPr>
            <w:tcW w:w="22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2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(28,972)</w:t>
            </w:r>
          </w:p>
        </w:tc>
        <w:tc>
          <w:tcPr>
            <w:tcW w:w="8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1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(30,208)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gridSpan w:val="4"/>
          </w:tcPr>
          <w:p>
            <w:pPr>
              <w:ind w:left="160"/>
              <w:spacing w:after="0"/>
              <w:rPr>
                <w:sz w:val="20"/>
                <w:szCs w:val="20"/>
                <w:color w:val="auto"/>
              </w:rPr>
            </w:pPr>
            <w:r>
              <w:rPr>
                <w:rFonts w:ascii="Arial" w:cs="Arial" w:eastAsia="Arial" w:hAnsi="Arial"/>
                <w:sz w:val="18"/>
                <w:szCs w:val="18"/>
                <w:color w:val="auto"/>
              </w:rPr>
              <w:t>Dispositions of investment securities</w:t>
            </w:r>
          </w:p>
        </w:tc>
        <w:tc>
          <w:tcPr>
            <w:tcW w:w="2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34,500</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100" w:type="dxa"/>
            <w:vAlign w:val="bottom"/>
            <w:gridSpan w:val="4"/>
            <w:shd w:val="clear" w:color="auto" w:fill="CCFFCC"/>
          </w:tcPr>
          <w:p>
            <w:pPr>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22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1,984</w:t>
            </w:r>
          </w:p>
        </w:tc>
        <w:tc>
          <w:tcPr>
            <w:tcW w:w="140" w:type="dxa"/>
            <w:vAlign w:val="bottom"/>
            <w:tcBorders>
              <w:left w:val="single" w:sz="8" w:color="CCFFCC"/>
            </w:tcBorders>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1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(6,355)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40" w:type="dxa"/>
            <w:vAlign w:val="bottom"/>
            <w:tcBorders>
              <w:top w:val="single" w:sz="8" w:color="CCFFCC"/>
            </w:tcBorders>
          </w:tcPr>
          <w:p>
            <w:pPr>
              <w:spacing w:after="0"/>
              <w:rPr>
                <w:sz w:val="20"/>
                <w:szCs w:val="20"/>
                <w:color w:val="auto"/>
              </w:rPr>
            </w:pPr>
          </w:p>
        </w:tc>
        <w:tc>
          <w:tcPr>
            <w:tcW w:w="20" w:type="dxa"/>
            <w:vAlign w:val="bottom"/>
            <w:tcBorders>
              <w:top w:val="single" w:sz="8" w:color="CCFFCC"/>
            </w:tcBorders>
          </w:tcPr>
          <w:p>
            <w:pPr>
              <w:spacing w:after="0"/>
              <w:rPr>
                <w:sz w:val="20"/>
                <w:szCs w:val="20"/>
                <w:color w:val="auto"/>
              </w:rPr>
            </w:pPr>
          </w:p>
        </w:tc>
        <w:tc>
          <w:tcPr>
            <w:tcW w:w="40" w:type="dxa"/>
            <w:vAlign w:val="bottom"/>
            <w:tcBorders>
              <w:top w:val="single" w:sz="8" w:color="CCFFCC"/>
            </w:tcBorders>
          </w:tcPr>
          <w:p>
            <w:pPr>
              <w:spacing w:after="0"/>
              <w:rPr>
                <w:sz w:val="20"/>
                <w:szCs w:val="20"/>
                <w:color w:val="auto"/>
              </w:rPr>
            </w:pPr>
          </w:p>
        </w:tc>
        <w:tc>
          <w:tcPr>
            <w:tcW w:w="4100" w:type="dxa"/>
            <w:vAlign w:val="bottom"/>
            <w:tcBorders>
              <w:top w:val="single" w:sz="8" w:color="CCFFCC"/>
            </w:tcBorders>
          </w:tcPr>
          <w:p>
            <w:pPr>
              <w:spacing w:after="0"/>
              <w:rPr>
                <w:sz w:val="20"/>
                <w:szCs w:val="20"/>
                <w:color w:val="auto"/>
              </w:rPr>
            </w:pPr>
          </w:p>
        </w:tc>
        <w:tc>
          <w:tcPr>
            <w:tcW w:w="220" w:type="dxa"/>
            <w:vAlign w:val="bottom"/>
            <w:tcBorders>
              <w:top w:val="single" w:sz="8" w:color="CCFFCC"/>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40" w:type="dxa"/>
            <w:vAlign w:val="bottom"/>
            <w:tcBorders>
              <w:top w:val="single" w:sz="8" w:color="CCFFCC"/>
            </w:tcBorders>
          </w:tcPr>
          <w:p>
            <w:pPr>
              <w:spacing w:after="0"/>
              <w:rPr>
                <w:sz w:val="20"/>
                <w:szCs w:val="20"/>
                <w:color w:val="auto"/>
              </w:rPr>
            </w:pPr>
          </w:p>
        </w:tc>
        <w:tc>
          <w:tcPr>
            <w:tcW w:w="80" w:type="dxa"/>
            <w:vAlign w:val="bottom"/>
            <w:tcBorders>
              <w:top w:val="single" w:sz="8" w:color="CCFFCC"/>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00" w:type="dxa"/>
            <w:vAlign w:val="bottom"/>
            <w:gridSpan w:val="4"/>
            <w:shd w:val="clear" w:color="auto" w:fill="CCFFCC"/>
          </w:tcPr>
          <w:p>
            <w:pPr>
              <w:spacing w:after="0" w:line="202" w:lineRule="exact"/>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shd w:val="clear" w:color="auto" w:fill="CCFFCC"/>
          </w:tcPr>
          <w:p>
            <w:pPr>
              <w:spacing w:after="0"/>
              <w:rPr>
                <w:sz w:val="19"/>
                <w:szCs w:val="19"/>
                <w:color w:val="auto"/>
              </w:rPr>
            </w:pPr>
          </w:p>
        </w:tc>
        <w:tc>
          <w:tcPr>
            <w:tcW w:w="300" w:type="dxa"/>
            <w:vAlign w:val="bottom"/>
            <w:shd w:val="clear" w:color="auto" w:fill="CCFFCC"/>
          </w:tcPr>
          <w:p>
            <w:pPr>
              <w:spacing w:after="0"/>
              <w:rPr>
                <w:sz w:val="19"/>
                <w:szCs w:val="19"/>
                <w:color w:val="auto"/>
              </w:rPr>
            </w:pPr>
          </w:p>
        </w:tc>
        <w:tc>
          <w:tcPr>
            <w:tcW w:w="1080" w:type="dxa"/>
            <w:vAlign w:val="bottom"/>
            <w:shd w:val="clear" w:color="auto" w:fill="CCFFCC"/>
          </w:tcPr>
          <w:p>
            <w:pPr>
              <w:spacing w:after="0"/>
              <w:rPr>
                <w:sz w:val="19"/>
                <w:szCs w:val="19"/>
                <w:color w:val="auto"/>
              </w:rPr>
            </w:pPr>
          </w:p>
        </w:tc>
        <w:tc>
          <w:tcPr>
            <w:tcW w:w="140" w:type="dxa"/>
            <w:vAlign w:val="bottom"/>
            <w:tcBorders>
              <w:left w:val="single" w:sz="8" w:color="CCFFCC"/>
            </w:tcBorders>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300" w:type="dxa"/>
            <w:vAlign w:val="bottom"/>
            <w:shd w:val="clear" w:color="auto" w:fill="CCFFCC"/>
          </w:tcPr>
          <w:p>
            <w:pPr>
              <w:spacing w:after="0"/>
              <w:rPr>
                <w:sz w:val="19"/>
                <w:szCs w:val="19"/>
                <w:color w:val="auto"/>
              </w:rPr>
            </w:pPr>
          </w:p>
        </w:tc>
        <w:tc>
          <w:tcPr>
            <w:tcW w:w="108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60" w:type="dxa"/>
            <w:vAlign w:val="bottom"/>
            <w:tcBorders>
              <w:top w:val="single" w:sz="8" w:color="auto"/>
            </w:tcBorders>
            <w:gridSpan w:val="2"/>
          </w:tcPr>
          <w:p>
            <w:pPr>
              <w:ind w:left="160"/>
              <w:spacing w:after="0"/>
              <w:rPr>
                <w:sz w:val="20"/>
                <w:szCs w:val="20"/>
                <w:color w:val="auto"/>
              </w:rPr>
            </w:pPr>
            <w:r>
              <w:rPr>
                <w:rFonts w:ascii="Arial" w:cs="Arial" w:eastAsia="Arial" w:hAnsi="Arial"/>
                <w:sz w:val="18"/>
                <w:szCs w:val="18"/>
                <w:color w:val="auto"/>
              </w:rPr>
              <w:t>Principal payments on notes payable</w:t>
            </w:r>
          </w:p>
        </w:tc>
        <w:tc>
          <w:tcPr>
            <w:tcW w:w="4140" w:type="dxa"/>
            <w:vAlign w:val="bottom"/>
            <w:tcBorders>
              <w:top w:val="single" w:sz="8" w:color="CCFFCC"/>
            </w:tcBorders>
            <w:gridSpan w:val="2"/>
          </w:tcPr>
          <w:p>
            <w:pPr>
              <w:spacing w:after="0"/>
              <w:rPr>
                <w:sz w:val="21"/>
                <w:szCs w:val="21"/>
                <w:color w:val="auto"/>
              </w:rPr>
            </w:pPr>
          </w:p>
        </w:tc>
        <w:tc>
          <w:tcPr>
            <w:tcW w:w="220" w:type="dxa"/>
            <w:vAlign w:val="bottom"/>
            <w:tcBorders>
              <w:top w:val="single" w:sz="8" w:color="CCFFCC"/>
            </w:tcBorders>
          </w:tcPr>
          <w:p>
            <w:pPr>
              <w:spacing w:after="0"/>
              <w:rPr>
                <w:sz w:val="21"/>
                <w:szCs w:val="21"/>
                <w:color w:val="auto"/>
              </w:rPr>
            </w:pPr>
          </w:p>
        </w:tc>
        <w:tc>
          <w:tcPr>
            <w:tcW w:w="300" w:type="dxa"/>
            <w:vAlign w:val="bottom"/>
            <w:tcBorders>
              <w:top w:val="single" w:sz="8" w:color="CCFFCC"/>
            </w:tcBorders>
          </w:tcPr>
          <w:p>
            <w:pPr>
              <w:spacing w:after="0"/>
              <w:rPr>
                <w:sz w:val="21"/>
                <w:szCs w:val="21"/>
                <w:color w:val="auto"/>
              </w:rPr>
            </w:pPr>
          </w:p>
        </w:tc>
        <w:tc>
          <w:tcPr>
            <w:tcW w:w="1220" w:type="dxa"/>
            <w:vAlign w:val="bottom"/>
            <w:tcBorders>
              <w:top w:val="single" w:sz="8" w:color="CCFFCC"/>
            </w:tcBorders>
            <w:gridSpan w:val="2"/>
          </w:tcPr>
          <w:p>
            <w:pPr>
              <w:jc w:val="right"/>
              <w:ind w:right="80"/>
              <w:spacing w:after="0"/>
              <w:rPr>
                <w:sz w:val="20"/>
                <w:szCs w:val="20"/>
                <w:color w:val="auto"/>
              </w:rPr>
            </w:pPr>
            <w:r>
              <w:rPr>
                <w:rFonts w:ascii="Arial" w:cs="Arial" w:eastAsia="Arial" w:hAnsi="Arial"/>
                <w:sz w:val="18"/>
                <w:szCs w:val="18"/>
                <w:b w:val="1"/>
                <w:bCs w:val="1"/>
                <w:color w:val="auto"/>
              </w:rPr>
              <w:t>(4,080)</w:t>
            </w:r>
          </w:p>
        </w:tc>
        <w:tc>
          <w:tcPr>
            <w:tcW w:w="80" w:type="dxa"/>
            <w:vAlign w:val="bottom"/>
            <w:tcBorders>
              <w:top w:val="single" w:sz="8" w:color="CCFFCC"/>
            </w:tcBorders>
          </w:tcPr>
          <w:p>
            <w:pPr>
              <w:spacing w:after="0"/>
              <w:rPr>
                <w:sz w:val="21"/>
                <w:szCs w:val="21"/>
                <w:color w:val="auto"/>
              </w:rPr>
            </w:pPr>
          </w:p>
        </w:tc>
        <w:tc>
          <w:tcPr>
            <w:tcW w:w="300" w:type="dxa"/>
            <w:vAlign w:val="bottom"/>
            <w:tcBorders>
              <w:top w:val="single" w:sz="8" w:color="CCFFCC"/>
            </w:tcBorders>
          </w:tcPr>
          <w:p>
            <w:pPr>
              <w:spacing w:after="0"/>
              <w:rPr>
                <w:sz w:val="21"/>
                <w:szCs w:val="21"/>
                <w:color w:val="auto"/>
              </w:rPr>
            </w:pPr>
          </w:p>
        </w:tc>
        <w:tc>
          <w:tcPr>
            <w:tcW w:w="1180" w:type="dxa"/>
            <w:vAlign w:val="bottom"/>
            <w:tcBorders>
              <w:top w:val="single" w:sz="8" w:color="CCFFCC"/>
            </w:tcBorders>
            <w:gridSpan w:val="2"/>
          </w:tcPr>
          <w:p>
            <w:pPr>
              <w:jc w:val="right"/>
              <w:ind w:right="4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gridSpan w:val="4"/>
            <w:shd w:val="clear" w:color="auto" w:fill="CCFFCC"/>
          </w:tcPr>
          <w:p>
            <w:pPr>
              <w:ind w:left="160"/>
              <w:spacing w:after="0"/>
              <w:rPr>
                <w:sz w:val="20"/>
                <w:szCs w:val="20"/>
                <w:color w:val="auto"/>
              </w:rPr>
            </w:pPr>
            <w:r>
              <w:rPr>
                <w:rFonts w:ascii="Arial" w:cs="Arial" w:eastAsia="Arial" w:hAnsi="Arial"/>
                <w:sz w:val="18"/>
                <w:szCs w:val="18"/>
                <w:color w:val="auto"/>
              </w:rPr>
              <w:t>Dividends paid</w:t>
            </w:r>
          </w:p>
        </w:tc>
        <w:tc>
          <w:tcPr>
            <w:tcW w:w="22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2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(919)</w:t>
            </w:r>
          </w:p>
        </w:tc>
        <w:tc>
          <w:tcPr>
            <w:tcW w:w="8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1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gridSpan w:val="4"/>
          </w:tcPr>
          <w:p>
            <w:pPr>
              <w:ind w:left="160"/>
              <w:spacing w:after="0"/>
              <w:rPr>
                <w:sz w:val="20"/>
                <w:szCs w:val="20"/>
                <w:color w:val="auto"/>
              </w:rPr>
            </w:pPr>
            <w:r>
              <w:rPr>
                <w:rFonts w:ascii="Arial" w:cs="Arial" w:eastAsia="Arial" w:hAnsi="Arial"/>
                <w:sz w:val="18"/>
                <w:szCs w:val="18"/>
                <w:color w:val="auto"/>
              </w:rPr>
              <w:t>Purchase of treasury stock</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(644)</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gridSpan w:val="4"/>
            <w:shd w:val="clear" w:color="auto" w:fill="CCFFCC"/>
          </w:tcPr>
          <w:p>
            <w:pPr>
              <w:ind w:left="160"/>
              <w:spacing w:after="0"/>
              <w:rPr>
                <w:sz w:val="20"/>
                <w:szCs w:val="20"/>
                <w:color w:val="auto"/>
              </w:rPr>
            </w:pPr>
            <w:r>
              <w:rPr>
                <w:rFonts w:ascii="Arial" w:cs="Arial" w:eastAsia="Arial" w:hAnsi="Arial"/>
                <w:sz w:val="18"/>
                <w:szCs w:val="18"/>
                <w:color w:val="auto"/>
              </w:rPr>
              <w:t>Proceeds from issuance of treasury stock</w:t>
            </w:r>
          </w:p>
        </w:tc>
        <w:tc>
          <w:tcPr>
            <w:tcW w:w="22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63</w:t>
            </w:r>
          </w:p>
        </w:tc>
        <w:tc>
          <w:tcPr>
            <w:tcW w:w="140" w:type="dxa"/>
            <w:vAlign w:val="bottom"/>
            <w:tcBorders>
              <w:left w:val="single" w:sz="8" w:color="CCFFCC"/>
            </w:tcBorders>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gridSpan w:val="4"/>
          </w:tcPr>
          <w:p>
            <w:pPr>
              <w:ind w:left="160"/>
              <w:spacing w:after="0"/>
              <w:rPr>
                <w:sz w:val="20"/>
                <w:szCs w:val="20"/>
                <w:color w:val="auto"/>
              </w:rPr>
            </w:pPr>
            <w:r>
              <w:rPr>
                <w:rFonts w:ascii="Arial" w:cs="Arial" w:eastAsia="Arial" w:hAnsi="Arial"/>
                <w:sz w:val="18"/>
                <w:szCs w:val="18"/>
                <w:color w:val="auto"/>
              </w:rPr>
              <w:t>Proceeds from issuance of common stock</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83</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gridSpan w:val="4"/>
            <w:shd w:val="clear" w:color="auto" w:fill="CCFFCC"/>
          </w:tcPr>
          <w:p>
            <w:pPr>
              <w:ind w:left="160"/>
              <w:spacing w:after="0"/>
              <w:rPr>
                <w:sz w:val="20"/>
                <w:szCs w:val="20"/>
                <w:color w:val="auto"/>
              </w:rPr>
            </w:pPr>
            <w:r>
              <w:rPr>
                <w:rFonts w:ascii="Arial" w:cs="Arial" w:eastAsia="Arial" w:hAnsi="Arial"/>
                <w:sz w:val="18"/>
                <w:szCs w:val="18"/>
                <w:color w:val="auto"/>
              </w:rPr>
              <w:t>Excess tax benefits for share-based payments</w:t>
            </w:r>
          </w:p>
        </w:tc>
        <w:tc>
          <w:tcPr>
            <w:tcW w:w="22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61</w:t>
            </w:r>
          </w:p>
        </w:tc>
        <w:tc>
          <w:tcPr>
            <w:tcW w:w="140" w:type="dxa"/>
            <w:vAlign w:val="bottom"/>
            <w:tcBorders>
              <w:left w:val="single" w:sz="8" w:color="CCFFCC"/>
            </w:tcBorders>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gridSpan w:val="4"/>
          </w:tcPr>
          <w:p>
            <w:pPr>
              <w:ind w:left="160"/>
              <w:spacing w:after="0"/>
              <w:rPr>
                <w:sz w:val="20"/>
                <w:szCs w:val="20"/>
                <w:color w:val="auto"/>
              </w:rPr>
            </w:pPr>
            <w:r>
              <w:rPr>
                <w:rFonts w:ascii="Arial" w:cs="Arial" w:eastAsia="Arial" w:hAnsi="Arial"/>
                <w:sz w:val="18"/>
                <w:szCs w:val="18"/>
                <w:color w:val="auto"/>
              </w:rPr>
              <w:t>Other, net</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(331)</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8100" w:type="dxa"/>
            <w:vAlign w:val="bottom"/>
            <w:gridSpan w:val="4"/>
            <w:shd w:val="clear" w:color="auto" w:fill="CCFFCC"/>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22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2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(5,767)</w:t>
            </w:r>
          </w:p>
        </w:tc>
        <w:tc>
          <w:tcPr>
            <w:tcW w:w="8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1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40" w:type="dxa"/>
            <w:vAlign w:val="bottom"/>
            <w:tcBorders>
              <w:top w:val="single" w:sz="8" w:color="CCFFCC"/>
            </w:tcBorders>
          </w:tcPr>
          <w:p>
            <w:pPr>
              <w:spacing w:after="0"/>
              <w:rPr>
                <w:sz w:val="20"/>
                <w:szCs w:val="20"/>
                <w:color w:val="auto"/>
              </w:rPr>
            </w:pPr>
          </w:p>
        </w:tc>
        <w:tc>
          <w:tcPr>
            <w:tcW w:w="20" w:type="dxa"/>
            <w:vAlign w:val="bottom"/>
            <w:tcBorders>
              <w:top w:val="single" w:sz="8" w:color="CCFFCC"/>
            </w:tcBorders>
          </w:tcPr>
          <w:p>
            <w:pPr>
              <w:spacing w:after="0"/>
              <w:rPr>
                <w:sz w:val="20"/>
                <w:szCs w:val="20"/>
                <w:color w:val="auto"/>
              </w:rPr>
            </w:pPr>
          </w:p>
        </w:tc>
        <w:tc>
          <w:tcPr>
            <w:tcW w:w="40" w:type="dxa"/>
            <w:vAlign w:val="bottom"/>
            <w:tcBorders>
              <w:top w:val="single" w:sz="8" w:color="CCFFCC"/>
            </w:tcBorders>
          </w:tcPr>
          <w:p>
            <w:pPr>
              <w:spacing w:after="0"/>
              <w:rPr>
                <w:sz w:val="20"/>
                <w:szCs w:val="20"/>
                <w:color w:val="auto"/>
              </w:rPr>
            </w:pPr>
          </w:p>
        </w:tc>
        <w:tc>
          <w:tcPr>
            <w:tcW w:w="4100" w:type="dxa"/>
            <w:vAlign w:val="bottom"/>
            <w:tcBorders>
              <w:top w:val="single" w:sz="8" w:color="CCFFCC"/>
            </w:tcBorders>
          </w:tcPr>
          <w:p>
            <w:pPr>
              <w:spacing w:after="0"/>
              <w:rPr>
                <w:sz w:val="20"/>
                <w:szCs w:val="20"/>
                <w:color w:val="auto"/>
              </w:rPr>
            </w:pPr>
          </w:p>
        </w:tc>
        <w:tc>
          <w:tcPr>
            <w:tcW w:w="220" w:type="dxa"/>
            <w:vAlign w:val="bottom"/>
            <w:tcBorders>
              <w:top w:val="single" w:sz="8" w:color="CCFFCC"/>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40" w:type="dxa"/>
            <w:vAlign w:val="bottom"/>
            <w:tcBorders>
              <w:top w:val="single" w:sz="8" w:color="CCFFCC"/>
            </w:tcBorders>
          </w:tcPr>
          <w:p>
            <w:pPr>
              <w:spacing w:after="0"/>
              <w:rPr>
                <w:sz w:val="20"/>
                <w:szCs w:val="20"/>
                <w:color w:val="auto"/>
              </w:rPr>
            </w:pPr>
          </w:p>
        </w:tc>
        <w:tc>
          <w:tcPr>
            <w:tcW w:w="80" w:type="dxa"/>
            <w:vAlign w:val="bottom"/>
            <w:tcBorders>
              <w:top w:val="single" w:sz="8" w:color="CCFFCC"/>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gridSpan w:val="4"/>
            <w:shd w:val="clear" w:color="auto" w:fill="CCFFCC"/>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22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825</w:t>
            </w:r>
          </w:p>
        </w:tc>
        <w:tc>
          <w:tcPr>
            <w:tcW w:w="140" w:type="dxa"/>
            <w:vAlign w:val="bottom"/>
            <w:tcBorders>
              <w:left w:val="single" w:sz="8" w:color="CCFFCC"/>
            </w:tcBorders>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1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43"/>
        </w:trPr>
        <w:tc>
          <w:tcPr>
            <w:tcW w:w="396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gridSpan w:val="4"/>
            <w:shd w:val="clear" w:color="auto" w:fill="CCFFCC"/>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22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2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(5,540)</w:t>
            </w:r>
          </w:p>
        </w:tc>
        <w:tc>
          <w:tcPr>
            <w:tcW w:w="8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1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(6,763)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gridSpan w:val="4"/>
          </w:tcPr>
          <w:p>
            <w:pPr>
              <w:spacing w:after="0"/>
              <w:rPr>
                <w:sz w:val="20"/>
                <w:szCs w:val="20"/>
                <w:color w:val="auto"/>
              </w:rPr>
            </w:pPr>
            <w:r>
              <w:rPr>
                <w:rFonts w:ascii="Arial" w:cs="Arial" w:eastAsia="Arial" w:hAnsi="Arial"/>
                <w:sz w:val="18"/>
                <w:szCs w:val="18"/>
                <w:b w:val="1"/>
                <w:bCs w:val="1"/>
                <w:color w:val="auto"/>
              </w:rPr>
              <w:t>Cash and Cash Equivalents, Beginning of Year</w:t>
            </w:r>
          </w:p>
        </w:tc>
        <w:tc>
          <w:tcPr>
            <w:tcW w:w="2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6,848</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12,133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8100" w:type="dxa"/>
            <w:vAlign w:val="bottom"/>
            <w:tcBorders>
              <w:bottom w:val="single" w:sz="8" w:color="CCFFCC"/>
            </w:tcBorders>
            <w:gridSpan w:val="4"/>
            <w:shd w:val="clear" w:color="auto" w:fill="CCFFCC"/>
          </w:tcPr>
          <w:p>
            <w:pPr>
              <w:spacing w:after="0"/>
              <w:rPr>
                <w:sz w:val="20"/>
                <w:szCs w:val="20"/>
                <w:color w:val="auto"/>
              </w:rPr>
            </w:pPr>
            <w:r>
              <w:rPr>
                <w:rFonts w:ascii="Arial" w:cs="Arial" w:eastAsia="Arial" w:hAnsi="Arial"/>
                <w:sz w:val="18"/>
                <w:szCs w:val="18"/>
                <w:b w:val="1"/>
                <w:bCs w:val="1"/>
                <w:color w:val="auto"/>
              </w:rPr>
              <w:t>Cash and Cash Equivalents, October 31</w:t>
            </w:r>
          </w:p>
        </w:tc>
        <w:tc>
          <w:tcPr>
            <w:tcW w:w="220" w:type="dxa"/>
            <w:vAlign w:val="bottom"/>
            <w:tcBorders>
              <w:bottom w:val="single" w:sz="8" w:color="CCFFCC"/>
            </w:tcBorders>
            <w:shd w:val="clear" w:color="auto" w:fill="CCFFCC"/>
          </w:tcPr>
          <w:p>
            <w:pPr>
              <w:spacing w:after="0"/>
              <w:rPr>
                <w:sz w:val="24"/>
                <w:szCs w:val="24"/>
                <w:color w:val="auto"/>
              </w:rPr>
            </w:pPr>
          </w:p>
        </w:tc>
        <w:tc>
          <w:tcPr>
            <w:tcW w:w="300" w:type="dxa"/>
            <w:vAlign w:val="bottom"/>
            <w:tcBorders>
              <w:bottom w:val="single" w:sz="8" w:color="auto"/>
            </w:tcBorders>
            <w:shd w:val="clear" w:color="auto" w:fill="CCFFCC"/>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1,308</w:t>
            </w:r>
          </w:p>
        </w:tc>
        <w:tc>
          <w:tcPr>
            <w:tcW w:w="140" w:type="dxa"/>
            <w:vAlign w:val="bottom"/>
            <w:tcBorders>
              <w:left w:val="single" w:sz="8" w:color="CCFFCC"/>
              <w:bottom w:val="single" w:sz="8" w:color="CCFFCC"/>
            </w:tcBorders>
            <w:shd w:val="clear" w:color="auto" w:fill="CCFFCC"/>
          </w:tcPr>
          <w:p>
            <w:pPr>
              <w:spacing w:after="0"/>
              <w:rPr>
                <w:sz w:val="24"/>
                <w:szCs w:val="24"/>
                <w:color w:val="auto"/>
              </w:rPr>
            </w:pPr>
          </w:p>
        </w:tc>
        <w:tc>
          <w:tcPr>
            <w:tcW w:w="80" w:type="dxa"/>
            <w:vAlign w:val="bottom"/>
            <w:tcBorders>
              <w:bottom w:val="single" w:sz="8" w:color="CCFFCC"/>
            </w:tcBorders>
            <w:shd w:val="clear" w:color="auto" w:fill="CCFFCC"/>
          </w:tcPr>
          <w:p>
            <w:pPr>
              <w:spacing w:after="0"/>
              <w:rPr>
                <w:sz w:val="24"/>
                <w:szCs w:val="24"/>
                <w:color w:val="auto"/>
              </w:rPr>
            </w:pPr>
          </w:p>
        </w:tc>
        <w:tc>
          <w:tcPr>
            <w:tcW w:w="300" w:type="dxa"/>
            <w:vAlign w:val="bottom"/>
            <w:tcBorders>
              <w:bottom w:val="single" w:sz="8" w:color="auto"/>
            </w:tcBorders>
            <w:shd w:val="clear" w:color="auto" w:fill="CCFFCC"/>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5,370</w:t>
            </w:r>
          </w:p>
        </w:tc>
        <w:tc>
          <w:tcPr>
            <w:tcW w:w="100" w:type="dxa"/>
            <w:vAlign w:val="bottom"/>
            <w:tcBorders>
              <w:bottom w:val="single" w:sz="8" w:color="CCFFCC"/>
            </w:tcBorders>
            <w:shd w:val="clear" w:color="auto" w:fill="CCFFCC"/>
          </w:tcPr>
          <w:p>
            <w:pPr>
              <w:spacing w:after="0"/>
              <w:rPr>
                <w:sz w:val="24"/>
                <w:szCs w:val="24"/>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ectPr>
          <w:pgSz w:w="11900" w:h="16838" w:orient="portrait"/>
          <w:cols w:equalWidth="0" w:num="1">
            <w:col w:w="11420"/>
          </w:cols>
          <w:pgMar w:left="240" w:top="39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OIL-DRI CORPORATION OF AMERICA &amp;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STATEMENT PRESENTATION</w:t>
      </w:r>
    </w:p>
    <w:p>
      <w:pPr>
        <w:spacing w:after="0" w:line="28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accounting principles generally accepted in the United States of America (“U.S. GAAP”) for interim financial information and with instructions to Form 10-Q and Article 10 of Regulation S-X. Accordingly, they do not include all of the information and footnotes required by U.S. GAAP for complete financial statements. The financial statements and the related notes are condensed and should be read in conjunction with the consolidated financial statements and related notes for the year ended July 31, 2008 included in our Annual Report on Form 10-K filed with the Securities and Exchange Commission.</w:t>
      </w:r>
    </w:p>
    <w:p>
      <w:pPr>
        <w:spacing w:after="0" w:line="22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unaudited condensed consolidated financial statements include the accounts of the parent company and its subsidiaries. All significant intercompany transactions are eliminated.</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unaudited condensed consolidated financial statements reflect all adjustments, consisting of normal recurring accruals, which are, in the opinion of management, necessary for a fair presentation of the statements contained herein. Operating results for the three months ended October 31, 2008 are not necessarily an indication of the results that may be expected for the fiscal year ending July 31, 2009.</w:t>
      </w:r>
    </w:p>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preparation of the unaudited condensed consolidated financial statements in conformity with U.S. GAAP requires the use of estimates and assumptions related to the reporting of assets, liabilities, revenues, expenses and related disclosures. Estimates are revised periodically. Actual results could differ from these estimates.</w:t>
      </w:r>
    </w:p>
    <w:p>
      <w:pPr>
        <w:spacing w:after="0" w:line="23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Under the terms of our sales agreements with customers, we recognize revenue when title is transferred. Upon shipment an invoice is generated that sets the fixed and determinable price. Promotional reserves are provided for sales incentives made directly to consumers and customers and are netted against sales. Sales returns and allowances have historically not been material. Selling, general and administrative expenses include salaries, wages and benefits associated with staff outside the manufacturing and distribution functions, all marketing related costs, any miscellaneous trade spending expenses not required to be included in net sales, research and development costs and all other non-manufacturing and non-distribution expenses.</w:t>
      </w:r>
    </w:p>
    <w:p>
      <w:pPr>
        <w:spacing w:after="0" w:line="22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evaluate our allowance for doubtful accounts utilizing a combination of a historical experience and a periodic review of our accounts receivable aging and specific customer account analysis. A customer is determined to be uncollectible when we have completed our internal collection procedures, including termination of shipments, direct customer contact and formal demand of payment. We maintain and monitor a list of customers whose creditworthiness has diminished. We will continue to monitor customer creditworthiness given the recent economic credit crisis.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As part of our overall operations, we mine sorbent materials on property that we either own or lease. A significant part of our overall mining cost is incurred during the process of removing the overburden (non-usable material) from the mine site, thus exposing the sorbent material that is then used in a majority of our production processes. In accordance with EITF Issue No. 04-06, </w:t>
      </w:r>
      <w:r>
        <w:rPr>
          <w:rFonts w:ascii="Arial" w:cs="Arial" w:eastAsia="Arial" w:hAnsi="Arial"/>
          <w:sz w:val="18"/>
          <w:szCs w:val="18"/>
          <w:i w:val="1"/>
          <w:iCs w:val="1"/>
          <w:color w:val="auto"/>
        </w:rPr>
        <w:t>Accounting for Stripping Costs Incurred during Production in the Mining Industry</w:t>
      </w:r>
      <w:r>
        <w:rPr>
          <w:rFonts w:ascii="Arial" w:cs="Arial" w:eastAsia="Arial" w:hAnsi="Arial"/>
          <w:sz w:val="18"/>
          <w:szCs w:val="18"/>
          <w:color w:val="auto"/>
        </w:rPr>
        <w:t>, production stripping costs are treated as a variable inventory production cost and are included in cost of sales in the period they are incurred. We defer and amortize the pre-production overburden removal costs associated with opening a new mine.</w:t>
      </w:r>
    </w:p>
    <w:p>
      <w:pPr>
        <w:spacing w:after="0" w:line="24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normal course of our overburden removal activities we perform on-going reclamation activities. As overburden is removed from a pit, it is hauled to previously mined pits and used to refill older sites. This process allows us to continuously reclaim older pits and dispose of overburden simultaneously, therefore minimizing the liability for the reclamation function.</w:t>
      </w:r>
    </w:p>
    <w:p>
      <w:pPr>
        <w:spacing w:after="0" w:line="2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it is our policy to capitalize the purchase cost of land and mineral rights, including associated legal fees, survey fees and real estate fees. The costs of obtaining mineral patents, including legal fees and drilling expenses, are also capitalized. Pre-production development costs on new mines and any prepaid royalties that can be offset against future royalties due upon extraction of the mineral are also capitalized. All exploration related costs are expensed as incurred.</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2. RECENTLY ISSUED ACCOUNTING STANDARDS</w:t>
      </w:r>
    </w:p>
    <w:p>
      <w:pPr>
        <w:spacing w:after="0" w:line="2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March 2008, the FASB issued SFAS No. 161, </w:t>
      </w:r>
      <w:r>
        <w:rPr>
          <w:rFonts w:ascii="Arial" w:cs="Arial" w:eastAsia="Arial" w:hAnsi="Arial"/>
          <w:sz w:val="18"/>
          <w:szCs w:val="18"/>
          <w:i w:val="1"/>
          <w:iCs w:val="1"/>
          <w:color w:val="auto"/>
        </w:rPr>
        <w:t>Disclosures about Derivative Instruments and Hedging Activities—an amendment of SFAS No. 133</w:t>
      </w:r>
      <w:r>
        <w:rPr>
          <w:rFonts w:ascii="Arial" w:cs="Arial" w:eastAsia="Arial" w:hAnsi="Arial"/>
          <w:sz w:val="18"/>
          <w:szCs w:val="18"/>
          <w:color w:val="auto"/>
        </w:rPr>
        <w:t xml:space="preserve"> (“SFAS 161”)</w:t>
      </w:r>
      <w:r>
        <w:rPr>
          <w:rFonts w:ascii="Arial" w:cs="Arial" w:eastAsia="Arial" w:hAnsi="Arial"/>
          <w:sz w:val="18"/>
          <w:szCs w:val="18"/>
          <w:i w:val="1"/>
          <w:iCs w:val="1"/>
          <w:color w:val="auto"/>
        </w:rPr>
        <w:t>.</w:t>
      </w:r>
      <w:r>
        <w:rPr>
          <w:rFonts w:ascii="Arial" w:cs="Arial" w:eastAsia="Arial" w:hAnsi="Arial"/>
          <w:sz w:val="18"/>
          <w:szCs w:val="18"/>
          <w:color w:val="auto"/>
        </w:rPr>
        <w:t xml:space="preserve"> This Statement requires disclosures of how and why an entity uses derivative instruments, how derivative instruments and related hedged items are accounted for and how derivative instruments and related hedged items affect an entity’s financial position, financial performance, and cash flows. SFAS 161 is effective for fiscal years and interim periods beginning after November 15, 2008, with early application encouraged. We will adopt this Statement as of February 1, 2009, the beginning of our third quarter of our fiscal year ending July 31, 2009. We are currently evaluating the impact this Statement will have on our consolidated financial statements.</w:t>
      </w:r>
    </w:p>
    <w:p>
      <w:pPr>
        <w:spacing w:after="0" w:line="2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December 2007, the FASB issued SFAS No. 160, </w:t>
      </w:r>
      <w:r>
        <w:rPr>
          <w:rFonts w:ascii="Arial" w:cs="Arial" w:eastAsia="Arial" w:hAnsi="Arial"/>
          <w:sz w:val="18"/>
          <w:szCs w:val="18"/>
          <w:i w:val="1"/>
          <w:iCs w:val="1"/>
          <w:color w:val="auto"/>
        </w:rPr>
        <w:t>Noncontrolling Interests in Consolidated Financial Statements—An Amendment of ARB No. 51</w:t>
      </w:r>
      <w:r>
        <w:rPr>
          <w:rFonts w:ascii="Arial" w:cs="Arial" w:eastAsia="Arial" w:hAnsi="Arial"/>
          <w:sz w:val="18"/>
          <w:szCs w:val="18"/>
          <w:color w:val="auto"/>
        </w:rPr>
        <w:t xml:space="preserve"> (“SFAS 160”)</w:t>
      </w:r>
      <w:r>
        <w:rPr>
          <w:rFonts w:ascii="Arial" w:cs="Arial" w:eastAsia="Arial" w:hAnsi="Arial"/>
          <w:sz w:val="18"/>
          <w:szCs w:val="18"/>
          <w:i w:val="1"/>
          <w:iCs w:val="1"/>
          <w:color w:val="auto"/>
        </w:rPr>
        <w:t>.</w:t>
      </w:r>
      <w:r>
        <w:rPr>
          <w:rFonts w:ascii="Arial" w:cs="Arial" w:eastAsia="Arial" w:hAnsi="Arial"/>
          <w:sz w:val="18"/>
          <w:szCs w:val="18"/>
          <w:color w:val="auto"/>
        </w:rPr>
        <w:t xml:space="preserve"> This statement establishes new accounting and reporting standards for the noncontrolling interest in a subsidiary and for the deconsolidation of a subsidiary. SFAS 160 requires the noncontrolling interest to be reported as a component of equity, changes in a parent’s ownership interest while the parent retains its controlling interest be accounted for as equity transactions, and any retained noncontrolling equity investment upon the deconsolidation of a subsidiary be initially measured at fair value. SFAS 160 is effective for fiscal years, and interim periods within those fiscal years, beginning on or after December 15, 2008. Earlier adoption is prohibited. We will adopt this Statement as of August 1, 2009. We are currently evaluating the impact this Statement will have on our consolidated financial statements.</w:t>
      </w:r>
    </w:p>
    <w:p>
      <w:pPr>
        <w:spacing w:after="0" w:line="24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June 2008, the FASB issued FSP EITF 03-6-1, </w:t>
      </w:r>
      <w:r>
        <w:rPr>
          <w:rFonts w:ascii="Arial" w:cs="Arial" w:eastAsia="Arial" w:hAnsi="Arial"/>
          <w:sz w:val="17"/>
          <w:szCs w:val="17"/>
          <w:i w:val="1"/>
          <w:iCs w:val="1"/>
          <w:color w:val="auto"/>
        </w:rPr>
        <w:t>Determining Whether Instruments Granted in Share-Based Payment Transactions Are Participating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Securities </w:t>
      </w:r>
      <w:r>
        <w:rPr>
          <w:rFonts w:ascii="Arial" w:cs="Arial" w:eastAsia="Arial" w:hAnsi="Arial"/>
          <w:sz w:val="17"/>
          <w:szCs w:val="17"/>
          <w:color w:val="auto"/>
        </w:rPr>
        <w:t>(“FSP EITF 03-6-1). This FSP states that unvested share-based payment awards that contain nonforfeitable rights to dividends or dividend</w:t>
      </w:r>
      <w:r>
        <w:rPr>
          <w:rFonts w:ascii="Arial" w:cs="Arial" w:eastAsia="Arial" w:hAnsi="Arial"/>
          <w:sz w:val="17"/>
          <w:szCs w:val="17"/>
          <w:i w:val="1"/>
          <w:iCs w:val="1"/>
          <w:color w:val="auto"/>
        </w:rPr>
        <w:t xml:space="preserve"> </w:t>
      </w:r>
      <w:r>
        <w:rPr>
          <w:rFonts w:ascii="Arial" w:cs="Arial" w:eastAsia="Arial" w:hAnsi="Arial"/>
          <w:sz w:val="17"/>
          <w:szCs w:val="17"/>
          <w:color w:val="auto"/>
        </w:rPr>
        <w:t>equivalents (whether paid or unpaid) are participating securities and shall be included in the computation of earnings per share pursuant to the two-class method. The FSP is effective for financial statements issued for fiscal years beginning after December 15, 2008, and interim periods within those years. Upon adoption, a company is required to retrospectively adjust its earnings per share data (including any amounts related to interim periods, summaries of earnings and selected financial data) to conform to the provisions in this FSP. Earlier adoption is prohibited. We will adopt this FSP as of August 1, 2009. We are currently evaluating the impact FSP EITF 03-6-1 will have on our consolidated financial statements.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RECENTLY ADOPTED ACCOUNTING STANDARDS</w:t>
      </w:r>
    </w:p>
    <w:p>
      <w:pPr>
        <w:spacing w:after="0" w:line="28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In September 2006, the FASB issued SFAS No.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xml:space="preserve"> (“SFAS 157). This Statement defines fair value, establishes a framework for measuring fair value in accordance with generally accepted accounting principles and expands disclosures about fair value measurements. In February 2008, SFAS 157 was amended by FASB Staff Positions (“FSP”) SFAS No. 157-1 </w:t>
      </w:r>
      <w:r>
        <w:rPr>
          <w:rFonts w:ascii="Arial" w:cs="Arial" w:eastAsia="Arial" w:hAnsi="Arial"/>
          <w:sz w:val="16"/>
          <w:szCs w:val="16"/>
          <w:i w:val="1"/>
          <w:iCs w:val="1"/>
          <w:color w:val="auto"/>
        </w:rPr>
        <w:t>Application of FASB Statement No. 157 to FASB Statement No. 13 and Other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Accounting Pronouncements That Address Fair Value Measurements for Purposes of Lease Classification or Measurement under Statement 13 </w:t>
      </w:r>
      <w:r>
        <w:rPr>
          <w:rFonts w:ascii="Arial" w:cs="Arial" w:eastAsia="Arial" w:hAnsi="Arial"/>
          <w:sz w:val="16"/>
          <w:szCs w:val="16"/>
          <w:color w:val="auto"/>
        </w:rPr>
        <w:t>(“FSP SFAS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157-1”) and by FSP SFAS No. 157-2 </w:t>
      </w:r>
      <w:r>
        <w:rPr>
          <w:rFonts w:ascii="Arial" w:cs="Arial" w:eastAsia="Arial" w:hAnsi="Arial"/>
          <w:sz w:val="16"/>
          <w:szCs w:val="16"/>
          <w:i w:val="1"/>
          <w:iCs w:val="1"/>
          <w:color w:val="auto"/>
        </w:rPr>
        <w:t>Effective Date of FASB Statement No. 157</w:t>
      </w:r>
      <w:r>
        <w:rPr>
          <w:rFonts w:ascii="Arial" w:cs="Arial" w:eastAsia="Arial" w:hAnsi="Arial"/>
          <w:sz w:val="16"/>
          <w:szCs w:val="16"/>
          <w:color w:val="auto"/>
        </w:rPr>
        <w:t xml:space="preserve"> (“FSP SFAS 157-2”). FSP SFAS 157-1 amends SFAS 157 to exclude FASB Statement No. 13, </w:t>
      </w:r>
      <w:r>
        <w:rPr>
          <w:rFonts w:ascii="Arial" w:cs="Arial" w:eastAsia="Arial" w:hAnsi="Arial"/>
          <w:sz w:val="16"/>
          <w:szCs w:val="16"/>
          <w:i w:val="1"/>
          <w:iCs w:val="1"/>
          <w:color w:val="auto"/>
        </w:rPr>
        <w:t>Accounting for Leases</w:t>
      </w:r>
      <w:r>
        <w:rPr>
          <w:rFonts w:ascii="Arial" w:cs="Arial" w:eastAsia="Arial" w:hAnsi="Arial"/>
          <w:sz w:val="16"/>
          <w:szCs w:val="16"/>
          <w:color w:val="auto"/>
        </w:rPr>
        <w:t xml:space="preserve"> (“SFAS 13”) and other accounting pronouncements that address fair value measurements for purposes of lease classification or measurement under SFAS 13</w:t>
      </w:r>
      <w:r>
        <w:rPr>
          <w:rFonts w:ascii="Arial" w:cs="Arial" w:eastAsia="Arial" w:hAnsi="Arial"/>
          <w:sz w:val="16"/>
          <w:szCs w:val="16"/>
          <w:i w:val="1"/>
          <w:iCs w:val="1"/>
          <w:color w:val="auto"/>
        </w:rPr>
        <w:t>.</w:t>
      </w:r>
      <w:r>
        <w:rPr>
          <w:rFonts w:ascii="Arial" w:cs="Arial" w:eastAsia="Arial" w:hAnsi="Arial"/>
          <w:sz w:val="16"/>
          <w:szCs w:val="16"/>
          <w:color w:val="auto"/>
        </w:rPr>
        <w:t xml:space="preserve"> FSP SFAS 157-2 delays the effective date of SFAS 157 for nonfinancial assets and nonfinancial liabilities until November 15, 2008, except for items that are recognized or disclosed at fair value in the financial statements on a recurring basis (at least annually). In October 2008, SFAS 157 was further amended by FSP SFAS No. 157-3 (“FSP SFAS 157-3”) </w:t>
      </w:r>
      <w:r>
        <w:rPr>
          <w:rFonts w:ascii="Arial" w:cs="Arial" w:eastAsia="Arial" w:hAnsi="Arial"/>
          <w:sz w:val="16"/>
          <w:szCs w:val="16"/>
          <w:i w:val="1"/>
          <w:iCs w:val="1"/>
          <w:color w:val="auto"/>
        </w:rPr>
        <w:t>Determining the Fair Value of a Financial Asset When the</w:t>
      </w:r>
      <w:r>
        <w:rPr>
          <w:rFonts w:ascii="Arial" w:cs="Arial" w:eastAsia="Arial" w:hAnsi="Arial"/>
          <w:sz w:val="16"/>
          <w:szCs w:val="16"/>
          <w:color w:val="auto"/>
        </w:rPr>
        <w:t xml:space="preserve"> </w:t>
      </w:r>
      <w:r>
        <w:rPr>
          <w:rFonts w:ascii="Arial" w:cs="Arial" w:eastAsia="Arial" w:hAnsi="Arial"/>
          <w:sz w:val="16"/>
          <w:szCs w:val="16"/>
          <w:i w:val="1"/>
          <w:iCs w:val="1"/>
          <w:color w:val="auto"/>
        </w:rPr>
        <w:t>Market for That Asset is Not Active</w:t>
      </w:r>
      <w:r>
        <w:rPr>
          <w:rFonts w:ascii="Arial" w:cs="Arial" w:eastAsia="Arial" w:hAnsi="Arial"/>
          <w:sz w:val="16"/>
          <w:szCs w:val="16"/>
          <w:color w:val="auto"/>
        </w:rPr>
        <w:t>. FSP SFAS 157-3 was effective upon issuance and clarifies the application of SFAS 157 in a market that is not active and</w:t>
      </w:r>
      <w:r>
        <w:rPr>
          <w:rFonts w:ascii="Arial" w:cs="Arial" w:eastAsia="Arial" w:hAnsi="Arial"/>
          <w:sz w:val="16"/>
          <w:szCs w:val="16"/>
          <w:i w:val="1"/>
          <w:iCs w:val="1"/>
          <w:color w:val="auto"/>
        </w:rPr>
        <w:t xml:space="preserve"> </w:t>
      </w:r>
      <w:r>
        <w:rPr>
          <w:rFonts w:ascii="Arial" w:cs="Arial" w:eastAsia="Arial" w:hAnsi="Arial"/>
          <w:sz w:val="16"/>
          <w:szCs w:val="16"/>
          <w:color w:val="auto"/>
        </w:rPr>
        <w:t>provides an example. See Note 5 for the description of our adoption of the nondelayed portions of SFAS 157.</w:t>
      </w:r>
    </w:p>
    <w:p>
      <w:pPr>
        <w:spacing w:after="0" w:line="22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February 2007, the FASB issued FASB Statement No. 159, </w:t>
      </w:r>
      <w:r>
        <w:rPr>
          <w:rFonts w:ascii="Arial" w:cs="Arial" w:eastAsia="Arial" w:hAnsi="Arial"/>
          <w:sz w:val="17"/>
          <w:szCs w:val="17"/>
          <w:i w:val="1"/>
          <w:iCs w:val="1"/>
          <w:color w:val="auto"/>
        </w:rPr>
        <w:t>The Fair Value Option for Financial Assets and Financial Liabilities</w:t>
      </w:r>
      <w:r>
        <w:rPr>
          <w:rFonts w:ascii="Arial" w:cs="Arial" w:eastAsia="Arial" w:hAnsi="Arial"/>
          <w:sz w:val="17"/>
          <w:szCs w:val="17"/>
          <w:color w:val="auto"/>
        </w:rPr>
        <w:t xml:space="preserve"> (“SFAS 159”). SFAS 159 permits entities to choose to measure many financial instruments and certain other items at fair value. The objective of SFAS 159 is to improve financial reporting by mitigating volatility in reported earnings caused by measuring related assets and liabilities differently without having to apply complex hedge accounting provisions. We adopted this Statement as of August 1, 2008. We did not elect the Fair Value Option for any of our financial assets or liabilities, and therefore, the adoption of FAS 159 had no impact on our consolidated financial position, results of operations or cash flows.</w:t>
      </w:r>
    </w:p>
    <w:p>
      <w:pPr>
        <w:spacing w:after="0" w:line="2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June 2007, the EITF reached consensus on Issue No. 06-11, </w:t>
      </w:r>
      <w:r>
        <w:rPr>
          <w:rFonts w:ascii="Arial" w:cs="Arial" w:eastAsia="Arial" w:hAnsi="Arial"/>
          <w:sz w:val="18"/>
          <w:szCs w:val="18"/>
          <w:i w:val="1"/>
          <w:iCs w:val="1"/>
          <w:color w:val="auto"/>
        </w:rPr>
        <w:t>Accounting for Income Tax Benefits of Dividends on Share-Based Payment Awards</w:t>
      </w:r>
      <w:r>
        <w:rPr>
          <w:rFonts w:ascii="Arial" w:cs="Arial" w:eastAsia="Arial" w:hAnsi="Arial"/>
          <w:sz w:val="18"/>
          <w:szCs w:val="18"/>
          <w:color w:val="auto"/>
        </w:rPr>
        <w:t xml:space="preserve"> (“EITF 06-11”). EITF 06-11 requires that the tax benefit related to dividend and dividend equivalents paid on equity-classified nonvested shares and nonvested share units, which are expected to vest, be recorded as an increase to additional paid-in capital. EITF 06-11 was to be applied prospectively for tax benefits on dividends declared in our fiscal year beginning August 1, 2008. The adoption of EITF 06-11 had an insignificant impact on our consolidated financial position, results of operations and cash flows.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4. INVENTORIES</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The composition of inventories is as follows (in thousands of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Finished goods</w:t>
      </w:r>
    </w:p>
    <w:p>
      <w:pPr>
        <w:spacing w:after="0" w:line="36"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Packaging</w:t>
      </w:r>
    </w:p>
    <w:p>
      <w:pPr>
        <w:spacing w:after="0" w:line="23"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170"/>
              <w:spacing w:after="0"/>
              <w:rPr>
                <w:sz w:val="20"/>
                <w:szCs w:val="20"/>
                <w:color w:val="auto"/>
              </w:rPr>
            </w:pPr>
            <w:r>
              <w:rPr>
                <w:rFonts w:ascii="Arial" w:cs="Arial" w:eastAsia="Arial" w:hAnsi="Arial"/>
                <w:sz w:val="18"/>
                <w:szCs w:val="18"/>
                <w:color w:val="auto"/>
                <w:w w:val="97"/>
              </w:rPr>
              <w:t>October 31,</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gridSpan w:val="2"/>
          </w:tcPr>
          <w:p>
            <w:pPr>
              <w:ind w:left="160"/>
              <w:spacing w:after="0"/>
              <w:rPr>
                <w:sz w:val="20"/>
                <w:szCs w:val="20"/>
                <w:color w:val="auto"/>
              </w:rPr>
            </w:pPr>
            <w:r>
              <w:rPr>
                <w:rFonts w:ascii="Arial" w:cs="Arial" w:eastAsia="Arial" w:hAnsi="Arial"/>
                <w:sz w:val="18"/>
                <w:szCs w:val="18"/>
                <w:color w:val="auto"/>
              </w:rPr>
              <w:t>July 31,</w:t>
            </w:r>
          </w:p>
        </w:tc>
      </w:tr>
      <w:tr>
        <w:trPr>
          <w:trHeight w:val="270"/>
        </w:trPr>
        <w:tc>
          <w:tcPr>
            <w:tcW w:w="2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2008</w:t>
            </w:r>
          </w:p>
        </w:tc>
        <w:tc>
          <w:tcPr>
            <w:tcW w:w="2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2008</w:t>
            </w:r>
          </w:p>
        </w:tc>
        <w:tc>
          <w:tcPr>
            <w:tcW w:w="120" w:type="dxa"/>
            <w:vAlign w:val="bottom"/>
          </w:tcPr>
          <w:p>
            <w:pPr>
              <w:spacing w:after="0"/>
              <w:rPr>
                <w:sz w:val="23"/>
                <w:szCs w:val="23"/>
                <w:color w:val="auto"/>
              </w:rPr>
            </w:pPr>
          </w:p>
        </w:tc>
      </w:tr>
      <w:tr>
        <w:trPr>
          <w:trHeight w:val="237"/>
        </w:trPr>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12,306</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10,076</w:t>
            </w:r>
          </w:p>
        </w:tc>
      </w:tr>
      <w:tr>
        <w:trPr>
          <w:trHeight w:val="243"/>
        </w:trPr>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3,942</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3,798</w:t>
            </w:r>
          </w:p>
        </w:tc>
        <w:tc>
          <w:tcPr>
            <w:tcW w:w="120" w:type="dxa"/>
            <w:vAlign w:val="bottom"/>
          </w:tcPr>
          <w:p>
            <w:pPr>
              <w:spacing w:after="0"/>
              <w:rPr>
                <w:sz w:val="21"/>
                <w:szCs w:val="21"/>
                <w:color w:val="auto"/>
              </w:rPr>
            </w:pPr>
          </w:p>
        </w:tc>
      </w:tr>
      <w:tr>
        <w:trPr>
          <w:trHeight w:val="243"/>
        </w:trPr>
        <w:tc>
          <w:tcPr>
            <w:tcW w:w="220" w:type="dxa"/>
            <w:vAlign w:val="bottom"/>
            <w:tcBorders>
              <w:bottom w:val="single" w:sz="8" w:color="CCFFC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3,585</w:t>
            </w:r>
          </w:p>
        </w:tc>
        <w:tc>
          <w:tcPr>
            <w:tcW w:w="220" w:type="dxa"/>
            <w:vAlign w:val="bottom"/>
            <w:tcBorders>
              <w:bottom w:val="single" w:sz="8" w:color="CCFFC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3,870</w:t>
            </w:r>
          </w:p>
        </w:tc>
        <w:tc>
          <w:tcPr>
            <w:tcW w:w="120" w:type="dxa"/>
            <w:vAlign w:val="bottom"/>
            <w:tcBorders>
              <w:bottom w:val="single" w:sz="8" w:color="CCFFCC"/>
            </w:tcBorders>
          </w:tcPr>
          <w:p>
            <w:pPr>
              <w:spacing w:after="0"/>
              <w:rPr>
                <w:sz w:val="21"/>
                <w:szCs w:val="21"/>
                <w:color w:val="auto"/>
              </w:rPr>
            </w:pPr>
          </w:p>
        </w:tc>
      </w:tr>
      <w:tr>
        <w:trPr>
          <w:trHeight w:val="237"/>
        </w:trPr>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19,833</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17,744</w:t>
            </w:r>
          </w:p>
        </w:tc>
      </w:tr>
      <w:tr>
        <w:trPr>
          <w:trHeight w:val="20"/>
        </w:trPr>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-2228215</wp:posOffset>
            </wp:positionH>
            <wp:positionV relativeFrom="paragraph">
              <wp:posOffset>-650875</wp:posOffset>
            </wp:positionV>
            <wp:extent cx="4347845"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347845" cy="154305"/>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-342265</wp:posOffset>
            </wp:positionV>
            <wp:extent cx="4347845"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347845"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80" w:space="720"/>
            <w:col w:w="5620"/>
          </w:cols>
          <w:pgMar w:left="240" w:top="364" w:right="239" w:bottom="1440" w:gutter="0" w:footer="0" w:header="0"/>
        </w:sectPr>
      </w:pPr>
    </w:p>
    <w:p>
      <w:pPr>
        <w:spacing w:after="0" w:line="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Inventories are valued at the lower of cost (first-in, first-out) or market. Inventory costs include the cost of raw materials, packaging supplies, labor and other overhead costs. We perform a quarterly review of our inventory items to determine if an obsolescence reserve adjustment is necessary. The review surveys all of our operating facilities and sales groups to ensure that both historical issues and new market trends are considered. The allowance not only considers specific items, but also takes into consideration the overall value of the inventory as of the balance sheet date. The inventory obsolescence reserve values at October 31, 2008 and July 31, 2008 were $177,000 and $138,000, respectively.</w:t>
      </w:r>
    </w:p>
    <w:p>
      <w:pPr>
        <w:spacing w:after="0" w:line="263" w:lineRule="exact"/>
        <w:rPr>
          <w:sz w:val="20"/>
          <w:szCs w:val="20"/>
          <w:color w:val="auto"/>
        </w:rPr>
      </w:pPr>
    </w:p>
    <w:p>
      <w:pPr>
        <w:ind w:left="360" w:hanging="352"/>
        <w:spacing w:after="0"/>
        <w:tabs>
          <w:tab w:leader="none" w:pos="3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9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adopted the required portions of SFAS 157, as amended, on August 1, 2008. SFAS 157 applies to all assets and liabilities that are being measured and reported at fair value. SFAS 157 defines fair value as the price that would be received to sell an asset or paid to transfer a liability in an orderly transaction between market participants at the measurement date. SFAS 157 establishes a fair value hierarchy that prioritizes the inputs to valuation techniques used to measure fair value. An asset or liability’s level is based on the lowest level of input that is significant to the fair value measurement. This Statement requires that financial assets and liabilities carried at fair value be classified and disclosed in one of the following three categories:</w:t>
      </w:r>
    </w:p>
    <w:p>
      <w:pPr>
        <w:spacing w:after="0" w:line="227"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Financial assets and liabilities whose values are based on quoted market prices in active markets for identical assets or liabilities.</w:t>
      </w:r>
    </w:p>
    <w:p>
      <w:pPr>
        <w:spacing w:after="0" w:line="23"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Financial assets and liabilities whose values are based on:</w:t>
      </w:r>
    </w:p>
    <w:p>
      <w:pPr>
        <w:spacing w:after="0" w:line="9" w:lineRule="exact"/>
        <w:rPr>
          <w:sz w:val="20"/>
          <w:szCs w:val="20"/>
          <w:color w:val="auto"/>
        </w:rPr>
      </w:pPr>
    </w:p>
    <w:p>
      <w:pPr>
        <w:ind w:left="1800" w:hanging="333"/>
        <w:spacing w:after="0"/>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48" w:lineRule="exact"/>
        <w:rPr>
          <w:rFonts w:ascii="Arial" w:cs="Arial" w:eastAsia="Arial" w:hAnsi="Arial"/>
          <w:sz w:val="18"/>
          <w:szCs w:val="18"/>
          <w:color w:val="auto"/>
        </w:rPr>
      </w:pPr>
    </w:p>
    <w:p>
      <w:pPr>
        <w:ind w:left="1800" w:hanging="333"/>
        <w:spacing w:after="0"/>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markets that are not active.</w:t>
      </w:r>
    </w:p>
    <w:p>
      <w:pPr>
        <w:spacing w:after="0" w:line="63" w:lineRule="exact"/>
        <w:rPr>
          <w:rFonts w:ascii="Arial" w:cs="Arial" w:eastAsia="Arial" w:hAnsi="Arial"/>
          <w:sz w:val="18"/>
          <w:szCs w:val="18"/>
          <w:color w:val="auto"/>
        </w:rPr>
      </w:pPr>
    </w:p>
    <w:p>
      <w:pPr>
        <w:ind w:left="1800" w:hanging="333"/>
        <w:spacing w:after="0"/>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Valuation models whose inputs are observable, directly or indirectly, for substantially the full term of the asset or liability.</w:t>
      </w:r>
    </w:p>
    <w:p>
      <w:pPr>
        <w:spacing w:after="0" w:line="63" w:lineRule="exact"/>
        <w:rPr>
          <w:sz w:val="20"/>
          <w:szCs w:val="20"/>
          <w:color w:val="auto"/>
        </w:rPr>
      </w:pPr>
    </w:p>
    <w:p>
      <w:pPr>
        <w:jc w:val="both"/>
        <w:ind w:left="1460" w:hanging="809"/>
        <w:spacing w:after="0" w:line="264" w:lineRule="auto"/>
        <w:tabs>
          <w:tab w:leader="none" w:pos="1440" w:val="left"/>
        </w:tabs>
        <w:rPr>
          <w:sz w:val="20"/>
          <w:szCs w:val="20"/>
          <w:color w:val="auto"/>
        </w:rPr>
      </w:pPr>
      <w:r>
        <w:rPr>
          <w:rFonts w:ascii="Arial" w:cs="Arial" w:eastAsia="Arial" w:hAnsi="Arial"/>
          <w:sz w:val="18"/>
          <w:szCs w:val="18"/>
          <w:color w:val="auto"/>
        </w:rPr>
        <w:t>Level 3:</w:t>
        <w:tab/>
        <w:t>Financial assets and liabilities whose values are based on valuation techniques that require inputs that are both unobservable and significant to the overall fair value measurement. These inputs may reflect estimates of the assumptions that market participants would use in valuing the financial assets and liabilities.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financial assets and liabilities that were measured at fair value by level within the fair value hierarchy:</w:t>
      </w:r>
    </w:p>
    <w:p>
      <w:pPr>
        <w:spacing w:after="0" w:line="279"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0" w:type="dxa"/>
            <w:vAlign w:val="bottom"/>
            <w:gridSpan w:val="6"/>
          </w:tcPr>
          <w:p>
            <w:pPr>
              <w:jc w:val="center"/>
              <w:ind w:left="70"/>
              <w:spacing w:after="0"/>
              <w:rPr>
                <w:sz w:val="20"/>
                <w:szCs w:val="20"/>
                <w:color w:val="auto"/>
              </w:rPr>
            </w:pPr>
            <w:r>
              <w:rPr>
                <w:rFonts w:ascii="Arial" w:cs="Arial" w:eastAsia="Arial" w:hAnsi="Arial"/>
                <w:sz w:val="18"/>
                <w:szCs w:val="18"/>
                <w:color w:val="auto"/>
                <w:w w:val="89"/>
              </w:rPr>
              <w:t>Fair Value at October 31, 2008</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1"/>
              </w:rPr>
              <w:t>(in thousands)</w:t>
            </w:r>
          </w:p>
        </w:tc>
        <w:tc>
          <w:tcPr>
            <w:tcW w:w="2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64"/>
        </w:trPr>
        <w:tc>
          <w:tcPr>
            <w:tcW w:w="20" w:type="dxa"/>
            <w:vAlign w:val="bottom"/>
          </w:tcPr>
          <w:p>
            <w:pPr>
              <w:spacing w:after="0"/>
              <w:rPr>
                <w:sz w:val="22"/>
                <w:szCs w:val="22"/>
                <w:color w:val="auto"/>
              </w:rPr>
            </w:pPr>
          </w:p>
        </w:tc>
        <w:tc>
          <w:tcPr>
            <w:tcW w:w="35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Total</w:t>
            </w:r>
          </w:p>
        </w:tc>
        <w:tc>
          <w:tcPr>
            <w:tcW w:w="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jc w:val="center"/>
              <w:ind w:right="70"/>
              <w:spacing w:after="0"/>
              <w:rPr>
                <w:sz w:val="20"/>
                <w:szCs w:val="20"/>
                <w:color w:val="auto"/>
              </w:rPr>
            </w:pPr>
            <w:r>
              <w:rPr>
                <w:rFonts w:ascii="Arial" w:cs="Arial" w:eastAsia="Arial" w:hAnsi="Arial"/>
                <w:sz w:val="18"/>
                <w:szCs w:val="18"/>
                <w:color w:val="auto"/>
                <w:w w:val="96"/>
              </w:rPr>
              <w:t>Level 1</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gridSpan w:val="2"/>
          </w:tcPr>
          <w:p>
            <w:pPr>
              <w:ind w:left="100"/>
              <w:spacing w:after="0"/>
              <w:rPr>
                <w:sz w:val="20"/>
                <w:szCs w:val="20"/>
                <w:color w:val="auto"/>
              </w:rPr>
            </w:pPr>
            <w:r>
              <w:rPr>
                <w:rFonts w:ascii="Arial" w:cs="Arial" w:eastAsia="Arial" w:hAnsi="Arial"/>
                <w:sz w:val="18"/>
                <w:szCs w:val="18"/>
                <w:color w:val="auto"/>
              </w:rPr>
              <w:t>Level 2</w:t>
            </w:r>
          </w:p>
        </w:tc>
      </w:tr>
      <w:tr>
        <w:trPr>
          <w:trHeight w:val="237"/>
        </w:trPr>
        <w:tc>
          <w:tcPr>
            <w:tcW w:w="20" w:type="dxa"/>
            <w:vAlign w:val="bottom"/>
          </w:tcPr>
          <w:p>
            <w:pPr>
              <w:spacing w:after="0"/>
              <w:rPr>
                <w:sz w:val="20"/>
                <w:szCs w:val="20"/>
                <w:color w:val="auto"/>
              </w:rPr>
            </w:pPr>
          </w:p>
        </w:tc>
        <w:tc>
          <w:tcPr>
            <w:tcW w:w="35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Assets</w:t>
            </w:r>
          </w:p>
        </w:tc>
        <w:tc>
          <w:tcPr>
            <w:tcW w:w="860" w:type="dxa"/>
            <w:vAlign w:val="bottom"/>
            <w:shd w:val="clear" w:color="auto" w:fill="CCFFCC"/>
          </w:tcPr>
          <w:p>
            <w:pPr>
              <w:spacing w:after="0"/>
              <w:rPr>
                <w:sz w:val="20"/>
                <w:szCs w:val="20"/>
                <w:color w:val="auto"/>
              </w:rPr>
            </w:pPr>
          </w:p>
        </w:tc>
        <w:tc>
          <w:tcPr>
            <w:tcW w:w="900" w:type="dxa"/>
            <w:vAlign w:val="bottom"/>
            <w:tcBorders>
              <w:top w:val="single" w:sz="8" w:color="auto"/>
            </w:tcBorders>
            <w:shd w:val="clear" w:color="auto" w:fill="CCFFCC"/>
          </w:tcPr>
          <w:p>
            <w:pPr>
              <w:spacing w:after="0"/>
              <w:rPr>
                <w:sz w:val="20"/>
                <w:szCs w:val="20"/>
                <w:color w:val="auto"/>
              </w:rPr>
            </w:pPr>
          </w:p>
        </w:tc>
        <w:tc>
          <w:tcPr>
            <w:tcW w:w="46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40" w:type="dxa"/>
            <w:vAlign w:val="bottom"/>
            <w:tcBorders>
              <w:top w:val="single" w:sz="8" w:color="auto"/>
            </w:tcBorders>
            <w:shd w:val="clear" w:color="auto" w:fill="CCFFCC"/>
          </w:tcPr>
          <w:p>
            <w:pPr>
              <w:spacing w:after="0"/>
              <w:rPr>
                <w:sz w:val="20"/>
                <w:szCs w:val="20"/>
                <w:color w:val="auto"/>
              </w:rPr>
            </w:pPr>
          </w:p>
        </w:tc>
        <w:tc>
          <w:tcPr>
            <w:tcW w:w="124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320" w:type="dxa"/>
            <w:vAlign w:val="bottom"/>
            <w:tcBorders>
              <w:top w:val="single" w:sz="8" w:color="auto"/>
            </w:tcBorders>
            <w:shd w:val="clear" w:color="auto" w:fill="CCFFCC"/>
          </w:tcPr>
          <w:p>
            <w:pPr>
              <w:spacing w:after="0"/>
              <w:rPr>
                <w:sz w:val="20"/>
                <w:szCs w:val="20"/>
                <w:color w:val="auto"/>
              </w:rPr>
            </w:pPr>
          </w:p>
        </w:tc>
        <w:tc>
          <w:tcPr>
            <w:tcW w:w="108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43"/>
        </w:trPr>
        <w:tc>
          <w:tcPr>
            <w:tcW w:w="360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76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1,308</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1,308</w:t>
            </w: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3580" w:type="dxa"/>
            <w:vAlign w:val="bottom"/>
            <w:shd w:val="clear" w:color="auto" w:fill="CCFFCC"/>
          </w:tcPr>
          <w:p>
            <w:pPr>
              <w:spacing w:after="0"/>
              <w:rPr>
                <w:sz w:val="20"/>
                <w:szCs w:val="20"/>
                <w:color w:val="auto"/>
              </w:rPr>
            </w:pPr>
            <w:r>
              <w:rPr>
                <w:rFonts w:ascii="Arial" w:cs="Arial" w:eastAsia="Arial" w:hAnsi="Arial"/>
                <w:sz w:val="18"/>
                <w:szCs w:val="18"/>
                <w:color w:val="auto"/>
              </w:rPr>
              <w:t>Marketable equity securities</w:t>
            </w:r>
          </w:p>
        </w:tc>
        <w:tc>
          <w:tcPr>
            <w:tcW w:w="860" w:type="dxa"/>
            <w:vAlign w:val="bottom"/>
            <w:shd w:val="clear" w:color="auto" w:fill="CCFFCC"/>
          </w:tcPr>
          <w:p>
            <w:pPr>
              <w:spacing w:after="0"/>
              <w:rPr>
                <w:sz w:val="21"/>
                <w:szCs w:val="21"/>
                <w:color w:val="auto"/>
              </w:rPr>
            </w:pPr>
          </w:p>
        </w:tc>
        <w:tc>
          <w:tcPr>
            <w:tcW w:w="900" w:type="dxa"/>
            <w:vAlign w:val="bottom"/>
            <w:shd w:val="clear" w:color="auto" w:fill="CCFFCC"/>
          </w:tcPr>
          <w:p>
            <w:pPr>
              <w:spacing w:after="0"/>
              <w:rPr>
                <w:sz w:val="21"/>
                <w:szCs w:val="21"/>
                <w:color w:val="auto"/>
              </w:rPr>
            </w:pPr>
          </w:p>
        </w:tc>
        <w:tc>
          <w:tcPr>
            <w:tcW w:w="4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55</w:t>
            </w:r>
          </w:p>
        </w:tc>
        <w:tc>
          <w:tcPr>
            <w:tcW w:w="22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55</w:t>
            </w:r>
          </w:p>
        </w:tc>
        <w:tc>
          <w:tcPr>
            <w:tcW w:w="22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3600" w:type="dxa"/>
            <w:vAlign w:val="bottom"/>
            <w:gridSpan w:val="2"/>
          </w:tcPr>
          <w:p>
            <w:pPr>
              <w:spacing w:after="0"/>
              <w:rPr>
                <w:sz w:val="20"/>
                <w:szCs w:val="20"/>
                <w:color w:val="auto"/>
              </w:rPr>
            </w:pPr>
            <w:r>
              <w:rPr>
                <w:rFonts w:ascii="Arial" w:cs="Arial" w:eastAsia="Arial" w:hAnsi="Arial"/>
                <w:sz w:val="18"/>
                <w:szCs w:val="18"/>
                <w:color w:val="auto"/>
              </w:rPr>
              <w:t>Cash surrender value of life insurance</w:t>
            </w:r>
          </w:p>
        </w:tc>
        <w:tc>
          <w:tcPr>
            <w:tcW w:w="8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3,498</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3,498</w:t>
            </w:r>
          </w:p>
        </w:tc>
        <w:tc>
          <w:tcPr>
            <w:tcW w:w="100" w:type="dxa"/>
            <w:vAlign w:val="bottom"/>
          </w:tcPr>
          <w:p>
            <w:pPr>
              <w:spacing w:after="0"/>
              <w:rPr>
                <w:sz w:val="21"/>
                <w:szCs w:val="21"/>
                <w:color w:val="auto"/>
              </w:rPr>
            </w:pPr>
          </w:p>
        </w:tc>
      </w:tr>
    </w:tbl>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Cash and cash equivalents are classified as Level 1 of the fair value hierarchy because they were valued using quoted market prices in active markets. These cash instruments are money market mutual funds and U.S. Treasury securities.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type w:val="continuous"/>
        </w:sectPr>
      </w:pPr>
    </w:p>
    <w:bookmarkStart w:id="10" w:name="page11"/>
    <w:bookmarkEnd w:id="10"/>
    <w:p>
      <w:pPr>
        <w:jc w:val="both"/>
        <w:spacing w:after="0" w:line="277" w:lineRule="auto"/>
        <w:rPr>
          <w:sz w:val="20"/>
          <w:szCs w:val="20"/>
          <w:color w:val="auto"/>
        </w:rPr>
      </w:pPr>
      <w:r>
        <w:rPr>
          <w:rFonts w:ascii="Arial" w:cs="Arial" w:eastAsia="Arial" w:hAnsi="Arial"/>
          <w:sz w:val="18"/>
          <w:szCs w:val="18"/>
          <w:color w:val="auto"/>
        </w:rPr>
        <w:t>Marketable equity securities were valued using quoted market prices in active markets and as such are classified as Level 1 in the fair value hierarchy. These securities represent stock we own in one publicly traded company.</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Cash surrender value of life insurance is classified as Level 2. The value was determined by the underwriting insurance company’s valuation models and represents the guaranteed value we would receive upon surrender of these policies as of October 31, 2008. These life insurance policies are held on key employees.</w:t>
      </w:r>
    </w:p>
    <w:p>
      <w:pPr>
        <w:spacing w:after="0" w:line="23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We generally apply fair value techniques on a non-recurring basis associated with: 1) valuing potential impairment loss related to goodwill and indefinite-lived intangible assets account for pursuant to SFAS No. 142 </w:t>
      </w:r>
      <w:r>
        <w:rPr>
          <w:rFonts w:ascii="Arial" w:cs="Arial" w:eastAsia="Arial" w:hAnsi="Arial"/>
          <w:sz w:val="17"/>
          <w:szCs w:val="17"/>
          <w:i w:val="1"/>
          <w:iCs w:val="1"/>
          <w:color w:val="auto"/>
        </w:rPr>
        <w:t>Goodwill and other Intangible Assets</w:t>
      </w:r>
      <w:r>
        <w:rPr>
          <w:rFonts w:ascii="Arial" w:cs="Arial" w:eastAsia="Arial" w:hAnsi="Arial"/>
          <w:sz w:val="17"/>
          <w:szCs w:val="17"/>
          <w:color w:val="auto"/>
        </w:rPr>
        <w:t xml:space="preserve"> and 2) valuing potential impairment loss related to long-lived asses accounted for pursuant to SFAS No. 144 </w:t>
      </w:r>
      <w:r>
        <w:rPr>
          <w:rFonts w:ascii="Arial" w:cs="Arial" w:eastAsia="Arial" w:hAnsi="Arial"/>
          <w:sz w:val="17"/>
          <w:szCs w:val="17"/>
          <w:i w:val="1"/>
          <w:iCs w:val="1"/>
          <w:color w:val="auto"/>
        </w:rPr>
        <w:t>Accounting for Impairment and Disposal of Long-Lived Assets</w:t>
      </w:r>
      <w:r>
        <w:rPr>
          <w:rFonts w:ascii="Arial" w:cs="Arial" w:eastAsia="Arial" w:hAnsi="Arial"/>
          <w:sz w:val="17"/>
          <w:szCs w:val="17"/>
          <w:color w:val="auto"/>
        </w:rPr>
        <w:t>.</w:t>
      </w:r>
    </w:p>
    <w:p>
      <w:pPr>
        <w:spacing w:after="0" w:line="256" w:lineRule="exact"/>
        <w:rPr>
          <w:sz w:val="20"/>
          <w:szCs w:val="20"/>
          <w:color w:val="auto"/>
        </w:rPr>
      </w:pPr>
    </w:p>
    <w:p>
      <w:pPr>
        <w:ind w:left="360" w:hanging="352"/>
        <w:spacing w:after="0"/>
        <w:tabs>
          <w:tab w:leader="none" w:pos="3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PENSION AND OTHER POST RETIREMENT BENEFITS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periodic pension benefits cost of our sponsored defined benefit plans were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2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7"/>
              </w:rPr>
              <w:t>PENSION PLANS</w:t>
            </w:r>
          </w:p>
        </w:tc>
      </w:tr>
      <w:tr>
        <w:trPr>
          <w:trHeight w:val="216"/>
        </w:trPr>
        <w:tc>
          <w:tcPr>
            <w:tcW w:w="5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20" w:type="dxa"/>
            <w:vAlign w:val="bottom"/>
            <w:gridSpan w:val="5"/>
          </w:tcPr>
          <w:p>
            <w:pPr>
              <w:jc w:val="center"/>
              <w:ind w:right="280"/>
              <w:spacing w:after="0"/>
              <w:rPr>
                <w:sz w:val="20"/>
                <w:szCs w:val="20"/>
                <w:color w:val="auto"/>
              </w:rPr>
            </w:pPr>
            <w:r>
              <w:rPr>
                <w:rFonts w:ascii="Arial" w:cs="Arial" w:eastAsia="Arial" w:hAnsi="Arial"/>
                <w:sz w:val="18"/>
                <w:szCs w:val="18"/>
                <w:color w:val="auto"/>
                <w:w w:val="90"/>
              </w:rPr>
              <w:t>(dollars in thousands)</w:t>
            </w:r>
          </w:p>
        </w:tc>
      </w:tr>
      <w:tr>
        <w:trPr>
          <w:trHeight w:val="230"/>
        </w:trPr>
        <w:tc>
          <w:tcPr>
            <w:tcW w:w="5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20" w:type="dxa"/>
            <w:vAlign w:val="bottom"/>
            <w:gridSpan w:val="5"/>
          </w:tcPr>
          <w:p>
            <w:pPr>
              <w:jc w:val="center"/>
              <w:ind w:right="280"/>
              <w:spacing w:after="0"/>
              <w:rPr>
                <w:sz w:val="20"/>
                <w:szCs w:val="20"/>
                <w:color w:val="auto"/>
              </w:rPr>
            </w:pPr>
            <w:r>
              <w:rPr>
                <w:rFonts w:ascii="Arial" w:cs="Arial" w:eastAsia="Arial" w:hAnsi="Arial"/>
                <w:sz w:val="18"/>
                <w:szCs w:val="18"/>
                <w:color w:val="auto"/>
                <w:w w:val="90"/>
              </w:rPr>
              <w:t>Three Months Ended</w:t>
            </w:r>
          </w:p>
        </w:tc>
      </w:tr>
      <w:tr>
        <w:trPr>
          <w:trHeight w:val="195"/>
        </w:trPr>
        <w:tc>
          <w:tcPr>
            <w:tcW w:w="5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jc w:val="right"/>
              <w:ind w:right="460"/>
              <w:spacing w:after="0" w:line="195" w:lineRule="exact"/>
              <w:rPr>
                <w:sz w:val="20"/>
                <w:szCs w:val="20"/>
                <w:color w:val="auto"/>
              </w:rPr>
            </w:pPr>
            <w:r>
              <w:rPr>
                <w:rFonts w:ascii="Arial" w:cs="Arial" w:eastAsia="Arial" w:hAnsi="Arial"/>
                <w:sz w:val="18"/>
                <w:szCs w:val="18"/>
                <w:color w:val="auto"/>
                <w:w w:val="97"/>
              </w:rPr>
              <w:t>October 31,</w:t>
            </w:r>
          </w:p>
        </w:tc>
        <w:tc>
          <w:tcPr>
            <w:tcW w:w="1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center"/>
              <w:ind w:right="70"/>
              <w:spacing w:after="0" w:line="195" w:lineRule="exact"/>
              <w:rPr>
                <w:sz w:val="20"/>
                <w:szCs w:val="20"/>
                <w:color w:val="auto"/>
              </w:rPr>
            </w:pPr>
            <w:r>
              <w:rPr>
                <w:rFonts w:ascii="Arial" w:cs="Arial" w:eastAsia="Arial" w:hAnsi="Arial"/>
                <w:sz w:val="18"/>
                <w:szCs w:val="18"/>
                <w:color w:val="auto"/>
                <w:w w:val="91"/>
              </w:rPr>
              <w:t>October 31,</w:t>
            </w:r>
          </w:p>
        </w:tc>
        <w:tc>
          <w:tcPr>
            <w:tcW w:w="120" w:type="dxa"/>
            <w:vAlign w:val="bottom"/>
          </w:tcPr>
          <w:p>
            <w:pPr>
              <w:spacing w:after="0"/>
              <w:rPr>
                <w:sz w:val="16"/>
                <w:szCs w:val="16"/>
                <w:color w:val="auto"/>
              </w:rPr>
            </w:pPr>
          </w:p>
        </w:tc>
      </w:tr>
      <w:tr>
        <w:trPr>
          <w:trHeight w:val="230"/>
        </w:trPr>
        <w:tc>
          <w:tcPr>
            <w:tcW w:w="5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2008</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2007</w:t>
            </w:r>
          </w:p>
        </w:tc>
        <w:tc>
          <w:tcPr>
            <w:tcW w:w="120" w:type="dxa"/>
            <w:vAlign w:val="bottom"/>
          </w:tcPr>
          <w:p>
            <w:pPr>
              <w:spacing w:after="0"/>
              <w:rPr>
                <w:sz w:val="20"/>
                <w:szCs w:val="20"/>
                <w:color w:val="auto"/>
              </w:rPr>
            </w:pPr>
          </w:p>
        </w:tc>
      </w:tr>
      <w:tr>
        <w:trPr>
          <w:trHeight w:val="237"/>
        </w:trPr>
        <w:tc>
          <w:tcPr>
            <w:tcW w:w="5820" w:type="dxa"/>
            <w:vAlign w:val="bottom"/>
            <w:shd w:val="clear" w:color="auto" w:fill="CCFFCC"/>
          </w:tcPr>
          <w:p>
            <w:pPr>
              <w:spacing w:after="0"/>
              <w:rPr>
                <w:sz w:val="20"/>
                <w:szCs w:val="20"/>
                <w:color w:val="auto"/>
              </w:rPr>
            </w:pPr>
            <w:r>
              <w:rPr>
                <w:rFonts w:ascii="Arial" w:cs="Arial" w:eastAsia="Arial" w:hAnsi="Arial"/>
                <w:sz w:val="18"/>
                <w:szCs w:val="18"/>
                <w:color w:val="auto"/>
              </w:rPr>
              <w:t>Components of net periodic pension benefit cost:</w:t>
            </w:r>
          </w:p>
        </w:tc>
        <w:tc>
          <w:tcPr>
            <w:tcW w:w="22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118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12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r>
      <w:tr>
        <w:trPr>
          <w:trHeight w:val="243"/>
        </w:trPr>
        <w:tc>
          <w:tcPr>
            <w:tcW w:w="5820" w:type="dxa"/>
            <w:vAlign w:val="bottom"/>
          </w:tcPr>
          <w:p>
            <w:pPr>
              <w:spacing w:after="0"/>
              <w:rPr>
                <w:sz w:val="20"/>
                <w:szCs w:val="20"/>
                <w:color w:val="auto"/>
              </w:rPr>
            </w:pPr>
            <w:r>
              <w:rPr>
                <w:rFonts w:ascii="Arial" w:cs="Arial" w:eastAsia="Arial" w:hAnsi="Arial"/>
                <w:sz w:val="18"/>
                <w:szCs w:val="18"/>
                <w:color w:val="auto"/>
              </w:rPr>
              <w:t>Service cost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210</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212</w:t>
            </w:r>
          </w:p>
        </w:tc>
      </w:tr>
      <w:tr>
        <w:trPr>
          <w:trHeight w:val="243"/>
        </w:trPr>
        <w:tc>
          <w:tcPr>
            <w:tcW w:w="5820" w:type="dxa"/>
            <w:vAlign w:val="bottom"/>
            <w:shd w:val="clear" w:color="auto" w:fill="CCFFCC"/>
          </w:tcPr>
          <w:p>
            <w:pPr>
              <w:spacing w:after="0"/>
              <w:rPr>
                <w:sz w:val="20"/>
                <w:szCs w:val="20"/>
                <w:color w:val="auto"/>
              </w:rPr>
            </w:pPr>
            <w:r>
              <w:rPr>
                <w:rFonts w:ascii="Arial" w:cs="Arial" w:eastAsia="Arial" w:hAnsi="Arial"/>
                <w:sz w:val="18"/>
                <w:szCs w:val="18"/>
                <w:color w:val="auto"/>
              </w:rPr>
              <w:t>Interest cost</w:t>
            </w:r>
          </w:p>
        </w:tc>
        <w:tc>
          <w:tcPr>
            <w:tcW w:w="22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334</w:t>
            </w:r>
          </w:p>
        </w:tc>
        <w:tc>
          <w:tcPr>
            <w:tcW w:w="22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13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292</w:t>
            </w:r>
          </w:p>
        </w:tc>
      </w:tr>
      <w:tr>
        <w:trPr>
          <w:trHeight w:val="243"/>
        </w:trPr>
        <w:tc>
          <w:tcPr>
            <w:tcW w:w="582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(325)</w:t>
            </w:r>
          </w:p>
        </w:tc>
        <w:tc>
          <w:tcPr>
            <w:tcW w:w="180" w:type="dxa"/>
            <w:vAlign w:val="bottom"/>
          </w:tcPr>
          <w:p>
            <w:pPr>
              <w:spacing w:after="0"/>
              <w:rPr>
                <w:sz w:val="21"/>
                <w:szCs w:val="21"/>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(347)</w:t>
            </w:r>
          </w:p>
        </w:tc>
      </w:tr>
      <w:tr>
        <w:trPr>
          <w:trHeight w:val="243"/>
        </w:trPr>
        <w:tc>
          <w:tcPr>
            <w:tcW w:w="5820" w:type="dxa"/>
            <w:vAlign w:val="bottom"/>
            <w:shd w:val="clear" w:color="auto" w:fill="CCFFCC"/>
          </w:tcPr>
          <w:p>
            <w:pPr>
              <w:spacing w:after="0"/>
              <w:rPr>
                <w:sz w:val="20"/>
                <w:szCs w:val="20"/>
                <w:color w:val="auto"/>
              </w:rPr>
            </w:pPr>
            <w:r>
              <w:rPr>
                <w:rFonts w:ascii="Arial" w:cs="Arial" w:eastAsia="Arial" w:hAnsi="Arial"/>
                <w:sz w:val="18"/>
                <w:szCs w:val="18"/>
                <w:color w:val="auto"/>
              </w:rPr>
              <w:t>Net amortization</w:t>
            </w:r>
          </w:p>
        </w:tc>
        <w:tc>
          <w:tcPr>
            <w:tcW w:w="22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13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49</w:t>
            </w:r>
          </w:p>
        </w:tc>
      </w:tr>
      <w:tr>
        <w:trPr>
          <w:trHeight w:val="20"/>
        </w:trPr>
        <w:tc>
          <w:tcPr>
            <w:tcW w:w="582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r>
      <w:tr>
        <w:trPr>
          <w:trHeight w:val="237"/>
        </w:trPr>
        <w:tc>
          <w:tcPr>
            <w:tcW w:w="5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231</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206</w:t>
            </w:r>
          </w:p>
        </w:tc>
      </w:tr>
      <w:tr>
        <w:trPr>
          <w:trHeight w:val="20"/>
        </w:trPr>
        <w:tc>
          <w:tcPr>
            <w:tcW w:w="5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funded the plan based upon actuarially determined contributions that take into account the amount deductible for income tax purposes, the normal cost and the minimum contribution required and the maximum contribution allowed under the Employee Retirement Income Security Act of 1974, as amended. We did not make a contribution to our pension plan during the first quarter of the fiscal year ending July 31, 2009. We intend to make a contribution to the pension plan during the current fiscal year approximately equal to the annual actuarial determined cost. We currently estimate this amount to be approximately $900,000. See Item 3. Quantitative and Qualitative Disclosures About Market Risk for a discussion of the potential impact of financial market fluctuations on pension plan assets and future funding contributions.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net periodic postretirement health benefit cost were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60" w:type="dxa"/>
            <w:vAlign w:val="bottom"/>
            <w:gridSpan w:val="4"/>
          </w:tcPr>
          <w:p>
            <w:pPr>
              <w:jc w:val="center"/>
              <w:ind w:left="130"/>
              <w:spacing w:after="0"/>
              <w:rPr>
                <w:sz w:val="20"/>
                <w:szCs w:val="20"/>
                <w:color w:val="auto"/>
              </w:rPr>
            </w:pPr>
            <w:r>
              <w:rPr>
                <w:rFonts w:ascii="Arial" w:cs="Arial" w:eastAsia="Arial" w:hAnsi="Arial"/>
                <w:sz w:val="18"/>
                <w:szCs w:val="18"/>
                <w:b w:val="1"/>
                <w:bCs w:val="1"/>
                <w:color w:val="auto"/>
              </w:rPr>
              <w:t>POST RETIREMENT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0"/>
        </w:trPr>
        <w:tc>
          <w:tcPr>
            <w:tcW w:w="5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60" w:type="dxa"/>
            <w:vAlign w:val="bottom"/>
            <w:gridSpan w:val="4"/>
          </w:tcPr>
          <w:p>
            <w:pPr>
              <w:jc w:val="center"/>
              <w:ind w:left="150"/>
              <w:spacing w:after="0"/>
              <w:rPr>
                <w:sz w:val="20"/>
                <w:szCs w:val="20"/>
                <w:color w:val="auto"/>
              </w:rPr>
            </w:pPr>
            <w:r>
              <w:rPr>
                <w:rFonts w:ascii="Arial" w:cs="Arial" w:eastAsia="Arial" w:hAnsi="Arial"/>
                <w:sz w:val="18"/>
                <w:szCs w:val="18"/>
                <w:b w:val="1"/>
                <w:bCs w:val="1"/>
                <w:color w:val="auto"/>
              </w:rPr>
              <w:t>HEALTH BENEFITS</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5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60" w:type="dxa"/>
            <w:vAlign w:val="bottom"/>
            <w:gridSpan w:val="4"/>
          </w:tcPr>
          <w:p>
            <w:pPr>
              <w:jc w:val="center"/>
              <w:ind w:left="150"/>
              <w:spacing w:after="0"/>
              <w:rPr>
                <w:sz w:val="20"/>
                <w:szCs w:val="20"/>
                <w:color w:val="auto"/>
              </w:rPr>
            </w:pPr>
            <w:r>
              <w:rPr>
                <w:rFonts w:ascii="Arial" w:cs="Arial" w:eastAsia="Arial" w:hAnsi="Arial"/>
                <w:sz w:val="18"/>
                <w:szCs w:val="18"/>
                <w:color w:val="auto"/>
                <w:w w:val="90"/>
              </w:rPr>
              <w:t>Three Months Ended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October 31,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October 31,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5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2008</w:t>
            </w:r>
          </w:p>
        </w:tc>
        <w:tc>
          <w:tcPr>
            <w:tcW w:w="2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2007</w:t>
            </w:r>
          </w:p>
        </w:tc>
        <w:tc>
          <w:tcPr>
            <w:tcW w:w="2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37"/>
        </w:trPr>
        <w:tc>
          <w:tcPr>
            <w:tcW w:w="5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60" w:type="dxa"/>
            <w:vAlign w:val="bottom"/>
            <w:gridSpan w:val="4"/>
          </w:tcPr>
          <w:p>
            <w:pPr>
              <w:jc w:val="center"/>
              <w:ind w:left="150"/>
              <w:spacing w:after="0"/>
              <w:rPr>
                <w:sz w:val="20"/>
                <w:szCs w:val="20"/>
                <w:color w:val="auto"/>
              </w:rPr>
            </w:pPr>
            <w:r>
              <w:rPr>
                <w:rFonts w:ascii="Arial" w:cs="Arial" w:eastAsia="Arial" w:hAnsi="Arial"/>
                <w:sz w:val="18"/>
                <w:szCs w:val="18"/>
                <w:color w:val="auto"/>
                <w:w w:val="90"/>
              </w:rPr>
              <w:t>(dollars in thousands)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3"/>
        </w:trPr>
        <w:tc>
          <w:tcPr>
            <w:tcW w:w="5820" w:type="dxa"/>
            <w:vAlign w:val="bottom"/>
            <w:shd w:val="clear" w:color="auto" w:fill="CCFFCC"/>
          </w:tcPr>
          <w:p>
            <w:pPr>
              <w:spacing w:after="0"/>
              <w:rPr>
                <w:sz w:val="20"/>
                <w:szCs w:val="20"/>
                <w:color w:val="auto"/>
              </w:rPr>
            </w:pPr>
            <w:r>
              <w:rPr>
                <w:rFonts w:ascii="Arial" w:cs="Arial" w:eastAsia="Arial" w:hAnsi="Arial"/>
                <w:sz w:val="18"/>
                <w:szCs w:val="18"/>
                <w:color w:val="auto"/>
              </w:rPr>
              <w:t>Components of net periodic postretirement benefit cost</w:t>
            </w:r>
          </w:p>
        </w:tc>
        <w:tc>
          <w:tcPr>
            <w:tcW w:w="220" w:type="dxa"/>
            <w:vAlign w:val="bottom"/>
            <w:shd w:val="clear" w:color="auto" w:fill="CCFFCC"/>
          </w:tcPr>
          <w:p>
            <w:pPr>
              <w:spacing w:after="0"/>
              <w:rPr>
                <w:sz w:val="21"/>
                <w:szCs w:val="21"/>
                <w:color w:val="auto"/>
              </w:rPr>
            </w:pPr>
          </w:p>
        </w:tc>
        <w:tc>
          <w:tcPr>
            <w:tcW w:w="116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1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r>
      <w:tr>
        <w:trPr>
          <w:trHeight w:val="243"/>
        </w:trPr>
        <w:tc>
          <w:tcPr>
            <w:tcW w:w="5820" w:type="dxa"/>
            <w:vAlign w:val="bottom"/>
          </w:tcPr>
          <w:p>
            <w:pPr>
              <w:spacing w:after="0"/>
              <w:rPr>
                <w:sz w:val="20"/>
                <w:szCs w:val="20"/>
                <w:color w:val="auto"/>
              </w:rPr>
            </w:pPr>
            <w:r>
              <w:rPr>
                <w:rFonts w:ascii="Arial" w:cs="Arial" w:eastAsia="Arial" w:hAnsi="Arial"/>
                <w:sz w:val="18"/>
                <w:szCs w:val="18"/>
                <w:color w:val="auto"/>
              </w:rPr>
              <w:t>Service cost</w:t>
            </w:r>
          </w:p>
        </w:tc>
        <w:tc>
          <w:tcPr>
            <w:tcW w:w="1380" w:type="dxa"/>
            <w:vAlign w:val="bottom"/>
            <w:gridSpan w:val="2"/>
          </w:tcPr>
          <w:p>
            <w:pPr>
              <w:jc w:val="right"/>
              <w:ind w:right="97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89"/>
              </w:rPr>
              <w:t>16</w:t>
            </w:r>
          </w:p>
        </w:tc>
        <w:tc>
          <w:tcPr>
            <w:tcW w:w="220" w:type="dxa"/>
            <w:vAlign w:val="bottom"/>
          </w:tcPr>
          <w:p>
            <w:pPr>
              <w:spacing w:after="0"/>
              <w:rPr>
                <w:sz w:val="21"/>
                <w:szCs w:val="21"/>
                <w:color w:val="auto"/>
              </w:rPr>
            </w:pPr>
          </w:p>
        </w:tc>
        <w:tc>
          <w:tcPr>
            <w:tcW w:w="1180" w:type="dxa"/>
            <w:vAlign w:val="bottom"/>
          </w:tcPr>
          <w:p>
            <w:pPr>
              <w:jc w:val="right"/>
              <w:ind w:right="990"/>
              <w:spacing w:after="0"/>
              <w:rPr>
                <w:sz w:val="20"/>
                <w:szCs w:val="20"/>
                <w:color w:val="auto"/>
              </w:rPr>
            </w:pPr>
            <w:r>
              <w:rPr>
                <w:rFonts w:ascii="Arial" w:cs="Arial" w:eastAsia="Arial" w:hAnsi="Arial"/>
                <w:sz w:val="18"/>
                <w:szCs w:val="18"/>
                <w:color w:val="auto"/>
                <w:w w:val="79"/>
              </w:rPr>
              <w:t>$</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17</w:t>
            </w:r>
          </w:p>
        </w:tc>
      </w:tr>
      <w:tr>
        <w:trPr>
          <w:trHeight w:val="243"/>
        </w:trPr>
        <w:tc>
          <w:tcPr>
            <w:tcW w:w="5820" w:type="dxa"/>
            <w:vAlign w:val="bottom"/>
            <w:shd w:val="clear" w:color="auto" w:fill="CCFFCC"/>
          </w:tcPr>
          <w:p>
            <w:pPr>
              <w:spacing w:after="0"/>
              <w:rPr>
                <w:sz w:val="20"/>
                <w:szCs w:val="20"/>
                <w:color w:val="auto"/>
              </w:rPr>
            </w:pPr>
            <w:r>
              <w:rPr>
                <w:rFonts w:ascii="Arial" w:cs="Arial" w:eastAsia="Arial" w:hAnsi="Arial"/>
                <w:sz w:val="18"/>
                <w:szCs w:val="18"/>
                <w:color w:val="auto"/>
              </w:rPr>
              <w:t>Interest cost</w:t>
            </w:r>
          </w:p>
        </w:tc>
        <w:tc>
          <w:tcPr>
            <w:tcW w:w="220" w:type="dxa"/>
            <w:vAlign w:val="bottom"/>
            <w:shd w:val="clear" w:color="auto" w:fill="CCFFCC"/>
          </w:tcPr>
          <w:p>
            <w:pPr>
              <w:spacing w:after="0"/>
              <w:rPr>
                <w:sz w:val="21"/>
                <w:szCs w:val="21"/>
                <w:color w:val="auto"/>
              </w:rPr>
            </w:pPr>
          </w:p>
        </w:tc>
        <w:tc>
          <w:tcPr>
            <w:tcW w:w="1160" w:type="dxa"/>
            <w:vAlign w:val="bottom"/>
            <w:shd w:val="clear" w:color="auto" w:fill="CCFFCC"/>
          </w:tcPr>
          <w:p>
            <w:pPr>
              <w:spacing w:after="0"/>
              <w:rPr>
                <w:sz w:val="21"/>
                <w:szCs w:val="21"/>
                <w:color w:val="auto"/>
              </w:rPr>
            </w:pPr>
          </w:p>
        </w:tc>
        <w:tc>
          <w:tcPr>
            <w:tcW w:w="2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89"/>
              </w:rPr>
              <w:t>23</w:t>
            </w:r>
          </w:p>
        </w:tc>
        <w:tc>
          <w:tcPr>
            <w:tcW w:w="220" w:type="dxa"/>
            <w:vAlign w:val="bottom"/>
            <w:shd w:val="clear" w:color="auto" w:fill="CCFFCC"/>
          </w:tcPr>
          <w:p>
            <w:pPr>
              <w:spacing w:after="0"/>
              <w:rPr>
                <w:sz w:val="21"/>
                <w:szCs w:val="21"/>
                <w:color w:val="auto"/>
              </w:rPr>
            </w:pPr>
          </w:p>
        </w:tc>
        <w:tc>
          <w:tcPr>
            <w:tcW w:w="1180" w:type="dxa"/>
            <w:vAlign w:val="bottom"/>
            <w:shd w:val="clear" w:color="auto" w:fill="CCFFCC"/>
          </w:tcPr>
          <w:p>
            <w:pPr>
              <w:spacing w:after="0"/>
              <w:rPr>
                <w:sz w:val="21"/>
                <w:szCs w:val="21"/>
                <w:color w:val="auto"/>
              </w:rPr>
            </w:pPr>
          </w:p>
        </w:tc>
        <w:tc>
          <w:tcPr>
            <w:tcW w:w="3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w w:val="99"/>
              </w:rPr>
              <w:t>18</w:t>
            </w:r>
          </w:p>
        </w:tc>
      </w:tr>
      <w:tr>
        <w:trPr>
          <w:trHeight w:val="243"/>
        </w:trPr>
        <w:tc>
          <w:tcPr>
            <w:tcW w:w="5820" w:type="dxa"/>
            <w:vAlign w:val="bottom"/>
          </w:tcPr>
          <w:p>
            <w:pPr>
              <w:spacing w:after="0"/>
              <w:rPr>
                <w:sz w:val="20"/>
                <w:szCs w:val="20"/>
                <w:color w:val="auto"/>
              </w:rPr>
            </w:pPr>
            <w:r>
              <w:rPr>
                <w:rFonts w:ascii="Arial" w:cs="Arial" w:eastAsia="Arial" w:hAnsi="Arial"/>
                <w:sz w:val="18"/>
                <w:szCs w:val="18"/>
                <w:color w:val="auto"/>
              </w:rPr>
              <w:t>Amortization of net transition obligation</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r>
      <w:tr>
        <w:trPr>
          <w:trHeight w:val="243"/>
        </w:trPr>
        <w:tc>
          <w:tcPr>
            <w:tcW w:w="5820" w:type="dxa"/>
            <w:vAlign w:val="bottom"/>
            <w:shd w:val="clear" w:color="auto" w:fill="CCFFCC"/>
          </w:tcPr>
          <w:p>
            <w:pPr>
              <w:spacing w:after="0"/>
              <w:rPr>
                <w:sz w:val="20"/>
                <w:szCs w:val="20"/>
                <w:color w:val="auto"/>
              </w:rPr>
            </w:pPr>
            <w:r>
              <w:rPr>
                <w:rFonts w:ascii="Arial" w:cs="Arial" w:eastAsia="Arial" w:hAnsi="Arial"/>
                <w:sz w:val="18"/>
                <w:szCs w:val="18"/>
                <w:color w:val="auto"/>
              </w:rPr>
              <w:t>Net actuarial loss</w:t>
            </w:r>
          </w:p>
        </w:tc>
        <w:tc>
          <w:tcPr>
            <w:tcW w:w="220" w:type="dxa"/>
            <w:vAlign w:val="bottom"/>
            <w:shd w:val="clear" w:color="auto" w:fill="CCFFCC"/>
          </w:tcPr>
          <w:p>
            <w:pPr>
              <w:spacing w:after="0"/>
              <w:rPr>
                <w:sz w:val="21"/>
                <w:szCs w:val="21"/>
                <w:color w:val="auto"/>
              </w:rPr>
            </w:pPr>
          </w:p>
        </w:tc>
        <w:tc>
          <w:tcPr>
            <w:tcW w:w="1160" w:type="dxa"/>
            <w:vAlign w:val="bottom"/>
            <w:shd w:val="clear" w:color="auto" w:fill="CCFFCC"/>
          </w:tcPr>
          <w:p>
            <w:pPr>
              <w:spacing w:after="0"/>
              <w:rPr>
                <w:sz w:val="21"/>
                <w:szCs w:val="21"/>
                <w:color w:val="auto"/>
              </w:rPr>
            </w:pPr>
          </w:p>
        </w:tc>
        <w:tc>
          <w:tcPr>
            <w:tcW w:w="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FFCC"/>
          </w:tcPr>
          <w:p>
            <w:pPr>
              <w:spacing w:after="0"/>
              <w:rPr>
                <w:sz w:val="21"/>
                <w:szCs w:val="21"/>
                <w:color w:val="auto"/>
              </w:rPr>
            </w:pPr>
          </w:p>
        </w:tc>
        <w:tc>
          <w:tcPr>
            <w:tcW w:w="1180" w:type="dxa"/>
            <w:vAlign w:val="bottom"/>
            <w:shd w:val="clear" w:color="auto" w:fill="CCFFCC"/>
          </w:tcPr>
          <w:p>
            <w:pPr>
              <w:spacing w:after="0"/>
              <w:rPr>
                <w:sz w:val="21"/>
                <w:szCs w:val="21"/>
                <w:color w:val="auto"/>
              </w:rPr>
            </w:pPr>
          </w:p>
        </w:tc>
        <w:tc>
          <w:tcPr>
            <w:tcW w:w="3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w:t>
            </w:r>
          </w:p>
        </w:tc>
      </w:tr>
      <w:tr>
        <w:trPr>
          <w:trHeight w:val="20"/>
        </w:trPr>
        <w:tc>
          <w:tcPr>
            <w:tcW w:w="582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r>
      <w:tr>
        <w:trPr>
          <w:trHeight w:val="237"/>
        </w:trPr>
        <w:tc>
          <w:tcPr>
            <w:tcW w:w="5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970"/>
              <w:spacing w:after="0"/>
              <w:rPr>
                <w:sz w:val="20"/>
                <w:szCs w:val="20"/>
                <w:color w:val="auto"/>
              </w:rPr>
            </w:pPr>
            <w:r>
              <w:rPr>
                <w:rFonts w:ascii="Arial" w:cs="Arial" w:eastAsia="Arial" w:hAnsi="Arial"/>
                <w:sz w:val="18"/>
                <w:szCs w:val="18"/>
                <w:color w:val="auto"/>
                <w:w w:val="79"/>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89"/>
              </w:rPr>
              <w:t>46</w:t>
            </w:r>
          </w:p>
        </w:tc>
        <w:tc>
          <w:tcPr>
            <w:tcW w:w="220" w:type="dxa"/>
            <w:vAlign w:val="bottom"/>
          </w:tcPr>
          <w:p>
            <w:pPr>
              <w:spacing w:after="0"/>
              <w:rPr>
                <w:sz w:val="20"/>
                <w:szCs w:val="20"/>
                <w:color w:val="auto"/>
              </w:rPr>
            </w:pPr>
          </w:p>
        </w:tc>
        <w:tc>
          <w:tcPr>
            <w:tcW w:w="1180" w:type="dxa"/>
            <w:vAlign w:val="bottom"/>
          </w:tcPr>
          <w:p>
            <w:pPr>
              <w:jc w:val="right"/>
              <w:ind w:right="990"/>
              <w:spacing w:after="0"/>
              <w:rPr>
                <w:sz w:val="20"/>
                <w:szCs w:val="20"/>
                <w:color w:val="auto"/>
              </w:rPr>
            </w:pPr>
            <w:r>
              <w:rPr>
                <w:rFonts w:ascii="Arial" w:cs="Arial" w:eastAsia="Arial" w:hAnsi="Arial"/>
                <w:sz w:val="18"/>
                <w:szCs w:val="18"/>
                <w:color w:val="auto"/>
                <w:w w:val="79"/>
              </w:rPr>
              <w:t>$</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46</w:t>
            </w:r>
          </w:p>
        </w:tc>
      </w:tr>
      <w:tr>
        <w:trPr>
          <w:trHeight w:val="20"/>
        </w:trPr>
        <w:tc>
          <w:tcPr>
            <w:tcW w:w="5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Our plan covering postretirement health benefits is an unfunded plan.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Assumptions used in the previous calculations were as follows:</w:t>
            </w: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68"/>
        </w:trPr>
        <w:tc>
          <w:tcPr>
            <w:tcW w:w="5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80" w:type="dxa"/>
            <w:vAlign w:val="bottom"/>
            <w:gridSpan w:val="4"/>
          </w:tcPr>
          <w:p>
            <w:pPr>
              <w:ind w:left="580"/>
              <w:spacing w:after="0"/>
              <w:rPr>
                <w:sz w:val="20"/>
                <w:szCs w:val="20"/>
                <w:color w:val="auto"/>
              </w:rPr>
            </w:pPr>
            <w:r>
              <w:rPr>
                <w:rFonts w:ascii="Arial" w:cs="Arial" w:eastAsia="Arial" w:hAnsi="Arial"/>
                <w:sz w:val="18"/>
                <w:szCs w:val="18"/>
                <w:b w:val="1"/>
                <w:bCs w:val="1"/>
                <w:color w:val="auto"/>
              </w:rPr>
              <w:t>POST RETIREMENT</w:t>
            </w:r>
          </w:p>
        </w:tc>
      </w:tr>
      <w:tr>
        <w:trPr>
          <w:trHeight w:val="234"/>
        </w:trPr>
        <w:tc>
          <w:tcPr>
            <w:tcW w:w="5160" w:type="dxa"/>
            <w:vAlign w:val="bottom"/>
          </w:tcPr>
          <w:p>
            <w:pPr>
              <w:spacing w:after="0"/>
              <w:rPr>
                <w:sz w:val="20"/>
                <w:szCs w:val="20"/>
                <w:color w:val="auto"/>
              </w:rPr>
            </w:pPr>
          </w:p>
        </w:tc>
        <w:tc>
          <w:tcPr>
            <w:tcW w:w="2960" w:type="dxa"/>
            <w:vAlign w:val="bottom"/>
            <w:tcBorders>
              <w:bottom w:val="single" w:sz="8" w:color="auto"/>
            </w:tcBorders>
            <w:gridSpan w:val="3"/>
          </w:tcPr>
          <w:p>
            <w:pPr>
              <w:ind w:left="820"/>
              <w:spacing w:after="0"/>
              <w:rPr>
                <w:sz w:val="20"/>
                <w:szCs w:val="20"/>
                <w:color w:val="auto"/>
              </w:rPr>
            </w:pPr>
            <w:r>
              <w:rPr>
                <w:rFonts w:ascii="Arial" w:cs="Arial" w:eastAsia="Arial" w:hAnsi="Arial"/>
                <w:sz w:val="18"/>
                <w:szCs w:val="18"/>
                <w:b w:val="1"/>
                <w:bCs w:val="1"/>
                <w:color w:val="auto"/>
              </w:rPr>
              <w:t>PENSION PLAN</w:t>
            </w:r>
          </w:p>
        </w:tc>
        <w:tc>
          <w:tcPr>
            <w:tcW w:w="220" w:type="dxa"/>
            <w:vAlign w:val="bottom"/>
          </w:tcPr>
          <w:p>
            <w:pPr>
              <w:spacing w:after="0"/>
              <w:rPr>
                <w:sz w:val="20"/>
                <w:szCs w:val="20"/>
                <w:color w:val="auto"/>
              </w:rPr>
            </w:pPr>
          </w:p>
        </w:tc>
        <w:tc>
          <w:tcPr>
            <w:tcW w:w="2920" w:type="dxa"/>
            <w:vAlign w:val="bottom"/>
            <w:tcBorders>
              <w:bottom w:val="single" w:sz="8" w:color="auto"/>
            </w:tcBorders>
            <w:gridSpan w:val="3"/>
          </w:tcPr>
          <w:p>
            <w:pPr>
              <w:ind w:left="600"/>
              <w:spacing w:after="0"/>
              <w:rPr>
                <w:sz w:val="20"/>
                <w:szCs w:val="20"/>
                <w:color w:val="auto"/>
              </w:rPr>
            </w:pPr>
            <w:r>
              <w:rPr>
                <w:rFonts w:ascii="Arial" w:cs="Arial" w:eastAsia="Arial" w:hAnsi="Arial"/>
                <w:sz w:val="18"/>
                <w:szCs w:val="18"/>
                <w:b w:val="1"/>
                <w:bCs w:val="1"/>
                <w:color w:val="auto"/>
              </w:rPr>
              <w:t>HEALTH BENEFITS</w:t>
            </w:r>
          </w:p>
        </w:tc>
        <w:tc>
          <w:tcPr>
            <w:tcW w:w="160" w:type="dxa"/>
            <w:vAlign w:val="bottom"/>
          </w:tcPr>
          <w:p>
            <w:pPr>
              <w:spacing w:after="0"/>
              <w:rPr>
                <w:sz w:val="20"/>
                <w:szCs w:val="20"/>
                <w:color w:val="auto"/>
              </w:rPr>
            </w:pPr>
          </w:p>
        </w:tc>
      </w:tr>
      <w:tr>
        <w:trPr>
          <w:trHeight w:val="222"/>
        </w:trPr>
        <w:tc>
          <w:tcPr>
            <w:tcW w:w="5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140" w:type="dxa"/>
            <w:vAlign w:val="bottom"/>
            <w:gridSpan w:val="4"/>
          </w:tcPr>
          <w:p>
            <w:pPr>
              <w:jc w:val="right"/>
              <w:ind w:right="820"/>
              <w:spacing w:after="0"/>
              <w:rPr>
                <w:sz w:val="20"/>
                <w:szCs w:val="20"/>
                <w:color w:val="auto"/>
              </w:rPr>
            </w:pPr>
            <w:r>
              <w:rPr>
                <w:rFonts w:ascii="Arial" w:cs="Arial" w:eastAsia="Arial" w:hAnsi="Arial"/>
                <w:sz w:val="18"/>
                <w:szCs w:val="18"/>
                <w:color w:val="auto"/>
              </w:rPr>
              <w:t>For three months ended:</w:t>
            </w: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16"/>
        </w:trPr>
        <w:tc>
          <w:tcPr>
            <w:tcW w:w="5160" w:type="dxa"/>
            <w:vAlign w:val="bottom"/>
          </w:tcPr>
          <w:p>
            <w:pPr>
              <w:spacing w:after="0"/>
              <w:rPr>
                <w:sz w:val="18"/>
                <w:szCs w:val="18"/>
                <w:color w:val="auto"/>
              </w:rPr>
            </w:pPr>
          </w:p>
        </w:tc>
        <w:tc>
          <w:tcPr>
            <w:tcW w:w="1600" w:type="dxa"/>
            <w:vAlign w:val="bottom"/>
            <w:gridSpan w:val="2"/>
          </w:tcPr>
          <w:p>
            <w:pPr>
              <w:jc w:val="right"/>
              <w:ind w:right="500"/>
              <w:spacing w:after="0"/>
              <w:rPr>
                <w:sz w:val="20"/>
                <w:szCs w:val="20"/>
                <w:color w:val="auto"/>
              </w:rPr>
            </w:pPr>
            <w:r>
              <w:rPr>
                <w:rFonts w:ascii="Arial" w:cs="Arial" w:eastAsia="Arial" w:hAnsi="Arial"/>
                <w:sz w:val="18"/>
                <w:szCs w:val="18"/>
                <w:color w:val="auto"/>
              </w:rPr>
              <w:t>October 31,</w:t>
            </w: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October 31,</w:t>
            </w:r>
          </w:p>
        </w:tc>
        <w:tc>
          <w:tcPr>
            <w:tcW w:w="1560" w:type="dxa"/>
            <w:vAlign w:val="bottom"/>
            <w:gridSpan w:val="2"/>
          </w:tcPr>
          <w:p>
            <w:pPr>
              <w:ind w:left="260"/>
              <w:spacing w:after="0"/>
              <w:rPr>
                <w:sz w:val="20"/>
                <w:szCs w:val="20"/>
                <w:color w:val="auto"/>
              </w:rPr>
            </w:pPr>
            <w:r>
              <w:rPr>
                <w:rFonts w:ascii="Arial" w:cs="Arial" w:eastAsia="Arial" w:hAnsi="Arial"/>
                <w:sz w:val="18"/>
                <w:szCs w:val="18"/>
                <w:color w:val="auto"/>
              </w:rPr>
              <w:t>October 31,</w:t>
            </w:r>
          </w:p>
        </w:tc>
        <w:tc>
          <w:tcPr>
            <w:tcW w:w="1520" w:type="dxa"/>
            <w:vAlign w:val="bottom"/>
            <w:gridSpan w:val="2"/>
          </w:tcPr>
          <w:p>
            <w:pPr>
              <w:jc w:val="right"/>
              <w:ind w:right="420"/>
              <w:spacing w:after="0"/>
              <w:rPr>
                <w:sz w:val="20"/>
                <w:szCs w:val="20"/>
                <w:color w:val="auto"/>
              </w:rPr>
            </w:pPr>
            <w:r>
              <w:rPr>
                <w:rFonts w:ascii="Arial" w:cs="Arial" w:eastAsia="Arial" w:hAnsi="Arial"/>
                <w:sz w:val="18"/>
                <w:szCs w:val="18"/>
                <w:color w:val="auto"/>
              </w:rPr>
              <w:t>October 31,</w:t>
            </w:r>
          </w:p>
        </w:tc>
      </w:tr>
      <w:tr>
        <w:trPr>
          <w:trHeight w:val="230"/>
        </w:trPr>
        <w:tc>
          <w:tcPr>
            <w:tcW w:w="5160" w:type="dxa"/>
            <w:vAlign w:val="bottom"/>
          </w:tcPr>
          <w:p>
            <w:pPr>
              <w:spacing w:after="0"/>
              <w:rPr>
                <w:sz w:val="20"/>
                <w:szCs w:val="20"/>
                <w:color w:val="auto"/>
              </w:rPr>
            </w:pP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2008</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2007</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2008</w:t>
            </w:r>
          </w:p>
        </w:tc>
        <w:tc>
          <w:tcPr>
            <w:tcW w:w="200" w:type="dxa"/>
            <w:vAlign w:val="bottom"/>
          </w:tcPr>
          <w:p>
            <w:pPr>
              <w:spacing w:after="0"/>
              <w:rPr>
                <w:sz w:val="20"/>
                <w:szCs w:val="20"/>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2007</w:t>
            </w:r>
          </w:p>
        </w:tc>
        <w:tc>
          <w:tcPr>
            <w:tcW w:w="160" w:type="dxa"/>
            <w:vAlign w:val="bottom"/>
          </w:tcPr>
          <w:p>
            <w:pPr>
              <w:spacing w:after="0"/>
              <w:rPr>
                <w:sz w:val="20"/>
                <w:szCs w:val="20"/>
                <w:color w:val="auto"/>
              </w:rPr>
            </w:pPr>
          </w:p>
        </w:tc>
      </w:tr>
      <w:tr>
        <w:trPr>
          <w:trHeight w:val="237"/>
        </w:trPr>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rPr>
              <w:t>Discount rate for net periodic benefit cost</w:t>
            </w:r>
          </w:p>
        </w:tc>
        <w:tc>
          <w:tcPr>
            <w:tcW w:w="16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7.00%</w:t>
            </w:r>
          </w:p>
        </w:tc>
        <w:tc>
          <w:tcPr>
            <w:tcW w:w="15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6.25%</w:t>
            </w:r>
          </w:p>
        </w:tc>
        <w:tc>
          <w:tcPr>
            <w:tcW w:w="15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7.00%</w:t>
            </w:r>
          </w:p>
        </w:tc>
        <w:tc>
          <w:tcPr>
            <w:tcW w:w="15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6.25%</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Rate of increase in compensation levels</w:t>
            </w: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4.00%</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4.00%</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rPr>
              <w:t>Long-term expected rate of return on assets</w:t>
            </w:r>
          </w:p>
        </w:tc>
        <w:tc>
          <w:tcPr>
            <w:tcW w:w="16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7.50%</w:t>
            </w:r>
          </w:p>
        </w:tc>
        <w:tc>
          <w:tcPr>
            <w:tcW w:w="15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8.00%</w:t>
            </w:r>
          </w:p>
        </w:tc>
        <w:tc>
          <w:tcPr>
            <w:tcW w:w="15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Measurement date</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7/31/2008</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7/31/2007</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7/31/2008</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7/31/2007</w:t>
            </w:r>
          </w:p>
        </w:tc>
      </w:tr>
      <w:tr>
        <w:trPr>
          <w:trHeight w:val="243"/>
        </w:trPr>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rPr>
              <w:t>Census date</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8/1/2007</w:t>
            </w:r>
          </w:p>
        </w:tc>
        <w:tc>
          <w:tcPr>
            <w:tcW w:w="15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8/1/2006</w:t>
            </w:r>
          </w:p>
        </w:tc>
        <w:tc>
          <w:tcPr>
            <w:tcW w:w="15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8/1/2007</w:t>
            </w:r>
          </w:p>
        </w:tc>
        <w:tc>
          <w:tcPr>
            <w:tcW w:w="15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8/1/2006</w:t>
            </w: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medical cost trend assumption for postretirement health benefits was a graded rate starting at 10% and decreasing to an ultimate rate of 5% in 1% annual increments.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7.SEGMENT REPORTING</w:t>
      </w:r>
    </w:p>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SFAS No. 131, </w:t>
      </w:r>
      <w:r>
        <w:rPr>
          <w:rFonts w:ascii="Arial" w:cs="Arial" w:eastAsia="Arial" w:hAnsi="Arial"/>
          <w:sz w:val="18"/>
          <w:szCs w:val="18"/>
          <w:i w:val="1"/>
          <w:iCs w:val="1"/>
          <w:color w:val="auto"/>
        </w:rPr>
        <w:t>Disclosures About Segments of an Enterprise and Related Information</w:t>
      </w:r>
      <w:r>
        <w:rPr>
          <w:rFonts w:ascii="Arial" w:cs="Arial" w:eastAsia="Arial" w:hAnsi="Arial"/>
          <w:sz w:val="18"/>
          <w:szCs w:val="18"/>
          <w:color w:val="auto"/>
        </w:rPr>
        <w:t xml:space="preserve"> establishes standards for reporting information about operating segments. Under this standard, we have two reportable operating segments: Retail and Wholesale Products and Business to Business Products. These segments are managed separately because each business has different customer characteristics. Net sales and operating income for each segment are provided below. Revenues by product line are not provided because it would be impracticable to do so.</w:t>
      </w:r>
    </w:p>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accounting policies of the segments are the same as those described in Note 1 of the consolidated financial statements included in our Annual Report on Form 10-K for the fiscal year ended July 31, 2008 filed with the Securities and Exchange Commission.</w:t>
      </w:r>
    </w:p>
    <w:p>
      <w:pPr>
        <w:spacing w:after="0" w:line="2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Management does not rely on any segment asset allocations and does not consider them meaningful because of the shared nature of our production facilities; however, we have estimated the segment asset allocations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65"/>
              <w:spacing w:after="0"/>
              <w:rPr>
                <w:sz w:val="20"/>
                <w:szCs w:val="20"/>
                <w:color w:val="auto"/>
              </w:rPr>
            </w:pPr>
            <w:r>
              <w:rPr>
                <w:rFonts w:ascii="Arial" w:cs="Arial" w:eastAsia="Arial" w:hAnsi="Arial"/>
                <w:sz w:val="18"/>
                <w:szCs w:val="18"/>
                <w:b w:val="1"/>
                <w:bCs w:val="1"/>
                <w:color w:val="auto"/>
              </w:rPr>
              <w:t>Assets</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64"/>
        </w:trPr>
        <w:tc>
          <w:tcPr>
            <w:tcW w:w="49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gridSpan w:val="2"/>
          </w:tcPr>
          <w:p>
            <w:pPr>
              <w:ind w:left="80"/>
              <w:spacing w:after="0"/>
              <w:rPr>
                <w:sz w:val="20"/>
                <w:szCs w:val="20"/>
                <w:color w:val="auto"/>
              </w:rPr>
            </w:pPr>
            <w:r>
              <w:rPr>
                <w:rFonts w:ascii="Arial" w:cs="Arial" w:eastAsia="Arial" w:hAnsi="Arial"/>
                <w:sz w:val="18"/>
                <w:szCs w:val="18"/>
                <w:b w:val="1"/>
                <w:bCs w:val="1"/>
                <w:color w:val="auto"/>
              </w:rPr>
              <w:t>October 31,</w:t>
            </w:r>
          </w:p>
        </w:tc>
        <w:tc>
          <w:tcPr>
            <w:tcW w:w="260" w:type="dxa"/>
            <w:vAlign w:val="bottom"/>
          </w:tcPr>
          <w:p>
            <w:pPr>
              <w:spacing w:after="0"/>
              <w:rPr>
                <w:sz w:val="22"/>
                <w:szCs w:val="22"/>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July 31,</w:t>
            </w:r>
          </w:p>
        </w:tc>
      </w:tr>
      <w:tr>
        <w:trPr>
          <w:trHeight w:val="264"/>
        </w:trPr>
        <w:tc>
          <w:tcPr>
            <w:tcW w:w="490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2008</w:t>
            </w:r>
          </w:p>
        </w:tc>
        <w:tc>
          <w:tcPr>
            <w:tcW w:w="22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2"/>
                <w:szCs w:val="22"/>
                <w:color w:val="auto"/>
              </w:rPr>
            </w:pPr>
          </w:p>
        </w:tc>
      </w:tr>
      <w:tr>
        <w:trPr>
          <w:trHeight w:val="237"/>
        </w:trPr>
        <w:tc>
          <w:tcPr>
            <w:tcW w:w="4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20" w:type="dxa"/>
            <w:vAlign w:val="bottom"/>
            <w:gridSpan w:val="5"/>
          </w:tcPr>
          <w:p>
            <w:pPr>
              <w:jc w:val="right"/>
              <w:ind w:right="1040"/>
              <w:spacing w:after="0"/>
              <w:rPr>
                <w:sz w:val="20"/>
                <w:szCs w:val="20"/>
                <w:color w:val="auto"/>
              </w:rPr>
            </w:pPr>
            <w:r>
              <w:rPr>
                <w:rFonts w:ascii="Arial" w:cs="Arial" w:eastAsia="Arial" w:hAnsi="Arial"/>
                <w:sz w:val="18"/>
                <w:szCs w:val="18"/>
                <w:b w:val="1"/>
                <w:bCs w:val="1"/>
                <w:color w:val="auto"/>
              </w:rPr>
              <w:t>(in thousands)</w:t>
            </w:r>
          </w:p>
        </w:tc>
      </w:tr>
      <w:tr>
        <w:trPr>
          <w:trHeight w:val="243"/>
        </w:trPr>
        <w:tc>
          <w:tcPr>
            <w:tcW w:w="49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Business to Business Products</w:t>
            </w:r>
          </w:p>
        </w:tc>
        <w:tc>
          <w:tcPr>
            <w:tcW w:w="160" w:type="dxa"/>
            <w:vAlign w:val="bottom"/>
            <w:shd w:val="clear" w:color="auto" w:fill="CCFFCC"/>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39,855</w:t>
            </w:r>
          </w:p>
        </w:tc>
        <w:tc>
          <w:tcPr>
            <w:tcW w:w="220" w:type="dxa"/>
            <w:vAlign w:val="bottom"/>
            <w:shd w:val="clear" w:color="auto" w:fill="CCFFCC"/>
          </w:tcPr>
          <w:p>
            <w:pPr>
              <w:spacing w:after="0"/>
              <w:rPr>
                <w:sz w:val="21"/>
                <w:szCs w:val="21"/>
                <w:color w:val="auto"/>
              </w:rPr>
            </w:pPr>
          </w:p>
        </w:tc>
        <w:tc>
          <w:tcPr>
            <w:tcW w:w="260" w:type="dxa"/>
            <w:vAlign w:val="bottom"/>
            <w:shd w:val="clear" w:color="auto" w:fill="CCFFCC"/>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38,026</w:t>
            </w:r>
          </w:p>
        </w:tc>
      </w:tr>
      <w:tr>
        <w:trPr>
          <w:trHeight w:val="243"/>
        </w:trPr>
        <w:tc>
          <w:tcPr>
            <w:tcW w:w="4900" w:type="dxa"/>
            <w:vAlign w:val="bottom"/>
          </w:tcPr>
          <w:p>
            <w:pPr>
              <w:spacing w:after="0"/>
              <w:rPr>
                <w:sz w:val="20"/>
                <w:szCs w:val="20"/>
                <w:color w:val="auto"/>
              </w:rPr>
            </w:pPr>
            <w:r>
              <w:rPr>
                <w:rFonts w:ascii="Arial" w:cs="Arial" w:eastAsia="Arial" w:hAnsi="Arial"/>
                <w:sz w:val="18"/>
                <w:szCs w:val="18"/>
                <w:b w:val="1"/>
                <w:bCs w:val="1"/>
                <w:color w:val="auto"/>
              </w:rPr>
              <w:t>Retail and Wholesale Products</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67,315</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66,838</w:t>
            </w:r>
          </w:p>
        </w:tc>
      </w:tr>
      <w:tr>
        <w:trPr>
          <w:trHeight w:val="243"/>
        </w:trPr>
        <w:tc>
          <w:tcPr>
            <w:tcW w:w="49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Unallocated Assets</w:t>
            </w:r>
          </w:p>
        </w:tc>
        <w:tc>
          <w:tcPr>
            <w:tcW w:w="160" w:type="dxa"/>
            <w:vAlign w:val="bottom"/>
            <w:shd w:val="clear" w:color="auto" w:fill="CCFFCC"/>
          </w:tcPr>
          <w:p>
            <w:pPr>
              <w:spacing w:after="0"/>
              <w:rPr>
                <w:sz w:val="21"/>
                <w:szCs w:val="21"/>
                <w:color w:val="auto"/>
              </w:rPr>
            </w:pP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35,972</w:t>
            </w:r>
          </w:p>
        </w:tc>
        <w:tc>
          <w:tcPr>
            <w:tcW w:w="220" w:type="dxa"/>
            <w:vAlign w:val="bottom"/>
            <w:shd w:val="clear" w:color="auto" w:fill="CCFFCC"/>
          </w:tcPr>
          <w:p>
            <w:pPr>
              <w:spacing w:after="0"/>
              <w:rPr>
                <w:sz w:val="21"/>
                <w:szCs w:val="21"/>
                <w:color w:val="auto"/>
              </w:rPr>
            </w:pPr>
          </w:p>
        </w:tc>
        <w:tc>
          <w:tcPr>
            <w:tcW w:w="260" w:type="dxa"/>
            <w:vAlign w:val="bottom"/>
            <w:shd w:val="clear" w:color="auto" w:fill="CCFFCC"/>
          </w:tcPr>
          <w:p>
            <w:pPr>
              <w:spacing w:after="0"/>
              <w:rPr>
                <w:sz w:val="21"/>
                <w:szCs w:val="21"/>
                <w:color w:val="auto"/>
              </w:rPr>
            </w:pP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44,124</w:t>
            </w:r>
          </w:p>
        </w:tc>
      </w:tr>
      <w:tr>
        <w:trPr>
          <w:trHeight w:val="20"/>
        </w:trPr>
        <w:tc>
          <w:tcPr>
            <w:tcW w:w="4900" w:type="dxa"/>
            <w:vAlign w:val="bottom"/>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237"/>
        </w:trPr>
        <w:tc>
          <w:tcPr>
            <w:tcW w:w="490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143,142</w:t>
            </w:r>
          </w:p>
        </w:tc>
        <w:tc>
          <w:tcPr>
            <w:tcW w:w="220" w:type="dxa"/>
            <w:vAlign w:val="bottom"/>
          </w:tcPr>
          <w:p>
            <w:pPr>
              <w:spacing w:after="0"/>
              <w:rPr>
                <w:sz w:val="20"/>
                <w:szCs w:val="20"/>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148,988</w:t>
            </w:r>
          </w:p>
        </w:tc>
      </w:tr>
      <w:tr>
        <w:trPr>
          <w:trHeight w:val="20"/>
        </w:trPr>
        <w:tc>
          <w:tcPr>
            <w:tcW w:w="4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6"/>
          </w:tcPr>
          <w:p>
            <w:pPr>
              <w:jc w:val="right"/>
              <w:ind w:right="440"/>
              <w:spacing w:after="0"/>
              <w:rPr>
                <w:sz w:val="20"/>
                <w:szCs w:val="20"/>
                <w:color w:val="auto"/>
              </w:rPr>
            </w:pPr>
            <w:r>
              <w:rPr>
                <w:rFonts w:ascii="Arial" w:cs="Arial" w:eastAsia="Arial" w:hAnsi="Arial"/>
                <w:sz w:val="18"/>
                <w:szCs w:val="18"/>
                <w:b w:val="1"/>
                <w:bCs w:val="1"/>
                <w:color w:val="auto"/>
                <w:w w:val="92"/>
              </w:rPr>
              <w:t>Three Months Ended October 31,</w:t>
            </w: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gridSpan w:val="4"/>
          </w:tcPr>
          <w:p>
            <w:pPr>
              <w:ind w:left="1020"/>
              <w:spacing w:after="0"/>
              <w:rPr>
                <w:sz w:val="20"/>
                <w:szCs w:val="20"/>
                <w:color w:val="auto"/>
              </w:rPr>
            </w:pPr>
            <w:r>
              <w:rPr>
                <w:rFonts w:ascii="Arial" w:cs="Arial" w:eastAsia="Arial" w:hAnsi="Arial"/>
                <w:sz w:val="18"/>
                <w:szCs w:val="18"/>
                <w:b w:val="1"/>
                <w:bCs w:val="1"/>
                <w:color w:val="auto"/>
              </w:rPr>
              <w:t>Net Sales</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Operating Income</w:t>
            </w:r>
          </w:p>
        </w:tc>
      </w:tr>
      <w:tr>
        <w:trPr>
          <w:trHeight w:val="237"/>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2008</w:t>
            </w:r>
          </w:p>
        </w:tc>
        <w:tc>
          <w:tcPr>
            <w:tcW w:w="220" w:type="dxa"/>
            <w:vAlign w:val="bottom"/>
            <w:tcBorders>
              <w:top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2007</w:t>
            </w:r>
          </w:p>
        </w:tc>
        <w:tc>
          <w:tcPr>
            <w:tcW w:w="220" w:type="dxa"/>
            <w:vAlign w:val="bottom"/>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9"/>
              </w:rPr>
              <w:t>2008</w:t>
            </w:r>
          </w:p>
        </w:tc>
        <w:tc>
          <w:tcPr>
            <w:tcW w:w="220" w:type="dxa"/>
            <w:vAlign w:val="bottom"/>
            <w:tcBorders>
              <w:top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b w:val="1"/>
                <w:bCs w:val="1"/>
                <w:color w:val="auto"/>
              </w:rPr>
              <w:t>(in</w:t>
            </w:r>
          </w:p>
        </w:tc>
        <w:tc>
          <w:tcPr>
            <w:tcW w:w="680" w:type="dxa"/>
            <w:vAlign w:val="bottom"/>
            <w:gridSpan w:val="2"/>
          </w:tcPr>
          <w:p>
            <w:pPr>
              <w:jc w:val="right"/>
              <w:spacing w:after="0"/>
              <w:rPr>
                <w:sz w:val="20"/>
                <w:szCs w:val="20"/>
                <w:color w:val="auto"/>
              </w:rPr>
            </w:pPr>
            <w:r>
              <w:rPr>
                <w:rFonts w:ascii="Arial" w:cs="Arial" w:eastAsia="Arial" w:hAnsi="Arial"/>
                <w:sz w:val="16"/>
                <w:szCs w:val="16"/>
                <w:b w:val="1"/>
                <w:bCs w:val="1"/>
                <w:color w:val="auto"/>
                <w:w w:val="71"/>
              </w:rPr>
              <w:t>thousands)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Business to Business Products</w:t>
            </w:r>
          </w:p>
        </w:tc>
        <w:tc>
          <w:tcPr>
            <w:tcW w:w="120" w:type="dxa"/>
            <w:vAlign w:val="bottom"/>
            <w:shd w:val="clear" w:color="auto" w:fill="CCFFCC"/>
          </w:tcPr>
          <w:p>
            <w:pPr>
              <w:jc w:val="right"/>
              <w:spacing w:after="0"/>
              <w:rPr>
                <w:sz w:val="20"/>
                <w:szCs w:val="20"/>
                <w:color w:val="auto"/>
              </w:rPr>
            </w:pPr>
            <w:r>
              <w:rPr>
                <w:rFonts w:ascii="Arial" w:cs="Arial" w:eastAsia="Arial" w:hAnsi="Arial"/>
                <w:sz w:val="15"/>
                <w:szCs w:val="15"/>
                <w:b w:val="1"/>
                <w:bCs w:val="1"/>
                <w:color w:val="auto"/>
                <w:w w:val="71"/>
              </w:rPr>
              <w:t>$</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20,645</w:t>
            </w:r>
          </w:p>
        </w:tc>
        <w:tc>
          <w:tcPr>
            <w:tcW w:w="3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16,917</w:t>
            </w:r>
          </w:p>
        </w:tc>
        <w:tc>
          <w:tcPr>
            <w:tcW w:w="460" w:type="dxa"/>
            <w:vAlign w:val="bottom"/>
            <w:shd w:val="clear" w:color="auto" w:fill="CCFFCC"/>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4,426</w:t>
            </w: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w w:val="79"/>
              </w:rPr>
              <w:t>$</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4,001</w:t>
            </w:r>
          </w:p>
        </w:tc>
      </w:tr>
      <w:tr>
        <w:trPr>
          <w:trHeight w:val="243"/>
        </w:trPr>
        <w:tc>
          <w:tcPr>
            <w:tcW w:w="20" w:type="dxa"/>
            <w:vAlign w:val="bottom"/>
          </w:tcPr>
          <w:p>
            <w:pPr>
              <w:spacing w:after="0"/>
              <w:rPr>
                <w:sz w:val="21"/>
                <w:szCs w:val="21"/>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Retail and Wholesale Products</w:t>
            </w:r>
          </w:p>
        </w:tc>
        <w:tc>
          <w:tcPr>
            <w:tcW w:w="1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42,483</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38,368</w:t>
            </w:r>
          </w:p>
        </w:tc>
        <w:tc>
          <w:tcPr>
            <w:tcW w:w="22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3,162</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4,350</w:t>
            </w:r>
          </w:p>
        </w:tc>
        <w:tc>
          <w:tcPr>
            <w:tcW w:w="100" w:type="dxa"/>
            <w:vAlign w:val="bottom"/>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51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Sales/Operating Income</w:t>
            </w:r>
          </w:p>
        </w:tc>
        <w:tc>
          <w:tcPr>
            <w:tcW w:w="120" w:type="dxa"/>
            <w:vAlign w:val="bottom"/>
            <w:shd w:val="clear" w:color="auto" w:fill="CCFFCC"/>
          </w:tcPr>
          <w:p>
            <w:pPr>
              <w:jc w:val="right"/>
              <w:spacing w:after="0"/>
              <w:rPr>
                <w:sz w:val="20"/>
                <w:szCs w:val="20"/>
                <w:color w:val="auto"/>
              </w:rPr>
            </w:pPr>
            <w:r>
              <w:rPr>
                <w:rFonts w:ascii="Arial" w:cs="Arial" w:eastAsia="Arial" w:hAnsi="Arial"/>
                <w:sz w:val="15"/>
                <w:szCs w:val="15"/>
                <w:b w:val="1"/>
                <w:bCs w:val="1"/>
                <w:color w:val="auto"/>
                <w:w w:val="71"/>
              </w:rPr>
              <w:t>$</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63,128</w:t>
            </w:r>
          </w:p>
        </w:tc>
        <w:tc>
          <w:tcPr>
            <w:tcW w:w="3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FFCC"/>
          </w:tcPr>
          <w:p>
            <w:pPr>
              <w:spacing w:after="0"/>
              <w:rPr>
                <w:sz w:val="20"/>
                <w:szCs w:val="20"/>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55, 285</w:t>
            </w:r>
          </w:p>
        </w:tc>
        <w:tc>
          <w:tcPr>
            <w:tcW w:w="460" w:type="dxa"/>
            <w:vAlign w:val="bottom"/>
            <w:shd w:val="clear" w:color="auto" w:fill="CCFFCC"/>
          </w:tcPr>
          <w:p>
            <w:pPr>
              <w:spacing w:after="0"/>
              <w:rPr>
                <w:sz w:val="20"/>
                <w:szCs w:val="20"/>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7,588</w:t>
            </w:r>
          </w:p>
        </w:tc>
        <w:tc>
          <w:tcPr>
            <w:tcW w:w="22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8,351</w:t>
            </w:r>
          </w:p>
        </w:tc>
      </w:tr>
      <w:tr>
        <w:trPr>
          <w:trHeight w:val="210"/>
        </w:trPr>
        <w:tc>
          <w:tcPr>
            <w:tcW w:w="20" w:type="dxa"/>
            <w:vAlign w:val="bottom"/>
          </w:tcPr>
          <w:p>
            <w:pPr>
              <w:spacing w:after="0"/>
              <w:rPr>
                <w:sz w:val="18"/>
                <w:szCs w:val="18"/>
                <w:color w:val="auto"/>
              </w:rPr>
            </w:pPr>
          </w:p>
        </w:tc>
        <w:tc>
          <w:tcPr>
            <w:tcW w:w="5140" w:type="dxa"/>
            <w:vAlign w:val="bottom"/>
            <w:tcBorders>
              <w:top w:val="single" w:sz="8" w:color="CCFFCC"/>
            </w:tcBorders>
          </w:tcPr>
          <w:p>
            <w:pPr>
              <w:spacing w:after="0"/>
              <w:rPr>
                <w:sz w:val="20"/>
                <w:szCs w:val="20"/>
                <w:color w:val="auto"/>
              </w:rPr>
            </w:pPr>
            <w:r>
              <w:rPr>
                <w:rFonts w:ascii="Arial" w:cs="Arial" w:eastAsia="Arial" w:hAnsi="Arial"/>
                <w:sz w:val="18"/>
                <w:szCs w:val="18"/>
                <w:b w:val="1"/>
                <w:bCs w:val="1"/>
                <w:color w:val="auto"/>
              </w:rPr>
              <w:t>Less:</w:t>
            </w: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460" w:type="dxa"/>
            <w:vAlign w:val="bottom"/>
            <w:tcBorders>
              <w:top w:val="single" w:sz="8" w:color="CCFFCC"/>
            </w:tcBorders>
          </w:tcPr>
          <w:p>
            <w:pPr>
              <w:spacing w:after="0"/>
              <w:rPr>
                <w:sz w:val="18"/>
                <w:szCs w:val="18"/>
                <w:color w:val="auto"/>
              </w:rPr>
            </w:pPr>
          </w:p>
        </w:tc>
        <w:tc>
          <w:tcPr>
            <w:tcW w:w="920" w:type="dxa"/>
            <w:vAlign w:val="bottom"/>
            <w:tcBorders>
              <w:top w:val="single" w:sz="8" w:color="CCFFCC"/>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26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FFCC"/>
          </w:tcPr>
          <w:p>
            <w:pPr>
              <w:ind w:left="320"/>
              <w:spacing w:after="0"/>
              <w:rPr>
                <w:sz w:val="20"/>
                <w:szCs w:val="20"/>
                <w:color w:val="auto"/>
              </w:rPr>
            </w:pPr>
            <w:r>
              <w:rPr>
                <w:rFonts w:ascii="Arial" w:cs="Arial" w:eastAsia="Arial" w:hAnsi="Arial"/>
                <w:sz w:val="18"/>
                <w:szCs w:val="18"/>
                <w:b w:val="1"/>
                <w:bCs w:val="1"/>
                <w:color w:val="auto"/>
              </w:rPr>
              <w:t>Corporate Expenses</w:t>
            </w:r>
          </w:p>
        </w:tc>
        <w:tc>
          <w:tcPr>
            <w:tcW w:w="12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4,171</w:t>
            </w: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4,719</w:t>
            </w:r>
          </w:p>
        </w:tc>
      </w:tr>
      <w:tr>
        <w:trPr>
          <w:trHeight w:val="243"/>
        </w:trPr>
        <w:tc>
          <w:tcPr>
            <w:tcW w:w="20" w:type="dxa"/>
            <w:vAlign w:val="bottom"/>
          </w:tcPr>
          <w:p>
            <w:pPr>
              <w:spacing w:after="0"/>
              <w:rPr>
                <w:sz w:val="21"/>
                <w:szCs w:val="21"/>
                <w:color w:val="auto"/>
              </w:rPr>
            </w:pPr>
          </w:p>
        </w:tc>
        <w:tc>
          <w:tcPr>
            <w:tcW w:w="5140" w:type="dxa"/>
            <w:vAlign w:val="bottom"/>
          </w:tcPr>
          <w:p>
            <w:pPr>
              <w:ind w:left="320"/>
              <w:spacing w:after="0"/>
              <w:rPr>
                <w:sz w:val="20"/>
                <w:szCs w:val="20"/>
                <w:color w:val="auto"/>
              </w:rPr>
            </w:pPr>
            <w:r>
              <w:rPr>
                <w:rFonts w:ascii="Arial" w:cs="Arial" w:eastAsia="Arial" w:hAnsi="Arial"/>
                <w:sz w:val="18"/>
                <w:szCs w:val="18"/>
                <w:b w:val="1"/>
                <w:bCs w:val="1"/>
                <w:color w:val="auto"/>
              </w:rPr>
              <w:t>Interest Expense, net of Interest Income</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340</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206</w:t>
            </w:r>
          </w:p>
        </w:tc>
        <w:tc>
          <w:tcPr>
            <w:tcW w:w="100" w:type="dxa"/>
            <w:vAlign w:val="bottom"/>
          </w:tcPr>
          <w:p>
            <w:pPr>
              <w:spacing w:after="0"/>
              <w:rPr>
                <w:sz w:val="21"/>
                <w:szCs w:val="21"/>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Income before Income Taxes</w:t>
            </w:r>
          </w:p>
        </w:tc>
        <w:tc>
          <w:tcPr>
            <w:tcW w:w="12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3,077</w:t>
            </w: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3,426</w:t>
            </w:r>
          </w:p>
        </w:tc>
      </w:tr>
      <w:tr>
        <w:trPr>
          <w:trHeight w:val="243"/>
        </w:trPr>
        <w:tc>
          <w:tcPr>
            <w:tcW w:w="20" w:type="dxa"/>
            <w:vAlign w:val="bottom"/>
          </w:tcPr>
          <w:p>
            <w:pPr>
              <w:spacing w:after="0"/>
              <w:rPr>
                <w:sz w:val="21"/>
                <w:szCs w:val="21"/>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Income Taxes</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(831)</w:t>
            </w:r>
          </w:p>
        </w:tc>
        <w:tc>
          <w:tcPr>
            <w:tcW w:w="100" w:type="dxa"/>
            <w:vAlign w:val="bottom"/>
          </w:tcPr>
          <w:p>
            <w:pPr>
              <w:spacing w:after="0"/>
              <w:rPr>
                <w:sz w:val="21"/>
                <w:szCs w:val="21"/>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(942)</w:t>
            </w: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Net Income</w:t>
            </w:r>
          </w:p>
        </w:tc>
        <w:tc>
          <w:tcPr>
            <w:tcW w:w="12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CCFFCC"/>
            </w:tcBorders>
            <w:shd w:val="clear" w:color="auto" w:fill="CCFFCC"/>
          </w:tcPr>
          <w:p>
            <w:pPr>
              <w:spacing w:after="0"/>
              <w:rPr>
                <w:sz w:val="21"/>
                <w:szCs w:val="21"/>
                <w:color w:val="auto"/>
              </w:rPr>
            </w:pPr>
          </w:p>
        </w:tc>
        <w:tc>
          <w:tcPr>
            <w:tcW w:w="10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460" w:type="dxa"/>
            <w:vAlign w:val="bottom"/>
            <w:tcBorders>
              <w:top w:val="single" w:sz="8" w:color="auto"/>
              <w:bottom w:val="single" w:sz="8" w:color="auto"/>
            </w:tcBorders>
            <w:shd w:val="clear" w:color="auto" w:fill="CCFFCC"/>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2,246</w:t>
            </w:r>
          </w:p>
        </w:tc>
        <w:tc>
          <w:tcPr>
            <w:tcW w:w="22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2,484</w:t>
            </w:r>
          </w:p>
        </w:tc>
        <w:tc>
          <w:tcPr>
            <w:tcW w:w="100" w:type="dxa"/>
            <w:vAlign w:val="bottom"/>
            <w:tcBorders>
              <w:bottom w:val="single" w:sz="8" w:color="CCFFCC"/>
            </w:tcBorders>
            <w:shd w:val="clear" w:color="auto" w:fill="CCFFCC"/>
          </w:tcPr>
          <w:p>
            <w:pPr>
              <w:spacing w:after="0"/>
              <w:rPr>
                <w:sz w:val="21"/>
                <w:szCs w:val="21"/>
                <w:color w:val="auto"/>
              </w:rPr>
            </w:pPr>
          </w:p>
        </w:tc>
      </w:tr>
      <w:tr>
        <w:trPr>
          <w:trHeight w:val="440"/>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jc w:val="right"/>
              <w:ind w:right="650"/>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8"/>
        </w:trPr>
        <w:tc>
          <w:tcPr>
            <w:tcW w:w="20" w:type="dxa"/>
            <w:vAlign w:val="bottom"/>
          </w:tcPr>
          <w:p>
            <w:pPr>
              <w:spacing w:after="0"/>
              <w:rPr>
                <w:sz w:val="10"/>
                <w:szCs w:val="10"/>
                <w:color w:val="auto"/>
              </w:rPr>
            </w:pPr>
          </w:p>
        </w:tc>
        <w:tc>
          <w:tcPr>
            <w:tcW w:w="51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8. STOCK-BASED COMPENSATION</w:t>
      </w:r>
    </w:p>
    <w:p>
      <w:pPr>
        <w:spacing w:after="0" w:line="2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adopted Statement of Financial Accounting Standards No. 123 (revised 2004), </w:t>
      </w:r>
      <w:r>
        <w:rPr>
          <w:rFonts w:ascii="Arial" w:cs="Arial" w:eastAsia="Arial" w:hAnsi="Arial"/>
          <w:sz w:val="18"/>
          <w:szCs w:val="18"/>
          <w:i w:val="1"/>
          <w:iCs w:val="1"/>
          <w:color w:val="auto"/>
        </w:rPr>
        <w:t>Share-Based Payments</w:t>
      </w:r>
      <w:r>
        <w:rPr>
          <w:rFonts w:ascii="Arial" w:cs="Arial" w:eastAsia="Arial" w:hAnsi="Arial"/>
          <w:sz w:val="18"/>
          <w:szCs w:val="18"/>
          <w:color w:val="auto"/>
        </w:rPr>
        <w:t xml:space="preserve"> (“SFAS 123R”) in the first quarter of fiscal 2006. In accordance with this pronouncement, we record compensation expense for all awards granted after the date of adoption and for the unvested portion of previously granted awards that remain outstanding at the date of adoption. The stock-based compensation expense in the first three months of fiscal years 2009 and 2008 is the cost related to the unvested portion of grants issued after August 1, 2000 and grants issued after July 31, 2005. The stock options granted before August 1, 2000 were fully vested as of the beginning of fiscal 2006.</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7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1995 Long Term Incentive Plan (the “1995 Plan”) provided for grants of both incentive and non-qualified stock options principally at an option price per share of 100% of the fair market value of our Class A Common Stock or, if no Class A Common Stock is outstanding, our Common Stock (“Stock”) on the date of grant. Stock options were generally granted with a five-year vesting period and a 10-year term. The stock options generally vest 25% two years after the grant date and 25% in each of the three following anniversaries of the grant date. This plan expired for purposes of issuing new grants on August 5, 2005. All stock issued from option exercises under this plan were from authorized but unissued stock. All restricted stock issued was from treasury stock.</w:t>
      </w:r>
    </w:p>
    <w:p>
      <w:pPr>
        <w:spacing w:after="0" w:line="21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March 14, 2006, our Board of Directors unanimously approved adoption of the Oil-Dri Corporation of America 2006 Long Term Incentive Plan; our Board amended and restated the plan following the five-for-four stock split described below (as so amended and restated, the “2006 Plan”). The 2006 Plan was approved by our stockholders at our annual meeting on December 5, 2006. The 2006 Plan permits the grant of stock options, stock appreciation rights, restricted stock, restricted stock units, performance awards and other stock-based and cash-based awards. Our employees and non-employee directors are eligible to receive grants under the 2006 Plan. The total number of shares of Stock subject to grants under the 2006 Plan may not exceed 919,500. Option grants covering 25,000 shares were issued to our outside directors with a vesting period of one year and option grants covering 32,500 shares were issued to employees with vesting similar to the vesting described above under the 1995 Plan. There were 90,000 shares of restricted stock issued under the 2006 Plan.</w:t>
      </w:r>
    </w:p>
    <w:p>
      <w:pPr>
        <w:spacing w:after="0" w:line="22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Oil-Dri Corporation of America Outside Director Stock Plan (the “Directors’ Plan”) provides for grants of stock options to our directors at an option price per share of 100% of the fair market value of Common Stock on the date of grant. Our directors are considered employees under the provisions of SFAS 123R. Stock options have been granted to our directors for a 10-year term with a one year vesting period. There are 71,450 stock options outstanding as of October 31, 2008 and no stock options available for future grants under this plan. All stock issued under this plan were from treasury stock.</w:t>
      </w:r>
    </w:p>
    <w:p>
      <w:pPr>
        <w:spacing w:after="0" w:line="20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 five-for-four stock split was announced by our Board on June 6, 2006. In keeping with historical practices, we have adjusted the number of shares and the option prices to equitably adjust all outstanding stock options. Under SFAS 123R, the equitable adjustment of outstanding options to reflect a change in capitalization (such as a stock split) may require the recognition of incremental compensation expense if the adjustment is not determined to have been required by the actual terms of the equity incentive plan. The Directors’ Plan and the 1995 Plan may be deemed to have been discretionary, rather than required by the actual terms of these plans. We therefore recognized additional stock-based compensation expense as a result of the modification of approximately $51,000 and $111,000 in the first quarter of fiscal 2009 and 2008, respectively.</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stock options granted in the first three months of fiscal years 2009 or 2008.</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Changes in our stock options during the first three months of fiscal 2009 were as follows:</w:t>
      </w:r>
    </w:p>
    <w:p>
      <w:pPr>
        <w:spacing w:after="0" w:line="279"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9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Weighted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Average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00" w:type="dxa"/>
            <w:vAlign w:val="bottom"/>
          </w:tcPr>
          <w:p>
            <w:pPr>
              <w:spacing w:after="0"/>
              <w:rPr>
                <w:sz w:val="18"/>
                <w:szCs w:val="18"/>
                <w:color w:val="auto"/>
              </w:rPr>
            </w:pPr>
          </w:p>
        </w:tc>
        <w:tc>
          <w:tcPr>
            <w:tcW w:w="144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Number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Weighted</w:t>
            </w:r>
          </w:p>
        </w:tc>
        <w:tc>
          <w:tcPr>
            <w:tcW w:w="14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Remaining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Aggregate</w:t>
            </w:r>
          </w:p>
        </w:tc>
      </w:tr>
      <w:tr>
        <w:trPr>
          <w:trHeight w:val="216"/>
        </w:trPr>
        <w:tc>
          <w:tcPr>
            <w:tcW w:w="4900" w:type="dxa"/>
            <w:vAlign w:val="bottom"/>
          </w:tcPr>
          <w:p>
            <w:pPr>
              <w:spacing w:after="0"/>
              <w:rPr>
                <w:sz w:val="18"/>
                <w:szCs w:val="18"/>
                <w:color w:val="auto"/>
              </w:rPr>
            </w:pPr>
          </w:p>
        </w:tc>
        <w:tc>
          <w:tcPr>
            <w:tcW w:w="144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of Shares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Average</w:t>
            </w:r>
          </w:p>
        </w:tc>
        <w:tc>
          <w:tcPr>
            <w:tcW w:w="140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Contractual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Intrinsic</w:t>
            </w:r>
          </w:p>
        </w:tc>
      </w:tr>
      <w:tr>
        <w:trPr>
          <w:trHeight w:val="216"/>
        </w:trPr>
        <w:tc>
          <w:tcPr>
            <w:tcW w:w="4900" w:type="dxa"/>
            <w:vAlign w:val="bottom"/>
          </w:tcPr>
          <w:p>
            <w:pPr>
              <w:spacing w:after="0"/>
              <w:rPr>
                <w:sz w:val="18"/>
                <w:szCs w:val="18"/>
                <w:color w:val="auto"/>
              </w:rPr>
            </w:pPr>
          </w:p>
        </w:tc>
        <w:tc>
          <w:tcPr>
            <w:tcW w:w="144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(in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Exercise</w:t>
            </w:r>
          </w:p>
        </w:tc>
        <w:tc>
          <w:tcPr>
            <w:tcW w:w="14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Term</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Value (in</w:t>
            </w:r>
          </w:p>
        </w:tc>
      </w:tr>
      <w:tr>
        <w:trPr>
          <w:trHeight w:val="230"/>
        </w:trPr>
        <w:tc>
          <w:tcPr>
            <w:tcW w:w="4900" w:type="dxa"/>
            <w:vAlign w:val="bottom"/>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thousands)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7"/>
              </w:rPr>
              <w:t>Price</w:t>
            </w:r>
          </w:p>
        </w:tc>
        <w:tc>
          <w:tcPr>
            <w:tcW w:w="220" w:type="dxa"/>
            <w:vAlign w:val="bottom"/>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(Years)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7"/>
              </w:rPr>
              <w:t>thousands)</w:t>
            </w:r>
          </w:p>
        </w:tc>
        <w:tc>
          <w:tcPr>
            <w:tcW w:w="100" w:type="dxa"/>
            <w:vAlign w:val="bottom"/>
          </w:tcPr>
          <w:p>
            <w:pPr>
              <w:spacing w:after="0"/>
              <w:rPr>
                <w:sz w:val="20"/>
                <w:szCs w:val="20"/>
                <w:color w:val="auto"/>
              </w:rPr>
            </w:pPr>
          </w:p>
        </w:tc>
      </w:tr>
      <w:tr>
        <w:trPr>
          <w:trHeight w:val="237"/>
        </w:trPr>
        <w:tc>
          <w:tcPr>
            <w:tcW w:w="4900" w:type="dxa"/>
            <w:vAlign w:val="bottom"/>
            <w:shd w:val="clear" w:color="auto" w:fill="CCFFCC"/>
          </w:tcPr>
          <w:p>
            <w:pPr>
              <w:spacing w:after="0"/>
              <w:rPr>
                <w:sz w:val="20"/>
                <w:szCs w:val="20"/>
                <w:color w:val="auto"/>
              </w:rPr>
            </w:pPr>
            <w:r>
              <w:rPr>
                <w:rFonts w:ascii="Arial" w:cs="Arial" w:eastAsia="Arial" w:hAnsi="Arial"/>
                <w:sz w:val="18"/>
                <w:szCs w:val="18"/>
                <w:color w:val="auto"/>
              </w:rPr>
              <w:t>Options outstanding, July 31, 2008</w:t>
            </w:r>
          </w:p>
        </w:tc>
        <w:tc>
          <w:tcPr>
            <w:tcW w:w="1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624</w:t>
            </w:r>
          </w:p>
        </w:tc>
        <w:tc>
          <w:tcPr>
            <w:tcW w:w="140" w:type="dxa"/>
            <w:vAlign w:val="bottom"/>
            <w:shd w:val="clear" w:color="auto" w:fill="CCFFCC"/>
          </w:tcPr>
          <w:p>
            <w:pPr>
              <w:spacing w:after="0"/>
              <w:rPr>
                <w:sz w:val="20"/>
                <w:szCs w:val="20"/>
                <w:color w:val="auto"/>
              </w:rPr>
            </w:pPr>
          </w:p>
        </w:tc>
        <w:tc>
          <w:tcPr>
            <w:tcW w:w="1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8.66</w:t>
            </w: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4.4</w:t>
            </w:r>
          </w:p>
        </w:tc>
        <w:tc>
          <w:tcPr>
            <w:tcW w:w="2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5,345</w:t>
            </w:r>
          </w:p>
        </w:tc>
      </w:tr>
      <w:tr>
        <w:trPr>
          <w:trHeight w:val="243"/>
        </w:trPr>
        <w:tc>
          <w:tcPr>
            <w:tcW w:w="4900" w:type="dxa"/>
            <w:vAlign w:val="bottom"/>
          </w:tcPr>
          <w:p>
            <w:pPr>
              <w:spacing w:after="0"/>
              <w:rPr>
                <w:sz w:val="20"/>
                <w:szCs w:val="20"/>
                <w:color w:val="auto"/>
              </w:rPr>
            </w:pPr>
            <w:r>
              <w:rPr>
                <w:rFonts w:ascii="Arial" w:cs="Arial" w:eastAsia="Arial" w:hAnsi="Arial"/>
                <w:sz w:val="18"/>
                <w:szCs w:val="18"/>
                <w:color w:val="auto"/>
              </w:rPr>
              <w:t>Exercised</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(21)</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6.20</w:t>
            </w: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234</w:t>
            </w:r>
          </w:p>
        </w:tc>
      </w:tr>
      <w:tr>
        <w:trPr>
          <w:trHeight w:val="243"/>
        </w:trPr>
        <w:tc>
          <w:tcPr>
            <w:tcW w:w="4900" w:type="dxa"/>
            <w:vAlign w:val="bottom"/>
            <w:shd w:val="clear" w:color="auto" w:fill="CCFFCC"/>
          </w:tcPr>
          <w:p>
            <w:pPr>
              <w:spacing w:after="0"/>
              <w:rPr>
                <w:sz w:val="20"/>
                <w:szCs w:val="20"/>
                <w:color w:val="auto"/>
              </w:rPr>
            </w:pPr>
            <w:r>
              <w:rPr>
                <w:rFonts w:ascii="Arial" w:cs="Arial" w:eastAsia="Arial" w:hAnsi="Arial"/>
                <w:sz w:val="18"/>
                <w:szCs w:val="18"/>
                <w:color w:val="auto"/>
              </w:rPr>
              <w:t>Cancelled</w:t>
            </w:r>
          </w:p>
        </w:tc>
        <w:tc>
          <w:tcPr>
            <w:tcW w:w="14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(15)</w:t>
            </w:r>
          </w:p>
        </w:tc>
        <w:tc>
          <w:tcPr>
            <w:tcW w:w="1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8.32</w:t>
            </w:r>
          </w:p>
        </w:tc>
        <w:tc>
          <w:tcPr>
            <w:tcW w:w="13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2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123</w:t>
            </w:r>
          </w:p>
        </w:tc>
      </w:tr>
      <w:tr>
        <w:trPr>
          <w:trHeight w:val="237"/>
        </w:trPr>
        <w:tc>
          <w:tcPr>
            <w:tcW w:w="4900" w:type="dxa"/>
            <w:vAlign w:val="bottom"/>
            <w:tcBorders>
              <w:top w:val="single" w:sz="8" w:color="CCFFCC"/>
            </w:tcBorders>
          </w:tcPr>
          <w:p>
            <w:pPr>
              <w:spacing w:after="0"/>
              <w:rPr>
                <w:sz w:val="20"/>
                <w:szCs w:val="20"/>
                <w:color w:val="auto"/>
              </w:rPr>
            </w:pPr>
            <w:r>
              <w:rPr>
                <w:rFonts w:ascii="Arial" w:cs="Arial" w:eastAsia="Arial" w:hAnsi="Arial"/>
                <w:sz w:val="18"/>
                <w:szCs w:val="18"/>
                <w:color w:val="auto"/>
              </w:rPr>
              <w:t>Options outstanding, October 31, 2008</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588</w:t>
            </w:r>
          </w:p>
        </w:tc>
        <w:tc>
          <w:tcPr>
            <w:tcW w:w="140" w:type="dxa"/>
            <w:vAlign w:val="bottom"/>
            <w:tcBorders>
              <w:top w:val="single" w:sz="8" w:color="CCFFCC"/>
            </w:tcBorders>
          </w:tcPr>
          <w:p>
            <w:pPr>
              <w:spacing w:after="0"/>
              <w:rPr>
                <w:sz w:val="20"/>
                <w:szCs w:val="20"/>
                <w:color w:val="auto"/>
              </w:rPr>
            </w:pPr>
          </w:p>
        </w:tc>
        <w:tc>
          <w:tcPr>
            <w:tcW w:w="180" w:type="dxa"/>
            <w:vAlign w:val="bottom"/>
            <w:tcBorders>
              <w:top w:val="single" w:sz="8" w:color="CCFFCC"/>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CCFFCC"/>
            </w:tcBorders>
            <w:gridSpan w:val="2"/>
          </w:tcPr>
          <w:p>
            <w:pPr>
              <w:jc w:val="right"/>
              <w:ind w:right="220"/>
              <w:spacing w:after="0"/>
              <w:rPr>
                <w:sz w:val="20"/>
                <w:szCs w:val="20"/>
                <w:color w:val="auto"/>
              </w:rPr>
            </w:pPr>
            <w:r>
              <w:rPr>
                <w:rFonts w:ascii="Arial" w:cs="Arial" w:eastAsia="Arial" w:hAnsi="Arial"/>
                <w:sz w:val="18"/>
                <w:szCs w:val="18"/>
                <w:color w:val="auto"/>
              </w:rPr>
              <w:t>8.76</w:t>
            </w:r>
          </w:p>
        </w:tc>
        <w:tc>
          <w:tcPr>
            <w:tcW w:w="1400" w:type="dxa"/>
            <w:vAlign w:val="bottom"/>
            <w:tcBorders>
              <w:top w:val="single" w:sz="8" w:color="CCFFCC"/>
            </w:tcBorders>
            <w:gridSpan w:val="2"/>
          </w:tcPr>
          <w:p>
            <w:pPr>
              <w:jc w:val="right"/>
              <w:ind w:right="100"/>
              <w:spacing w:after="0"/>
              <w:rPr>
                <w:sz w:val="20"/>
                <w:szCs w:val="20"/>
                <w:color w:val="auto"/>
              </w:rPr>
            </w:pPr>
            <w:r>
              <w:rPr>
                <w:rFonts w:ascii="Arial" w:cs="Arial" w:eastAsia="Arial" w:hAnsi="Arial"/>
                <w:sz w:val="18"/>
                <w:szCs w:val="18"/>
                <w:color w:val="auto"/>
              </w:rPr>
              <w:t>4.3</w:t>
            </w:r>
          </w:p>
        </w:tc>
        <w:tc>
          <w:tcPr>
            <w:tcW w:w="220" w:type="dxa"/>
            <w:vAlign w:val="bottom"/>
            <w:tcBorders>
              <w:top w:val="single" w:sz="8" w:color="CCFFCC"/>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CCFFCC"/>
            </w:tcBorders>
            <w:gridSpan w:val="2"/>
          </w:tcPr>
          <w:p>
            <w:pPr>
              <w:jc w:val="right"/>
              <w:ind w:right="100"/>
              <w:spacing w:after="0"/>
              <w:rPr>
                <w:sz w:val="20"/>
                <w:szCs w:val="20"/>
                <w:color w:val="auto"/>
              </w:rPr>
            </w:pPr>
            <w:r>
              <w:rPr>
                <w:rFonts w:ascii="Arial" w:cs="Arial" w:eastAsia="Arial" w:hAnsi="Arial"/>
                <w:sz w:val="18"/>
                <w:szCs w:val="18"/>
                <w:color w:val="auto"/>
              </w:rPr>
              <w:t>4,589</w:t>
            </w:r>
          </w:p>
        </w:tc>
      </w:tr>
      <w:tr>
        <w:trPr>
          <w:trHeight w:val="20"/>
        </w:trPr>
        <w:tc>
          <w:tcPr>
            <w:tcW w:w="49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r>
      <w:tr>
        <w:trPr>
          <w:trHeight w:val="264"/>
        </w:trPr>
        <w:tc>
          <w:tcPr>
            <w:tcW w:w="49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Options exercisable, October 31, 2008</w:t>
            </w:r>
          </w:p>
        </w:tc>
        <w:tc>
          <w:tcPr>
            <w:tcW w:w="13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544</w:t>
            </w:r>
          </w:p>
        </w:tc>
        <w:tc>
          <w:tcPr>
            <w:tcW w:w="140" w:type="dxa"/>
            <w:vAlign w:val="bottom"/>
            <w:tcBorders>
              <w:bottom w:val="single" w:sz="8" w:color="CCFFCC"/>
            </w:tcBorders>
            <w:shd w:val="clear" w:color="auto" w:fill="CCFFCC"/>
          </w:tcPr>
          <w:p>
            <w:pPr>
              <w:spacing w:after="0"/>
              <w:rPr>
                <w:sz w:val="22"/>
                <w:szCs w:val="22"/>
                <w:color w:val="auto"/>
              </w:rPr>
            </w:pPr>
          </w:p>
        </w:tc>
        <w:tc>
          <w:tcPr>
            <w:tcW w:w="180" w:type="dxa"/>
            <w:vAlign w:val="bottom"/>
            <w:tcBorders>
              <w:bottom w:val="single" w:sz="8" w:color="CCFFCC"/>
            </w:tcBorders>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8.23</w:t>
            </w:r>
          </w:p>
        </w:tc>
        <w:tc>
          <w:tcPr>
            <w:tcW w:w="140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4.1</w:t>
            </w:r>
          </w:p>
        </w:tc>
        <w:tc>
          <w:tcPr>
            <w:tcW w:w="220" w:type="dxa"/>
            <w:vAlign w:val="bottom"/>
            <w:tcBorders>
              <w:bottom w:val="single" w:sz="8" w:color="CCFFCC"/>
            </w:tcBorders>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4,522</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 amount of cash received from the exercise of stock options during the first quarter of fiscal 2009 was $133,000 and the related tax benefit was $63,000.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amount of cash received from the exercise of stock options during the first quarter of fiscal 2008 was $593,000 and the related tax benefit was $158,000.</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1995 Plan and 2006 Plan both provide for grants of restricted stock. The vesting schedule under the 1995 Plan has varied, but has generally been three years or less. Under the 2006 Plan, the grants issued so far have vesting periods between three and five years.</w:t>
      </w:r>
    </w:p>
    <w:p>
      <w:pPr>
        <w:spacing w:after="0" w:line="22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Included in our stock-based compensation expense in the first quarter of fiscal years 2009 and 2008 was $75,000 and $83,000, respectively, related to the unvested restricted stock granted in fiscal years 2005 and 2006. No shares of restricted stock were granted in the first three months of fiscal 2009 or 2008.</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restricted stock outstanding during the first three months of fiscal 2009 were as follows:</w:t>
      </w:r>
    </w:p>
    <w:p>
      <w:pPr>
        <w:spacing w:after="0" w:line="30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(shares in thousands)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Weighted</w:t>
            </w:r>
          </w:p>
        </w:tc>
        <w:tc>
          <w:tcPr>
            <w:tcW w:w="314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Average</w:t>
            </w:r>
          </w:p>
        </w:tc>
        <w:tc>
          <w:tcPr>
            <w:tcW w:w="314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Restricted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Grant Date</w:t>
            </w:r>
          </w:p>
        </w:tc>
        <w:tc>
          <w:tcPr>
            <w:tcW w:w="3140" w:type="dxa"/>
            <w:vAlign w:val="bottom"/>
          </w:tcPr>
          <w:p>
            <w:pPr>
              <w:spacing w:after="0"/>
              <w:rPr>
                <w:sz w:val="18"/>
                <w:szCs w:val="18"/>
                <w:color w:val="auto"/>
              </w:rPr>
            </w:pPr>
          </w:p>
        </w:tc>
      </w:tr>
      <w:tr>
        <w:trPr>
          <w:trHeight w:val="230"/>
        </w:trPr>
        <w:tc>
          <w:tcPr>
            <w:tcW w:w="98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Shares</w:t>
            </w:r>
          </w:p>
        </w:tc>
        <w:tc>
          <w:tcPr>
            <w:tcW w:w="2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0"/>
              </w:rPr>
              <w:t>Fair Value</w:t>
            </w:r>
          </w:p>
        </w:tc>
        <w:tc>
          <w:tcPr>
            <w:tcW w:w="100" w:type="dxa"/>
            <w:vAlign w:val="bottom"/>
          </w:tcPr>
          <w:p>
            <w:pPr>
              <w:spacing w:after="0"/>
              <w:rPr>
                <w:sz w:val="20"/>
                <w:szCs w:val="20"/>
                <w:color w:val="auto"/>
              </w:rPr>
            </w:pPr>
          </w:p>
        </w:tc>
        <w:tc>
          <w:tcPr>
            <w:tcW w:w="3140" w:type="dxa"/>
            <w:vAlign w:val="bottom"/>
          </w:tcPr>
          <w:p>
            <w:pPr>
              <w:spacing w:after="0"/>
              <w:rPr>
                <w:sz w:val="20"/>
                <w:szCs w:val="20"/>
                <w:color w:val="auto"/>
              </w:rPr>
            </w:pPr>
          </w:p>
        </w:tc>
      </w:tr>
      <w:tr>
        <w:trPr>
          <w:trHeight w:val="237"/>
        </w:trPr>
        <w:tc>
          <w:tcPr>
            <w:tcW w:w="980" w:type="dxa"/>
            <w:vAlign w:val="bottom"/>
          </w:tcPr>
          <w:p>
            <w:pPr>
              <w:spacing w:after="0"/>
              <w:rPr>
                <w:sz w:val="20"/>
                <w:szCs w:val="20"/>
                <w:color w:val="auto"/>
              </w:rPr>
            </w:pPr>
          </w:p>
        </w:tc>
        <w:tc>
          <w:tcPr>
            <w:tcW w:w="55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Unvested restricted stock at July 31, 2008</w:t>
            </w:r>
          </w:p>
        </w:tc>
        <w:tc>
          <w:tcPr>
            <w:tcW w:w="2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9"/>
              </w:rPr>
              <w:t>55</w:t>
            </w:r>
          </w:p>
        </w:tc>
        <w:tc>
          <w:tcPr>
            <w:tcW w:w="120" w:type="dxa"/>
            <w:vAlign w:val="bottom"/>
            <w:shd w:val="clear" w:color="auto" w:fill="CCFFCC"/>
          </w:tcPr>
          <w:p>
            <w:pPr>
              <w:spacing w:after="0"/>
              <w:rPr>
                <w:sz w:val="20"/>
                <w:szCs w:val="20"/>
                <w:color w:val="auto"/>
              </w:rPr>
            </w:pPr>
          </w:p>
        </w:tc>
        <w:tc>
          <w:tcPr>
            <w:tcW w:w="1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15.42</w:t>
            </w:r>
          </w:p>
        </w:tc>
        <w:tc>
          <w:tcPr>
            <w:tcW w:w="3140" w:type="dxa"/>
            <w:vAlign w:val="bottom"/>
          </w:tcPr>
          <w:p>
            <w:pPr>
              <w:spacing w:after="0"/>
              <w:rPr>
                <w:sz w:val="20"/>
                <w:szCs w:val="20"/>
                <w:color w:val="auto"/>
              </w:rPr>
            </w:pPr>
          </w:p>
        </w:tc>
      </w:tr>
      <w:tr>
        <w:trPr>
          <w:trHeight w:val="243"/>
        </w:trPr>
        <w:tc>
          <w:tcPr>
            <w:tcW w:w="980" w:type="dxa"/>
            <w:vAlign w:val="bottom"/>
          </w:tcPr>
          <w:p>
            <w:pPr>
              <w:spacing w:after="0"/>
              <w:rPr>
                <w:sz w:val="21"/>
                <w:szCs w:val="21"/>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Vested</w:t>
            </w:r>
          </w:p>
        </w:tc>
        <w:tc>
          <w:tcPr>
            <w:tcW w:w="1020" w:type="dxa"/>
            <w:vAlign w:val="bottom"/>
          </w:tcPr>
          <w:p>
            <w:pPr>
              <w:spacing w:after="0"/>
              <w:rPr>
                <w:sz w:val="21"/>
                <w:szCs w:val="21"/>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140" w:type="dxa"/>
            <w:vAlign w:val="bottom"/>
          </w:tcPr>
          <w:p>
            <w:pPr>
              <w:spacing w:after="0"/>
              <w:rPr>
                <w:sz w:val="21"/>
                <w:szCs w:val="21"/>
                <w:color w:val="auto"/>
              </w:rPr>
            </w:pPr>
          </w:p>
        </w:tc>
      </w:tr>
      <w:tr>
        <w:trPr>
          <w:trHeight w:val="277"/>
        </w:trPr>
        <w:tc>
          <w:tcPr>
            <w:tcW w:w="980" w:type="dxa"/>
            <w:vAlign w:val="bottom"/>
          </w:tcPr>
          <w:p>
            <w:pPr>
              <w:spacing w:after="0"/>
              <w:rPr>
                <w:sz w:val="24"/>
                <w:szCs w:val="24"/>
                <w:color w:val="auto"/>
              </w:rPr>
            </w:pPr>
          </w:p>
        </w:tc>
        <w:tc>
          <w:tcPr>
            <w:tcW w:w="448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Unvested restricted stock at October 31, 2008</w:t>
            </w:r>
          </w:p>
        </w:tc>
        <w:tc>
          <w:tcPr>
            <w:tcW w:w="1020" w:type="dxa"/>
            <w:vAlign w:val="bottom"/>
            <w:tcBorders>
              <w:top w:val="single" w:sz="8" w:color="auto"/>
              <w:bottom w:val="single" w:sz="8" w:color="auto"/>
            </w:tcBorders>
            <w:shd w:val="clear" w:color="auto" w:fill="CCFFCC"/>
          </w:tcPr>
          <w:p>
            <w:pPr>
              <w:spacing w:after="0"/>
              <w:rPr>
                <w:sz w:val="24"/>
                <w:szCs w:val="24"/>
                <w:color w:val="auto"/>
              </w:rPr>
            </w:pPr>
          </w:p>
        </w:tc>
        <w:tc>
          <w:tcPr>
            <w:tcW w:w="2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9"/>
              </w:rPr>
              <w:t>54</w:t>
            </w:r>
          </w:p>
        </w:tc>
        <w:tc>
          <w:tcPr>
            <w:tcW w:w="120" w:type="dxa"/>
            <w:vAlign w:val="bottom"/>
            <w:tcBorders>
              <w:bottom w:val="single" w:sz="8" w:color="CCFFCC"/>
            </w:tcBorders>
            <w:shd w:val="clear" w:color="auto" w:fill="CCFFCC"/>
          </w:tcPr>
          <w:p>
            <w:pPr>
              <w:spacing w:after="0"/>
              <w:rPr>
                <w:sz w:val="24"/>
                <w:szCs w:val="24"/>
                <w:color w:val="auto"/>
              </w:rPr>
            </w:pPr>
          </w:p>
        </w:tc>
        <w:tc>
          <w:tcPr>
            <w:tcW w:w="180" w:type="dxa"/>
            <w:vAlign w:val="bottom"/>
            <w:tcBorders>
              <w:bottom w:val="single" w:sz="8" w:color="CCFFCC"/>
            </w:tcBorders>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15.42</w:t>
            </w:r>
          </w:p>
        </w:tc>
        <w:tc>
          <w:tcPr>
            <w:tcW w:w="3140" w:type="dxa"/>
            <w:vAlign w:val="bottom"/>
          </w:tcPr>
          <w:p>
            <w:pPr>
              <w:spacing w:after="0"/>
              <w:rPr>
                <w:sz w:val="24"/>
                <w:szCs w:val="24"/>
                <w:color w:val="auto"/>
              </w:rPr>
            </w:pPr>
          </w:p>
        </w:tc>
      </w:tr>
      <w:tr>
        <w:trPr>
          <w:trHeight w:val="710"/>
        </w:trPr>
        <w:tc>
          <w:tcPr>
            <w:tcW w:w="6480" w:type="dxa"/>
            <w:vAlign w:val="bottom"/>
            <w:gridSpan w:val="3"/>
          </w:tcPr>
          <w:p>
            <w:pPr>
              <w:jc w:val="right"/>
              <w:ind w:right="590"/>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118"/>
        </w:trPr>
        <w:tc>
          <w:tcPr>
            <w:tcW w:w="980" w:type="dxa"/>
            <w:vAlign w:val="bottom"/>
            <w:tcBorders>
              <w:bottom w:val="single" w:sz="8" w:color="808080"/>
            </w:tcBorders>
          </w:tcPr>
          <w:p>
            <w:pPr>
              <w:spacing w:after="0"/>
              <w:rPr>
                <w:sz w:val="10"/>
                <w:szCs w:val="10"/>
                <w:color w:val="auto"/>
              </w:rPr>
            </w:pPr>
          </w:p>
        </w:tc>
        <w:tc>
          <w:tcPr>
            <w:tcW w:w="448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1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ITEM 2. MANAGEMENT’S DISCUSSION AND ANALYSIS OF</w:t>
      </w:r>
    </w:p>
    <w:p>
      <w:pPr>
        <w:spacing w:after="0" w:line="27"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the financial statements and the related notes included herein and our consolidated financial statements, accompanying notes and Management’s Discussion and Analysis of Financial Condition and Results of Operations contained in our Annual Report on Form 10-K for the year ended July 31, 2008. This discussion contains forward-looking statements that involve risks and uncertainties. Our actual results may differ materially from the results discussed in the forward-looking statements. Factors that might cause a difference include, but are not limited to, those discussed under “Forward-Looking Statements” and Item 1A (Risk Factors) of our Annual Report on Form 10-K for the fiscal year ended July 31, 2008.</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develop, manufacture and market sorbent products principally produced from clay minerals and, to a lesser extent, other sorbent materials. Our principal products include cat litter, industrial and automotive absorbents, bleaching clay and clarification aids, agricultural chemical carriers, animal health and nutrition and sports field products. Our products are sold to two primary customer groups, including customers who resell our products as originally produced to the end customer and those who use our products as part of their production process or use them as an ingredient in their final finished product. We have two reportable segments, the Retail and Wholesale Products Group and the Business to Business Products Group, as described in Note 7 of the unaudited condensed consolidated financial statements.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THREE MONTHS ENDED OCTOBER 31, 2008 COMPARED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THREE MONTHS ENDED OCTOBER 31, 2007</w:t>
      </w:r>
    </w:p>
    <w:p>
      <w:pPr>
        <w:spacing w:after="0" w:line="2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Consolidated net sales for the three months ended October 31, 2008 were $63,128,000, an increase of 14% from net sales of $55,285,000 in the first three months of fiscal 2008. Net income for the first three months of fiscal 2009 was $2,246,000, a decrease of 10% from net income of $2,484,000 in the first three months of fiscal 2008. Diluted income per share for the first three months of fiscal 2009 was $0.31 versus $0.35 diluted net income per share for the first three months of fiscal 2008.</w:t>
      </w:r>
    </w:p>
    <w:p>
      <w:pPr>
        <w:spacing w:after="0" w:line="24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income for the first three months of fiscal 2009 was positively impacted by a higher average net selling price and increased tons sold. Net income was negatively affected by higher costs. Selling prices have increased to contend with higher costs incurred throughout our business, and particularly in freight, materials and packaging. Freight costs increased significantly due to high fuel prices which impacted our truck, rail and ship distribution channels. Material costs were driven upward by the high cost of fuel used to dry our clay-based products and to transport raw materials. The cost of other purchased materials also increased. Packaging costs rose due to price increases in the resin and paper markets. The Business to Business Group experienced improved net income as higher net selling prices and increased volume overcame increased costs; however, in the Retail and Wholesale Group the higher costs prevailed over increases in both net selling prices and tons sold.</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BUSINESS TO BUSINESS PRODUCTS GROUP</w:t>
      </w:r>
    </w:p>
    <w:p>
      <w:pPr>
        <w:spacing w:after="0" w:line="27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Net sales of the Business to Business Products Group for the first three months of fiscal 2009 were $20,645,000, an increase of $3,728,000 from net sales of $16,917,000 in the first three months of fiscal 2008. This increase is attributed to a higher net selling price and a 4% increase in tons sold for the Group compared to the first three months of fiscal 2008. Net selling prices and tons sold were up for fluid purification products, co-packaged cat litter products and agricultural chemical carriers. Net sales of bleaching earth and fluid purification products were up 24% with 11% higher tons sold. The higher tonnage was the result of increased business opportunities in both domestic and export markets and in the biodiesel production industry. Our co-packaged traditional coarse cat litter net sales increased 22% accompanied by an 8% increase in tons sold. Promotion of a new product by our co-packaging partner resulted in higher sales volume. Net sales of agricultural chemical carriers were up 64% and tons sold increased 23%. Higher selling prices contributed to the sales increase, along with increased volume of higher priced products. Some of the volume increase was related to earlier purchases by certain customers in fiscal 2009 compared to fiscal 2008. The volume increase of agricultural chemical products experienced in the first quarter may not be sustained throughout the remainder of fiscal 2009. Net sales of Flo-Fre (a by-product of the manufacture of our agricultural chemical carriers), sports products and animal health and nutrition products also benefited from selling price increases that offset small declines in volume for these products.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sectPr>
      </w:pPr>
    </w:p>
    <w:bookmarkStart w:id="15" w:name="page16"/>
    <w:bookmarkEnd w:id="15"/>
    <w:p>
      <w:pPr>
        <w:jc w:val="both"/>
        <w:spacing w:after="0" w:line="297" w:lineRule="auto"/>
        <w:rPr>
          <w:sz w:val="20"/>
          <w:szCs w:val="20"/>
          <w:color w:val="auto"/>
        </w:rPr>
      </w:pPr>
      <w:r>
        <w:rPr>
          <w:rFonts w:ascii="Arial" w:cs="Arial" w:eastAsia="Arial" w:hAnsi="Arial"/>
          <w:sz w:val="16"/>
          <w:szCs w:val="16"/>
          <w:color w:val="auto"/>
        </w:rPr>
        <w:t>The Business to Business Products Group’s segment income increased 11% from $4,001,000 in the first three months of fiscal 2008 to $4,426,000 in the first three months of fiscal 2009. Higher net selling prices and increased tons sold offset an approximately 21% increase in combined freight, materials and packaging costs. Freight costs increased approximately 35% primarily due to higher diesel fuel prices. Material costs were impacted by increased energy-related costs in our mining and manufacturing processes which resulted in approximately a 19% cost increase. Selling, general and administrative expenses for the Group were up due to increased product development and marketing costs associated with the launch of new animal health and nutrition products.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RETAIL AND WHOLESALE PRODUCTS GROUP</w:t>
      </w:r>
    </w:p>
    <w:p>
      <w:pPr>
        <w:spacing w:after="0" w:line="2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sales of the Retail and Wholesale Products Group for the first three months of fiscal 2009 were $42,483,000, an increase of $4,115,000 from net sales of $38,368,000 reported in the first three months of fiscal 2008. The net sales growth was driven by increases in both net selling prices and tons sold. The Group’s total tons sold were up 6% compared to the first three months of fiscal 2008, including a 7% increase in cat litter tons. Net sales of private label cat litter increased 21% due to 13% more tons sold and a higher net selling price. The higher volume was the result of expanded distribution to existing customers, as well as distribution to new customers. Net sales of branded cat litter also increased 8% due to higher net selling prices that offset a 4% decline in volume primarily due to the loss of a customer. Industrial absorbents net sales were also up 20% due to 6% higher volume. Volume increased due to new customers and additional sales to existing customers.</w:t>
      </w:r>
    </w:p>
    <w:p>
      <w:pPr>
        <w:spacing w:after="0" w:line="243" w:lineRule="exact"/>
        <w:rPr>
          <w:sz w:val="20"/>
          <w:szCs w:val="20"/>
          <w:color w:val="auto"/>
        </w:rPr>
      </w:pPr>
    </w:p>
    <w:p>
      <w:pPr>
        <w:jc w:val="both"/>
        <w:ind w:right="20"/>
        <w:spacing w:after="0" w:line="276" w:lineRule="auto"/>
        <w:rPr>
          <w:sz w:val="20"/>
          <w:szCs w:val="20"/>
          <w:color w:val="auto"/>
        </w:rPr>
      </w:pPr>
      <w:r>
        <w:rPr>
          <w:rFonts w:ascii="Arial" w:cs="Arial" w:eastAsia="Arial" w:hAnsi="Arial"/>
          <w:sz w:val="17"/>
          <w:szCs w:val="17"/>
          <w:color w:val="auto"/>
        </w:rPr>
        <w:t>The Retail and Wholesale Products Group’s segment income decreased 27% to $3,162,000 in the first three months of fiscal 2009 from $4,350,000 in the first three months of fiscal 2008. The Group’s combined freight, materials and packaging costs increased approximately 8% from the first quarter of fiscal 2008. Freight costs were up approximately 12% and material costs increased approximately 8% for the reasons described above for the Business to Business Products Group. Package costs for the Retail and Wholesale Products Group were also up about 5% due to the higher costs in the resin and paper markets. Selling, general and administrative expenses for the Group were up due to higher advertising costs.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CONSOLIDATED RESULTS</w:t>
      </w:r>
    </w:p>
    <w:p>
      <w:pPr>
        <w:spacing w:after="0" w:line="27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consolidated gross profit as a percentage of net sales for the first three months of fiscal 2009 was 20% compared to 23% in the first three months of fiscal 2008. Higher net selling prices did not overcome increased fuel, manufacturing, freight, material and packaging costs. The cost of fuel used in the manufacturing process was 46% higher in the first quarter of fiscal 2009 compared to the first quarter of fiscal 2008. Gross profit was further reduced by an 11% increase in non-fuel manufacturing costs. Significant manufacturing cost increases were in labor, non-kiln fuel, repairs and purchased materials.</w:t>
      </w:r>
    </w:p>
    <w:p>
      <w:pPr>
        <w:spacing w:after="0" w:line="20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use natural gas, fuel oil and coal in the manufacturing process to operate kilns that dry our clay. As described in Item 3. Quantitative and Qualitative Disclosures About Market Risk below, we have contracted for a substantial portion of our planned fuel needs for fiscal 2009. Despite recent market price decreases in some energy-related commodities, we anticipate that fuel costs incurred during fiscal 2009 will continue to exceed costs in fiscal 2008.</w:t>
      </w:r>
    </w:p>
    <w:p>
      <w:pPr>
        <w:spacing w:after="0" w:line="20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Selling, general and administrative expenses as a percentage of net sales for the first three months of fiscal 2009 were 14% compared to 16% in the first three months of fiscal 2008. Expenses in the first three months of fiscal 2009 included a lower estimated annual incentive plan bonus accrual, outside legal services and stock compensation expense. The lower incentive bonus expense was based on performance targets that are established for each year. Stock compensation expense declined as existing grants were fully expensed and no new grants were issued. These lower costs were partially offset by increased spending for research, development and advertising relating to new and existing products.</w:t>
      </w:r>
    </w:p>
    <w:p>
      <w:pPr>
        <w:spacing w:after="0" w:line="24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Interest expense was $69,000 less for the first three months of fiscal 2009 compared to the same period in fiscal 2008 due to continued debt reduction. Interest income was $203,000 lower in the first three months of fiscal 2009 primarily due to a lower average interest rate and a lower average investment balance.</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effective tax rate was 27% of pre-tax income in the first quarter of fiscal 2009 compared to 26% for the full year of fiscal 2008. The effective tax rate is based on the projected composition of our taxable income for fiscal 2009.</w:t>
      </w:r>
    </w:p>
    <w:p>
      <w:pPr>
        <w:spacing w:after="0" w:line="2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Total assets decreased $5,846,000 or 4% during the first three months of fiscal 2009. Current assets decreased $7,015,000 or 8% from fiscal 2008 year-end balances, primarily due to a decrease in cash and cash equivalents and investments in Treasury securities. These decreases were partially offset by increases in inventories, accounts receivable and prepaid expenses. The changes in current assets are described below in Liquidity and Capital Resources. Property, plant and equipment, net of accumulated depreciation, increased $1,337,000 during the first three months of fiscal 2009 due to the purchase of land and an increase in capital projects at our manufacturing facilities.</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6" w:name="page17"/>
    <w:bookmarkEnd w:id="16"/>
    <w:p>
      <w:pPr>
        <w:jc w:val="both"/>
        <w:spacing w:after="0" w:line="273" w:lineRule="auto"/>
        <w:rPr>
          <w:sz w:val="20"/>
          <w:szCs w:val="20"/>
          <w:color w:val="auto"/>
        </w:rPr>
      </w:pPr>
      <w:r>
        <w:rPr>
          <w:rFonts w:ascii="Arial" w:cs="Arial" w:eastAsia="Arial" w:hAnsi="Arial"/>
          <w:sz w:val="17"/>
          <w:szCs w:val="17"/>
          <w:color w:val="auto"/>
        </w:rPr>
        <w:t>Total liabilities decreased $6,120,000 or 10% during the first three months of fiscal 2009. Current liabilities decreased $6,282,000 or 21% primarily due to decreased current maturities of notes payable, accrued salaries, accrued freight and accounts payable. Increases in accrued trade promotions and other accrued expenses partially offset these decreases. The changes in current liabilities are described below in Liquidity and Capital Resources. Non-current liabilities increased $162,000 or 1% due to a higher pension accrual and deferred compensation liabilities. The accrued pension liability is based on the most recent actuarial estimates. The increase in the deferred compensation liability is due to ongoing deferrals and accrued interest. These increases were partially offset by a decrease in notes payable due to the reclassification from long-term to current.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FOREIGN OPERATIONS</w:t>
      </w:r>
    </w:p>
    <w:p>
      <w:pPr>
        <w:spacing w:after="0" w:line="28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Net sales by our foreign subsidiaries during the first three months of fiscal 2009 were $3,870,000 or 6% of our consolidated net sales. This represents a decrease of 14% from the first three months of fiscal 2008, in which foreign subsidiary sales were $4,492,000 or 8% of our consolidated net sales. Net sales decreased in both our Canadian and United Kingdom subsidiaries. Canadian cat litter sales were down due to the loss of a customer. Industrial absorbent sales were down for both subsidiaries primarily due to the worldwide economic slowdown. In addition, both the British Pound and the Canadian Dollar were weaker against the U.S. Dollar for the first quarter of fiscal 2009 compared to the first quarter of fiscal 2008, which resulted in lower sales values after translation to U.S. Dollars for the first quarter of fiscal 2009. For the first three months of fiscal 2009, our foreign subsidiaries reported a net loss of $179,000, a decrease of $502,000 from the $323,000 net income reported in the first three months of fiscal 2008. The lower sales and currency translation loss described above contributed to the lower net income.</w:t>
      </w:r>
    </w:p>
    <w:p>
      <w:pPr>
        <w:spacing w:after="0" w:line="2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Identifiable assets of our foreign subsidiaries as of October 31, 2008 were $9,912,000 compared to $10,251,000 as of October 31, 2007. The decrease is primarily due to the weaker value of both the British Pound and Canadian Dollar compared to the U.S. Dollar as of October 31, 2008 versus October 31, 2007. This exchange rate fluctuation resulted in lower asset values translated to U.S. Dollars as of October 31, 2008, particularly for fixed assets and accounts receivable.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principal capital requirements include funding working capital needs, the purchasing and upgrading of real estate, equipment and facilities, funding new product development and investing in infrastructure and potential acquisitions. We principally have used cash generated from operations and, to the extent needed, issuance of debt securities and borrowings under our credit facilities to fund these requirements. Cash and cash equivalents decreased $5,540,000 during the first three months of fiscal 2009 to $1,308,000 at October 31, 2008.</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elements of our unaudited condensed consolidated statements of cash flows (in thousands):</w:t>
      </w:r>
    </w:p>
    <w:p>
      <w:pPr>
        <w:spacing w:after="0" w:line="333"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4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20" w:type="dxa"/>
            <w:vAlign w:val="bottom"/>
            <w:gridSpan w:val="5"/>
          </w:tcPr>
          <w:p>
            <w:pPr>
              <w:jc w:val="right"/>
              <w:ind w:right="840"/>
              <w:spacing w:after="0"/>
              <w:rPr>
                <w:sz w:val="20"/>
                <w:szCs w:val="20"/>
                <w:color w:val="auto"/>
              </w:rPr>
            </w:pPr>
            <w:r>
              <w:rPr>
                <w:rFonts w:ascii="Arial" w:cs="Arial" w:eastAsia="Arial" w:hAnsi="Arial"/>
                <w:sz w:val="18"/>
                <w:szCs w:val="18"/>
                <w:color w:val="auto"/>
              </w:rPr>
              <w:t>Three Months Ended</w:t>
            </w:r>
          </w:p>
        </w:tc>
      </w:tr>
      <w:tr>
        <w:trPr>
          <w:trHeight w:val="195"/>
        </w:trPr>
        <w:tc>
          <w:tcPr>
            <w:tcW w:w="4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jc w:val="right"/>
              <w:ind w:right="480"/>
              <w:spacing w:after="0" w:line="195" w:lineRule="exact"/>
              <w:rPr>
                <w:sz w:val="20"/>
                <w:szCs w:val="20"/>
                <w:color w:val="auto"/>
              </w:rPr>
            </w:pPr>
            <w:r>
              <w:rPr>
                <w:rFonts w:ascii="Arial" w:cs="Arial" w:eastAsia="Arial" w:hAnsi="Arial"/>
                <w:sz w:val="18"/>
                <w:szCs w:val="18"/>
                <w:color w:val="auto"/>
                <w:w w:val="97"/>
              </w:rPr>
              <w:t>October 31,</w:t>
            </w:r>
          </w:p>
        </w:tc>
        <w:tc>
          <w:tcPr>
            <w:tcW w:w="1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190"/>
              <w:spacing w:after="0" w:line="195" w:lineRule="exact"/>
              <w:rPr>
                <w:sz w:val="20"/>
                <w:szCs w:val="20"/>
                <w:color w:val="auto"/>
              </w:rPr>
            </w:pPr>
            <w:r>
              <w:rPr>
                <w:rFonts w:ascii="Arial" w:cs="Arial" w:eastAsia="Arial" w:hAnsi="Arial"/>
                <w:sz w:val="18"/>
                <w:szCs w:val="18"/>
                <w:color w:val="auto"/>
                <w:w w:val="97"/>
              </w:rPr>
              <w:t>October 31,</w:t>
            </w:r>
          </w:p>
        </w:tc>
        <w:tc>
          <w:tcPr>
            <w:tcW w:w="100" w:type="dxa"/>
            <w:vAlign w:val="bottom"/>
          </w:tcPr>
          <w:p>
            <w:pPr>
              <w:spacing w:after="0"/>
              <w:rPr>
                <w:sz w:val="16"/>
                <w:szCs w:val="16"/>
                <w:color w:val="auto"/>
              </w:rPr>
            </w:pPr>
          </w:p>
        </w:tc>
      </w:tr>
      <w:tr>
        <w:trPr>
          <w:trHeight w:val="230"/>
        </w:trPr>
        <w:tc>
          <w:tcPr>
            <w:tcW w:w="4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2008</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2007</w:t>
            </w:r>
          </w:p>
        </w:tc>
        <w:tc>
          <w:tcPr>
            <w:tcW w:w="100" w:type="dxa"/>
            <w:vAlign w:val="bottom"/>
          </w:tcPr>
          <w:p>
            <w:pPr>
              <w:spacing w:after="0"/>
              <w:rPr>
                <w:sz w:val="20"/>
                <w:szCs w:val="20"/>
                <w:color w:val="auto"/>
              </w:rPr>
            </w:pPr>
          </w:p>
        </w:tc>
      </w:tr>
      <w:tr>
        <w:trPr>
          <w:trHeight w:val="237"/>
        </w:trPr>
        <w:tc>
          <w:tcPr>
            <w:tcW w:w="4680" w:type="dxa"/>
            <w:vAlign w:val="bottom"/>
            <w:shd w:val="clear" w:color="auto" w:fill="CCFFCC"/>
          </w:tcPr>
          <w:p>
            <w:pPr>
              <w:spacing w:after="0"/>
              <w:rPr>
                <w:sz w:val="20"/>
                <w:szCs w:val="20"/>
                <w:color w:val="auto"/>
              </w:rPr>
            </w:pPr>
            <w:r>
              <w:rPr>
                <w:rFonts w:ascii="Arial" w:cs="Arial" w:eastAsia="Arial" w:hAnsi="Arial"/>
                <w:sz w:val="18"/>
                <w:szCs w:val="18"/>
                <w:color w:val="auto"/>
              </w:rPr>
              <w:t>Net cash (used in) provided by operating activities</w:t>
            </w:r>
          </w:p>
        </w:tc>
        <w:tc>
          <w:tcPr>
            <w:tcW w:w="380" w:type="dxa"/>
            <w:vAlign w:val="bottom"/>
            <w:gridSpan w:val="2"/>
            <w:shd w:val="clear" w:color="auto" w:fill="CCFFCC"/>
          </w:tcPr>
          <w:p>
            <w:pPr>
              <w:jc w:val="right"/>
              <w:ind w:right="5"/>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(2,582)</w:t>
            </w: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w:t>
            </w:r>
          </w:p>
        </w:tc>
      </w:tr>
      <w:tr>
        <w:trPr>
          <w:trHeight w:val="243"/>
        </w:trPr>
        <w:tc>
          <w:tcPr>
            <w:tcW w:w="468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1,984</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(6,355)</w:t>
            </w:r>
          </w:p>
        </w:tc>
      </w:tr>
      <w:tr>
        <w:trPr>
          <w:trHeight w:val="243"/>
        </w:trPr>
        <w:tc>
          <w:tcPr>
            <w:tcW w:w="4680" w:type="dxa"/>
            <w:vAlign w:val="bottom"/>
            <w:shd w:val="clear" w:color="auto" w:fill="CCFFCC"/>
          </w:tcPr>
          <w:p>
            <w:pPr>
              <w:spacing w:after="0"/>
              <w:rPr>
                <w:sz w:val="20"/>
                <w:szCs w:val="20"/>
                <w:color w:val="auto"/>
              </w:rPr>
            </w:pPr>
            <w:r>
              <w:rPr>
                <w:rFonts w:ascii="Arial" w:cs="Arial" w:eastAsia="Arial" w:hAnsi="Arial"/>
                <w:sz w:val="18"/>
                <w:szCs w:val="18"/>
                <w:color w:val="auto"/>
              </w:rPr>
              <w:t>Net cash used in financing activities</w:t>
            </w:r>
          </w:p>
        </w:tc>
        <w:tc>
          <w:tcPr>
            <w:tcW w:w="2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4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(5,767)</w:t>
            </w:r>
          </w:p>
        </w:tc>
        <w:tc>
          <w:tcPr>
            <w:tcW w:w="180" w:type="dxa"/>
            <w:vAlign w:val="bottom"/>
            <w:shd w:val="clear" w:color="auto" w:fill="CCFFCC"/>
          </w:tcPr>
          <w:p>
            <w:pPr>
              <w:spacing w:after="0"/>
              <w:rPr>
                <w:sz w:val="21"/>
                <w:szCs w:val="21"/>
                <w:color w:val="auto"/>
              </w:rPr>
            </w:pP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w:t>
            </w:r>
          </w:p>
        </w:tc>
      </w:tr>
      <w:tr>
        <w:trPr>
          <w:trHeight w:val="243"/>
        </w:trPr>
        <w:tc>
          <w:tcPr>
            <w:tcW w:w="4680" w:type="dxa"/>
            <w:vAlign w:val="bottom"/>
          </w:tcPr>
          <w:p>
            <w:pPr>
              <w:spacing w:after="0"/>
              <w:rPr>
                <w:sz w:val="20"/>
                <w:szCs w:val="20"/>
                <w:color w:val="auto"/>
              </w:rPr>
            </w:pPr>
            <w:r>
              <w:rPr>
                <w:rFonts w:ascii="Arial" w:cs="Arial" w:eastAsia="Arial" w:hAnsi="Arial"/>
                <w:sz w:val="18"/>
                <w:szCs w:val="18"/>
                <w:color w:val="auto"/>
                <w:w w:val="93"/>
              </w:rPr>
              <w:t>Effect of exchange rate changes on cash and cash equivalents</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825</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(407)</w:t>
            </w:r>
          </w:p>
        </w:tc>
      </w:tr>
      <w:tr>
        <w:trPr>
          <w:trHeight w:val="250"/>
        </w:trPr>
        <w:tc>
          <w:tcPr>
            <w:tcW w:w="468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Net (decrease) in cash and cash equivalents</w:t>
            </w:r>
          </w:p>
        </w:tc>
        <w:tc>
          <w:tcPr>
            <w:tcW w:w="2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top w:val="single" w:sz="8" w:color="auto"/>
              <w:bottom w:val="single" w:sz="8" w:color="auto"/>
            </w:tcBorders>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(5,540)</w:t>
            </w:r>
          </w:p>
        </w:tc>
        <w:tc>
          <w:tcPr>
            <w:tcW w:w="2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(6,763)</w:t>
            </w:r>
          </w:p>
        </w:tc>
        <w:tc>
          <w:tcPr>
            <w:tcW w:w="100" w:type="dxa"/>
            <w:vAlign w:val="bottom"/>
            <w:tcBorders>
              <w:bottom w:val="single" w:sz="8" w:color="CCFFCC"/>
            </w:tcBorders>
            <w:shd w:val="clear" w:color="auto" w:fill="CCFFCC"/>
          </w:tcPr>
          <w:p>
            <w:pPr>
              <w:spacing w:after="0"/>
              <w:rPr>
                <w:sz w:val="21"/>
                <w:szCs w:val="2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provided by operating activities</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used in operations was $2,582,000 for the first three months of fiscal 2009, compared to cash provided by operations of $4,000 for the first three months of fiscal 2008. The decrease was due primarily to changes in working capital and lower net income. For the first three months of fiscal years 2009 and 2008, the primary components of working capital that impacted operating cash flows were as follows:</w:t>
      </w:r>
    </w:p>
    <w:p>
      <w:pPr>
        <w:spacing w:after="0" w:line="2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Inventories increased $2,089,000 in the first three months of fiscal 2009 versus an increase of $2,299,000 in the same period in fiscal 2008. Finished goods and packaging inventories increased in the first three months of fiscal 2009 primarily due to higher costs and normal operational fluctuations. Inventories increased in the first three months of fiscal 2008 in an effort to build finished goods inventory to meet future demand of specific products and to level production.</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7" w:name="page18"/>
    <w:bookmarkEnd w:id="17"/>
    <w:p>
      <w:pPr>
        <w:jc w:val="both"/>
        <w:spacing w:after="0" w:line="276" w:lineRule="auto"/>
        <w:rPr>
          <w:sz w:val="20"/>
          <w:szCs w:val="20"/>
          <w:color w:val="auto"/>
        </w:rPr>
      </w:pPr>
      <w:r>
        <w:rPr>
          <w:rFonts w:ascii="Arial" w:cs="Arial" w:eastAsia="Arial" w:hAnsi="Arial"/>
          <w:sz w:val="17"/>
          <w:szCs w:val="17"/>
          <w:color w:val="auto"/>
        </w:rPr>
        <w:t>Accounts receivable, less allowance for doubtful accounts, increased by $1,380,000 in the first three months of fiscal 2009 versus a decrease of $354,000 in the first three months of fiscal 2008. Sales in the first quarter of both fiscal years were higher compared to sales in the fourth quarter of the preceding fiscal year. The comparative sales increase was greater for the first quarter of fiscal 2009 resulting in a larger increase in accounts receivable. The change in both years is also subject to timing of sales and collections and ongoing efforts to improve collection procedures. The quality of our accounts receivable in terms of aging and days sales outstanding has not diminished as of October 31, 2008 compared to October 31, 2007.</w:t>
      </w:r>
    </w:p>
    <w:p>
      <w:pPr>
        <w:spacing w:after="0" w:line="2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Other assets increased $1,081,000 in the first quarter of fiscal 2009 versus a decrease of $514,000 in the first quarter of fiscal 2008. The change in other assets includes the effect of currency exchange rate fluctuations on non-cash assets held by our foreign subsidiaries. The change in the relative value of the U.S. Dollar to both the British Pound and the Canadian Dollar was greater in the first three months of fiscal 2009 compared to the same period of fiscal 2008. Additionally, in the first quarter of fiscal 2009, the U.S. Dollar increased in value compared to these two currencies, while in the first quarter of fiscal 2008 the U.S. Dollar declined in comparative value.</w:t>
      </w:r>
    </w:p>
    <w:p>
      <w:pPr>
        <w:spacing w:after="0" w:line="24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Other prepaid expenses increased $509,000 in the first three months of fiscal 2009 versus an increase of $654,000 in the first three months of fiscal 2008. The timing of insurance premium payments resulted in an increase in prepaid expenses in both years.</w:t>
      </w:r>
    </w:p>
    <w:p>
      <w:pPr>
        <w:spacing w:after="0" w:line="2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Accrued expenses decreased $2,274,000 in the first three months of fiscal 2009 versus a decrease of $2,606,000 in the first three months of fiscal 2008. The decrease in both years was primarily due to the payout of the prior fiscal year’s discretionary bonus accrual and lower accrued interest due to payments on long-term debt. Partially offsetting this decrease in both years were higher trade spending and advertising accruals due to the timing of promotional activities and higher accruals for energy-related costs. For the first three months of fiscal 2008, this decrease was further offset by a higher freight expense accrual due to higher freight costs and the timing of shipments at quarter-end.</w:t>
      </w:r>
    </w:p>
    <w:p>
      <w:pPr>
        <w:spacing w:after="0" w:line="24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Other liabilities increased $589,000 in the first quarter of fiscal 2009 compared to an increase of $64,000 in the same period of fiscal 2008. The change relates primarily to the currency exchange rate fluctuation described above for other assets.</w:t>
      </w:r>
    </w:p>
    <w:p>
      <w:pPr>
        <w:spacing w:after="0" w:line="2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Accounts payable decreased $118,000 in the first three months of fiscal 2009 versus an increase of $296,000 in the same period in fiscal 2008. Both years were subject to normal fluctuations in the timing of payments.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(used in) investing activities</w:t>
      </w:r>
    </w:p>
    <w:p>
      <w:pPr>
        <w:spacing w:after="0" w:line="29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Cash provided by investing activities was $1,984,000 in the first three months of fiscal 2009 compared to cash used in investing activities of $6,355,000 in the first three months of fiscal 2008. In the first three months of fiscal 2009, more cash was provided by dispositions of investment securities than was used to purchase investment securities. The cash from dispositions was used to fund payments on long-term debt, bonus, capital expenditures and dividends. During fiscal 2008 we also changed our investment strategy to allocate a greater portion of our financial resources to investments versus cash. Purchases and dispositions of investment securities in both periods are subject to variations in the timing of investment maturities. Cash used for capital expenditures was $3,552,000 in the first three months of fiscal 2009 compared to $2,147,000 in the same period of fiscal 2008.</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2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Cash used in financing activities was $5,767,000 in the first three months of fiscal 2009 compared to $5,000 in the first three months of fiscal 2008. Cash used for payment of long-term debt in the first quarter of fiscal 2009 was $4,000,000 higher than in the first quarter of fiscal 2008. In addition, $644,000 was used to purchase treasury stock in fiscal 2009 while no purchases were made in the first quarter of fiscal 2008. Dividend payments were also higher at $919,000 in the first three months of fiscal 2009 due to a dividend increase compared to $834,000 in the first three months of fiscal 2008. Cash provided from the issuance of common stock related to stock options exercise activity of $83,000 in the first three months of fiscal 2009 was less than the $593,000 provided for the same period in fiscal 2008. The decrease in stock option exercises also provided a lower excess tax benefit of $61,000 in the first three months of fiscal 2009 compared to $158,000 in the same period of fiscal 2008.</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Other</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cash and investment balances held by our foreign subsidiaries at October 31, 2008 and 2007 were $1,762,000 and $1,016,000, respectively. Our foreign subsidiaries’ cash and investment balances increased due to normal business operations.</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part of our normal course of business, we guarantee certain debts and trade payables of our wholly owned subsidiaries. These arrangements are made at the request of the subsidiaries’ creditors because separate financial statements are not distributed for the wholly owned subsidiaries. As of October 31, 2008, the value of these guarantees was $579,000 of lease liabilities.</w:t>
      </w:r>
    </w:p>
    <w:p>
      <w:pPr>
        <w:spacing w:after="0" w:line="23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January 27, 2006, we entered into a $15,000,000 unsecured revolving credit agreement with Harris N.A. (“Harris”) that is effective until January 27, 2009. The credit agreement provides that we may select a variable rate based on either Harris’ prime rate or a LIBOR-based rate, plus a margin which varies depending on our debt to earnings ratio, or a fixed rate as agreed between us and Harris. At October 31, 2008, the variable rates would have been 4.0% for the Harris’ prime-based rate or 3.7% for the LIBOR-based rate. The credit agreement contains restrictive covenants that, among other things and under various conditions (including a limitation on capital expenditures), limit our ability to incur additional indebtedness or to dispose of assets. The agreement also requires us to maintain a minimum fixed coverage ratio and a minimum consolidated net worth. As of October 31, 2008 and 2007, we had $15,000,000 available under this credit facility and we were in compliance with its covenants. While there can be no assurance regarding the terms, timing or consummation of any successor agreement, on or before the expiration of this agreement on January 27, 2009, we expect to enter into a successor credit arrangement with Harris N.A. containing terms and conditions reasonably acceptable to us.</w:t>
      </w:r>
    </w:p>
    <w:p>
      <w:pPr>
        <w:spacing w:after="0" w:line="23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that cash flow from operations, availability under our revolving credit facility and current cash and investment balances will provide adequate cash funds for foreseeable working capital needs, capital expenditures at existing facilities and debt service obligations for at least the next 12 months. We expect cash requirements for capital expenditures in fiscal 2009 to increase by over $5,000,000 from fiscal 2008 due to significant investment in our manufacturing facilities. Our ability to fund operations, to make planned capital expenditures, to make scheduled debt payments and to remain in compliance with all of the financial covenants under debt agreements, including, but not limited to, the credit agreement, depends on our future operating performance, which, in turn, is subject to prevailing economic conditions and to financial, business and other factors. The timing and size of any new business ventures or acquisitions that we complete may also impact our cash requirements.</w:t>
      </w:r>
    </w:p>
    <w:p>
      <w:pPr>
        <w:spacing w:after="0" w:line="24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capital requirements are subject to change as business conditions warrant and opportunities arise. The tables in the following subsection summarize our contractual obligations and commercial commitments at October 31, 2008 for the time frames indicated.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CONTRACTUAL OBLIGATIONS AND COMMERCIAL COMMITMENTS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140" w:type="dxa"/>
            <w:vAlign w:val="bottom"/>
            <w:gridSpan w:val="2"/>
            <w:vMerge w:val="restart"/>
          </w:tcPr>
          <w:p>
            <w:pPr>
              <w:ind w:left="1980"/>
              <w:spacing w:after="0"/>
              <w:rPr>
                <w:sz w:val="20"/>
                <w:szCs w:val="20"/>
                <w:color w:val="auto"/>
              </w:rPr>
            </w:pPr>
            <w:r>
              <w:rPr>
                <w:rFonts w:ascii="Arial" w:cs="Arial" w:eastAsia="Arial" w:hAnsi="Arial"/>
                <w:sz w:val="18"/>
                <w:szCs w:val="18"/>
                <w:b w:val="1"/>
                <w:bCs w:val="1"/>
                <w:color w:val="auto"/>
              </w:rPr>
              <w:t>Contractual</w:t>
            </w: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rPr>
              <w:t>Payments Due by Period</w:t>
            </w:r>
          </w:p>
        </w:tc>
        <w:tc>
          <w:tcPr>
            <w:tcW w:w="8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1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220"/>
              <w:spacing w:after="0" w:line="191" w:lineRule="exact"/>
              <w:rPr>
                <w:sz w:val="20"/>
                <w:szCs w:val="20"/>
                <w:color w:val="auto"/>
              </w:rPr>
            </w:pPr>
            <w:r>
              <w:rPr>
                <w:rFonts w:ascii="Arial" w:cs="Arial" w:eastAsia="Arial" w:hAnsi="Arial"/>
                <w:sz w:val="18"/>
                <w:szCs w:val="18"/>
                <w:b w:val="1"/>
                <w:bCs w:val="1"/>
                <w:color w:val="auto"/>
                <w:w w:val="88"/>
              </w:rPr>
              <w:t>Less Than 1</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00" w:type="dxa"/>
            <w:vAlign w:val="bottom"/>
            <w:tcBorders>
              <w:bottom w:val="single" w:sz="8" w:color="auto"/>
            </w:tcBorders>
          </w:tcPr>
          <w:p>
            <w:pPr>
              <w:ind w:left="2000"/>
              <w:spacing w:after="0"/>
              <w:rPr>
                <w:sz w:val="20"/>
                <w:szCs w:val="20"/>
                <w:color w:val="auto"/>
              </w:rPr>
            </w:pPr>
            <w:r>
              <w:rPr>
                <w:rFonts w:ascii="Arial" w:cs="Arial" w:eastAsia="Arial" w:hAnsi="Arial"/>
                <w:sz w:val="18"/>
                <w:szCs w:val="18"/>
                <w:b w:val="1"/>
                <w:bCs w:val="1"/>
                <w:color w:val="auto"/>
              </w:rPr>
              <w:t>Obligations</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Year</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1 – 3 Years</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4</w:t>
            </w: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8"/>
              </w:rPr>
              <w:t>– 5 Years</w:t>
            </w:r>
          </w:p>
        </w:tc>
        <w:tc>
          <w:tcPr>
            <w:tcW w:w="120" w:type="dxa"/>
            <w:vAlign w:val="bottom"/>
          </w:tcPr>
          <w:p>
            <w:pPr>
              <w:spacing w:after="0"/>
              <w:rPr>
                <w:sz w:val="20"/>
                <w:szCs w:val="2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After 5 Years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Long-Term Debt</w:t>
            </w:r>
          </w:p>
        </w:tc>
        <w:tc>
          <w:tcPr>
            <w:tcW w:w="220" w:type="dxa"/>
            <w:vAlign w:val="bottom"/>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23,000,000</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1,700,000</w:t>
            </w: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8,600,000</w:t>
            </w:r>
          </w:p>
        </w:tc>
        <w:tc>
          <w:tcPr>
            <w:tcW w:w="12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8,800,000</w:t>
            </w:r>
          </w:p>
        </w:tc>
        <w:tc>
          <w:tcPr>
            <w:tcW w:w="360" w:type="dxa"/>
            <w:vAlign w:val="bottom"/>
            <w:tcBorders>
              <w:left w:val="single" w:sz="8" w:color="CCFFCC"/>
            </w:tcBorders>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3,900,000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Interest on Long-Term Debt</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5,051,000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1,380,000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2,190,000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1,228,000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Operating Leases</w:t>
            </w:r>
          </w:p>
        </w:tc>
        <w:tc>
          <w:tcPr>
            <w:tcW w:w="22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11,995,000</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2,421,000</w:t>
            </w: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3,655,000</w:t>
            </w: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2,042,000</w:t>
            </w:r>
          </w:p>
        </w:tc>
        <w:tc>
          <w:tcPr>
            <w:tcW w:w="120" w:type="dxa"/>
            <w:vAlign w:val="bottom"/>
            <w:tcBorders>
              <w:left w:val="single" w:sz="8" w:color="CCFFCC"/>
            </w:tcBorders>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3,877,000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Unconditional Purchase Obligations</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16,096,000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13,399,000</w:t>
            </w:r>
          </w:p>
        </w:tc>
        <w:tc>
          <w:tcPr>
            <w:tcW w:w="12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2,697,000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160" w:type="dxa"/>
            <w:vAlign w:val="bottom"/>
            <w:gridSpan w:val="3"/>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51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Total Contractual Cash Obligations</w:t>
            </w:r>
          </w:p>
        </w:tc>
        <w:tc>
          <w:tcPr>
            <w:tcW w:w="220" w:type="dxa"/>
            <w:vAlign w:val="bottom"/>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56,142,000</w:t>
            </w:r>
          </w:p>
        </w:tc>
        <w:tc>
          <w:tcPr>
            <w:tcW w:w="120" w:type="dxa"/>
            <w:vAlign w:val="bottom"/>
            <w:shd w:val="clear" w:color="auto" w:fill="CCFFCC"/>
          </w:tcPr>
          <w:p>
            <w:pPr>
              <w:spacing w:after="0"/>
              <w:rPr>
                <w:sz w:val="22"/>
                <w:szCs w:val="22"/>
                <w:color w:val="auto"/>
              </w:rPr>
            </w:pPr>
          </w:p>
        </w:tc>
        <w:tc>
          <w:tcPr>
            <w:tcW w:w="10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18,900,000</w:t>
            </w:r>
          </w:p>
        </w:tc>
        <w:tc>
          <w:tcPr>
            <w:tcW w:w="12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17,142,000</w:t>
            </w:r>
          </w:p>
        </w:tc>
        <w:tc>
          <w:tcPr>
            <w:tcW w:w="12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FFCC"/>
          </w:tcPr>
          <w:p>
            <w:pPr>
              <w:spacing w:after="0"/>
              <w:rPr>
                <w:sz w:val="22"/>
                <w:szCs w:val="22"/>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3"/>
              </w:rPr>
              <w:t>12,070,000</w:t>
            </w:r>
          </w:p>
        </w:tc>
        <w:tc>
          <w:tcPr>
            <w:tcW w:w="360" w:type="dxa"/>
            <w:vAlign w:val="bottom"/>
            <w:tcBorders>
              <w:left w:val="single" w:sz="8" w:color="CCFFCC"/>
            </w:tcBorders>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8,030,000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are not required to make a contribution to our defined benefit pension plan in fiscal 2009. We have not presented this obligation for future years in the table above because the funding requirement can vary from year to year based on changes in the fair value of plan assets and actuarial assumptions. See Item</w:t>
      </w:r>
    </w:p>
    <w:p>
      <w:pPr>
        <w:ind w:firstLine="8"/>
        <w:spacing w:after="0" w:line="261" w:lineRule="auto"/>
        <w:tabs>
          <w:tab w:leader="none" w:pos="181" w:val="left"/>
        </w:tabs>
        <w:numPr>
          <w:ilvl w:val="0"/>
          <w:numId w:val="4"/>
        </w:numPr>
        <w:rPr>
          <w:rFonts w:ascii="Arial" w:cs="Arial" w:eastAsia="Arial" w:hAnsi="Arial"/>
          <w:sz w:val="18"/>
          <w:szCs w:val="18"/>
          <w:color w:val="auto"/>
        </w:rPr>
      </w:pPr>
      <w:r>
        <w:rPr>
          <w:rFonts w:ascii="Arial" w:cs="Arial" w:eastAsia="Arial" w:hAnsi="Arial"/>
          <w:sz w:val="18"/>
          <w:szCs w:val="18"/>
          <w:color w:val="auto"/>
        </w:rPr>
        <w:t>Quantitative and Qualitative Disclosures About Market Risk below for a discussion of the potential impact of financial market fluctuations on pension plan assets and future funding contributions.</w:t>
      </w:r>
    </w:p>
    <w:p>
      <w:pPr>
        <w:spacing w:after="0" w:line="238"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As of October 31, 2008, our non-current liability for uncertain tax positions was approximately $200,000. We have not presented this obligation in the table above because the timing of future cash flows is dependent on examinations by taxing authorities and can not reasonably be estimated.</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9" w:name="page20"/>
    <w:bookmarkEnd w:id="19"/>
    <w:p>
      <w:pPr>
        <w:jc w:val="both"/>
        <w:spacing w:after="0" w:line="259" w:lineRule="auto"/>
        <w:rPr>
          <w:sz w:val="20"/>
          <w:szCs w:val="20"/>
          <w:color w:val="auto"/>
        </w:rPr>
      </w:pPr>
      <w:r>
        <w:rPr>
          <w:rFonts w:ascii="Arial" w:cs="Arial" w:eastAsia="Arial" w:hAnsi="Arial"/>
          <w:sz w:val="18"/>
          <w:szCs w:val="18"/>
          <w:color w:val="auto"/>
        </w:rPr>
        <w:t>The unconditional purchase obligations represent forward purchase contracts we have entered into for a portion of our natural gas fuel needs for fiscal 2009, 2010 and 2011. As of October 31, 2008, the remaining purchase obligation for fiscal 2009 was $12,867,000 for 1,320,000 MMBtu, for fiscal 2010 was $2,154,000 for 240,000 MMBtu and for fiscal 2011 was $1,075,000 for 120,000 MMBtu. These contracts were entered into in the normal course of business and no contracts were entered into for speculative purposes.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vMerge w:val="restart"/>
          </w:tcPr>
          <w:p>
            <w:pPr>
              <w:jc w:val="center"/>
              <w:ind w:right="130"/>
              <w:spacing w:after="0"/>
              <w:rPr>
                <w:sz w:val="20"/>
                <w:szCs w:val="20"/>
                <w:color w:val="auto"/>
              </w:rPr>
            </w:pPr>
            <w:r>
              <w:rPr>
                <w:rFonts w:ascii="Arial" w:cs="Arial" w:eastAsia="Arial" w:hAnsi="Arial"/>
                <w:sz w:val="18"/>
                <w:szCs w:val="18"/>
                <w:b w:val="1"/>
                <w:bCs w:val="1"/>
                <w:color w:val="auto"/>
                <w:w w:val="93"/>
              </w:rPr>
              <w:t>Other Commercial</w:t>
            </w:r>
          </w:p>
        </w:tc>
        <w:tc>
          <w:tcPr>
            <w:tcW w:w="120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8"/>
          </w:tcPr>
          <w:p>
            <w:pPr>
              <w:ind w:left="60"/>
              <w:spacing w:after="0"/>
              <w:rPr>
                <w:sz w:val="20"/>
                <w:szCs w:val="20"/>
                <w:color w:val="auto"/>
              </w:rPr>
            </w:pPr>
            <w:r>
              <w:rPr>
                <w:rFonts w:ascii="Arial" w:cs="Arial" w:eastAsia="Arial" w:hAnsi="Arial"/>
                <w:sz w:val="18"/>
                <w:szCs w:val="18"/>
                <w:b w:val="1"/>
                <w:bCs w:val="1"/>
                <w:color w:val="auto"/>
                <w:w w:val="92"/>
              </w:rPr>
              <w:t>Amount of Commitment Expiration Per Period</w:t>
            </w:r>
          </w:p>
        </w:tc>
        <w:tc>
          <w:tcPr>
            <w:tcW w:w="1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160" w:type="dxa"/>
            <w:vAlign w:val="bottom"/>
            <w:vMerge w:val="continue"/>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gridSpan w:val="2"/>
          </w:tcPr>
          <w:p>
            <w:pPr>
              <w:jc w:val="center"/>
              <w:ind w:right="120"/>
              <w:spacing w:after="0" w:line="191" w:lineRule="exact"/>
              <w:rPr>
                <w:sz w:val="20"/>
                <w:szCs w:val="20"/>
                <w:color w:val="auto"/>
              </w:rPr>
            </w:pPr>
            <w:r>
              <w:rPr>
                <w:rFonts w:ascii="Arial" w:cs="Arial" w:eastAsia="Arial" w:hAnsi="Arial"/>
                <w:sz w:val="18"/>
                <w:szCs w:val="18"/>
                <w:b w:val="1"/>
                <w:bCs w:val="1"/>
                <w:color w:val="auto"/>
                <w:w w:val="90"/>
              </w:rPr>
              <w:t>Less Than 1</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16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Commitments</w:t>
            </w:r>
          </w:p>
        </w:tc>
        <w:tc>
          <w:tcPr>
            <w:tcW w:w="12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Year</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1 – 3 Years</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4 – 5 Years</w:t>
            </w:r>
          </w:p>
        </w:tc>
        <w:tc>
          <w:tcPr>
            <w:tcW w:w="120" w:type="dxa"/>
            <w:vAlign w:val="bottom"/>
          </w:tcPr>
          <w:p>
            <w:pPr>
              <w:spacing w:after="0"/>
              <w:rPr>
                <w:sz w:val="20"/>
                <w:szCs w:val="20"/>
                <w:color w:val="auto"/>
              </w:rPr>
            </w:pPr>
          </w:p>
        </w:tc>
        <w:tc>
          <w:tcPr>
            <w:tcW w:w="114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w w:val="95"/>
              </w:rPr>
              <w:t>After 5 Years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rPr>
              <w:t>Other Commercial Commitments</w:t>
            </w:r>
          </w:p>
        </w:tc>
        <w:tc>
          <w:tcPr>
            <w:tcW w:w="12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99"/>
              </w:rPr>
              <w:t>$   42,953,000</w:t>
            </w:r>
          </w:p>
        </w:tc>
        <w:tc>
          <w:tcPr>
            <w:tcW w:w="1340" w:type="dxa"/>
            <w:vAlign w:val="bottom"/>
            <w:gridSpan w:val="3"/>
            <w:shd w:val="clear" w:color="auto" w:fill="CCFFCC"/>
          </w:tcPr>
          <w:p>
            <w:pPr>
              <w:jc w:val="center"/>
              <w:ind w:right="40"/>
              <w:spacing w:after="0"/>
              <w:rPr>
                <w:sz w:val="20"/>
                <w:szCs w:val="20"/>
                <w:color w:val="auto"/>
              </w:rPr>
            </w:pPr>
            <w:r>
              <w:rPr>
                <w:rFonts w:ascii="Arial" w:cs="Arial" w:eastAsia="Arial" w:hAnsi="Arial"/>
                <w:sz w:val="18"/>
                <w:szCs w:val="18"/>
                <w:color w:val="auto"/>
                <w:w w:val="99"/>
              </w:rPr>
              <w:t>$   29,007,000</w:t>
            </w:r>
          </w:p>
        </w:tc>
        <w:tc>
          <w:tcPr>
            <w:tcW w:w="12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13,946,000</w:t>
            </w:r>
          </w:p>
        </w:tc>
        <w:tc>
          <w:tcPr>
            <w:tcW w:w="12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FFCC"/>
          </w:tcPr>
          <w:p>
            <w:pPr>
              <w:ind w:left="820"/>
              <w:spacing w:after="0"/>
              <w:rPr>
                <w:sz w:val="20"/>
                <w:szCs w:val="20"/>
                <w:color w:val="auto"/>
              </w:rPr>
            </w:pPr>
            <w:r>
              <w:rPr>
                <w:rFonts w:ascii="Arial" w:cs="Arial" w:eastAsia="Arial" w:hAnsi="Arial"/>
                <w:sz w:val="18"/>
                <w:szCs w:val="18"/>
                <w:color w:val="auto"/>
                <w:w w:val="88"/>
              </w:rPr>
              <w:t>—</w:t>
            </w:r>
          </w:p>
        </w:tc>
        <w:tc>
          <w:tcPr>
            <w:tcW w:w="640" w:type="dxa"/>
            <w:vAlign w:val="bottom"/>
            <w:gridSpan w:val="2"/>
            <w:shd w:val="clear" w:color="auto" w:fill="CCFFCC"/>
          </w:tcPr>
          <w:p>
            <w:pPr>
              <w:jc w:val="right"/>
              <w:ind w:right="35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FFCC"/>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160" w:type="dxa"/>
            <w:vAlign w:val="bottom"/>
            <w:tcBorders>
              <w:top w:val="single" w:sz="8" w:color="CCFFCC"/>
            </w:tcBorders>
            <w:shd w:val="clear" w:color="auto" w:fill="CCFFCC"/>
          </w:tcPr>
          <w:p>
            <w:pPr>
              <w:spacing w:after="0" w:line="20" w:lineRule="exact"/>
              <w:rPr>
                <w:sz w:val="1"/>
                <w:szCs w:val="1"/>
                <w:color w:val="auto"/>
              </w:rPr>
            </w:pPr>
          </w:p>
        </w:tc>
        <w:tc>
          <w:tcPr>
            <w:tcW w:w="120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other commercial commitments represent open purchase orders, including blanket purchase orders, for items such as packaging, additives and pallets used in the normal course of operations. The expected timing of payments of these obligations is estimated based on current information. Timing of payments and actual amounts paid may be different depending on the time of receipt of goods or services, or changes to agreed-upon amounts for some obligations.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2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discussion and analysis of financial condition and results of operations is based on our unaudited condensed consolidated financial statements, which have been prepared in conformity with accounting principles generally accepted in the United States. The preparation of these financial statements requires the use of estimates and assumptions related to the reporting of assets, liabilities, revenues, expenses and related disclosures. In preparing these financial statements, we have made our best estimates and judgments of certain amounts included in the financial statements. Estimates are revised periodically. Actual results could differ from these estimates.</w:t>
      </w:r>
    </w:p>
    <w:p>
      <w:pPr>
        <w:spacing w:after="0" w:line="24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See the information concerning our critical accounting policies included under Management’s Discussion of Financial Condition and Results of Operations in our Annual Report on Form 10-K for the fiscal year ended July 31, 2008 filed with the Securities and Exchange Commission, which is incorporated by reference in this Form 10-Q. For additional information on our adoption of SFAS 157, see Note 5 of the notes to unaudited condensed consolidated financial statements in this Quarterly Report on Form 10-Q. For additional information on our adoption of SFAS 159 and EITF 06-11, see Note 3 of the notes to unaudited condensed consolidated financial statements in this Quarterly Report on Form 10-Q.</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RECENTLY ISSUED ACCOUNTING STANDARDS</w:t>
      </w:r>
    </w:p>
    <w:p>
      <w:pPr>
        <w:spacing w:after="0" w:line="2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March 2008, the FASB issued SFAS No. 161, </w:t>
      </w:r>
      <w:r>
        <w:rPr>
          <w:rFonts w:ascii="Arial" w:cs="Arial" w:eastAsia="Arial" w:hAnsi="Arial"/>
          <w:sz w:val="18"/>
          <w:szCs w:val="18"/>
          <w:i w:val="1"/>
          <w:iCs w:val="1"/>
          <w:color w:val="auto"/>
        </w:rPr>
        <w:t>Disclosures about Derivative Instruments and Hedging Activities—an amendment of SFAS No. 133</w:t>
      </w:r>
      <w:r>
        <w:rPr>
          <w:rFonts w:ascii="Arial" w:cs="Arial" w:eastAsia="Arial" w:hAnsi="Arial"/>
          <w:sz w:val="18"/>
          <w:szCs w:val="18"/>
          <w:color w:val="auto"/>
        </w:rPr>
        <w:t xml:space="preserve"> (“SFAS 161”)</w:t>
      </w:r>
      <w:r>
        <w:rPr>
          <w:rFonts w:ascii="Arial" w:cs="Arial" w:eastAsia="Arial" w:hAnsi="Arial"/>
          <w:sz w:val="18"/>
          <w:szCs w:val="18"/>
          <w:i w:val="1"/>
          <w:iCs w:val="1"/>
          <w:color w:val="auto"/>
        </w:rPr>
        <w:t>.</w:t>
      </w:r>
      <w:r>
        <w:rPr>
          <w:rFonts w:ascii="Arial" w:cs="Arial" w:eastAsia="Arial" w:hAnsi="Arial"/>
          <w:sz w:val="18"/>
          <w:szCs w:val="18"/>
          <w:color w:val="auto"/>
        </w:rPr>
        <w:t xml:space="preserve"> This Statement requires disclosures of how and why an entity uses derivative instruments, how derivative instruments and related hedged items are accounted for and how derivative instruments and related hedged items affect an entity’s financial position, financial performance, and cash flows. SFAS 161 is effective for fiscal years and interim periods beginning after November 15, 2008, with early application encouraged. We will adopt this Statement as of February 1, 2009, the beginning of our third quarter of our fiscal year ending July 31, 2009. We are currently evaluating the impact this Statement will have on our consolidated financial statements.</w:t>
      </w:r>
    </w:p>
    <w:p>
      <w:pPr>
        <w:spacing w:after="0" w:line="2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December 2007, the FASB issued SFAS No. 160, </w:t>
      </w:r>
      <w:r>
        <w:rPr>
          <w:rFonts w:ascii="Arial" w:cs="Arial" w:eastAsia="Arial" w:hAnsi="Arial"/>
          <w:sz w:val="18"/>
          <w:szCs w:val="18"/>
          <w:i w:val="1"/>
          <w:iCs w:val="1"/>
          <w:color w:val="auto"/>
        </w:rPr>
        <w:t>Noncontrolling Interests in Consolidated Financial Statements—An Amendment of ARB No. 51</w:t>
      </w:r>
      <w:r>
        <w:rPr>
          <w:rFonts w:ascii="Arial" w:cs="Arial" w:eastAsia="Arial" w:hAnsi="Arial"/>
          <w:sz w:val="18"/>
          <w:szCs w:val="18"/>
          <w:color w:val="auto"/>
        </w:rPr>
        <w:t xml:space="preserve"> (“SFAS 160”)</w:t>
      </w:r>
      <w:r>
        <w:rPr>
          <w:rFonts w:ascii="Arial" w:cs="Arial" w:eastAsia="Arial" w:hAnsi="Arial"/>
          <w:sz w:val="18"/>
          <w:szCs w:val="18"/>
          <w:i w:val="1"/>
          <w:iCs w:val="1"/>
          <w:color w:val="auto"/>
        </w:rPr>
        <w:t>.</w:t>
      </w:r>
      <w:r>
        <w:rPr>
          <w:rFonts w:ascii="Arial" w:cs="Arial" w:eastAsia="Arial" w:hAnsi="Arial"/>
          <w:sz w:val="18"/>
          <w:szCs w:val="18"/>
          <w:color w:val="auto"/>
        </w:rPr>
        <w:t xml:space="preserve"> This statement establishes new accounting and reporting standards for the noncontrolling interest in a subsidiary and for the deconsolidation of a subsidiary. SFAS 160 requires the noncontrolling interest to be reported as a component of equity, changes in a parent’s ownership interest while the parent retains its controlling interest be accounted for as equity transactions, and any retained noncontrolling equity investment upon the deconsolidation of a subsidiary be initially measured at fair value. SFAS 160 is effective for fiscal years, and interim periods within those fiscal years, beginning on or after December 15, 2008. Earlier adoption is prohibited. We will adopt this Statement as of August 1, 2009. We are currently evaluating the impact this Statement will have on our consolidated financial statements.</w:t>
      </w:r>
    </w:p>
    <w:p>
      <w:pPr>
        <w:spacing w:after="0" w:line="24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June 2008, the FASB issued FSP EITF 03-6-1, </w:t>
      </w:r>
      <w:r>
        <w:rPr>
          <w:rFonts w:ascii="Arial" w:cs="Arial" w:eastAsia="Arial" w:hAnsi="Arial"/>
          <w:sz w:val="17"/>
          <w:szCs w:val="17"/>
          <w:i w:val="1"/>
          <w:iCs w:val="1"/>
          <w:color w:val="auto"/>
        </w:rPr>
        <w:t>Determining Whether Instruments Granted in Share-Based Payment Transactions Are Participating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Securities </w:t>
      </w:r>
      <w:r>
        <w:rPr>
          <w:rFonts w:ascii="Arial" w:cs="Arial" w:eastAsia="Arial" w:hAnsi="Arial"/>
          <w:sz w:val="17"/>
          <w:szCs w:val="17"/>
          <w:color w:val="auto"/>
        </w:rPr>
        <w:t>(“FSP EITF 03-6-1). This FSP states that unvested share-based payment awards that contain nonforfeitable rights to dividends or dividend</w:t>
      </w:r>
      <w:r>
        <w:rPr>
          <w:rFonts w:ascii="Arial" w:cs="Arial" w:eastAsia="Arial" w:hAnsi="Arial"/>
          <w:sz w:val="17"/>
          <w:szCs w:val="17"/>
          <w:i w:val="1"/>
          <w:iCs w:val="1"/>
          <w:color w:val="auto"/>
        </w:rPr>
        <w:t xml:space="preserve"> </w:t>
      </w:r>
      <w:r>
        <w:rPr>
          <w:rFonts w:ascii="Arial" w:cs="Arial" w:eastAsia="Arial" w:hAnsi="Arial"/>
          <w:sz w:val="17"/>
          <w:szCs w:val="17"/>
          <w:color w:val="auto"/>
        </w:rPr>
        <w:t>equivalents (whether paid or unpaid) are participating securities and shall be included in the computation of earnings per share pursuant to the two-class method. The FSP is effective for financial statements issued for fiscal years beginning after December 15, 2008, and interim periods within those years. Upon adoption, a company is required to retrospectively adjust its earnings per share data (including any amounts related to interim periods, summaries of earnings and selected financial data) to conform to the provisions in this FSP. Earlier adoption is prohibited. We will adopt this FSP as of August 1, 2009. We are currently evaluating the impact FSP EITF 03-6-1 will have on our consolidated financial statements.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exposed to interest rate risk and employ policies and procedures to manage our exposure to changes in the market risk of our cash equivalents and short-term investments. We had two interest rate swap agreements as of October 31, 2008. We believe that the market risk arising from holding our financial instruments is not material.</w:t>
      </w:r>
    </w:p>
    <w:p>
      <w:pPr>
        <w:spacing w:after="0" w:line="2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exposed to foreign currency fluctuation risk, primarily U.S. Dollar/British Pound, U.S. Dollar/Euro and U.S. Dollar/Canadian Dollar, as it relates to certain accounts receivables and our foreign operations. Foreign currency denominated accounts receivable is a small fraction of our consolidated accounts receivable. We are also subject to translation exposure of our foreign subsidiaries’ financial statements. In recent years, our foreign subsidiaries have not generated a substantial portion of our consolidated sales or net income. We do not enter into any hedge contracts in an attempt to offset any adverse effect of changes in currency exchange rates. We believe that the foreign currency fluctuation risk is limited due to our minimal foreign operations and assets held in such countries.</w:t>
      </w:r>
    </w:p>
    <w:p>
      <w:pPr>
        <w:spacing w:after="0" w:line="2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exposed to market risk at it relates to the investments that make up our plan assets under our defined benefit pension plan. The fair value of these assets is subject to change due to fluctuations in the financial markets. Changes in the value of plan assets are not expected to have an impact on the income statement for fiscal 2009; however, reduced benefit plan assets could result in increased benefit costs in future years and may increase the amount and accelerate the timing of future funding contributions.</w:t>
      </w:r>
    </w:p>
    <w:p>
      <w:pPr>
        <w:spacing w:after="0" w:line="2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exposed to regulatory risk in the fluid purification, animal health and agricultural markets, principally as a result of the risk of increasing regulation of the food chain in the United States and Europe. We actively monitor developments in this area, both directly and through trade organizations of which we are a member.</w:t>
      </w:r>
    </w:p>
    <w:p>
      <w:pPr>
        <w:spacing w:after="0" w:line="23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are exposed to commodity price risk with respect to fuel. We have contracted for a portion of our anticipated fuel needs for fiscal 2009, 2010 and 2011 using forward purchase contracts to mitigate the volatility of our kiln fuel prices. We increased our forward gas contract purchases as gas prices declined. All contracts are related to the normal course of business and no contracts are entered into for speculative purposes. As of October 31, 2008, we have purchased natural gas contracts representing approximately 70% of our planned kiln fuel needs for fiscal 2009. We estimate the weighted average cost of these natural gas contracts in fiscal 2009 to be approximately 17% higher than the contracts in fiscal 2008.</w:t>
      </w:r>
    </w:p>
    <w:p>
      <w:pPr>
        <w:spacing w:after="0" w:line="22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tables below provide information about our natural gas purchase contracts, which are sensitive to changes in commodity prices, specifically natural gas prices. For the purchase contracts outstanding at October 31, 2008, the table presents the notional amounts in MMBtu’s, the weighted average contract prices, and the total dollar contract amount, which will mature by July 31 of 2009, 2010 and 2011. The Fair Value was determined using the “Most Recent Settle” price for the “Henry Hub Natural Gas” option contract prices as listed by the New York Mercantile Exchange on December 1, 2008.</w:t>
      </w:r>
    </w:p>
    <w:p>
      <w:pPr>
        <w:spacing w:after="0" w:line="22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Commodity Price Sensitivity</w:t>
      </w:r>
    </w:p>
    <w:p>
      <w:pPr>
        <w:spacing w:after="0" w:line="2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Natural Gas Future Contracts</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For the Year Ending July 31, 2009</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720" w:type="dxa"/>
            <w:vAlign w:val="bottom"/>
          </w:tcPr>
          <w:p>
            <w:pPr>
              <w:spacing w:after="0"/>
              <w:rPr>
                <w:sz w:val="16"/>
                <w:szCs w:val="16"/>
                <w:color w:val="auto"/>
              </w:rPr>
            </w:pPr>
          </w:p>
        </w:tc>
        <w:tc>
          <w:tcPr>
            <w:tcW w:w="338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2"/>
          </w:tcPr>
          <w:p>
            <w:pPr>
              <w:jc w:val="center"/>
              <w:ind w:right="280"/>
              <w:spacing w:after="0" w:line="195" w:lineRule="exact"/>
              <w:rPr>
                <w:sz w:val="20"/>
                <w:szCs w:val="20"/>
                <w:color w:val="auto"/>
              </w:rPr>
            </w:pPr>
            <w:r>
              <w:rPr>
                <w:rFonts w:ascii="Arial" w:cs="Arial" w:eastAsia="Arial" w:hAnsi="Arial"/>
                <w:sz w:val="18"/>
                <w:szCs w:val="18"/>
                <w:color w:val="auto"/>
                <w:w w:val="89"/>
              </w:rPr>
              <w:t>Expected 2009</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230"/>
        </w:trPr>
        <w:tc>
          <w:tcPr>
            <w:tcW w:w="17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6"/>
              </w:rPr>
              <w:t>Maturity</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Fair Value</w:t>
            </w: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37"/>
        </w:trPr>
        <w:tc>
          <w:tcPr>
            <w:tcW w:w="1720" w:type="dxa"/>
            <w:vAlign w:val="bottom"/>
          </w:tcPr>
          <w:p>
            <w:pPr>
              <w:spacing w:after="0"/>
              <w:rPr>
                <w:sz w:val="20"/>
                <w:szCs w:val="20"/>
                <w:color w:val="auto"/>
              </w:rPr>
            </w:pPr>
          </w:p>
        </w:tc>
        <w:tc>
          <w:tcPr>
            <w:tcW w:w="3380" w:type="dxa"/>
            <w:vAlign w:val="bottom"/>
            <w:shd w:val="clear" w:color="auto" w:fill="CCFFCC"/>
          </w:tcPr>
          <w:p>
            <w:pPr>
              <w:spacing w:after="0"/>
              <w:rPr>
                <w:sz w:val="20"/>
                <w:szCs w:val="20"/>
                <w:color w:val="auto"/>
              </w:rPr>
            </w:pPr>
            <w:r>
              <w:rPr>
                <w:rFonts w:ascii="Arial" w:cs="Arial" w:eastAsia="Arial" w:hAnsi="Arial"/>
                <w:sz w:val="18"/>
                <w:szCs w:val="18"/>
                <w:color w:val="auto"/>
              </w:rPr>
              <w:t>Natural Gas Future Volumes (MMBtu)</w:t>
            </w:r>
          </w:p>
        </w:tc>
        <w:tc>
          <w:tcPr>
            <w:tcW w:w="144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1,320,000</w:t>
            </w:r>
          </w:p>
        </w:tc>
        <w:tc>
          <w:tcPr>
            <w:tcW w:w="10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20"/>
                <w:szCs w:val="20"/>
                <w:color w:val="auto"/>
              </w:rPr>
            </w:pPr>
          </w:p>
        </w:tc>
      </w:tr>
      <w:tr>
        <w:trPr>
          <w:trHeight w:val="243"/>
        </w:trPr>
        <w:tc>
          <w:tcPr>
            <w:tcW w:w="5100" w:type="dxa"/>
            <w:vAlign w:val="bottom"/>
            <w:gridSpan w:val="2"/>
          </w:tcPr>
          <w:p>
            <w:pPr>
              <w:spacing w:after="0"/>
              <w:rPr>
                <w:sz w:val="21"/>
                <w:szCs w:val="21"/>
                <w:color w:val="auto"/>
              </w:rPr>
            </w:pPr>
          </w:p>
        </w:tc>
        <w:tc>
          <w:tcPr>
            <w:tcW w:w="1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243"/>
        </w:trPr>
        <w:tc>
          <w:tcPr>
            <w:tcW w:w="1720" w:type="dxa"/>
            <w:vAlign w:val="bottom"/>
          </w:tcPr>
          <w:p>
            <w:pPr>
              <w:spacing w:after="0"/>
              <w:rPr>
                <w:sz w:val="21"/>
                <w:szCs w:val="21"/>
                <w:color w:val="auto"/>
              </w:rPr>
            </w:pPr>
          </w:p>
        </w:tc>
        <w:tc>
          <w:tcPr>
            <w:tcW w:w="3380" w:type="dxa"/>
            <w:vAlign w:val="bottom"/>
            <w:shd w:val="clear" w:color="auto" w:fill="CCFFCC"/>
          </w:tcPr>
          <w:p>
            <w:pPr>
              <w:spacing w:after="0"/>
              <w:rPr>
                <w:sz w:val="20"/>
                <w:szCs w:val="20"/>
                <w:color w:val="auto"/>
              </w:rPr>
            </w:pPr>
            <w:r>
              <w:rPr>
                <w:rFonts w:ascii="Arial" w:cs="Arial" w:eastAsia="Arial" w:hAnsi="Arial"/>
                <w:sz w:val="18"/>
                <w:szCs w:val="18"/>
                <w:color w:val="auto"/>
              </w:rPr>
              <w:t>Weighted Average Price (Per MMBtu)</w:t>
            </w:r>
          </w:p>
        </w:tc>
        <w:tc>
          <w:tcPr>
            <w:tcW w:w="15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9.75</w:t>
            </w:r>
          </w:p>
        </w:tc>
        <w:tc>
          <w:tcPr>
            <w:tcW w:w="10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21"/>
                <w:szCs w:val="21"/>
                <w:color w:val="auto"/>
              </w:rPr>
            </w:pPr>
          </w:p>
        </w:tc>
      </w:tr>
      <w:tr>
        <w:trPr>
          <w:trHeight w:val="243"/>
        </w:trPr>
        <w:tc>
          <w:tcPr>
            <w:tcW w:w="5100" w:type="dxa"/>
            <w:vAlign w:val="bottom"/>
            <w:gridSpan w:val="2"/>
          </w:tcPr>
          <w:p>
            <w:pPr>
              <w:spacing w:after="0"/>
              <w:rPr>
                <w:sz w:val="21"/>
                <w:szCs w:val="21"/>
                <w:color w:val="auto"/>
              </w:rPr>
            </w:pPr>
          </w:p>
        </w:tc>
        <w:tc>
          <w:tcPr>
            <w:tcW w:w="1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spacing w:after="0"/>
              <w:rPr>
                <w:sz w:val="21"/>
                <w:szCs w:val="21"/>
                <w:color w:val="auto"/>
              </w:rPr>
            </w:pPr>
          </w:p>
        </w:tc>
        <w:tc>
          <w:tcPr>
            <w:tcW w:w="300" w:type="dxa"/>
            <w:vAlign w:val="bottom"/>
            <w:gridSpan w:val="2"/>
          </w:tcPr>
          <w:p>
            <w:pPr>
              <w:spacing w:after="0"/>
              <w:rPr>
                <w:sz w:val="21"/>
                <w:szCs w:val="21"/>
                <w:color w:val="auto"/>
              </w:rPr>
            </w:pPr>
          </w:p>
        </w:tc>
        <w:tc>
          <w:tcPr>
            <w:tcW w:w="1280" w:type="dxa"/>
            <w:vAlign w:val="bottom"/>
            <w:gridSpan w:val="2"/>
          </w:tcPr>
          <w:p>
            <w:pPr>
              <w:spacing w:after="0"/>
              <w:rPr>
                <w:sz w:val="21"/>
                <w:szCs w:val="21"/>
                <w:color w:val="auto"/>
              </w:rPr>
            </w:pPr>
          </w:p>
        </w:tc>
        <w:tc>
          <w:tcPr>
            <w:tcW w:w="1720" w:type="dxa"/>
            <w:vAlign w:val="bottom"/>
          </w:tcPr>
          <w:p>
            <w:pPr>
              <w:spacing w:after="0"/>
              <w:rPr>
                <w:sz w:val="21"/>
                <w:szCs w:val="21"/>
                <w:color w:val="auto"/>
              </w:rPr>
            </w:pPr>
          </w:p>
        </w:tc>
      </w:tr>
      <w:tr>
        <w:trPr>
          <w:trHeight w:val="283"/>
        </w:trPr>
        <w:tc>
          <w:tcPr>
            <w:tcW w:w="1720" w:type="dxa"/>
            <w:vAlign w:val="bottom"/>
          </w:tcPr>
          <w:p>
            <w:pPr>
              <w:spacing w:after="0"/>
              <w:rPr>
                <w:sz w:val="24"/>
                <w:szCs w:val="24"/>
                <w:color w:val="auto"/>
              </w:rPr>
            </w:pPr>
          </w:p>
        </w:tc>
        <w:tc>
          <w:tcPr>
            <w:tcW w:w="3380" w:type="dxa"/>
            <w:vAlign w:val="bottom"/>
            <w:shd w:val="clear" w:color="auto" w:fill="CCFFCC"/>
          </w:tcPr>
          <w:p>
            <w:pPr>
              <w:spacing w:after="0"/>
              <w:rPr>
                <w:sz w:val="20"/>
                <w:szCs w:val="20"/>
                <w:color w:val="auto"/>
              </w:rPr>
            </w:pPr>
            <w:r>
              <w:rPr>
                <w:rFonts w:ascii="Arial" w:cs="Arial" w:eastAsia="Arial" w:hAnsi="Arial"/>
                <w:sz w:val="18"/>
                <w:szCs w:val="18"/>
                <w:color w:val="auto"/>
              </w:rPr>
              <w:t>Contract Amount ($ U.S., in thousands)</w:t>
            </w:r>
          </w:p>
        </w:tc>
        <w:tc>
          <w:tcPr>
            <w:tcW w:w="15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12,866.6</w:t>
            </w:r>
          </w:p>
        </w:tc>
        <w:tc>
          <w:tcPr>
            <w:tcW w:w="3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8,793.9</w:t>
            </w:r>
          </w:p>
        </w:tc>
        <w:tc>
          <w:tcPr>
            <w:tcW w:w="1720" w:type="dxa"/>
            <w:vAlign w:val="bottom"/>
          </w:tcPr>
          <w:p>
            <w:pPr>
              <w:spacing w:after="0"/>
              <w:rPr>
                <w:sz w:val="24"/>
                <w:szCs w:val="24"/>
                <w:color w:val="auto"/>
              </w:rPr>
            </w:pPr>
          </w:p>
        </w:tc>
      </w:tr>
      <w:tr>
        <w:trPr>
          <w:trHeight w:val="467"/>
        </w:trPr>
        <w:tc>
          <w:tcPr>
            <w:tcW w:w="1720" w:type="dxa"/>
            <w:vAlign w:val="bottom"/>
          </w:tcPr>
          <w:p>
            <w:pPr>
              <w:spacing w:after="0"/>
              <w:rPr>
                <w:sz w:val="24"/>
                <w:szCs w:val="24"/>
                <w:color w:val="auto"/>
              </w:rPr>
            </w:pPr>
          </w:p>
        </w:tc>
        <w:tc>
          <w:tcPr>
            <w:tcW w:w="3380" w:type="dxa"/>
            <w:vAlign w:val="bottom"/>
            <w:tcBorders>
              <w:top w:val="single" w:sz="8" w:color="CCFFCC"/>
            </w:tcBorders>
          </w:tcPr>
          <w:p>
            <w:pPr>
              <w:spacing w:after="0"/>
              <w:rPr>
                <w:sz w:val="24"/>
                <w:szCs w:val="24"/>
                <w:color w:val="auto"/>
              </w:rPr>
            </w:pPr>
          </w:p>
        </w:tc>
        <w:tc>
          <w:tcPr>
            <w:tcW w:w="1440" w:type="dxa"/>
            <w:vAlign w:val="bottom"/>
            <w:tcBorders>
              <w:top w:val="single" w:sz="8" w:color="CCFFCC"/>
            </w:tcBorders>
          </w:tcPr>
          <w:p>
            <w:pPr>
              <w:jc w:val="right"/>
              <w:ind w:right="650"/>
              <w:spacing w:after="0"/>
              <w:rPr>
                <w:sz w:val="20"/>
                <w:szCs w:val="20"/>
                <w:color w:val="auto"/>
              </w:rPr>
            </w:pPr>
            <w:r>
              <w:rPr>
                <w:rFonts w:ascii="Arial" w:cs="Arial" w:eastAsia="Arial" w:hAnsi="Arial"/>
                <w:sz w:val="18"/>
                <w:szCs w:val="18"/>
                <w:color w:val="auto"/>
              </w:rPr>
              <w:t>21</w:t>
            </w:r>
          </w:p>
        </w:tc>
        <w:tc>
          <w:tcPr>
            <w:tcW w:w="14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20" w:type="dxa"/>
            <w:vAlign w:val="bottom"/>
            <w:tcBorders>
              <w:top w:val="single" w:sz="8" w:color="CCFFCC"/>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c>
          <w:tcPr>
            <w:tcW w:w="1720" w:type="dxa"/>
            <w:vAlign w:val="bottom"/>
          </w:tcPr>
          <w:p>
            <w:pPr>
              <w:spacing w:after="0"/>
              <w:rPr>
                <w:sz w:val="24"/>
                <w:szCs w:val="24"/>
                <w:color w:val="auto"/>
              </w:rPr>
            </w:pPr>
          </w:p>
        </w:tc>
      </w:tr>
      <w:tr>
        <w:trPr>
          <w:trHeight w:val="118"/>
        </w:trPr>
        <w:tc>
          <w:tcPr>
            <w:tcW w:w="1720" w:type="dxa"/>
            <w:vAlign w:val="bottom"/>
            <w:tcBorders>
              <w:bottom w:val="single" w:sz="8" w:color="808080"/>
            </w:tcBorders>
          </w:tcPr>
          <w:p>
            <w:pPr>
              <w:spacing w:after="0"/>
              <w:rPr>
                <w:sz w:val="10"/>
                <w:szCs w:val="10"/>
                <w:color w:val="auto"/>
              </w:rPr>
            </w:pPr>
          </w:p>
        </w:tc>
        <w:tc>
          <w:tcPr>
            <w:tcW w:w="338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21" w:name="page22"/>
    <w:bookmarkEnd w:id="21"/>
    <w:p>
      <w:pPr>
        <w:jc w:val="center"/>
        <w:ind w:right="100"/>
        <w:spacing w:after="0"/>
        <w:rPr>
          <w:sz w:val="20"/>
          <w:szCs w:val="20"/>
          <w:color w:val="auto"/>
        </w:rPr>
      </w:pPr>
      <w:r>
        <w:rPr>
          <w:rFonts w:ascii="Arial" w:cs="Arial" w:eastAsia="Arial" w:hAnsi="Arial"/>
          <w:sz w:val="18"/>
          <w:szCs w:val="18"/>
          <w:color w:val="auto"/>
        </w:rPr>
        <w:t>Commodity Price Sensitivity</w:t>
      </w:r>
    </w:p>
    <w:p>
      <w:pPr>
        <w:spacing w:after="0" w:line="2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Natural Gas Future Contracts</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For the Year Ending July 31, 2010</w:t>
      </w:r>
    </w:p>
    <w:p>
      <w:pPr>
        <w:spacing w:after="0" w:line="9" w:lineRule="exact"/>
        <w:rPr>
          <w:sz w:val="20"/>
          <w:szCs w:val="20"/>
          <w:color w:val="auto"/>
        </w:rPr>
      </w:pPr>
    </w:p>
    <w:tbl>
      <w:tblPr>
        <w:tblLayout w:type="fixed"/>
        <w:tblInd w:w="1720" w:type="dxa"/>
        <w:tblCellMar>
          <w:top w:w="0" w:type="dxa"/>
          <w:left w:w="0" w:type="dxa"/>
          <w:bottom w:w="0" w:type="dxa"/>
          <w:right w:w="0" w:type="dxa"/>
        </w:tblCellMar>
      </w:tblPr>
      <w:tr>
        <w:trPr>
          <w:trHeight w:val="195"/>
        </w:trPr>
        <w:tc>
          <w:tcPr>
            <w:tcW w:w="2880" w:type="dxa"/>
            <w:vAlign w:val="bottom"/>
            <w:tcBorders>
              <w:top w:val="single" w:sz="8" w:color="auto"/>
            </w:tcBorders>
          </w:tcPr>
          <w:p>
            <w:pPr>
              <w:spacing w:after="0"/>
              <w:rPr>
                <w:sz w:val="16"/>
                <w:szCs w:val="16"/>
                <w:color w:val="auto"/>
              </w:rPr>
            </w:pPr>
          </w:p>
        </w:tc>
        <w:tc>
          <w:tcPr>
            <w:tcW w:w="19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jc w:val="center"/>
              <w:ind w:right="320"/>
              <w:spacing w:after="0" w:line="195" w:lineRule="exact"/>
              <w:rPr>
                <w:sz w:val="20"/>
                <w:szCs w:val="20"/>
                <w:color w:val="auto"/>
              </w:rPr>
            </w:pPr>
            <w:r>
              <w:rPr>
                <w:rFonts w:ascii="Arial" w:cs="Arial" w:eastAsia="Arial" w:hAnsi="Arial"/>
                <w:sz w:val="18"/>
                <w:szCs w:val="18"/>
                <w:color w:val="auto"/>
                <w:w w:val="89"/>
              </w:rPr>
              <w:t>Expected 2010</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28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6"/>
              </w:rPr>
              <w:t>Maturity</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Fair Value</w:t>
            </w:r>
          </w:p>
        </w:tc>
        <w:tc>
          <w:tcPr>
            <w:tcW w:w="100" w:type="dxa"/>
            <w:vAlign w:val="bottom"/>
          </w:tcPr>
          <w:p>
            <w:pPr>
              <w:spacing w:after="0"/>
              <w:rPr>
                <w:sz w:val="20"/>
                <w:szCs w:val="20"/>
                <w:color w:val="auto"/>
              </w:rPr>
            </w:pPr>
          </w:p>
        </w:tc>
      </w:tr>
      <w:tr>
        <w:trPr>
          <w:trHeight w:val="237"/>
        </w:trPr>
        <w:tc>
          <w:tcPr>
            <w:tcW w:w="2880" w:type="dxa"/>
            <w:vAlign w:val="bottom"/>
            <w:shd w:val="clear" w:color="auto" w:fill="CCFFCC"/>
          </w:tcPr>
          <w:p>
            <w:pPr>
              <w:spacing w:after="0"/>
              <w:rPr>
                <w:sz w:val="20"/>
                <w:szCs w:val="20"/>
                <w:color w:val="auto"/>
              </w:rPr>
            </w:pPr>
            <w:r>
              <w:rPr>
                <w:rFonts w:ascii="Arial" w:cs="Arial" w:eastAsia="Arial" w:hAnsi="Arial"/>
                <w:sz w:val="18"/>
                <w:szCs w:val="18"/>
                <w:color w:val="auto"/>
                <w:w w:val="94"/>
              </w:rPr>
              <w:t>Natural Gas Future Volumes (MMBtu)</w:t>
            </w:r>
          </w:p>
        </w:tc>
        <w:tc>
          <w:tcPr>
            <w:tcW w:w="194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240,000</w:t>
            </w:r>
          </w:p>
        </w:tc>
        <w:tc>
          <w:tcPr>
            <w:tcW w:w="10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288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2880" w:type="dxa"/>
            <w:vAlign w:val="bottom"/>
            <w:shd w:val="clear" w:color="auto" w:fill="CCFFCC"/>
          </w:tcPr>
          <w:p>
            <w:pPr>
              <w:spacing w:after="0"/>
              <w:rPr>
                <w:sz w:val="20"/>
                <w:szCs w:val="20"/>
                <w:color w:val="auto"/>
              </w:rPr>
            </w:pPr>
            <w:r>
              <w:rPr>
                <w:rFonts w:ascii="Arial" w:cs="Arial" w:eastAsia="Arial" w:hAnsi="Arial"/>
                <w:sz w:val="18"/>
                <w:szCs w:val="18"/>
                <w:color w:val="auto"/>
                <w:w w:val="94"/>
              </w:rPr>
              <w:t>Weighted Average Price (Per MMBtu)</w:t>
            </w:r>
          </w:p>
        </w:tc>
        <w:tc>
          <w:tcPr>
            <w:tcW w:w="2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8.98</w:t>
            </w:r>
          </w:p>
        </w:tc>
        <w:tc>
          <w:tcPr>
            <w:tcW w:w="10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2880" w:type="dxa"/>
            <w:vAlign w:val="bottom"/>
          </w:tcPr>
          <w:p>
            <w:pPr>
              <w:spacing w:after="0"/>
              <w:rPr>
                <w:sz w:val="21"/>
                <w:szCs w:val="21"/>
                <w:color w:val="auto"/>
              </w:rPr>
            </w:pPr>
          </w:p>
        </w:tc>
        <w:tc>
          <w:tcPr>
            <w:tcW w:w="2120" w:type="dxa"/>
            <w:vAlign w:val="bottom"/>
            <w:gridSpan w:val="2"/>
          </w:tcPr>
          <w:p>
            <w:pPr>
              <w:spacing w:after="0"/>
              <w:rPr>
                <w:sz w:val="21"/>
                <w:szCs w:val="21"/>
                <w:color w:val="auto"/>
              </w:rPr>
            </w:pPr>
          </w:p>
        </w:tc>
        <w:tc>
          <w:tcPr>
            <w:tcW w:w="1400" w:type="dxa"/>
            <w:vAlign w:val="bottom"/>
            <w:gridSpan w:val="2"/>
          </w:tcPr>
          <w:p>
            <w:pPr>
              <w:spacing w:after="0"/>
              <w:rPr>
                <w:sz w:val="21"/>
                <w:szCs w:val="21"/>
                <w:color w:val="auto"/>
              </w:rPr>
            </w:pPr>
          </w:p>
        </w:tc>
        <w:tc>
          <w:tcPr>
            <w:tcW w:w="300" w:type="dxa"/>
            <w:vAlign w:val="bottom"/>
            <w:gridSpan w:val="2"/>
          </w:tcPr>
          <w:p>
            <w:pPr>
              <w:spacing w:after="0"/>
              <w:rPr>
                <w:sz w:val="21"/>
                <w:szCs w:val="21"/>
                <w:color w:val="auto"/>
              </w:rPr>
            </w:pPr>
          </w:p>
        </w:tc>
        <w:tc>
          <w:tcPr>
            <w:tcW w:w="1280" w:type="dxa"/>
            <w:vAlign w:val="bottom"/>
            <w:gridSpan w:val="2"/>
          </w:tcPr>
          <w:p>
            <w:pPr>
              <w:spacing w:after="0"/>
              <w:rPr>
                <w:sz w:val="21"/>
                <w:szCs w:val="21"/>
                <w:color w:val="auto"/>
              </w:rPr>
            </w:pPr>
          </w:p>
        </w:tc>
      </w:tr>
      <w:tr>
        <w:trPr>
          <w:trHeight w:val="263"/>
        </w:trPr>
        <w:tc>
          <w:tcPr>
            <w:tcW w:w="2880" w:type="dxa"/>
            <w:vAlign w:val="bottom"/>
            <w:shd w:val="clear" w:color="auto" w:fill="CCFFCC"/>
          </w:tcPr>
          <w:p>
            <w:pPr>
              <w:spacing w:after="0"/>
              <w:rPr>
                <w:sz w:val="20"/>
                <w:szCs w:val="20"/>
                <w:color w:val="auto"/>
              </w:rPr>
            </w:pPr>
            <w:r>
              <w:rPr>
                <w:rFonts w:ascii="Arial" w:cs="Arial" w:eastAsia="Arial" w:hAnsi="Arial"/>
                <w:sz w:val="18"/>
                <w:szCs w:val="18"/>
                <w:color w:val="auto"/>
                <w:w w:val="91"/>
              </w:rPr>
              <w:t>Contract Amount ($ U.S., in thousands)</w:t>
            </w:r>
          </w:p>
        </w:tc>
        <w:tc>
          <w:tcPr>
            <w:tcW w:w="2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2,154.2</w:t>
            </w:r>
          </w:p>
        </w:tc>
        <w:tc>
          <w:tcPr>
            <w:tcW w:w="3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1,807.8</w:t>
            </w:r>
          </w:p>
        </w:tc>
      </w:tr>
      <w:tr>
        <w:trPr>
          <w:trHeight w:val="20"/>
        </w:trPr>
        <w:tc>
          <w:tcPr>
            <w:tcW w:w="2880" w:type="dxa"/>
            <w:vAlign w:val="bottom"/>
            <w:tcBorders>
              <w:top w:val="single" w:sz="8" w:color="CCFFCC"/>
            </w:tcBorders>
            <w:shd w:val="clear" w:color="auto" w:fill="CCFFCC"/>
          </w:tcPr>
          <w:p>
            <w:pPr>
              <w:spacing w:after="0" w:line="20" w:lineRule="exact"/>
              <w:rPr>
                <w:sz w:val="1"/>
                <w:szCs w:val="1"/>
                <w:color w:val="auto"/>
              </w:rPr>
            </w:pPr>
          </w:p>
        </w:tc>
        <w:tc>
          <w:tcPr>
            <w:tcW w:w="194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r>
        <w:trPr>
          <w:trHeight w:val="452"/>
        </w:trPr>
        <w:tc>
          <w:tcPr>
            <w:tcW w:w="2880" w:type="dxa"/>
            <w:vAlign w:val="bottom"/>
          </w:tcPr>
          <w:p>
            <w:pPr>
              <w:spacing w:after="0"/>
              <w:rPr>
                <w:sz w:val="24"/>
                <w:szCs w:val="24"/>
                <w:color w:val="auto"/>
              </w:rPr>
            </w:pPr>
          </w:p>
        </w:tc>
        <w:tc>
          <w:tcPr>
            <w:tcW w:w="2120" w:type="dxa"/>
            <w:vAlign w:val="bottom"/>
            <w:gridSpan w:val="2"/>
          </w:tcPr>
          <w:p>
            <w:pPr>
              <w:jc w:val="center"/>
              <w:spacing w:after="0"/>
              <w:rPr>
                <w:sz w:val="20"/>
                <w:szCs w:val="20"/>
                <w:color w:val="auto"/>
              </w:rPr>
            </w:pPr>
            <w:r>
              <w:rPr>
                <w:rFonts w:ascii="Arial" w:cs="Arial" w:eastAsia="Arial" w:hAnsi="Arial"/>
                <w:sz w:val="18"/>
                <w:szCs w:val="18"/>
                <w:color w:val="auto"/>
                <w:w w:val="93"/>
              </w:rPr>
              <w:t>Commodity Price Sensitivity</w:t>
            </w: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880" w:type="dxa"/>
            <w:vAlign w:val="bottom"/>
          </w:tcPr>
          <w:p>
            <w:pPr>
              <w:spacing w:after="0"/>
              <w:rPr>
                <w:sz w:val="18"/>
                <w:szCs w:val="18"/>
                <w:color w:val="auto"/>
              </w:rPr>
            </w:pPr>
          </w:p>
        </w:tc>
        <w:tc>
          <w:tcPr>
            <w:tcW w:w="2120" w:type="dxa"/>
            <w:vAlign w:val="bottom"/>
            <w:gridSpan w:val="2"/>
          </w:tcPr>
          <w:p>
            <w:pPr>
              <w:jc w:val="center"/>
              <w:spacing w:after="0"/>
              <w:rPr>
                <w:sz w:val="20"/>
                <w:szCs w:val="20"/>
                <w:color w:val="auto"/>
              </w:rPr>
            </w:pPr>
            <w:r>
              <w:rPr>
                <w:rFonts w:ascii="Arial" w:cs="Arial" w:eastAsia="Arial" w:hAnsi="Arial"/>
                <w:sz w:val="18"/>
                <w:szCs w:val="18"/>
                <w:color w:val="auto"/>
                <w:w w:val="90"/>
              </w:rPr>
              <w:t>Natural Gas Future Contracts</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400" w:type="dxa"/>
            <w:vAlign w:val="bottom"/>
            <w:tcBorders>
              <w:bottom w:val="single" w:sz="8" w:color="auto"/>
            </w:tcBorders>
            <w:gridSpan w:val="5"/>
          </w:tcPr>
          <w:p>
            <w:pPr>
              <w:jc w:val="center"/>
              <w:ind w:left="1390"/>
              <w:spacing w:after="0"/>
              <w:rPr>
                <w:sz w:val="20"/>
                <w:szCs w:val="20"/>
                <w:color w:val="auto"/>
              </w:rPr>
            </w:pPr>
            <w:r>
              <w:rPr>
                <w:rFonts w:ascii="Arial" w:cs="Arial" w:eastAsia="Arial" w:hAnsi="Arial"/>
                <w:sz w:val="18"/>
                <w:szCs w:val="18"/>
                <w:color w:val="auto"/>
                <w:w w:val="90"/>
              </w:rPr>
              <w:t>For the Year Ending July 31, 2011</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5"/>
        </w:trPr>
        <w:tc>
          <w:tcPr>
            <w:tcW w:w="28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jc w:val="center"/>
              <w:ind w:right="320"/>
              <w:spacing w:after="0" w:line="195" w:lineRule="exact"/>
              <w:rPr>
                <w:sz w:val="20"/>
                <w:szCs w:val="20"/>
                <w:color w:val="auto"/>
              </w:rPr>
            </w:pPr>
            <w:r>
              <w:rPr>
                <w:rFonts w:ascii="Arial" w:cs="Arial" w:eastAsia="Arial" w:hAnsi="Arial"/>
                <w:sz w:val="18"/>
                <w:szCs w:val="18"/>
                <w:color w:val="auto"/>
                <w:w w:val="89"/>
              </w:rPr>
              <w:t>Expected 2010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28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6"/>
              </w:rPr>
              <w:t>Maturity</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Fair Value</w:t>
            </w:r>
          </w:p>
        </w:tc>
        <w:tc>
          <w:tcPr>
            <w:tcW w:w="100" w:type="dxa"/>
            <w:vAlign w:val="bottom"/>
          </w:tcPr>
          <w:p>
            <w:pPr>
              <w:spacing w:after="0"/>
              <w:rPr>
                <w:sz w:val="20"/>
                <w:szCs w:val="20"/>
                <w:color w:val="auto"/>
              </w:rPr>
            </w:pPr>
          </w:p>
        </w:tc>
      </w:tr>
      <w:tr>
        <w:trPr>
          <w:trHeight w:val="237"/>
        </w:trPr>
        <w:tc>
          <w:tcPr>
            <w:tcW w:w="2880" w:type="dxa"/>
            <w:vAlign w:val="bottom"/>
            <w:shd w:val="clear" w:color="auto" w:fill="CCFFCC"/>
          </w:tcPr>
          <w:p>
            <w:pPr>
              <w:spacing w:after="0"/>
              <w:rPr>
                <w:sz w:val="20"/>
                <w:szCs w:val="20"/>
                <w:color w:val="auto"/>
              </w:rPr>
            </w:pPr>
            <w:r>
              <w:rPr>
                <w:rFonts w:ascii="Arial" w:cs="Arial" w:eastAsia="Arial" w:hAnsi="Arial"/>
                <w:sz w:val="18"/>
                <w:szCs w:val="18"/>
                <w:color w:val="auto"/>
                <w:w w:val="94"/>
              </w:rPr>
              <w:t>Natural Gas Future Volumes (MMBtu)</w:t>
            </w:r>
          </w:p>
        </w:tc>
        <w:tc>
          <w:tcPr>
            <w:tcW w:w="194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120,000</w:t>
            </w:r>
          </w:p>
        </w:tc>
        <w:tc>
          <w:tcPr>
            <w:tcW w:w="10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2880" w:type="dxa"/>
            <w:vAlign w:val="bottom"/>
          </w:tcPr>
          <w:p>
            <w:pPr>
              <w:spacing w:after="0"/>
              <w:rPr>
                <w:sz w:val="21"/>
                <w:szCs w:val="21"/>
                <w:color w:val="auto"/>
              </w:rPr>
            </w:pPr>
          </w:p>
        </w:tc>
        <w:tc>
          <w:tcPr>
            <w:tcW w:w="2120" w:type="dxa"/>
            <w:vAlign w:val="bottom"/>
            <w:gridSpan w:val="2"/>
          </w:tcPr>
          <w:p>
            <w:pPr>
              <w:spacing w:after="0"/>
              <w:rPr>
                <w:sz w:val="21"/>
                <w:szCs w:val="21"/>
                <w:color w:val="auto"/>
              </w:rPr>
            </w:pPr>
          </w:p>
        </w:tc>
        <w:tc>
          <w:tcPr>
            <w:tcW w:w="140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spacing w:after="0"/>
              <w:rPr>
                <w:sz w:val="21"/>
                <w:szCs w:val="21"/>
                <w:color w:val="auto"/>
              </w:rPr>
            </w:pPr>
          </w:p>
        </w:tc>
      </w:tr>
      <w:tr>
        <w:trPr>
          <w:trHeight w:val="243"/>
        </w:trPr>
        <w:tc>
          <w:tcPr>
            <w:tcW w:w="2880" w:type="dxa"/>
            <w:vAlign w:val="bottom"/>
            <w:shd w:val="clear" w:color="auto" w:fill="CCFFCC"/>
          </w:tcPr>
          <w:p>
            <w:pPr>
              <w:spacing w:after="0"/>
              <w:rPr>
                <w:sz w:val="20"/>
                <w:szCs w:val="20"/>
                <w:color w:val="auto"/>
              </w:rPr>
            </w:pPr>
            <w:r>
              <w:rPr>
                <w:rFonts w:ascii="Arial" w:cs="Arial" w:eastAsia="Arial" w:hAnsi="Arial"/>
                <w:sz w:val="18"/>
                <w:szCs w:val="18"/>
                <w:color w:val="auto"/>
                <w:w w:val="94"/>
              </w:rPr>
              <w:t>Weighted Average Price (Per MMBtu)</w:t>
            </w:r>
          </w:p>
        </w:tc>
        <w:tc>
          <w:tcPr>
            <w:tcW w:w="2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8.96</w:t>
            </w:r>
          </w:p>
        </w:tc>
        <w:tc>
          <w:tcPr>
            <w:tcW w:w="10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2880" w:type="dxa"/>
            <w:vAlign w:val="bottom"/>
          </w:tcPr>
          <w:p>
            <w:pPr>
              <w:spacing w:after="0"/>
              <w:rPr>
                <w:sz w:val="21"/>
                <w:szCs w:val="21"/>
                <w:color w:val="auto"/>
              </w:rPr>
            </w:pPr>
          </w:p>
        </w:tc>
        <w:tc>
          <w:tcPr>
            <w:tcW w:w="2120" w:type="dxa"/>
            <w:vAlign w:val="bottom"/>
            <w:gridSpan w:val="2"/>
          </w:tcPr>
          <w:p>
            <w:pPr>
              <w:spacing w:after="0"/>
              <w:rPr>
                <w:sz w:val="21"/>
                <w:szCs w:val="21"/>
                <w:color w:val="auto"/>
              </w:rPr>
            </w:pPr>
          </w:p>
        </w:tc>
        <w:tc>
          <w:tcPr>
            <w:tcW w:w="1400" w:type="dxa"/>
            <w:vAlign w:val="bottom"/>
            <w:gridSpan w:val="2"/>
          </w:tcPr>
          <w:p>
            <w:pPr>
              <w:spacing w:after="0"/>
              <w:rPr>
                <w:sz w:val="21"/>
                <w:szCs w:val="21"/>
                <w:color w:val="auto"/>
              </w:rPr>
            </w:pPr>
          </w:p>
        </w:tc>
        <w:tc>
          <w:tcPr>
            <w:tcW w:w="300" w:type="dxa"/>
            <w:vAlign w:val="bottom"/>
            <w:gridSpan w:val="2"/>
          </w:tcPr>
          <w:p>
            <w:pPr>
              <w:spacing w:after="0"/>
              <w:rPr>
                <w:sz w:val="21"/>
                <w:szCs w:val="21"/>
                <w:color w:val="auto"/>
              </w:rPr>
            </w:pPr>
          </w:p>
        </w:tc>
        <w:tc>
          <w:tcPr>
            <w:tcW w:w="1280" w:type="dxa"/>
            <w:vAlign w:val="bottom"/>
            <w:gridSpan w:val="2"/>
          </w:tcPr>
          <w:p>
            <w:pPr>
              <w:spacing w:after="0"/>
              <w:rPr>
                <w:sz w:val="21"/>
                <w:szCs w:val="21"/>
                <w:color w:val="auto"/>
              </w:rPr>
            </w:pPr>
          </w:p>
        </w:tc>
      </w:tr>
      <w:tr>
        <w:trPr>
          <w:trHeight w:val="263"/>
        </w:trPr>
        <w:tc>
          <w:tcPr>
            <w:tcW w:w="2880" w:type="dxa"/>
            <w:vAlign w:val="bottom"/>
            <w:shd w:val="clear" w:color="auto" w:fill="CCFFCC"/>
          </w:tcPr>
          <w:p>
            <w:pPr>
              <w:spacing w:after="0"/>
              <w:rPr>
                <w:sz w:val="20"/>
                <w:szCs w:val="20"/>
                <w:color w:val="auto"/>
              </w:rPr>
            </w:pPr>
            <w:r>
              <w:rPr>
                <w:rFonts w:ascii="Arial" w:cs="Arial" w:eastAsia="Arial" w:hAnsi="Arial"/>
                <w:sz w:val="18"/>
                <w:szCs w:val="18"/>
                <w:color w:val="auto"/>
                <w:w w:val="91"/>
              </w:rPr>
              <w:t>Contract Amount ($ U.S., in thousands)</w:t>
            </w:r>
          </w:p>
        </w:tc>
        <w:tc>
          <w:tcPr>
            <w:tcW w:w="2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1,075.2</w:t>
            </w:r>
          </w:p>
        </w:tc>
        <w:tc>
          <w:tcPr>
            <w:tcW w:w="3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950.4</w:t>
            </w:r>
          </w:p>
        </w:tc>
      </w:tr>
      <w:tr>
        <w:trPr>
          <w:trHeight w:val="20"/>
        </w:trPr>
        <w:tc>
          <w:tcPr>
            <w:tcW w:w="2880" w:type="dxa"/>
            <w:vAlign w:val="bottom"/>
            <w:tcBorders>
              <w:top w:val="single" w:sz="8" w:color="CCFFCC"/>
            </w:tcBorders>
            <w:shd w:val="clear" w:color="auto" w:fill="CCFFCC"/>
          </w:tcPr>
          <w:p>
            <w:pPr>
              <w:spacing w:after="0" w:line="20" w:lineRule="exact"/>
              <w:rPr>
                <w:sz w:val="1"/>
                <w:szCs w:val="1"/>
                <w:color w:val="auto"/>
              </w:rPr>
            </w:pPr>
          </w:p>
        </w:tc>
        <w:tc>
          <w:tcPr>
            <w:tcW w:w="194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5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Factors that could influence the fair value of the natural gas contracts, include, but are not limited to, the creditworthiness of our natural gas suppliers, the overall general economy, developments in world events, and the general demand for natural gas by the manufacturing sector, seasonality and the weather patterns throughout the United States and the world. Some of these same events have allowed us to mitigate the impact of the natural gas contracts by the continued, and in some cases expanded, use of recycled oil in our manufacturing processes. Accurate estimates of the impact that these contracts may have on our financial results are difficult to make due to the inherent uncertainty of future fluctuations in option contract prices in the natural gas options market.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Management conducted an evaluation of the effectiveness of the design and operation of our disclosure controls and procedures as of the end of the period covered by this Quarterly Report on Form 10-Q. The controls evaluation was conducted under the supervision and with the participation of management, including our Chief Executive Officer (“CEO”) and Chief Financial Officer (“CFO”). Based upon the controls evaluation, our CEO and CFO have concluded that, as of the end of the period covered by this report, our disclosure controls and procedures were effective to provide reasonable assurance that information required to be disclosed in our Exchange Act reports is recorded, processed, summarized and reported within the time periods specified by the SEC, and that material information relating to us and our consolidated subsidiaries is made known to management, including the CEO and CFO, during the period when our periodic reports are being prepared.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fiscal quarter ended October 31, 2008 that have materially affected, or are reasonably likely to materially affect, our internal control over financial reporting.</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28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management, including the CEO and CFO, do not expect that our disclosure controls and procedures or our internal control over financial reporting will prevent or detect all error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the Company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PART II – OTHER INFORMATION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Items 1, 3, 4 and 5 of this Part II are either inapplicable or are answered in the negative and are omitted pursuant to the instructions to Part II.</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information regarding Risk Factors, please refer to Item 1A in our Annual Report on Form 10-K for the year ended July 31, 2008. There have been no material changes in risk factors since July 31, 2008.</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8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During the three months ended October 31, 2008, we did not sell any securities which were not registered under the Securities Act. The following chart summarizes Common Stock repurchases during this period.</w:t>
      </w:r>
    </w:p>
    <w:p>
      <w:pPr>
        <w:spacing w:after="0" w:line="22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u w:val="single" w:color="auto"/>
          <w:color w:val="auto"/>
        </w:rPr>
        <w:t>ISSUER PURCHASES OF EQUITY SECURITIES</w:t>
      </w:r>
      <w:r>
        <w:rPr>
          <w:rFonts w:ascii="Arial" w:cs="Arial" w:eastAsia="Arial" w:hAnsi="Arial"/>
          <w:sz w:val="30"/>
          <w:szCs w:val="30"/>
          <w:b w:val="1"/>
          <w:bCs w:val="1"/>
          <w:u w:val="single" w:color="auto"/>
          <w:color w:val="auto"/>
          <w:vertAlign w:val="superscript"/>
        </w:rPr>
        <w:t>1</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(c) Total Number</w:t>
            </w:r>
          </w:p>
        </w:tc>
        <w:tc>
          <w:tcPr>
            <w:tcW w:w="180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5"/>
              </w:rPr>
              <w:t>(d) Maximum</w:t>
            </w:r>
          </w:p>
        </w:tc>
        <w:tc>
          <w:tcPr>
            <w:tcW w:w="0" w:type="dxa"/>
            <w:vAlign w:val="bottom"/>
          </w:tcPr>
          <w:p>
            <w:pPr>
              <w:spacing w:after="0"/>
              <w:rPr>
                <w:sz w:val="1"/>
                <w:szCs w:val="1"/>
                <w:color w:val="auto"/>
              </w:rPr>
            </w:pPr>
          </w:p>
        </w:tc>
      </w:tr>
      <w:tr>
        <w:trPr>
          <w:trHeight w:val="180"/>
        </w:trPr>
        <w:tc>
          <w:tcPr>
            <w:tcW w:w="2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60" w:type="dxa"/>
            <w:vAlign w:val="bottom"/>
            <w:gridSpan w:val="2"/>
          </w:tcPr>
          <w:p>
            <w:pPr>
              <w:jc w:val="center"/>
              <w:ind w:right="200"/>
              <w:spacing w:after="0" w:line="181" w:lineRule="exact"/>
              <w:rPr>
                <w:sz w:val="20"/>
                <w:szCs w:val="20"/>
                <w:color w:val="auto"/>
              </w:rPr>
            </w:pPr>
            <w:r>
              <w:rPr>
                <w:rFonts w:ascii="Arial" w:cs="Arial" w:eastAsia="Arial" w:hAnsi="Arial"/>
                <w:sz w:val="18"/>
                <w:szCs w:val="18"/>
                <w:b w:val="1"/>
                <w:bCs w:val="1"/>
                <w:color w:val="auto"/>
                <w:w w:val="87"/>
              </w:rPr>
              <w:t>of Shares</w:t>
            </w:r>
          </w:p>
        </w:tc>
        <w:tc>
          <w:tcPr>
            <w:tcW w:w="1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(a) Total</w:t>
            </w:r>
          </w:p>
        </w:tc>
        <w:tc>
          <w:tcPr>
            <w:tcW w:w="160" w:type="dxa"/>
            <w:vAlign w:val="bottom"/>
          </w:tcPr>
          <w:p>
            <w:pPr>
              <w:spacing w:after="0"/>
              <w:rPr>
                <w:sz w:val="18"/>
                <w:szCs w:val="18"/>
                <w:color w:val="auto"/>
              </w:rPr>
            </w:pPr>
          </w:p>
        </w:tc>
        <w:tc>
          <w:tcPr>
            <w:tcW w:w="1100" w:type="dxa"/>
            <w:vAlign w:val="bottom"/>
          </w:tcPr>
          <w:p>
            <w:pPr>
              <w:jc w:val="center"/>
              <w:ind w:right="70"/>
              <w:spacing w:after="0"/>
              <w:rPr>
                <w:sz w:val="20"/>
                <w:szCs w:val="20"/>
                <w:color w:val="auto"/>
              </w:rPr>
            </w:pPr>
            <w:r>
              <w:rPr>
                <w:rFonts w:ascii="Arial" w:cs="Arial" w:eastAsia="Arial" w:hAnsi="Arial"/>
                <w:sz w:val="18"/>
                <w:szCs w:val="18"/>
                <w:b w:val="1"/>
                <w:bCs w:val="1"/>
                <w:color w:val="auto"/>
                <w:w w:val="95"/>
              </w:rPr>
              <w:t>(b)</w:t>
            </w:r>
          </w:p>
        </w:tc>
        <w:tc>
          <w:tcPr>
            <w:tcW w:w="220" w:type="dxa"/>
            <w:vAlign w:val="bottom"/>
          </w:tcPr>
          <w:p>
            <w:pPr>
              <w:spacing w:after="0"/>
              <w:rPr>
                <w:sz w:val="18"/>
                <w:szCs w:val="18"/>
                <w:color w:val="auto"/>
              </w:rPr>
            </w:pPr>
          </w:p>
        </w:tc>
        <w:tc>
          <w:tcPr>
            <w:tcW w:w="17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Purchased as Part</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Number of Shares</w:t>
            </w:r>
          </w:p>
        </w:tc>
        <w:tc>
          <w:tcPr>
            <w:tcW w:w="0" w:type="dxa"/>
            <w:vAlign w:val="bottom"/>
          </w:tcPr>
          <w:p>
            <w:pPr>
              <w:spacing w:after="0"/>
              <w:rPr>
                <w:sz w:val="1"/>
                <w:szCs w:val="1"/>
                <w:color w:val="auto"/>
              </w:rPr>
            </w:pPr>
          </w:p>
        </w:tc>
      </w:tr>
      <w:tr>
        <w:trPr>
          <w:trHeight w:val="216"/>
        </w:trPr>
        <w:tc>
          <w:tcPr>
            <w:tcW w:w="2440" w:type="dxa"/>
            <w:vAlign w:val="bottom"/>
          </w:tcPr>
          <w:p>
            <w:pPr>
              <w:jc w:val="center"/>
              <w:spacing w:after="0"/>
              <w:rPr>
                <w:sz w:val="20"/>
                <w:szCs w:val="20"/>
                <w:color w:val="auto"/>
              </w:rPr>
            </w:pPr>
            <w:r>
              <w:rPr>
                <w:rFonts w:ascii="Arial" w:cs="Arial" w:eastAsia="Arial" w:hAnsi="Arial"/>
                <w:sz w:val="18"/>
                <w:szCs w:val="18"/>
                <w:b w:val="1"/>
                <w:bCs w:val="1"/>
                <w:color w:val="auto"/>
                <w:w w:val="92"/>
              </w:rPr>
              <w:t>For the Three</w:t>
            </w:r>
          </w:p>
        </w:tc>
        <w:tc>
          <w:tcPr>
            <w:tcW w:w="2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Number of</w:t>
            </w:r>
          </w:p>
        </w:tc>
        <w:tc>
          <w:tcPr>
            <w:tcW w:w="160" w:type="dxa"/>
            <w:vAlign w:val="bottom"/>
          </w:tcPr>
          <w:p>
            <w:pPr>
              <w:spacing w:after="0"/>
              <w:rPr>
                <w:sz w:val="18"/>
                <w:szCs w:val="18"/>
                <w:color w:val="auto"/>
              </w:rPr>
            </w:pPr>
          </w:p>
        </w:tc>
        <w:tc>
          <w:tcPr>
            <w:tcW w:w="110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Average</w:t>
            </w:r>
          </w:p>
        </w:tc>
        <w:tc>
          <w:tcPr>
            <w:tcW w:w="220" w:type="dxa"/>
            <w:vAlign w:val="bottom"/>
          </w:tcPr>
          <w:p>
            <w:pPr>
              <w:spacing w:after="0"/>
              <w:rPr>
                <w:sz w:val="18"/>
                <w:szCs w:val="18"/>
                <w:color w:val="auto"/>
              </w:rPr>
            </w:pPr>
          </w:p>
        </w:tc>
        <w:tc>
          <w:tcPr>
            <w:tcW w:w="17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of Publicly</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that may yet be</w:t>
            </w:r>
          </w:p>
        </w:tc>
        <w:tc>
          <w:tcPr>
            <w:tcW w:w="0" w:type="dxa"/>
            <w:vAlign w:val="bottom"/>
          </w:tcPr>
          <w:p>
            <w:pPr>
              <w:spacing w:after="0"/>
              <w:rPr>
                <w:sz w:val="1"/>
                <w:szCs w:val="1"/>
                <w:color w:val="auto"/>
              </w:rPr>
            </w:pPr>
          </w:p>
        </w:tc>
      </w:tr>
      <w:tr>
        <w:trPr>
          <w:trHeight w:val="216"/>
        </w:trPr>
        <w:tc>
          <w:tcPr>
            <w:tcW w:w="2440" w:type="dxa"/>
            <w:vAlign w:val="bottom"/>
          </w:tcPr>
          <w:p>
            <w:pPr>
              <w:jc w:val="center"/>
              <w:spacing w:after="0"/>
              <w:rPr>
                <w:sz w:val="20"/>
                <w:szCs w:val="20"/>
                <w:color w:val="auto"/>
              </w:rPr>
            </w:pPr>
            <w:r>
              <w:rPr>
                <w:rFonts w:ascii="Arial" w:cs="Arial" w:eastAsia="Arial" w:hAnsi="Arial"/>
                <w:sz w:val="18"/>
                <w:szCs w:val="18"/>
                <w:b w:val="1"/>
                <w:bCs w:val="1"/>
                <w:color w:val="auto"/>
                <w:w w:val="90"/>
              </w:rPr>
              <w:t>Months Ended</w:t>
            </w:r>
          </w:p>
        </w:tc>
        <w:tc>
          <w:tcPr>
            <w:tcW w:w="2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3"/>
              </w:rPr>
              <w:t>Shares</w:t>
            </w:r>
          </w:p>
        </w:tc>
        <w:tc>
          <w:tcPr>
            <w:tcW w:w="160" w:type="dxa"/>
            <w:vAlign w:val="bottom"/>
          </w:tcPr>
          <w:p>
            <w:pPr>
              <w:spacing w:after="0"/>
              <w:rPr>
                <w:sz w:val="18"/>
                <w:szCs w:val="18"/>
                <w:color w:val="auto"/>
              </w:rPr>
            </w:pPr>
          </w:p>
        </w:tc>
        <w:tc>
          <w:tcPr>
            <w:tcW w:w="110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Price Paid</w:t>
            </w:r>
          </w:p>
        </w:tc>
        <w:tc>
          <w:tcPr>
            <w:tcW w:w="220" w:type="dxa"/>
            <w:vAlign w:val="bottom"/>
          </w:tcPr>
          <w:p>
            <w:pPr>
              <w:spacing w:after="0"/>
              <w:rPr>
                <w:sz w:val="18"/>
                <w:szCs w:val="18"/>
                <w:color w:val="auto"/>
              </w:rPr>
            </w:pPr>
          </w:p>
        </w:tc>
        <w:tc>
          <w:tcPr>
            <w:tcW w:w="17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Announced Plans</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Purchased Under</w:t>
            </w:r>
          </w:p>
        </w:tc>
        <w:tc>
          <w:tcPr>
            <w:tcW w:w="0" w:type="dxa"/>
            <w:vAlign w:val="bottom"/>
          </w:tcPr>
          <w:p>
            <w:pPr>
              <w:spacing w:after="0"/>
              <w:rPr>
                <w:sz w:val="1"/>
                <w:szCs w:val="1"/>
                <w:color w:val="auto"/>
              </w:rPr>
            </w:pPr>
          </w:p>
        </w:tc>
      </w:tr>
      <w:tr>
        <w:trPr>
          <w:trHeight w:val="270"/>
        </w:trPr>
        <w:tc>
          <w:tcPr>
            <w:tcW w:w="2440" w:type="dxa"/>
            <w:vAlign w:val="bottom"/>
          </w:tcPr>
          <w:p>
            <w:pPr>
              <w:jc w:val="center"/>
              <w:spacing w:after="0"/>
              <w:rPr>
                <w:sz w:val="20"/>
                <w:szCs w:val="20"/>
                <w:color w:val="auto"/>
              </w:rPr>
            </w:pPr>
            <w:r>
              <w:rPr>
                <w:rFonts w:ascii="Arial" w:cs="Arial" w:eastAsia="Arial" w:hAnsi="Arial"/>
                <w:sz w:val="18"/>
                <w:szCs w:val="18"/>
                <w:b w:val="1"/>
                <w:bCs w:val="1"/>
                <w:color w:val="auto"/>
                <w:w w:val="90"/>
              </w:rPr>
              <w:t>October 31, 2008</w:t>
            </w:r>
          </w:p>
        </w:tc>
        <w:tc>
          <w:tcPr>
            <w:tcW w:w="200" w:type="dxa"/>
            <w:vAlign w:val="bottom"/>
          </w:tcPr>
          <w:p>
            <w:pPr>
              <w:spacing w:after="0"/>
              <w:rPr>
                <w:sz w:val="23"/>
                <w:szCs w:val="23"/>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Purchased</w:t>
            </w:r>
          </w:p>
        </w:tc>
        <w:tc>
          <w:tcPr>
            <w:tcW w:w="160" w:type="dxa"/>
            <w:vAlign w:val="bottom"/>
          </w:tcPr>
          <w:p>
            <w:pPr>
              <w:spacing w:after="0"/>
              <w:rPr>
                <w:sz w:val="23"/>
                <w:szCs w:val="23"/>
                <w:color w:val="auto"/>
              </w:rPr>
            </w:pPr>
          </w:p>
        </w:tc>
        <w:tc>
          <w:tcPr>
            <w:tcW w:w="110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per Share</w:t>
            </w:r>
          </w:p>
        </w:tc>
        <w:tc>
          <w:tcPr>
            <w:tcW w:w="220" w:type="dxa"/>
            <w:vAlign w:val="bottom"/>
          </w:tcPr>
          <w:p>
            <w:pPr>
              <w:spacing w:after="0"/>
              <w:rPr>
                <w:sz w:val="23"/>
                <w:szCs w:val="23"/>
                <w:color w:val="auto"/>
              </w:rPr>
            </w:pPr>
          </w:p>
        </w:tc>
        <w:tc>
          <w:tcPr>
            <w:tcW w:w="17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or Programs</w:t>
            </w:r>
          </w:p>
        </w:tc>
        <w:tc>
          <w:tcPr>
            <w:tcW w:w="1800" w:type="dxa"/>
            <w:vAlign w:val="bottom"/>
            <w:gridSpan w:val="2"/>
          </w:tcPr>
          <w:p>
            <w:pPr>
              <w:jc w:val="center"/>
              <w:ind w:right="100"/>
              <w:spacing w:after="0" w:line="269" w:lineRule="exact"/>
              <w:rPr>
                <w:sz w:val="20"/>
                <w:szCs w:val="20"/>
                <w:color w:val="auto"/>
              </w:rPr>
            </w:pPr>
            <w:r>
              <w:rPr>
                <w:rFonts w:ascii="Arial" w:cs="Arial" w:eastAsia="Arial" w:hAnsi="Arial"/>
                <w:sz w:val="18"/>
                <w:szCs w:val="18"/>
                <w:b w:val="1"/>
                <w:bCs w:val="1"/>
                <w:color w:val="auto"/>
                <w:w w:val="87"/>
              </w:rPr>
              <w:t>Plans or Programs</w:t>
            </w:r>
            <w:r>
              <w:rPr>
                <w:rFonts w:ascii="Arial" w:cs="Arial" w:eastAsia="Arial" w:hAnsi="Arial"/>
                <w:sz w:val="30"/>
                <w:szCs w:val="30"/>
                <w:b w:val="1"/>
                <w:bCs w:val="1"/>
                <w:color w:val="auto"/>
                <w:w w:val="87"/>
                <w:vertAlign w:val="superscript"/>
              </w:rPr>
              <w:t>2</w:t>
            </w:r>
          </w:p>
        </w:tc>
        <w:tc>
          <w:tcPr>
            <w:tcW w:w="0" w:type="dxa"/>
            <w:vAlign w:val="bottom"/>
          </w:tcPr>
          <w:p>
            <w:pPr>
              <w:spacing w:after="0"/>
              <w:rPr>
                <w:sz w:val="1"/>
                <w:szCs w:val="1"/>
                <w:color w:val="auto"/>
              </w:rPr>
            </w:pPr>
          </w:p>
        </w:tc>
      </w:tr>
      <w:tr>
        <w:trPr>
          <w:trHeight w:val="264"/>
        </w:trPr>
        <w:tc>
          <w:tcPr>
            <w:tcW w:w="244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56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6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440" w:type="dxa"/>
            <w:vAlign w:val="bottom"/>
            <w:shd w:val="clear" w:color="auto" w:fill="CCFFCC"/>
          </w:tcPr>
          <w:p>
            <w:pPr>
              <w:spacing w:after="0"/>
              <w:rPr>
                <w:sz w:val="20"/>
                <w:szCs w:val="20"/>
                <w:color w:val="auto"/>
              </w:rPr>
            </w:pPr>
            <w:r>
              <w:rPr>
                <w:rFonts w:ascii="Arial" w:cs="Arial" w:eastAsia="Arial" w:hAnsi="Arial"/>
                <w:sz w:val="18"/>
                <w:szCs w:val="18"/>
                <w:color w:val="auto"/>
              </w:rPr>
              <w:t>August 1, 2008 to</w:t>
            </w:r>
          </w:p>
        </w:tc>
        <w:tc>
          <w:tcPr>
            <w:tcW w:w="200" w:type="dxa"/>
            <w:vAlign w:val="bottom"/>
            <w:shd w:val="clear" w:color="auto" w:fill="CCFFCC"/>
          </w:tcPr>
          <w:p>
            <w:pPr>
              <w:spacing w:after="0"/>
              <w:rPr>
                <w:sz w:val="21"/>
                <w:szCs w:val="21"/>
                <w:color w:val="auto"/>
              </w:rPr>
            </w:pPr>
          </w:p>
        </w:tc>
        <w:tc>
          <w:tcPr>
            <w:tcW w:w="126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0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56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68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24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August 31, 2008</w:t>
            </w:r>
          </w:p>
        </w:tc>
        <w:tc>
          <w:tcPr>
            <w:tcW w:w="200" w:type="dxa"/>
            <w:vAlign w:val="bottom"/>
            <w:tcBorders>
              <w:bottom w:val="single" w:sz="8" w:color="CCFFCC"/>
            </w:tcBorders>
            <w:shd w:val="clear" w:color="auto" w:fill="CCFFCC"/>
          </w:tcPr>
          <w:p>
            <w:pPr>
              <w:spacing w:after="0"/>
              <w:rPr>
                <w:sz w:val="23"/>
                <w:szCs w:val="23"/>
                <w:color w:val="auto"/>
              </w:rPr>
            </w:pPr>
          </w:p>
        </w:tc>
        <w:tc>
          <w:tcPr>
            <w:tcW w:w="146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FFCC"/>
            </w:tcBorders>
            <w:shd w:val="clear" w:color="auto" w:fill="CCFFCC"/>
          </w:tcPr>
          <w:p>
            <w:pPr>
              <w:spacing w:after="0"/>
              <w:rPr>
                <w:sz w:val="23"/>
                <w:szCs w:val="23"/>
                <w:color w:val="auto"/>
              </w:rPr>
            </w:pPr>
          </w:p>
        </w:tc>
        <w:tc>
          <w:tcPr>
            <w:tcW w:w="11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FFCC"/>
            </w:tcBorders>
            <w:shd w:val="clear" w:color="auto" w:fill="CCFFCC"/>
          </w:tcPr>
          <w:p>
            <w:pPr>
              <w:spacing w:after="0"/>
              <w:rPr>
                <w:sz w:val="23"/>
                <w:szCs w:val="23"/>
                <w:color w:val="auto"/>
              </w:rPr>
            </w:pPr>
          </w:p>
        </w:tc>
        <w:tc>
          <w:tcPr>
            <w:tcW w:w="176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313,822</w:t>
            </w:r>
          </w:p>
        </w:tc>
        <w:tc>
          <w:tcPr>
            <w:tcW w:w="0" w:type="dxa"/>
            <w:vAlign w:val="bottom"/>
          </w:tcPr>
          <w:p>
            <w:pPr>
              <w:spacing w:after="0"/>
              <w:rPr>
                <w:sz w:val="1"/>
                <w:szCs w:val="1"/>
                <w:color w:val="auto"/>
              </w:rPr>
            </w:pPr>
          </w:p>
        </w:tc>
      </w:tr>
      <w:tr>
        <w:trPr>
          <w:trHeight w:val="264"/>
        </w:trPr>
        <w:tc>
          <w:tcPr>
            <w:tcW w:w="2440" w:type="dxa"/>
            <w:vAlign w:val="bottom"/>
            <w:tcBorders>
              <w:top w:val="single" w:sz="8" w:color="CCFFCC"/>
            </w:tcBorders>
          </w:tcPr>
          <w:p>
            <w:pPr>
              <w:spacing w:after="0"/>
              <w:rPr>
                <w:sz w:val="22"/>
                <w:szCs w:val="22"/>
                <w:color w:val="auto"/>
              </w:rPr>
            </w:pPr>
          </w:p>
        </w:tc>
        <w:tc>
          <w:tcPr>
            <w:tcW w:w="200" w:type="dxa"/>
            <w:vAlign w:val="bottom"/>
            <w:tcBorders>
              <w:top w:val="single" w:sz="8" w:color="CCFFCC"/>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200" w:type="dxa"/>
            <w:vAlign w:val="bottom"/>
            <w:tcBorders>
              <w:top w:val="single" w:sz="8" w:color="CCFFCC"/>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220" w:type="dxa"/>
            <w:vAlign w:val="bottom"/>
            <w:tcBorders>
              <w:top w:val="single" w:sz="8" w:color="CCFFCC"/>
            </w:tcBorders>
          </w:tcPr>
          <w:p>
            <w:pPr>
              <w:spacing w:after="0"/>
              <w:rPr>
                <w:sz w:val="22"/>
                <w:szCs w:val="22"/>
                <w:color w:val="auto"/>
              </w:rPr>
            </w:pPr>
          </w:p>
        </w:tc>
        <w:tc>
          <w:tcPr>
            <w:tcW w:w="1560" w:type="dxa"/>
            <w:vAlign w:val="bottom"/>
            <w:tcBorders>
              <w:top w:val="single" w:sz="8" w:color="auto"/>
            </w:tcBorders>
          </w:tcPr>
          <w:p>
            <w:pPr>
              <w:spacing w:after="0"/>
              <w:rPr>
                <w:sz w:val="22"/>
                <w:szCs w:val="22"/>
                <w:color w:val="auto"/>
              </w:rPr>
            </w:pPr>
          </w:p>
        </w:tc>
        <w:tc>
          <w:tcPr>
            <w:tcW w:w="200" w:type="dxa"/>
            <w:vAlign w:val="bottom"/>
            <w:tcBorders>
              <w:top w:val="single" w:sz="8" w:color="CCFFCC"/>
            </w:tcBorders>
          </w:tcPr>
          <w:p>
            <w:pPr>
              <w:spacing w:after="0"/>
              <w:rPr>
                <w:sz w:val="22"/>
                <w:szCs w:val="22"/>
                <w:color w:val="auto"/>
              </w:rPr>
            </w:pPr>
          </w:p>
        </w:tc>
        <w:tc>
          <w:tcPr>
            <w:tcW w:w="1680" w:type="dxa"/>
            <w:vAlign w:val="bottom"/>
            <w:tcBorders>
              <w:top w:val="single" w:sz="8" w:color="auto"/>
            </w:tcBorders>
          </w:tcPr>
          <w:p>
            <w:pPr>
              <w:spacing w:after="0"/>
              <w:rPr>
                <w:sz w:val="22"/>
                <w:szCs w:val="22"/>
                <w:color w:val="auto"/>
              </w:rPr>
            </w:pPr>
          </w:p>
        </w:tc>
        <w:tc>
          <w:tcPr>
            <w:tcW w:w="120" w:type="dxa"/>
            <w:vAlign w:val="bottom"/>
            <w:tcBorders>
              <w:top w:val="single" w:sz="8" w:color="CCFFCC"/>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440" w:type="dxa"/>
            <w:vAlign w:val="bottom"/>
            <w:shd w:val="clear" w:color="auto" w:fill="CCFFCC"/>
          </w:tcPr>
          <w:p>
            <w:pPr>
              <w:spacing w:after="0"/>
              <w:rPr>
                <w:sz w:val="20"/>
                <w:szCs w:val="20"/>
                <w:color w:val="auto"/>
              </w:rPr>
            </w:pPr>
            <w:r>
              <w:rPr>
                <w:rFonts w:ascii="Arial" w:cs="Arial" w:eastAsia="Arial" w:hAnsi="Arial"/>
                <w:sz w:val="18"/>
                <w:szCs w:val="18"/>
                <w:color w:val="auto"/>
              </w:rPr>
              <w:t>September 1, 2008 to</w:t>
            </w:r>
          </w:p>
        </w:tc>
        <w:tc>
          <w:tcPr>
            <w:tcW w:w="200" w:type="dxa"/>
            <w:vAlign w:val="bottom"/>
            <w:shd w:val="clear" w:color="auto" w:fill="CCFFCC"/>
          </w:tcPr>
          <w:p>
            <w:pPr>
              <w:spacing w:after="0"/>
              <w:rPr>
                <w:sz w:val="21"/>
                <w:szCs w:val="21"/>
                <w:color w:val="auto"/>
              </w:rPr>
            </w:pPr>
          </w:p>
        </w:tc>
        <w:tc>
          <w:tcPr>
            <w:tcW w:w="126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0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56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68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24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September 30, 2008</w:t>
            </w:r>
          </w:p>
        </w:tc>
        <w:tc>
          <w:tcPr>
            <w:tcW w:w="200" w:type="dxa"/>
            <w:vAlign w:val="bottom"/>
            <w:tcBorders>
              <w:bottom w:val="single" w:sz="8" w:color="CCFFCC"/>
            </w:tcBorders>
            <w:shd w:val="clear" w:color="auto" w:fill="CCFFCC"/>
          </w:tcPr>
          <w:p>
            <w:pPr>
              <w:spacing w:after="0"/>
              <w:rPr>
                <w:sz w:val="23"/>
                <w:szCs w:val="23"/>
                <w:color w:val="auto"/>
              </w:rPr>
            </w:pPr>
          </w:p>
        </w:tc>
        <w:tc>
          <w:tcPr>
            <w:tcW w:w="146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FFCC"/>
            </w:tcBorders>
            <w:shd w:val="clear" w:color="auto" w:fill="CCFFCC"/>
          </w:tcPr>
          <w:p>
            <w:pPr>
              <w:spacing w:after="0"/>
              <w:rPr>
                <w:sz w:val="23"/>
                <w:szCs w:val="23"/>
                <w:color w:val="auto"/>
              </w:rPr>
            </w:pPr>
          </w:p>
        </w:tc>
        <w:tc>
          <w:tcPr>
            <w:tcW w:w="11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FFCC"/>
            </w:tcBorders>
            <w:shd w:val="clear" w:color="auto" w:fill="CCFFCC"/>
          </w:tcPr>
          <w:p>
            <w:pPr>
              <w:spacing w:after="0"/>
              <w:rPr>
                <w:sz w:val="23"/>
                <w:szCs w:val="23"/>
                <w:color w:val="auto"/>
              </w:rPr>
            </w:pPr>
          </w:p>
        </w:tc>
        <w:tc>
          <w:tcPr>
            <w:tcW w:w="176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313,822</w:t>
            </w:r>
          </w:p>
        </w:tc>
        <w:tc>
          <w:tcPr>
            <w:tcW w:w="0" w:type="dxa"/>
            <w:vAlign w:val="bottom"/>
          </w:tcPr>
          <w:p>
            <w:pPr>
              <w:spacing w:after="0"/>
              <w:rPr>
                <w:sz w:val="1"/>
                <w:szCs w:val="1"/>
                <w:color w:val="auto"/>
              </w:rPr>
            </w:pPr>
          </w:p>
        </w:tc>
      </w:tr>
      <w:tr>
        <w:trPr>
          <w:trHeight w:val="264"/>
        </w:trPr>
        <w:tc>
          <w:tcPr>
            <w:tcW w:w="2440" w:type="dxa"/>
            <w:vAlign w:val="bottom"/>
            <w:tcBorders>
              <w:top w:val="single" w:sz="8" w:color="CCFFCC"/>
            </w:tcBorders>
          </w:tcPr>
          <w:p>
            <w:pPr>
              <w:spacing w:after="0"/>
              <w:rPr>
                <w:sz w:val="22"/>
                <w:szCs w:val="22"/>
                <w:color w:val="auto"/>
              </w:rPr>
            </w:pPr>
          </w:p>
        </w:tc>
        <w:tc>
          <w:tcPr>
            <w:tcW w:w="200" w:type="dxa"/>
            <w:vAlign w:val="bottom"/>
            <w:tcBorders>
              <w:top w:val="single" w:sz="8" w:color="CCFFCC"/>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200" w:type="dxa"/>
            <w:vAlign w:val="bottom"/>
            <w:tcBorders>
              <w:top w:val="single" w:sz="8" w:color="CCFFCC"/>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220" w:type="dxa"/>
            <w:vAlign w:val="bottom"/>
            <w:tcBorders>
              <w:top w:val="single" w:sz="8" w:color="CCFFCC"/>
            </w:tcBorders>
          </w:tcPr>
          <w:p>
            <w:pPr>
              <w:spacing w:after="0"/>
              <w:rPr>
                <w:sz w:val="22"/>
                <w:szCs w:val="22"/>
                <w:color w:val="auto"/>
              </w:rPr>
            </w:pPr>
          </w:p>
        </w:tc>
        <w:tc>
          <w:tcPr>
            <w:tcW w:w="1560" w:type="dxa"/>
            <w:vAlign w:val="bottom"/>
            <w:tcBorders>
              <w:top w:val="single" w:sz="8" w:color="auto"/>
            </w:tcBorders>
          </w:tcPr>
          <w:p>
            <w:pPr>
              <w:spacing w:after="0"/>
              <w:rPr>
                <w:sz w:val="22"/>
                <w:szCs w:val="22"/>
                <w:color w:val="auto"/>
              </w:rPr>
            </w:pPr>
          </w:p>
        </w:tc>
        <w:tc>
          <w:tcPr>
            <w:tcW w:w="200" w:type="dxa"/>
            <w:vAlign w:val="bottom"/>
            <w:tcBorders>
              <w:top w:val="single" w:sz="8" w:color="CCFFCC"/>
            </w:tcBorders>
          </w:tcPr>
          <w:p>
            <w:pPr>
              <w:spacing w:after="0"/>
              <w:rPr>
                <w:sz w:val="22"/>
                <w:szCs w:val="22"/>
                <w:color w:val="auto"/>
              </w:rPr>
            </w:pPr>
          </w:p>
        </w:tc>
        <w:tc>
          <w:tcPr>
            <w:tcW w:w="1680" w:type="dxa"/>
            <w:vAlign w:val="bottom"/>
            <w:tcBorders>
              <w:top w:val="single" w:sz="8" w:color="auto"/>
            </w:tcBorders>
          </w:tcPr>
          <w:p>
            <w:pPr>
              <w:spacing w:after="0"/>
              <w:rPr>
                <w:sz w:val="22"/>
                <w:szCs w:val="22"/>
                <w:color w:val="auto"/>
              </w:rPr>
            </w:pPr>
          </w:p>
        </w:tc>
        <w:tc>
          <w:tcPr>
            <w:tcW w:w="120" w:type="dxa"/>
            <w:vAlign w:val="bottom"/>
            <w:tcBorders>
              <w:top w:val="single" w:sz="8" w:color="CCFFCC"/>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440" w:type="dxa"/>
            <w:vAlign w:val="bottom"/>
            <w:shd w:val="clear" w:color="auto" w:fill="CCFFCC"/>
          </w:tcPr>
          <w:p>
            <w:pPr>
              <w:spacing w:after="0"/>
              <w:rPr>
                <w:sz w:val="20"/>
                <w:szCs w:val="20"/>
                <w:color w:val="auto"/>
              </w:rPr>
            </w:pPr>
            <w:r>
              <w:rPr>
                <w:rFonts w:ascii="Arial" w:cs="Arial" w:eastAsia="Arial" w:hAnsi="Arial"/>
                <w:sz w:val="18"/>
                <w:szCs w:val="18"/>
                <w:color w:val="auto"/>
              </w:rPr>
              <w:t>October 1, 2008 to</w:t>
            </w:r>
          </w:p>
        </w:tc>
        <w:tc>
          <w:tcPr>
            <w:tcW w:w="200" w:type="dxa"/>
            <w:vAlign w:val="bottom"/>
            <w:shd w:val="clear" w:color="auto" w:fill="CCFFCC"/>
          </w:tcPr>
          <w:p>
            <w:pPr>
              <w:spacing w:after="0"/>
              <w:rPr>
                <w:sz w:val="21"/>
                <w:szCs w:val="21"/>
                <w:color w:val="auto"/>
              </w:rPr>
            </w:pPr>
          </w:p>
        </w:tc>
        <w:tc>
          <w:tcPr>
            <w:tcW w:w="126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0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56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68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4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October 31, 2008</w:t>
            </w:r>
          </w:p>
        </w:tc>
        <w:tc>
          <w:tcPr>
            <w:tcW w:w="200" w:type="dxa"/>
            <w:vAlign w:val="bottom"/>
            <w:tcBorders>
              <w:bottom w:val="single" w:sz="8" w:color="CCFFCC"/>
            </w:tcBorders>
            <w:shd w:val="clear" w:color="auto" w:fill="CCFFCC"/>
          </w:tcPr>
          <w:p>
            <w:pPr>
              <w:spacing w:after="0"/>
              <w:rPr>
                <w:sz w:val="21"/>
                <w:szCs w:val="21"/>
                <w:color w:val="auto"/>
              </w:rPr>
            </w:pPr>
          </w:p>
        </w:tc>
        <w:tc>
          <w:tcPr>
            <w:tcW w:w="146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40,834</w:t>
            </w:r>
          </w:p>
        </w:tc>
        <w:tc>
          <w:tcPr>
            <w:tcW w:w="1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15.78</w:t>
            </w:r>
          </w:p>
        </w:tc>
        <w:tc>
          <w:tcPr>
            <w:tcW w:w="1980" w:type="dxa"/>
            <w:vAlign w:val="bottom"/>
            <w:tcBorders>
              <w:bottom w:val="single" w:sz="8" w:color="CCFFCC"/>
            </w:tcBorders>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40,834</w:t>
            </w:r>
          </w:p>
        </w:tc>
        <w:tc>
          <w:tcPr>
            <w:tcW w:w="180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272,988</w:t>
            </w:r>
          </w:p>
        </w:tc>
        <w:tc>
          <w:tcPr>
            <w:tcW w:w="0" w:type="dxa"/>
            <w:vAlign w:val="bottom"/>
          </w:tcPr>
          <w:p>
            <w:pPr>
              <w:spacing w:after="0"/>
              <w:rPr>
                <w:sz w:val="1"/>
                <w:szCs w:val="1"/>
                <w:color w:val="auto"/>
              </w:rPr>
            </w:pPr>
          </w:p>
        </w:tc>
      </w:tr>
      <w:tr>
        <w:trPr>
          <w:trHeight w:val="20"/>
        </w:trPr>
        <w:tc>
          <w:tcPr>
            <w:tcW w:w="2440" w:type="dxa"/>
            <w:vAlign w:val="bottom"/>
            <w:shd w:val="clear" w:color="auto" w:fill="CCFFCC"/>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firstLine="8"/>
        <w:spacing w:after="0" w:line="232" w:lineRule="auto"/>
        <w:tabs>
          <w:tab w:leader="none" w:pos="113" w:val="left"/>
        </w:tabs>
        <w:numPr>
          <w:ilvl w:val="0"/>
          <w:numId w:val="5"/>
        </w:numPr>
        <w:rPr>
          <w:rFonts w:ascii="Arial" w:cs="Arial" w:eastAsia="Arial" w:hAnsi="Arial"/>
          <w:sz w:val="28"/>
          <w:szCs w:val="28"/>
          <w:color w:val="auto"/>
          <w:vertAlign w:val="superscript"/>
        </w:rPr>
      </w:pPr>
      <w:r>
        <w:rPr>
          <w:rFonts w:ascii="Arial" w:cs="Arial" w:eastAsia="Arial" w:hAnsi="Arial"/>
          <w:sz w:val="17"/>
          <w:szCs w:val="17"/>
          <w:color w:val="auto"/>
        </w:rPr>
        <w:t>The table summarizes repurchases of (and remaining authority to repurchase) shares of our Common Stock. We did not repurchase any shares of our Class B Stock during the period in question, and no shares of our Class A Common Stock are currently outstanding. Descriptions of our Common Stock, Class B Stock and Class A Common Stock are contained in Note 6 of the consolidated financial statements included in our Annual Report on Form 10-K for the fiscal year ended July 31, 2008 filed with the Securities and Exchange Commission.</w:t>
      </w:r>
    </w:p>
    <w:p>
      <w:pPr>
        <w:spacing w:after="0" w:line="297" w:lineRule="exact"/>
        <w:rPr>
          <w:sz w:val="20"/>
          <w:szCs w:val="20"/>
          <w:color w:val="auto"/>
        </w:rPr>
      </w:pPr>
    </w:p>
    <w:p>
      <w:pPr>
        <w:jc w:val="both"/>
        <w:ind w:firstLine="8"/>
        <w:spacing w:after="0" w:line="238" w:lineRule="auto"/>
        <w:tabs>
          <w:tab w:leader="none" w:pos="120" w:val="left"/>
        </w:tabs>
        <w:numPr>
          <w:ilvl w:val="0"/>
          <w:numId w:val="6"/>
        </w:numPr>
        <w:rPr>
          <w:rFonts w:ascii="Arial" w:cs="Arial" w:eastAsia="Arial" w:hAnsi="Arial"/>
          <w:sz w:val="28"/>
          <w:szCs w:val="28"/>
          <w:color w:val="auto"/>
          <w:vertAlign w:val="superscript"/>
        </w:rPr>
      </w:pPr>
      <w:r>
        <w:rPr>
          <w:rFonts w:ascii="Arial" w:cs="Arial" w:eastAsia="Arial" w:hAnsi="Arial"/>
          <w:sz w:val="17"/>
          <w:szCs w:val="17"/>
          <w:color w:val="auto"/>
        </w:rPr>
        <w:t>On October 10, 2005, our Board of Directors authorized the repurchase of up to 500,000 shares of Common Stock, with repurchases to be made from time to time in the discretion of our management and in accordance with applicable laws, rules and regulations. This authorization does not have a stated expiration date. The share numbers in this column indicate the number of shares of Common Stock that may yet be repurchased under this authorization. The share numbers were not affected by the five-for-four stock split that occurred on September 8, 2006. We do not have any current authorization from our Board of Directors to repurchase shares of Class B Stock, and no shares of Class A Common Stock are currently outstanding.</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6. EXHIBITS</w:t>
      </w:r>
    </w:p>
    <w:p>
      <w:pPr>
        <w:spacing w:after="0" w:line="279"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EXHIBITS: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tcPr>
          <w:p>
            <w:pPr>
              <w:jc w:val="center"/>
              <w:spacing w:after="0"/>
              <w:rPr>
                <w:sz w:val="20"/>
                <w:szCs w:val="20"/>
                <w:color w:val="auto"/>
              </w:rPr>
            </w:pPr>
            <w:r>
              <w:rPr>
                <w:rFonts w:ascii="Arial" w:cs="Arial" w:eastAsia="Arial" w:hAnsi="Arial"/>
                <w:sz w:val="18"/>
                <w:szCs w:val="18"/>
                <w:color w:val="auto"/>
                <w:w w:val="99"/>
              </w:rPr>
              <w:t>Exhibit</w:t>
            </w:r>
          </w:p>
        </w:tc>
        <w:tc>
          <w:tcPr>
            <w:tcW w:w="260" w:type="dxa"/>
            <w:vAlign w:val="bottom"/>
          </w:tcPr>
          <w:p>
            <w:pPr>
              <w:spacing w:after="0"/>
              <w:rPr>
                <w:sz w:val="18"/>
                <w:szCs w:val="18"/>
                <w:color w:val="auto"/>
              </w:rPr>
            </w:pPr>
          </w:p>
        </w:tc>
        <w:tc>
          <w:tcPr>
            <w:tcW w:w="4960" w:type="dxa"/>
            <w:vAlign w:val="bottom"/>
          </w:tcPr>
          <w:p>
            <w:pPr>
              <w:spacing w:after="0"/>
              <w:rPr>
                <w:sz w:val="18"/>
                <w:szCs w:val="18"/>
                <w:color w:val="auto"/>
              </w:rPr>
            </w:pPr>
          </w:p>
        </w:tc>
      </w:tr>
      <w:tr>
        <w:trPr>
          <w:trHeight w:val="230"/>
        </w:trPr>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No.</w:t>
            </w:r>
          </w:p>
        </w:tc>
        <w:tc>
          <w:tcPr>
            <w:tcW w:w="260" w:type="dxa"/>
            <w:vAlign w:val="bottom"/>
          </w:tcPr>
          <w:p>
            <w:pPr>
              <w:spacing w:after="0"/>
              <w:rPr>
                <w:sz w:val="20"/>
                <w:szCs w:val="20"/>
                <w:color w:val="auto"/>
              </w:rPr>
            </w:pPr>
          </w:p>
        </w:tc>
        <w:tc>
          <w:tcPr>
            <w:tcW w:w="4960" w:type="dxa"/>
            <w:vAlign w:val="bottom"/>
            <w:tcBorders>
              <w:bottom w:val="single" w:sz="8" w:color="auto"/>
            </w:tcBorders>
          </w:tcPr>
          <w:p>
            <w:pPr>
              <w:ind w:left="2060"/>
              <w:spacing w:after="0"/>
              <w:rPr>
                <w:sz w:val="20"/>
                <w:szCs w:val="20"/>
                <w:color w:val="auto"/>
              </w:rPr>
            </w:pPr>
            <w:r>
              <w:rPr>
                <w:rFonts w:ascii="Arial" w:cs="Arial" w:eastAsia="Arial" w:hAnsi="Arial"/>
                <w:sz w:val="18"/>
                <w:szCs w:val="18"/>
                <w:color w:val="auto"/>
              </w:rPr>
              <w:t>Description</w:t>
            </w:r>
          </w:p>
        </w:tc>
      </w:tr>
      <w:tr>
        <w:trPr>
          <w:trHeight w:val="224"/>
        </w:trPr>
        <w:tc>
          <w:tcPr>
            <w:tcW w:w="960" w:type="dxa"/>
            <w:vAlign w:val="bottom"/>
          </w:tcPr>
          <w:p>
            <w:pPr>
              <w:jc w:val="center"/>
              <w:spacing w:after="0"/>
              <w:rPr>
                <w:sz w:val="20"/>
                <w:szCs w:val="20"/>
                <w:color w:val="auto"/>
              </w:rPr>
            </w:pPr>
            <w:r>
              <w:rPr>
                <w:rFonts w:ascii="Arial" w:cs="Arial" w:eastAsia="Arial" w:hAnsi="Arial"/>
                <w:sz w:val="18"/>
                <w:szCs w:val="18"/>
                <w:color w:val="auto"/>
                <w:w w:val="89"/>
              </w:rPr>
              <w:t>11</w:t>
            </w:r>
          </w:p>
        </w:tc>
        <w:tc>
          <w:tcPr>
            <w:tcW w:w="26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Statement re: Computation of Earnings per Share.</w:t>
            </w:r>
          </w:p>
        </w:tc>
      </w:tr>
    </w:tbl>
    <w:p>
      <w:pPr>
        <w:spacing w:after="0" w:line="241" w:lineRule="exact"/>
        <w:rPr>
          <w:sz w:val="20"/>
          <w:szCs w:val="20"/>
          <w:color w:val="auto"/>
        </w:rPr>
      </w:pPr>
    </w:p>
    <w:p>
      <w:pPr>
        <w:ind w:left="1220" w:hanging="823"/>
        <w:spacing w:after="0"/>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Certifications pursuant to Rule 13a – 14(a).</w:t>
      </w:r>
    </w:p>
    <w:p>
      <w:pPr>
        <w:spacing w:after="0" w:line="279" w:lineRule="exact"/>
        <w:rPr>
          <w:rFonts w:ascii="Arial" w:cs="Arial" w:eastAsia="Arial" w:hAnsi="Arial"/>
          <w:sz w:val="18"/>
          <w:szCs w:val="18"/>
          <w:color w:val="auto"/>
        </w:rPr>
      </w:pPr>
    </w:p>
    <w:p>
      <w:pPr>
        <w:ind w:left="1220" w:hanging="823"/>
        <w:spacing w:after="0" w:line="277" w:lineRule="auto"/>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Certifications pursuant to Section 1350 of the Sarbanes-Oxley Act of 2002.</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ind w:right="339"/>
        <w:spacing w:after="0"/>
        <w:rPr>
          <w:sz w:val="20"/>
          <w:szCs w:val="20"/>
          <w:color w:val="auto"/>
        </w:rPr>
      </w:pPr>
      <w:r>
        <w:rPr>
          <w:rFonts w:ascii="Arial" w:cs="Arial" w:eastAsia="Arial" w:hAnsi="Arial"/>
          <w:sz w:val="18"/>
          <w:szCs w:val="18"/>
          <w:color w:val="auto"/>
        </w:rPr>
        <w:t>SEC Document Reference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-130810</wp:posOffset>
            </wp:positionV>
            <wp:extent cx="316420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164205" cy="8890"/>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Furnished herewith.</w:t>
      </w:r>
    </w:p>
    <w:p>
      <w:pPr>
        <w:sectPr>
          <w:pgSz w:w="11900" w:h="16838" w:orient="portrait"/>
          <w:cols w:equalWidth="0" w:num="2">
            <w:col w:w="6180" w:space="260"/>
            <w:col w:w="3779"/>
          </w:cols>
          <w:pgMar w:left="240" w:top="391" w:right="1440"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auto"/>
        </w:rPr>
        <w:t>SIGNATURES</w:t>
      </w:r>
    </w:p>
    <w:p>
      <w:pPr>
        <w:spacing w:after="0" w:line="27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OIL-DRI CORPORATION OF AMERICA</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N. Peterson</w:t>
            </w:r>
          </w:p>
        </w:tc>
      </w:tr>
      <w:tr>
        <w:trPr>
          <w:trHeight w:val="195"/>
        </w:trPr>
        <w:tc>
          <w:tcPr>
            <w:tcW w:w="420" w:type="dxa"/>
            <w:vAlign w:val="bottom"/>
          </w:tcPr>
          <w:p>
            <w:pPr>
              <w:spacing w:after="0"/>
              <w:rPr>
                <w:sz w:val="16"/>
                <w:szCs w:val="16"/>
                <w:color w:val="auto"/>
              </w:rPr>
            </w:pPr>
          </w:p>
        </w:tc>
        <w:tc>
          <w:tcPr>
            <w:tcW w:w="4240" w:type="dxa"/>
            <w:vAlign w:val="bottom"/>
          </w:tcPr>
          <w:p>
            <w:pPr>
              <w:spacing w:after="0" w:line="195" w:lineRule="exact"/>
              <w:rPr>
                <w:sz w:val="20"/>
                <w:szCs w:val="20"/>
                <w:color w:val="auto"/>
              </w:rPr>
            </w:pPr>
            <w:r>
              <w:rPr>
                <w:rFonts w:ascii="Arial" w:cs="Arial" w:eastAsia="Arial" w:hAnsi="Arial"/>
                <w:sz w:val="18"/>
                <w:szCs w:val="18"/>
                <w:color w:val="auto"/>
              </w:rPr>
              <w:t>Andrew N. Peterson</w:t>
            </w:r>
          </w:p>
        </w:tc>
      </w:tr>
      <w:tr>
        <w:trPr>
          <w:trHeight w:val="230"/>
        </w:trPr>
        <w:tc>
          <w:tcPr>
            <w:tcW w:w="420" w:type="dxa"/>
            <w:vAlign w:val="bottom"/>
          </w:tcPr>
          <w:p>
            <w:pPr>
              <w:spacing w:after="0"/>
              <w:rPr>
                <w:sz w:val="20"/>
                <w:szCs w:val="20"/>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Vice President and Chief Financial Officer</w:t>
            </w:r>
          </w:p>
        </w:tc>
      </w:tr>
      <w:tr>
        <w:trPr>
          <w:trHeight w:val="648"/>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S. Jaffee</w:t>
            </w:r>
          </w:p>
        </w:tc>
      </w:tr>
      <w:tr>
        <w:trPr>
          <w:trHeight w:val="195"/>
        </w:trPr>
        <w:tc>
          <w:tcPr>
            <w:tcW w:w="420" w:type="dxa"/>
            <w:vAlign w:val="bottom"/>
          </w:tcPr>
          <w:p>
            <w:pPr>
              <w:spacing w:after="0"/>
              <w:rPr>
                <w:sz w:val="16"/>
                <w:szCs w:val="16"/>
                <w:color w:val="auto"/>
              </w:rPr>
            </w:pPr>
          </w:p>
        </w:tc>
        <w:tc>
          <w:tcPr>
            <w:tcW w:w="4240" w:type="dxa"/>
            <w:vAlign w:val="bottom"/>
          </w:tcPr>
          <w:p>
            <w:pPr>
              <w:spacing w:after="0" w:line="195" w:lineRule="exact"/>
              <w:rPr>
                <w:sz w:val="20"/>
                <w:szCs w:val="20"/>
                <w:color w:val="auto"/>
              </w:rPr>
            </w:pPr>
            <w:r>
              <w:rPr>
                <w:rFonts w:ascii="Arial" w:cs="Arial" w:eastAsia="Arial" w:hAnsi="Arial"/>
                <w:sz w:val="18"/>
                <w:szCs w:val="18"/>
                <w:color w:val="auto"/>
              </w:rPr>
              <w:t>Daniel S. Jaffee</w:t>
            </w:r>
          </w:p>
        </w:tc>
      </w:tr>
      <w:tr>
        <w:trPr>
          <w:trHeight w:val="230"/>
        </w:trPr>
        <w:tc>
          <w:tcPr>
            <w:tcW w:w="420" w:type="dxa"/>
            <w:vAlign w:val="bottom"/>
          </w:tcPr>
          <w:p>
            <w:pPr>
              <w:spacing w:after="0"/>
              <w:rPr>
                <w:sz w:val="20"/>
                <w:szCs w:val="20"/>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9, 2008.</w:t>
      </w:r>
    </w:p>
    <w:p>
      <w:pPr>
        <w:spacing w:after="0" w:line="2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395" w:right="37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4"/>
        </w:trPr>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940" w:type="dxa"/>
            <w:vAlign w:val="bottom"/>
          </w:tcPr>
          <w:p>
            <w:pPr>
              <w:ind w:left="3800"/>
              <w:spacing w:after="0"/>
              <w:rPr>
                <w:sz w:val="20"/>
                <w:szCs w:val="20"/>
                <w:color w:val="auto"/>
              </w:rPr>
            </w:pPr>
            <w:r>
              <w:rPr>
                <w:rFonts w:ascii="Arial" w:cs="Arial" w:eastAsia="Arial" w:hAnsi="Arial"/>
                <w:sz w:val="18"/>
                <w:szCs w:val="18"/>
                <w:b w:val="1"/>
                <w:bCs w:val="1"/>
                <w:color w:val="auto"/>
              </w:rPr>
              <w:t>EXHIBITS</w:t>
            </w:r>
          </w:p>
        </w:tc>
      </w:tr>
      <w:tr>
        <w:trPr>
          <w:trHeight w:val="472"/>
        </w:trPr>
        <w:tc>
          <w:tcPr>
            <w:tcW w:w="1220" w:type="dxa"/>
            <w:vAlign w:val="bottom"/>
          </w:tcPr>
          <w:p>
            <w:pPr>
              <w:jc w:val="center"/>
              <w:spacing w:after="0"/>
              <w:rPr>
                <w:sz w:val="20"/>
                <w:szCs w:val="20"/>
                <w:color w:val="auto"/>
              </w:rPr>
            </w:pPr>
            <w:r>
              <w:rPr>
                <w:rFonts w:ascii="Arial" w:cs="Arial" w:eastAsia="Arial" w:hAnsi="Arial"/>
                <w:sz w:val="18"/>
                <w:szCs w:val="18"/>
                <w:color w:val="auto"/>
                <w:w w:val="96"/>
              </w:rPr>
              <w:t>Exhibit</w:t>
            </w:r>
          </w:p>
        </w:tc>
        <w:tc>
          <w:tcPr>
            <w:tcW w:w="260" w:type="dxa"/>
            <w:vAlign w:val="bottom"/>
          </w:tcPr>
          <w:p>
            <w:pPr>
              <w:spacing w:after="0"/>
              <w:rPr>
                <w:sz w:val="24"/>
                <w:szCs w:val="24"/>
                <w:color w:val="auto"/>
              </w:rPr>
            </w:pPr>
          </w:p>
        </w:tc>
        <w:tc>
          <w:tcPr>
            <w:tcW w:w="9940" w:type="dxa"/>
            <w:vAlign w:val="bottom"/>
          </w:tcPr>
          <w:p>
            <w:pPr>
              <w:spacing w:after="0"/>
              <w:rPr>
                <w:sz w:val="24"/>
                <w:szCs w:val="24"/>
                <w:color w:val="auto"/>
              </w:rPr>
            </w:pPr>
          </w:p>
        </w:tc>
      </w:tr>
      <w:tr>
        <w:trPr>
          <w:trHeight w:val="230"/>
        </w:trPr>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No.</w:t>
            </w:r>
          </w:p>
        </w:tc>
        <w:tc>
          <w:tcPr>
            <w:tcW w:w="260" w:type="dxa"/>
            <w:vAlign w:val="bottom"/>
          </w:tcPr>
          <w:p>
            <w:pPr>
              <w:spacing w:after="0"/>
              <w:rPr>
                <w:sz w:val="20"/>
                <w:szCs w:val="20"/>
                <w:color w:val="auto"/>
              </w:rPr>
            </w:pPr>
          </w:p>
        </w:tc>
        <w:tc>
          <w:tcPr>
            <w:tcW w:w="9940" w:type="dxa"/>
            <w:vAlign w:val="bottom"/>
            <w:tcBorders>
              <w:bottom w:val="single" w:sz="8" w:color="auto"/>
            </w:tcBorders>
          </w:tcPr>
          <w:p>
            <w:pPr>
              <w:ind w:left="4560"/>
              <w:spacing w:after="0"/>
              <w:rPr>
                <w:sz w:val="20"/>
                <w:szCs w:val="20"/>
                <w:color w:val="auto"/>
              </w:rPr>
            </w:pPr>
            <w:r>
              <w:rPr>
                <w:rFonts w:ascii="Arial" w:cs="Arial" w:eastAsia="Arial" w:hAnsi="Arial"/>
                <w:sz w:val="18"/>
                <w:szCs w:val="18"/>
                <w:color w:val="auto"/>
              </w:rPr>
              <w:t>Description</w:t>
            </w:r>
          </w:p>
        </w:tc>
      </w:tr>
      <w:tr>
        <w:trPr>
          <w:trHeight w:val="224"/>
        </w:trPr>
        <w:tc>
          <w:tcPr>
            <w:tcW w:w="1220" w:type="dxa"/>
            <w:vAlign w:val="bottom"/>
          </w:tcPr>
          <w:p>
            <w:pPr>
              <w:jc w:val="center"/>
              <w:spacing w:after="0"/>
              <w:rPr>
                <w:sz w:val="20"/>
                <w:szCs w:val="20"/>
                <w:color w:val="auto"/>
              </w:rPr>
            </w:pPr>
            <w:r>
              <w:rPr>
                <w:rFonts w:ascii="Arial" w:cs="Arial" w:eastAsia="Arial" w:hAnsi="Arial"/>
                <w:sz w:val="18"/>
                <w:szCs w:val="18"/>
                <w:color w:val="auto"/>
                <w:w w:val="89"/>
              </w:rPr>
              <w:t>11</w:t>
            </w:r>
          </w:p>
        </w:tc>
        <w:tc>
          <w:tcPr>
            <w:tcW w:w="260" w:type="dxa"/>
            <w:vAlign w:val="bottom"/>
          </w:tcPr>
          <w:p>
            <w:pPr>
              <w:spacing w:after="0"/>
              <w:rPr>
                <w:sz w:val="19"/>
                <w:szCs w:val="19"/>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Statement re: Computation of Earnings per Share.</w:t>
            </w:r>
          </w:p>
        </w:tc>
      </w:tr>
    </w:tbl>
    <w:p>
      <w:pPr>
        <w:spacing w:after="0" w:line="241" w:lineRule="exact"/>
        <w:rPr>
          <w:sz w:val="20"/>
          <w:szCs w:val="20"/>
          <w:color w:val="auto"/>
        </w:rPr>
      </w:pPr>
    </w:p>
    <w:p>
      <w:pPr>
        <w:ind w:left="1480" w:hanging="954"/>
        <w:spacing w:after="0"/>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Certifications pursuant to Rule 13a – 14(a).</w:t>
      </w:r>
    </w:p>
    <w:p>
      <w:pPr>
        <w:spacing w:after="0" w:line="279" w:lineRule="exact"/>
        <w:rPr>
          <w:rFonts w:ascii="Arial" w:cs="Arial" w:eastAsia="Arial" w:hAnsi="Arial"/>
          <w:sz w:val="18"/>
          <w:szCs w:val="18"/>
          <w:color w:val="auto"/>
        </w:rPr>
      </w:pPr>
    </w:p>
    <w:p>
      <w:pPr>
        <w:ind w:left="1480" w:hanging="954"/>
        <w:spacing w:after="0"/>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Certifications pursuant to Section 1350 of the Sarbanes-Oxley Act of 2002.</w:t>
      </w:r>
    </w:p>
    <w:p>
      <w:pPr>
        <w:spacing w:after="0" w:line="306" w:lineRule="exact"/>
        <w:rPr>
          <w:sz w:val="20"/>
          <w:szCs w:val="20"/>
          <w:color w:val="auto"/>
        </w:rPr>
      </w:pPr>
    </w:p>
    <w:p>
      <w:pPr>
        <w:ind w:left="660" w:hanging="659"/>
        <w:spacing w:after="0" w:line="277" w:lineRule="auto"/>
        <w:tabs>
          <w:tab w:leader="none" w:pos="640" w:val="left"/>
        </w:tabs>
        <w:rPr>
          <w:sz w:val="20"/>
          <w:szCs w:val="20"/>
          <w:color w:val="auto"/>
        </w:rPr>
      </w:pPr>
      <w:r>
        <w:rPr>
          <w:rFonts w:ascii="Arial" w:cs="Arial" w:eastAsia="Arial" w:hAnsi="Arial"/>
          <w:sz w:val="18"/>
          <w:szCs w:val="18"/>
          <w:color w:val="auto"/>
        </w:rPr>
        <w:t>Note:</w:t>
        <w:tab/>
        <w:t>Stockholders may receive copies of the above listed exhibits, without fee, by written request to Investor Relations, Oil-Dri Corporation of America, 410 North Michigan Avenue, Suite 400, Chicago, Illinois 60611-4213.</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Exhibit 11:</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OIL-DRI CORPORATION OF AMERICA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Earnings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per share amounts)</w:t>
      </w:r>
    </w:p>
    <w:p>
      <w:pPr>
        <w:spacing w:after="0" w:line="261"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Three months</w:t>
      </w:r>
    </w:p>
    <w:p>
      <w:pPr>
        <w:spacing w:after="0" w:line="27"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Ended</w:t>
      </w:r>
    </w:p>
    <w:p>
      <w:pPr>
        <w:spacing w:after="0" w:line="9"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October 31</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2008</w:t>
            </w: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color w:val="auto"/>
              </w:rPr>
              <w:t>2007</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4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24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14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5820" w:type="dxa"/>
            <w:vAlign w:val="bottom"/>
            <w:gridSpan w:val="2"/>
            <w:shd w:val="clear" w:color="auto" w:fill="CCFFCC"/>
          </w:tcPr>
          <w:p>
            <w:pPr>
              <w:spacing w:after="0" w:line="201" w:lineRule="exact"/>
              <w:rPr>
                <w:sz w:val="20"/>
                <w:szCs w:val="20"/>
                <w:color w:val="auto"/>
              </w:rPr>
            </w:pPr>
            <w:r>
              <w:rPr>
                <w:rFonts w:ascii="Arial" w:cs="Arial" w:eastAsia="Arial" w:hAnsi="Arial"/>
                <w:sz w:val="18"/>
                <w:szCs w:val="18"/>
                <w:color w:val="auto"/>
              </w:rPr>
              <w:t>Net income available to stockholders</w:t>
            </w:r>
          </w:p>
        </w:tc>
        <w:tc>
          <w:tcPr>
            <w:tcW w:w="320" w:type="dxa"/>
            <w:vAlign w:val="bottom"/>
            <w:gridSpan w:val="2"/>
            <w:vMerge w:val="restart"/>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FFCC"/>
          </w:tcPr>
          <w:p>
            <w:pPr>
              <w:spacing w:after="0"/>
              <w:rPr>
                <w:sz w:val="17"/>
                <w:szCs w:val="17"/>
                <w:color w:val="auto"/>
              </w:rPr>
            </w:pPr>
          </w:p>
        </w:tc>
        <w:tc>
          <w:tcPr>
            <w:tcW w:w="460" w:type="dxa"/>
            <w:vAlign w:val="bottom"/>
            <w:vMerge w:val="restart"/>
            <w:shd w:val="clear" w:color="auto" w:fill="CCFFCC"/>
          </w:tcPr>
          <w:p>
            <w:pPr>
              <w:jc w:val="right"/>
              <w:spacing w:after="0"/>
              <w:rPr>
                <w:sz w:val="20"/>
                <w:szCs w:val="20"/>
                <w:color w:val="auto"/>
              </w:rPr>
            </w:pPr>
            <w:r>
              <w:rPr>
                <w:rFonts w:ascii="Arial" w:cs="Arial" w:eastAsia="Arial" w:hAnsi="Arial"/>
                <w:sz w:val="18"/>
                <w:szCs w:val="18"/>
                <w:b w:val="1"/>
                <w:bCs w:val="1"/>
                <w:color w:val="auto"/>
                <w:w w:val="97"/>
              </w:rPr>
              <w:t>2,246</w:t>
            </w:r>
          </w:p>
        </w:tc>
        <w:tc>
          <w:tcPr>
            <w:tcW w:w="2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3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1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2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(numerator)</w:t>
            </w:r>
          </w:p>
        </w:tc>
        <w:tc>
          <w:tcPr>
            <w:tcW w:w="320" w:type="dxa"/>
            <w:vAlign w:val="bottom"/>
            <w:gridSpan w:val="2"/>
            <w:vMerge w:val="continue"/>
            <w:shd w:val="clear" w:color="auto" w:fill="CCFFCC"/>
          </w:tcPr>
          <w:p>
            <w:pPr>
              <w:spacing w:after="0"/>
              <w:rPr>
                <w:sz w:val="23"/>
                <w:szCs w:val="23"/>
                <w:color w:val="auto"/>
              </w:rPr>
            </w:pPr>
          </w:p>
        </w:tc>
        <w:tc>
          <w:tcPr>
            <w:tcW w:w="800" w:type="dxa"/>
            <w:vAlign w:val="bottom"/>
            <w:shd w:val="clear" w:color="auto" w:fill="CCFFCC"/>
          </w:tcPr>
          <w:p>
            <w:pPr>
              <w:spacing w:after="0"/>
              <w:rPr>
                <w:sz w:val="23"/>
                <w:szCs w:val="23"/>
                <w:color w:val="auto"/>
              </w:rPr>
            </w:pPr>
          </w:p>
        </w:tc>
        <w:tc>
          <w:tcPr>
            <w:tcW w:w="460" w:type="dxa"/>
            <w:vAlign w:val="bottom"/>
            <w:vMerge w:val="continue"/>
            <w:shd w:val="clear" w:color="auto" w:fill="CCFFCC"/>
          </w:tcPr>
          <w:p>
            <w:pPr>
              <w:spacing w:after="0"/>
              <w:rPr>
                <w:sz w:val="23"/>
                <w:szCs w:val="23"/>
                <w:color w:val="auto"/>
              </w:rPr>
            </w:pPr>
          </w:p>
        </w:tc>
        <w:tc>
          <w:tcPr>
            <w:tcW w:w="3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2,484</w:t>
            </w:r>
          </w:p>
        </w:tc>
        <w:tc>
          <w:tcPr>
            <w:tcW w:w="100" w:type="dxa"/>
            <w:vAlign w:val="bottom"/>
            <w:shd w:val="clear" w:color="auto" w:fill="CCFFCC"/>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20" w:type="dxa"/>
            <w:vAlign w:val="bottom"/>
            <w:tcBorders>
              <w:top w:val="single" w:sz="8" w:color="CCFFCC"/>
            </w:tcBorders>
          </w:tcPr>
          <w:p>
            <w:pPr>
              <w:spacing w:after="0"/>
              <w:rPr>
                <w:sz w:val="19"/>
                <w:szCs w:val="19"/>
                <w:color w:val="auto"/>
              </w:rPr>
            </w:pPr>
          </w:p>
        </w:tc>
        <w:tc>
          <w:tcPr>
            <w:tcW w:w="3400" w:type="dxa"/>
            <w:vAlign w:val="bottom"/>
            <w:tcBorders>
              <w:top w:val="single" w:sz="8" w:color="CCFFCC"/>
            </w:tcBorders>
          </w:tcPr>
          <w:p>
            <w:pPr>
              <w:spacing w:after="0"/>
              <w:rPr>
                <w:sz w:val="19"/>
                <w:szCs w:val="19"/>
                <w:color w:val="auto"/>
              </w:rPr>
            </w:pPr>
          </w:p>
        </w:tc>
        <w:tc>
          <w:tcPr>
            <w:tcW w:w="220" w:type="dxa"/>
            <w:vAlign w:val="bottom"/>
            <w:tcBorders>
              <w:top w:val="single" w:sz="8" w:color="CCFFCC"/>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20" w:type="dxa"/>
            <w:vAlign w:val="bottom"/>
            <w:tcBorders>
              <w:top w:val="single" w:sz="8" w:color="CCFFCC"/>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00" w:type="dxa"/>
            <w:vAlign w:val="bottom"/>
            <w:tcBorders>
              <w:top w:val="single" w:sz="8" w:color="CCFFCC"/>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20" w:type="dxa"/>
            <w:vAlign w:val="bottom"/>
            <w:gridSpan w:val="2"/>
            <w:shd w:val="clear" w:color="auto" w:fill="CCFFCC"/>
          </w:tcPr>
          <w:p>
            <w:pPr>
              <w:spacing w:after="0" w:line="202" w:lineRule="exact"/>
              <w:rPr>
                <w:sz w:val="20"/>
                <w:szCs w:val="20"/>
                <w:color w:val="auto"/>
              </w:rPr>
            </w:pPr>
            <w:r>
              <w:rPr>
                <w:rFonts w:ascii="Arial" w:cs="Arial" w:eastAsia="Arial" w:hAnsi="Arial"/>
                <w:sz w:val="18"/>
                <w:szCs w:val="18"/>
                <w:color w:val="auto"/>
              </w:rPr>
              <w:t>Shares Calculation (denominator)</w:t>
            </w:r>
          </w:p>
        </w:tc>
        <w:tc>
          <w:tcPr>
            <w:tcW w:w="22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800" w:type="dxa"/>
            <w:vAlign w:val="bottom"/>
            <w:shd w:val="clear" w:color="auto" w:fill="CCFFCC"/>
          </w:tcPr>
          <w:p>
            <w:pPr>
              <w:spacing w:after="0"/>
              <w:rPr>
                <w:sz w:val="20"/>
                <w:szCs w:val="20"/>
                <w:color w:val="auto"/>
              </w:rPr>
            </w:pPr>
          </w:p>
        </w:tc>
        <w:tc>
          <w:tcPr>
            <w:tcW w:w="46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30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40" w:type="dxa"/>
            <w:vAlign w:val="bottom"/>
            <w:vMerge w:val="restart"/>
          </w:tcPr>
          <w:p>
            <w:pPr>
              <w:spacing w:after="0"/>
              <w:rPr>
                <w:sz w:val="21"/>
                <w:szCs w:val="21"/>
                <w:color w:val="auto"/>
              </w:rPr>
            </w:pPr>
          </w:p>
        </w:tc>
        <w:tc>
          <w:tcPr>
            <w:tcW w:w="20" w:type="dxa"/>
            <w:vAlign w:val="bottom"/>
            <w:tcBorders>
              <w:top w:val="single" w:sz="8" w:color="auto"/>
            </w:tcBorders>
            <w:vMerge w:val="restart"/>
          </w:tcPr>
          <w:p>
            <w:pPr>
              <w:spacing w:after="0"/>
              <w:rPr>
                <w:sz w:val="21"/>
                <w:szCs w:val="21"/>
                <w:color w:val="auto"/>
              </w:rPr>
            </w:pPr>
          </w:p>
        </w:tc>
        <w:tc>
          <w:tcPr>
            <w:tcW w:w="2420" w:type="dxa"/>
            <w:vAlign w:val="bottom"/>
            <w:tcBorders>
              <w:top w:val="single" w:sz="8" w:color="auto"/>
            </w:tcBorders>
          </w:tcPr>
          <w:p>
            <w:pPr>
              <w:spacing w:after="0"/>
              <w:rPr>
                <w:sz w:val="21"/>
                <w:szCs w:val="21"/>
                <w:color w:val="auto"/>
              </w:rPr>
            </w:pPr>
          </w:p>
        </w:tc>
        <w:tc>
          <w:tcPr>
            <w:tcW w:w="3400" w:type="dxa"/>
            <w:vAlign w:val="bottom"/>
            <w:tcBorders>
              <w:top w:val="single" w:sz="8" w:color="CCFFCC"/>
            </w:tcBorders>
          </w:tcPr>
          <w:p>
            <w:pPr>
              <w:spacing w:after="0"/>
              <w:rPr>
                <w:sz w:val="21"/>
                <w:szCs w:val="21"/>
                <w:color w:val="auto"/>
              </w:rPr>
            </w:pPr>
          </w:p>
        </w:tc>
        <w:tc>
          <w:tcPr>
            <w:tcW w:w="220" w:type="dxa"/>
            <w:vAlign w:val="bottom"/>
            <w:tcBorders>
              <w:top w:val="single" w:sz="8" w:color="CCFFCC"/>
            </w:tcBorders>
          </w:tcPr>
          <w:p>
            <w:pPr>
              <w:spacing w:after="0"/>
              <w:rPr>
                <w:sz w:val="21"/>
                <w:szCs w:val="21"/>
                <w:color w:val="auto"/>
              </w:rPr>
            </w:pPr>
          </w:p>
        </w:tc>
        <w:tc>
          <w:tcPr>
            <w:tcW w:w="100" w:type="dxa"/>
            <w:vAlign w:val="bottom"/>
            <w:tcBorders>
              <w:top w:val="single" w:sz="8" w:color="CCFFCC"/>
            </w:tcBorders>
          </w:tcPr>
          <w:p>
            <w:pPr>
              <w:spacing w:after="0"/>
              <w:rPr>
                <w:sz w:val="21"/>
                <w:szCs w:val="21"/>
                <w:color w:val="auto"/>
              </w:rPr>
            </w:pPr>
          </w:p>
        </w:tc>
        <w:tc>
          <w:tcPr>
            <w:tcW w:w="800" w:type="dxa"/>
            <w:vAlign w:val="bottom"/>
            <w:tcBorders>
              <w:top w:val="single" w:sz="8" w:color="CCFFCC"/>
            </w:tcBorders>
          </w:tcPr>
          <w:p>
            <w:pPr>
              <w:spacing w:after="0"/>
              <w:rPr>
                <w:sz w:val="21"/>
                <w:szCs w:val="21"/>
                <w:color w:val="auto"/>
              </w:rPr>
            </w:pPr>
          </w:p>
        </w:tc>
        <w:tc>
          <w:tcPr>
            <w:tcW w:w="460" w:type="dxa"/>
            <w:vAlign w:val="bottom"/>
            <w:tcBorders>
              <w:top w:val="single" w:sz="8" w:color="CCFFCC"/>
            </w:tcBorders>
          </w:tcPr>
          <w:p>
            <w:pPr>
              <w:spacing w:after="0"/>
              <w:rPr>
                <w:sz w:val="21"/>
                <w:szCs w:val="21"/>
                <w:color w:val="auto"/>
              </w:rPr>
            </w:pPr>
          </w:p>
        </w:tc>
        <w:tc>
          <w:tcPr>
            <w:tcW w:w="220" w:type="dxa"/>
            <w:vAlign w:val="bottom"/>
            <w:tcBorders>
              <w:top w:val="single" w:sz="8" w:color="CCFFCC"/>
            </w:tcBorders>
          </w:tcPr>
          <w:p>
            <w:pPr>
              <w:spacing w:after="0"/>
              <w:rPr>
                <w:sz w:val="21"/>
                <w:szCs w:val="21"/>
                <w:color w:val="auto"/>
              </w:rPr>
            </w:pPr>
          </w:p>
        </w:tc>
        <w:tc>
          <w:tcPr>
            <w:tcW w:w="100" w:type="dxa"/>
            <w:vAlign w:val="bottom"/>
            <w:tcBorders>
              <w:top w:val="single" w:sz="8" w:color="CCFFCC"/>
            </w:tcBorders>
          </w:tcPr>
          <w:p>
            <w:pPr>
              <w:spacing w:after="0"/>
              <w:rPr>
                <w:sz w:val="21"/>
                <w:szCs w:val="21"/>
                <w:color w:val="auto"/>
              </w:rPr>
            </w:pPr>
          </w:p>
        </w:tc>
        <w:tc>
          <w:tcPr>
            <w:tcW w:w="1300" w:type="dxa"/>
            <w:vAlign w:val="bottom"/>
            <w:tcBorders>
              <w:top w:val="single" w:sz="8" w:color="CCFFCC"/>
            </w:tcBorders>
          </w:tcPr>
          <w:p>
            <w:pPr>
              <w:spacing w:after="0"/>
              <w:rPr>
                <w:sz w:val="21"/>
                <w:szCs w:val="21"/>
                <w:color w:val="auto"/>
              </w:rPr>
            </w:pPr>
          </w:p>
        </w:tc>
        <w:tc>
          <w:tcPr>
            <w:tcW w:w="100" w:type="dxa"/>
            <w:vAlign w:val="bottom"/>
            <w:tcBorders>
              <w:top w:val="single" w:sz="8" w:color="CCFFCC"/>
            </w:tcBorders>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114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5820" w:type="dxa"/>
            <w:vAlign w:val="bottom"/>
            <w:gridSpan w:val="2"/>
            <w:shd w:val="clear" w:color="auto" w:fill="CCFFCC"/>
          </w:tcPr>
          <w:p>
            <w:pPr>
              <w:spacing w:after="0" w:line="201" w:lineRule="exact"/>
              <w:rPr>
                <w:sz w:val="20"/>
                <w:szCs w:val="20"/>
                <w:color w:val="auto"/>
              </w:rPr>
            </w:pPr>
            <w:r>
              <w:rPr>
                <w:rFonts w:ascii="Arial" w:cs="Arial" w:eastAsia="Arial" w:hAnsi="Arial"/>
                <w:sz w:val="18"/>
                <w:szCs w:val="18"/>
                <w:color w:val="auto"/>
              </w:rPr>
              <w:t>Average shares outstanding –</w:t>
            </w:r>
          </w:p>
        </w:tc>
        <w:tc>
          <w:tcPr>
            <w:tcW w:w="2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00" w:type="dxa"/>
            <w:vAlign w:val="bottom"/>
            <w:shd w:val="clear" w:color="auto" w:fill="CCFFCC"/>
          </w:tcPr>
          <w:p>
            <w:pPr>
              <w:spacing w:after="0"/>
              <w:rPr>
                <w:sz w:val="17"/>
                <w:szCs w:val="17"/>
                <w:color w:val="auto"/>
              </w:rPr>
            </w:pPr>
          </w:p>
        </w:tc>
        <w:tc>
          <w:tcPr>
            <w:tcW w:w="460" w:type="dxa"/>
            <w:vAlign w:val="bottom"/>
            <w:vMerge w:val="restart"/>
            <w:shd w:val="clear" w:color="auto" w:fill="CCFFCC"/>
          </w:tcPr>
          <w:p>
            <w:pPr>
              <w:jc w:val="right"/>
              <w:spacing w:after="0"/>
              <w:rPr>
                <w:sz w:val="20"/>
                <w:szCs w:val="20"/>
                <w:color w:val="auto"/>
              </w:rPr>
            </w:pPr>
            <w:r>
              <w:rPr>
                <w:rFonts w:ascii="Arial" w:cs="Arial" w:eastAsia="Arial" w:hAnsi="Arial"/>
                <w:sz w:val="18"/>
                <w:szCs w:val="18"/>
                <w:b w:val="1"/>
                <w:bCs w:val="1"/>
                <w:color w:val="auto"/>
                <w:w w:val="97"/>
              </w:rPr>
              <w:t>5,128</w:t>
            </w:r>
          </w:p>
        </w:tc>
        <w:tc>
          <w:tcPr>
            <w:tcW w:w="2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3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2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Basic Common</w:t>
            </w:r>
          </w:p>
        </w:tc>
        <w:tc>
          <w:tcPr>
            <w:tcW w:w="22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800" w:type="dxa"/>
            <w:vAlign w:val="bottom"/>
            <w:shd w:val="clear" w:color="auto" w:fill="CCFFCC"/>
          </w:tcPr>
          <w:p>
            <w:pPr>
              <w:spacing w:after="0"/>
              <w:rPr>
                <w:sz w:val="20"/>
                <w:szCs w:val="20"/>
                <w:color w:val="auto"/>
              </w:rPr>
            </w:pPr>
          </w:p>
        </w:tc>
        <w:tc>
          <w:tcPr>
            <w:tcW w:w="460" w:type="dxa"/>
            <w:vAlign w:val="bottom"/>
            <w:vMerge w:val="continue"/>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5,004</w:t>
            </w:r>
          </w:p>
        </w:tc>
        <w:tc>
          <w:tcPr>
            <w:tcW w:w="100" w:type="dxa"/>
            <w:vAlign w:val="bottom"/>
            <w:shd w:val="clear" w:color="auto" w:fill="CCFFCC"/>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40" w:type="dxa"/>
            <w:vAlign w:val="bottom"/>
            <w:vMerge w:val="restart"/>
          </w:tcPr>
          <w:p>
            <w:pPr>
              <w:spacing w:after="0"/>
              <w:rPr>
                <w:sz w:val="21"/>
                <w:szCs w:val="21"/>
                <w:color w:val="auto"/>
              </w:rPr>
            </w:pPr>
          </w:p>
        </w:tc>
        <w:tc>
          <w:tcPr>
            <w:tcW w:w="20" w:type="dxa"/>
            <w:vAlign w:val="bottom"/>
            <w:vMerge w:val="restart"/>
          </w:tcPr>
          <w:p>
            <w:pPr>
              <w:spacing w:after="0"/>
              <w:rPr>
                <w:sz w:val="21"/>
                <w:szCs w:val="21"/>
                <w:color w:val="auto"/>
              </w:rPr>
            </w:pPr>
          </w:p>
        </w:tc>
        <w:tc>
          <w:tcPr>
            <w:tcW w:w="242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114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5820" w:type="dxa"/>
            <w:vAlign w:val="bottom"/>
            <w:gridSpan w:val="2"/>
            <w:shd w:val="clear" w:color="auto" w:fill="CCFFCC"/>
          </w:tcPr>
          <w:p>
            <w:pPr>
              <w:spacing w:after="0" w:line="201" w:lineRule="exact"/>
              <w:rPr>
                <w:sz w:val="20"/>
                <w:szCs w:val="20"/>
                <w:color w:val="auto"/>
              </w:rPr>
            </w:pPr>
            <w:r>
              <w:rPr>
                <w:rFonts w:ascii="Arial" w:cs="Arial" w:eastAsia="Arial" w:hAnsi="Arial"/>
                <w:sz w:val="18"/>
                <w:szCs w:val="18"/>
                <w:color w:val="auto"/>
              </w:rPr>
              <w:t>Average shares outstanding –</w:t>
            </w:r>
          </w:p>
        </w:tc>
        <w:tc>
          <w:tcPr>
            <w:tcW w:w="2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00" w:type="dxa"/>
            <w:vAlign w:val="bottom"/>
            <w:shd w:val="clear" w:color="auto" w:fill="CCFFCC"/>
          </w:tcPr>
          <w:p>
            <w:pPr>
              <w:spacing w:after="0"/>
              <w:rPr>
                <w:sz w:val="17"/>
                <w:szCs w:val="17"/>
                <w:color w:val="auto"/>
              </w:rPr>
            </w:pPr>
          </w:p>
        </w:tc>
        <w:tc>
          <w:tcPr>
            <w:tcW w:w="460" w:type="dxa"/>
            <w:vAlign w:val="bottom"/>
            <w:vMerge w:val="restart"/>
            <w:shd w:val="clear" w:color="auto" w:fill="CCFFCC"/>
          </w:tcPr>
          <w:p>
            <w:pPr>
              <w:jc w:val="right"/>
              <w:spacing w:after="0"/>
              <w:rPr>
                <w:sz w:val="20"/>
                <w:szCs w:val="20"/>
                <w:color w:val="auto"/>
              </w:rPr>
            </w:pPr>
            <w:r>
              <w:rPr>
                <w:rFonts w:ascii="Arial" w:cs="Arial" w:eastAsia="Arial" w:hAnsi="Arial"/>
                <w:sz w:val="18"/>
                <w:szCs w:val="18"/>
                <w:b w:val="1"/>
                <w:bCs w:val="1"/>
                <w:color w:val="auto"/>
                <w:w w:val="97"/>
              </w:rPr>
              <w:t>1,862</w:t>
            </w:r>
          </w:p>
        </w:tc>
        <w:tc>
          <w:tcPr>
            <w:tcW w:w="2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3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2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Basic Class B Common</w:t>
            </w:r>
          </w:p>
        </w:tc>
        <w:tc>
          <w:tcPr>
            <w:tcW w:w="22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800" w:type="dxa"/>
            <w:vAlign w:val="bottom"/>
            <w:shd w:val="clear" w:color="auto" w:fill="CCFFCC"/>
          </w:tcPr>
          <w:p>
            <w:pPr>
              <w:spacing w:after="0"/>
              <w:rPr>
                <w:sz w:val="20"/>
                <w:szCs w:val="20"/>
                <w:color w:val="auto"/>
              </w:rPr>
            </w:pPr>
          </w:p>
        </w:tc>
        <w:tc>
          <w:tcPr>
            <w:tcW w:w="460" w:type="dxa"/>
            <w:vAlign w:val="bottom"/>
            <w:vMerge w:val="continue"/>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1,840</w:t>
            </w:r>
          </w:p>
        </w:tc>
        <w:tc>
          <w:tcPr>
            <w:tcW w:w="100" w:type="dxa"/>
            <w:vAlign w:val="bottom"/>
            <w:shd w:val="clear" w:color="auto" w:fill="CCFFCC"/>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2440" w:type="dxa"/>
            <w:vAlign w:val="bottom"/>
            <w:gridSpan w:val="2"/>
          </w:tcPr>
          <w:p>
            <w:pPr>
              <w:spacing w:after="0"/>
              <w:rPr>
                <w:sz w:val="21"/>
                <w:szCs w:val="21"/>
                <w:color w:val="auto"/>
              </w:rPr>
            </w:pPr>
          </w:p>
        </w:tc>
        <w:tc>
          <w:tcPr>
            <w:tcW w:w="3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Effect of Dilutive Securities:</w:t>
            </w:r>
          </w:p>
        </w:tc>
        <w:tc>
          <w:tcPr>
            <w:tcW w:w="2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80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3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40" w:type="dxa"/>
            <w:vAlign w:val="bottom"/>
            <w:vMerge w:val="restart"/>
          </w:tcPr>
          <w:p>
            <w:pPr>
              <w:spacing w:after="0"/>
              <w:rPr>
                <w:sz w:val="21"/>
                <w:szCs w:val="21"/>
                <w:color w:val="auto"/>
              </w:rPr>
            </w:pPr>
          </w:p>
        </w:tc>
        <w:tc>
          <w:tcPr>
            <w:tcW w:w="20" w:type="dxa"/>
            <w:vAlign w:val="bottom"/>
            <w:vMerge w:val="restart"/>
          </w:tcPr>
          <w:p>
            <w:pPr>
              <w:spacing w:after="0"/>
              <w:rPr>
                <w:sz w:val="21"/>
                <w:szCs w:val="21"/>
                <w:color w:val="auto"/>
              </w:rPr>
            </w:pPr>
          </w:p>
        </w:tc>
        <w:tc>
          <w:tcPr>
            <w:tcW w:w="242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20" w:type="dxa"/>
            <w:vAlign w:val="bottom"/>
            <w:vMerge w:val="continue"/>
          </w:tcPr>
          <w:p>
            <w:pPr>
              <w:spacing w:after="0"/>
              <w:rPr>
                <w:sz w:val="21"/>
                <w:szCs w:val="21"/>
                <w:color w:val="auto"/>
              </w:rPr>
            </w:pPr>
          </w:p>
        </w:tc>
        <w:tc>
          <w:tcPr>
            <w:tcW w:w="5820" w:type="dxa"/>
            <w:vAlign w:val="bottom"/>
            <w:tcBorders>
              <w:bottom w:val="single" w:sz="8" w:color="CCFFCC"/>
            </w:tcBorders>
            <w:gridSpan w:val="2"/>
            <w:shd w:val="clear" w:color="auto" w:fill="CCFFCC"/>
          </w:tcPr>
          <w:p>
            <w:pPr>
              <w:spacing w:after="0"/>
              <w:rPr>
                <w:sz w:val="20"/>
                <w:szCs w:val="20"/>
                <w:color w:val="auto"/>
              </w:rPr>
            </w:pPr>
            <w:r>
              <w:rPr>
                <w:rFonts w:ascii="Arial" w:cs="Arial" w:eastAsia="Arial" w:hAnsi="Arial"/>
                <w:sz w:val="18"/>
                <w:szCs w:val="18"/>
                <w:color w:val="auto"/>
              </w:rPr>
              <w:t>Potential Common Stock relating to stock options</w:t>
            </w:r>
          </w:p>
        </w:tc>
        <w:tc>
          <w:tcPr>
            <w:tcW w:w="22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auto"/>
            </w:tcBorders>
            <w:shd w:val="clear" w:color="auto" w:fill="CCFFCC"/>
          </w:tcPr>
          <w:p>
            <w:pPr>
              <w:spacing w:after="0"/>
              <w:rPr>
                <w:sz w:val="21"/>
                <w:szCs w:val="21"/>
                <w:color w:val="auto"/>
              </w:rPr>
            </w:pPr>
          </w:p>
        </w:tc>
        <w:tc>
          <w:tcPr>
            <w:tcW w:w="800" w:type="dxa"/>
            <w:vAlign w:val="bottom"/>
            <w:tcBorders>
              <w:bottom w:val="single" w:sz="8" w:color="auto"/>
            </w:tcBorders>
            <w:shd w:val="clear" w:color="auto" w:fill="CCFFCC"/>
          </w:tcPr>
          <w:p>
            <w:pPr>
              <w:spacing w:after="0"/>
              <w:rPr>
                <w:sz w:val="21"/>
                <w:szCs w:val="21"/>
                <w:color w:val="auto"/>
              </w:rPr>
            </w:pPr>
          </w:p>
        </w:tc>
        <w:tc>
          <w:tcPr>
            <w:tcW w:w="4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255</w:t>
            </w:r>
          </w:p>
        </w:tc>
        <w:tc>
          <w:tcPr>
            <w:tcW w:w="22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auto"/>
            </w:tcBorders>
            <w:shd w:val="clear" w:color="auto" w:fill="CCFFCC"/>
          </w:tcPr>
          <w:p>
            <w:pPr>
              <w:spacing w:after="0"/>
              <w:rPr>
                <w:sz w:val="21"/>
                <w:szCs w:val="21"/>
                <w:color w:val="auto"/>
              </w:rPr>
            </w:pPr>
          </w:p>
        </w:tc>
        <w:tc>
          <w:tcPr>
            <w:tcW w:w="13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Borders>
              <w:bottom w:val="single" w:sz="8" w:color="CCFFCC"/>
            </w:tcBorders>
            <w:shd w:val="clear" w:color="auto" w:fill="CCFFCC"/>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14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24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14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5820" w:type="dxa"/>
            <w:vAlign w:val="bottom"/>
            <w:gridSpan w:val="2"/>
            <w:shd w:val="clear" w:color="auto" w:fill="CCFFCC"/>
          </w:tcPr>
          <w:p>
            <w:pPr>
              <w:spacing w:after="0" w:line="201" w:lineRule="exact"/>
              <w:rPr>
                <w:sz w:val="20"/>
                <w:szCs w:val="20"/>
                <w:color w:val="auto"/>
              </w:rPr>
            </w:pPr>
            <w:r>
              <w:rPr>
                <w:rFonts w:ascii="Arial" w:cs="Arial" w:eastAsia="Arial" w:hAnsi="Arial"/>
                <w:sz w:val="18"/>
                <w:szCs w:val="18"/>
                <w:color w:val="auto"/>
              </w:rPr>
              <w:t>Average shares outstanding –</w:t>
            </w:r>
          </w:p>
        </w:tc>
        <w:tc>
          <w:tcPr>
            <w:tcW w:w="2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00" w:type="dxa"/>
            <w:vAlign w:val="bottom"/>
            <w:shd w:val="clear" w:color="auto" w:fill="CCFFCC"/>
          </w:tcPr>
          <w:p>
            <w:pPr>
              <w:spacing w:after="0"/>
              <w:rPr>
                <w:sz w:val="17"/>
                <w:szCs w:val="17"/>
                <w:color w:val="auto"/>
              </w:rPr>
            </w:pPr>
          </w:p>
        </w:tc>
        <w:tc>
          <w:tcPr>
            <w:tcW w:w="460" w:type="dxa"/>
            <w:vAlign w:val="bottom"/>
            <w:vMerge w:val="restart"/>
            <w:shd w:val="clear" w:color="auto" w:fill="CCFFCC"/>
          </w:tcPr>
          <w:p>
            <w:pPr>
              <w:jc w:val="right"/>
              <w:spacing w:after="0"/>
              <w:rPr>
                <w:sz w:val="20"/>
                <w:szCs w:val="20"/>
                <w:color w:val="auto"/>
              </w:rPr>
            </w:pPr>
            <w:r>
              <w:rPr>
                <w:rFonts w:ascii="Arial" w:cs="Arial" w:eastAsia="Arial" w:hAnsi="Arial"/>
                <w:sz w:val="18"/>
                <w:szCs w:val="18"/>
                <w:b w:val="1"/>
                <w:bCs w:val="1"/>
                <w:color w:val="auto"/>
                <w:w w:val="97"/>
              </w:rPr>
              <w:t>7,245</w:t>
            </w:r>
          </w:p>
        </w:tc>
        <w:tc>
          <w:tcPr>
            <w:tcW w:w="2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3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1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20" w:type="dxa"/>
            <w:vAlign w:val="bottom"/>
            <w:tcBorders>
              <w:bottom w:val="single" w:sz="8" w:color="CCFFCC"/>
            </w:tcBorders>
            <w:gridSpan w:val="2"/>
            <w:shd w:val="clear" w:color="auto" w:fill="CCFFCC"/>
          </w:tcPr>
          <w:p>
            <w:pPr>
              <w:ind w:left="160"/>
              <w:spacing w:after="0"/>
              <w:rPr>
                <w:sz w:val="20"/>
                <w:szCs w:val="20"/>
                <w:color w:val="auto"/>
              </w:rPr>
            </w:pPr>
            <w:r>
              <w:rPr>
                <w:rFonts w:ascii="Arial" w:cs="Arial" w:eastAsia="Arial" w:hAnsi="Arial"/>
                <w:sz w:val="18"/>
                <w:szCs w:val="18"/>
                <w:color w:val="auto"/>
              </w:rPr>
              <w:t>Assuming dilution</w:t>
            </w:r>
          </w:p>
        </w:tc>
        <w:tc>
          <w:tcPr>
            <w:tcW w:w="220" w:type="dxa"/>
            <w:vAlign w:val="bottom"/>
            <w:tcBorders>
              <w:bottom w:val="single" w:sz="8" w:color="CCFFCC"/>
            </w:tcBorders>
            <w:shd w:val="clear" w:color="auto" w:fill="CCFFCC"/>
          </w:tcPr>
          <w:p>
            <w:pPr>
              <w:spacing w:after="0"/>
              <w:rPr>
                <w:sz w:val="23"/>
                <w:szCs w:val="23"/>
                <w:color w:val="auto"/>
              </w:rPr>
            </w:pPr>
          </w:p>
        </w:tc>
        <w:tc>
          <w:tcPr>
            <w:tcW w:w="100" w:type="dxa"/>
            <w:vAlign w:val="bottom"/>
            <w:tcBorders>
              <w:bottom w:val="single" w:sz="8" w:color="auto"/>
            </w:tcBorders>
            <w:shd w:val="clear" w:color="auto" w:fill="CCFFCC"/>
          </w:tcPr>
          <w:p>
            <w:pPr>
              <w:spacing w:after="0"/>
              <w:rPr>
                <w:sz w:val="23"/>
                <w:szCs w:val="23"/>
                <w:color w:val="auto"/>
              </w:rPr>
            </w:pPr>
          </w:p>
        </w:tc>
        <w:tc>
          <w:tcPr>
            <w:tcW w:w="800" w:type="dxa"/>
            <w:vAlign w:val="bottom"/>
            <w:tcBorders>
              <w:bottom w:val="single" w:sz="8" w:color="auto"/>
            </w:tcBorders>
            <w:shd w:val="clear" w:color="auto" w:fill="CCFFCC"/>
          </w:tcPr>
          <w:p>
            <w:pPr>
              <w:spacing w:after="0"/>
              <w:rPr>
                <w:sz w:val="23"/>
                <w:szCs w:val="23"/>
                <w:color w:val="auto"/>
              </w:rPr>
            </w:pPr>
          </w:p>
        </w:tc>
        <w:tc>
          <w:tcPr>
            <w:tcW w:w="460" w:type="dxa"/>
            <w:vAlign w:val="bottom"/>
            <w:tcBorders>
              <w:bottom w:val="single" w:sz="8" w:color="auto"/>
            </w:tcBorders>
            <w:vMerge w:val="continue"/>
            <w:shd w:val="clear" w:color="auto" w:fill="CCFFCC"/>
          </w:tcPr>
          <w:p>
            <w:pPr>
              <w:spacing w:after="0"/>
              <w:rPr>
                <w:sz w:val="23"/>
                <w:szCs w:val="23"/>
                <w:color w:val="auto"/>
              </w:rPr>
            </w:pPr>
          </w:p>
        </w:tc>
        <w:tc>
          <w:tcPr>
            <w:tcW w:w="220" w:type="dxa"/>
            <w:vAlign w:val="bottom"/>
            <w:tcBorders>
              <w:bottom w:val="single" w:sz="8" w:color="CCFFCC"/>
            </w:tcBorders>
            <w:shd w:val="clear" w:color="auto" w:fill="CCFFCC"/>
          </w:tcPr>
          <w:p>
            <w:pPr>
              <w:spacing w:after="0"/>
              <w:rPr>
                <w:sz w:val="23"/>
                <w:szCs w:val="23"/>
                <w:color w:val="auto"/>
              </w:rPr>
            </w:pPr>
          </w:p>
        </w:tc>
        <w:tc>
          <w:tcPr>
            <w:tcW w:w="100" w:type="dxa"/>
            <w:vAlign w:val="bottom"/>
            <w:tcBorders>
              <w:bottom w:val="single" w:sz="8" w:color="auto"/>
            </w:tcBorders>
            <w:shd w:val="clear" w:color="auto" w:fill="CCFFCC"/>
          </w:tcPr>
          <w:p>
            <w:pPr>
              <w:spacing w:after="0"/>
              <w:rPr>
                <w:sz w:val="23"/>
                <w:szCs w:val="23"/>
                <w:color w:val="auto"/>
              </w:rPr>
            </w:pPr>
          </w:p>
        </w:tc>
        <w:tc>
          <w:tcPr>
            <w:tcW w:w="13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7,145</w:t>
            </w:r>
          </w:p>
        </w:tc>
        <w:tc>
          <w:tcPr>
            <w:tcW w:w="100" w:type="dxa"/>
            <w:vAlign w:val="bottom"/>
            <w:tcBorders>
              <w:bottom w:val="single" w:sz="8" w:color="CCFFCC"/>
            </w:tcBorders>
            <w:shd w:val="clear" w:color="auto" w:fill="CCFFCC"/>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114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42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14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5820" w:type="dxa"/>
            <w:vAlign w:val="bottom"/>
            <w:gridSpan w:val="2"/>
            <w:shd w:val="clear" w:color="auto" w:fill="CCFFCC"/>
          </w:tcPr>
          <w:p>
            <w:pPr>
              <w:spacing w:after="0" w:line="201" w:lineRule="exact"/>
              <w:rPr>
                <w:sz w:val="20"/>
                <w:szCs w:val="20"/>
                <w:color w:val="auto"/>
              </w:rPr>
            </w:pPr>
            <w:r>
              <w:rPr>
                <w:rFonts w:ascii="Arial" w:cs="Arial" w:eastAsia="Arial" w:hAnsi="Arial"/>
                <w:sz w:val="18"/>
                <w:szCs w:val="18"/>
                <w:color w:val="auto"/>
              </w:rPr>
              <w:t>Net Income Per Share:</w:t>
            </w:r>
          </w:p>
        </w:tc>
        <w:tc>
          <w:tcPr>
            <w:tcW w:w="320" w:type="dxa"/>
            <w:vAlign w:val="bottom"/>
            <w:gridSpan w:val="2"/>
            <w:vMerge w:val="restart"/>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FFCC"/>
          </w:tcPr>
          <w:p>
            <w:pPr>
              <w:spacing w:after="0"/>
              <w:rPr>
                <w:sz w:val="17"/>
                <w:szCs w:val="17"/>
                <w:color w:val="auto"/>
              </w:rPr>
            </w:pPr>
          </w:p>
        </w:tc>
        <w:tc>
          <w:tcPr>
            <w:tcW w:w="460" w:type="dxa"/>
            <w:vAlign w:val="bottom"/>
            <w:vMerge w:val="restart"/>
            <w:shd w:val="clear" w:color="auto" w:fill="CCFFCC"/>
          </w:tcPr>
          <w:p>
            <w:pPr>
              <w:jc w:val="right"/>
              <w:spacing w:after="0"/>
              <w:rPr>
                <w:sz w:val="20"/>
                <w:szCs w:val="20"/>
                <w:color w:val="auto"/>
              </w:rPr>
            </w:pPr>
            <w:r>
              <w:rPr>
                <w:rFonts w:ascii="Arial" w:cs="Arial" w:eastAsia="Arial" w:hAnsi="Arial"/>
                <w:sz w:val="18"/>
                <w:szCs w:val="18"/>
                <w:b w:val="1"/>
                <w:bCs w:val="1"/>
                <w:color w:val="auto"/>
              </w:rPr>
              <w:t>0.34</w:t>
            </w:r>
          </w:p>
        </w:tc>
        <w:tc>
          <w:tcPr>
            <w:tcW w:w="2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3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1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2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Basic Common</w:t>
            </w:r>
          </w:p>
        </w:tc>
        <w:tc>
          <w:tcPr>
            <w:tcW w:w="320" w:type="dxa"/>
            <w:vAlign w:val="bottom"/>
            <w:gridSpan w:val="2"/>
            <w:vMerge w:val="continue"/>
            <w:shd w:val="clear" w:color="auto" w:fill="CCFFCC"/>
          </w:tcPr>
          <w:p>
            <w:pPr>
              <w:spacing w:after="0"/>
              <w:rPr>
                <w:sz w:val="23"/>
                <w:szCs w:val="23"/>
                <w:color w:val="auto"/>
              </w:rPr>
            </w:pPr>
          </w:p>
        </w:tc>
        <w:tc>
          <w:tcPr>
            <w:tcW w:w="800" w:type="dxa"/>
            <w:vAlign w:val="bottom"/>
            <w:shd w:val="clear" w:color="auto" w:fill="CCFFCC"/>
          </w:tcPr>
          <w:p>
            <w:pPr>
              <w:spacing w:after="0"/>
              <w:rPr>
                <w:sz w:val="23"/>
                <w:szCs w:val="23"/>
                <w:color w:val="auto"/>
              </w:rPr>
            </w:pPr>
          </w:p>
        </w:tc>
        <w:tc>
          <w:tcPr>
            <w:tcW w:w="460" w:type="dxa"/>
            <w:vAlign w:val="bottom"/>
            <w:vMerge w:val="continue"/>
            <w:shd w:val="clear" w:color="auto" w:fill="CCFFCC"/>
          </w:tcPr>
          <w:p>
            <w:pPr>
              <w:spacing w:after="0"/>
              <w:rPr>
                <w:sz w:val="23"/>
                <w:szCs w:val="23"/>
                <w:color w:val="auto"/>
              </w:rPr>
            </w:pPr>
          </w:p>
        </w:tc>
        <w:tc>
          <w:tcPr>
            <w:tcW w:w="3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0.38</w:t>
            </w:r>
          </w:p>
        </w:tc>
        <w:tc>
          <w:tcPr>
            <w:tcW w:w="100" w:type="dxa"/>
            <w:vAlign w:val="bottom"/>
            <w:shd w:val="clear" w:color="auto" w:fill="CCFFCC"/>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114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420" w:type="dxa"/>
            <w:vAlign w:val="bottom"/>
            <w:tcBorders>
              <w:top w:val="single" w:sz="8" w:color="CCFFCC"/>
            </w:tcBorders>
          </w:tcPr>
          <w:p>
            <w:pPr>
              <w:spacing w:after="0"/>
              <w:rPr>
                <w:sz w:val="19"/>
                <w:szCs w:val="19"/>
                <w:color w:val="auto"/>
              </w:rPr>
            </w:pPr>
          </w:p>
        </w:tc>
        <w:tc>
          <w:tcPr>
            <w:tcW w:w="3400" w:type="dxa"/>
            <w:vAlign w:val="bottom"/>
            <w:tcBorders>
              <w:top w:val="single" w:sz="8" w:color="CCFFCC"/>
            </w:tcBorders>
          </w:tcPr>
          <w:p>
            <w:pPr>
              <w:spacing w:after="0"/>
              <w:rPr>
                <w:sz w:val="19"/>
                <w:szCs w:val="19"/>
                <w:color w:val="auto"/>
              </w:rPr>
            </w:pPr>
          </w:p>
        </w:tc>
        <w:tc>
          <w:tcPr>
            <w:tcW w:w="220" w:type="dxa"/>
            <w:vAlign w:val="bottom"/>
            <w:tcBorders>
              <w:top w:val="single" w:sz="8" w:color="CCFFCC"/>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20" w:type="dxa"/>
            <w:vAlign w:val="bottom"/>
            <w:tcBorders>
              <w:top w:val="single" w:sz="8" w:color="CCFFCC"/>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00" w:type="dxa"/>
            <w:vAlign w:val="bottom"/>
            <w:tcBorders>
              <w:top w:val="single" w:sz="8" w:color="CCFFCC"/>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14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5820" w:type="dxa"/>
            <w:vAlign w:val="bottom"/>
            <w:gridSpan w:val="2"/>
            <w:shd w:val="clear" w:color="auto" w:fill="CCFFCC"/>
          </w:tcPr>
          <w:p>
            <w:pPr>
              <w:spacing w:after="0" w:line="201" w:lineRule="exact"/>
              <w:rPr>
                <w:sz w:val="20"/>
                <w:szCs w:val="20"/>
                <w:color w:val="auto"/>
              </w:rPr>
            </w:pPr>
            <w:r>
              <w:rPr>
                <w:rFonts w:ascii="Arial" w:cs="Arial" w:eastAsia="Arial" w:hAnsi="Arial"/>
                <w:sz w:val="18"/>
                <w:szCs w:val="18"/>
                <w:color w:val="auto"/>
              </w:rPr>
              <w:t>Net Income Per Share:</w:t>
            </w:r>
          </w:p>
        </w:tc>
        <w:tc>
          <w:tcPr>
            <w:tcW w:w="320" w:type="dxa"/>
            <w:vAlign w:val="bottom"/>
            <w:gridSpan w:val="2"/>
            <w:vMerge w:val="restart"/>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FFCC"/>
          </w:tcPr>
          <w:p>
            <w:pPr>
              <w:spacing w:after="0"/>
              <w:rPr>
                <w:sz w:val="17"/>
                <w:szCs w:val="17"/>
                <w:color w:val="auto"/>
              </w:rPr>
            </w:pPr>
          </w:p>
        </w:tc>
        <w:tc>
          <w:tcPr>
            <w:tcW w:w="460" w:type="dxa"/>
            <w:vAlign w:val="bottom"/>
            <w:vMerge w:val="restart"/>
            <w:shd w:val="clear" w:color="auto" w:fill="CCFFCC"/>
          </w:tcPr>
          <w:p>
            <w:pPr>
              <w:jc w:val="right"/>
              <w:spacing w:after="0"/>
              <w:rPr>
                <w:sz w:val="20"/>
                <w:szCs w:val="20"/>
                <w:color w:val="auto"/>
              </w:rPr>
            </w:pPr>
            <w:r>
              <w:rPr>
                <w:rFonts w:ascii="Arial" w:cs="Arial" w:eastAsia="Arial" w:hAnsi="Arial"/>
                <w:sz w:val="18"/>
                <w:szCs w:val="18"/>
                <w:b w:val="1"/>
                <w:bCs w:val="1"/>
                <w:color w:val="auto"/>
              </w:rPr>
              <w:t>0.27</w:t>
            </w:r>
          </w:p>
        </w:tc>
        <w:tc>
          <w:tcPr>
            <w:tcW w:w="2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3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1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2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Basic Class B Common</w:t>
            </w:r>
          </w:p>
        </w:tc>
        <w:tc>
          <w:tcPr>
            <w:tcW w:w="320" w:type="dxa"/>
            <w:vAlign w:val="bottom"/>
            <w:gridSpan w:val="2"/>
            <w:vMerge w:val="continue"/>
            <w:shd w:val="clear" w:color="auto" w:fill="CCFFCC"/>
          </w:tcPr>
          <w:p>
            <w:pPr>
              <w:spacing w:after="0"/>
              <w:rPr>
                <w:sz w:val="23"/>
                <w:szCs w:val="23"/>
                <w:color w:val="auto"/>
              </w:rPr>
            </w:pPr>
          </w:p>
        </w:tc>
        <w:tc>
          <w:tcPr>
            <w:tcW w:w="800" w:type="dxa"/>
            <w:vAlign w:val="bottom"/>
            <w:shd w:val="clear" w:color="auto" w:fill="CCFFCC"/>
          </w:tcPr>
          <w:p>
            <w:pPr>
              <w:spacing w:after="0"/>
              <w:rPr>
                <w:sz w:val="23"/>
                <w:szCs w:val="23"/>
                <w:color w:val="auto"/>
              </w:rPr>
            </w:pPr>
          </w:p>
        </w:tc>
        <w:tc>
          <w:tcPr>
            <w:tcW w:w="460" w:type="dxa"/>
            <w:vAlign w:val="bottom"/>
            <w:vMerge w:val="continue"/>
            <w:shd w:val="clear" w:color="auto" w:fill="CCFFCC"/>
          </w:tcPr>
          <w:p>
            <w:pPr>
              <w:spacing w:after="0"/>
              <w:rPr>
                <w:sz w:val="23"/>
                <w:szCs w:val="23"/>
                <w:color w:val="auto"/>
              </w:rPr>
            </w:pPr>
          </w:p>
        </w:tc>
        <w:tc>
          <w:tcPr>
            <w:tcW w:w="3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0.31</w:t>
            </w:r>
          </w:p>
        </w:tc>
        <w:tc>
          <w:tcPr>
            <w:tcW w:w="100" w:type="dxa"/>
            <w:vAlign w:val="bottom"/>
            <w:shd w:val="clear" w:color="auto" w:fill="CCFFCC"/>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20" w:type="dxa"/>
            <w:vAlign w:val="bottom"/>
            <w:tcBorders>
              <w:top w:val="single" w:sz="8" w:color="CCFFCC"/>
            </w:tcBorders>
          </w:tcPr>
          <w:p>
            <w:pPr>
              <w:spacing w:after="0"/>
              <w:rPr>
                <w:sz w:val="19"/>
                <w:szCs w:val="19"/>
                <w:color w:val="auto"/>
              </w:rPr>
            </w:pPr>
          </w:p>
        </w:tc>
        <w:tc>
          <w:tcPr>
            <w:tcW w:w="3400" w:type="dxa"/>
            <w:vAlign w:val="bottom"/>
            <w:tcBorders>
              <w:top w:val="single" w:sz="8" w:color="CCFFCC"/>
            </w:tcBorders>
          </w:tcPr>
          <w:p>
            <w:pPr>
              <w:spacing w:after="0"/>
              <w:rPr>
                <w:sz w:val="19"/>
                <w:szCs w:val="19"/>
                <w:color w:val="auto"/>
              </w:rPr>
            </w:pPr>
          </w:p>
        </w:tc>
        <w:tc>
          <w:tcPr>
            <w:tcW w:w="220" w:type="dxa"/>
            <w:vAlign w:val="bottom"/>
            <w:tcBorders>
              <w:top w:val="single" w:sz="8" w:color="CCFFCC"/>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20" w:type="dxa"/>
            <w:vAlign w:val="bottom"/>
            <w:tcBorders>
              <w:top w:val="single" w:sz="8" w:color="CCFFCC"/>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00" w:type="dxa"/>
            <w:vAlign w:val="bottom"/>
            <w:tcBorders>
              <w:top w:val="single" w:sz="8" w:color="CCFFCC"/>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Diluted</w:t>
            </w:r>
          </w:p>
        </w:tc>
        <w:tc>
          <w:tcPr>
            <w:tcW w:w="3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FFCC"/>
          </w:tcPr>
          <w:p>
            <w:pPr>
              <w:spacing w:after="0"/>
              <w:rPr>
                <w:sz w:val="24"/>
                <w:szCs w:val="24"/>
                <w:color w:val="auto"/>
              </w:rPr>
            </w:pPr>
          </w:p>
        </w:tc>
        <w:tc>
          <w:tcPr>
            <w:tcW w:w="4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0.31</w:t>
            </w:r>
          </w:p>
        </w:tc>
        <w:tc>
          <w:tcPr>
            <w:tcW w:w="3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0.35</w:t>
            </w:r>
          </w:p>
        </w:tc>
        <w:tc>
          <w:tcPr>
            <w:tcW w:w="100" w:type="dxa"/>
            <w:vAlign w:val="bottom"/>
            <w:shd w:val="clear" w:color="auto" w:fill="CCFFCC"/>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1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420" w:type="dxa"/>
            <w:vAlign w:val="bottom"/>
            <w:tcBorders>
              <w:top w:val="single" w:sz="8" w:color="CCFFCC"/>
              <w:bottom w:val="single" w:sz="8" w:color="808080"/>
            </w:tcBorders>
          </w:tcPr>
          <w:p>
            <w:pPr>
              <w:spacing w:after="0"/>
              <w:rPr>
                <w:sz w:val="24"/>
                <w:szCs w:val="24"/>
                <w:color w:val="auto"/>
              </w:rPr>
            </w:pPr>
          </w:p>
        </w:tc>
        <w:tc>
          <w:tcPr>
            <w:tcW w:w="3400" w:type="dxa"/>
            <w:vAlign w:val="bottom"/>
            <w:tcBorders>
              <w:top w:val="single" w:sz="8" w:color="CCFFCC"/>
              <w:bottom w:val="single" w:sz="8" w:color="808080"/>
            </w:tcBorders>
          </w:tcPr>
          <w:p>
            <w:pPr>
              <w:spacing w:after="0"/>
              <w:rPr>
                <w:sz w:val="24"/>
                <w:szCs w:val="24"/>
                <w:color w:val="auto"/>
              </w:rPr>
            </w:pPr>
          </w:p>
        </w:tc>
        <w:tc>
          <w:tcPr>
            <w:tcW w:w="220" w:type="dxa"/>
            <w:vAlign w:val="bottom"/>
            <w:tcBorders>
              <w:top w:val="single" w:sz="8" w:color="CCFFCC"/>
              <w:bottom w:val="single" w:sz="8" w:color="808080"/>
            </w:tcBorders>
          </w:tcPr>
          <w:p>
            <w:pPr>
              <w:spacing w:after="0"/>
              <w:rPr>
                <w:sz w:val="24"/>
                <w:szCs w:val="24"/>
                <w:color w:val="auto"/>
              </w:rPr>
            </w:pPr>
          </w:p>
        </w:tc>
        <w:tc>
          <w:tcPr>
            <w:tcW w:w="100" w:type="dxa"/>
            <w:vAlign w:val="bottom"/>
            <w:tcBorders>
              <w:top w:val="single" w:sz="8" w:color="auto"/>
              <w:bottom w:val="single" w:sz="8" w:color="808080"/>
            </w:tcBorders>
          </w:tcPr>
          <w:p>
            <w:pPr>
              <w:spacing w:after="0"/>
              <w:rPr>
                <w:sz w:val="24"/>
                <w:szCs w:val="24"/>
                <w:color w:val="auto"/>
              </w:rPr>
            </w:pPr>
          </w:p>
        </w:tc>
        <w:tc>
          <w:tcPr>
            <w:tcW w:w="800" w:type="dxa"/>
            <w:vAlign w:val="bottom"/>
            <w:tcBorders>
              <w:top w:val="single" w:sz="8" w:color="auto"/>
              <w:bottom w:val="single" w:sz="8" w:color="808080"/>
            </w:tcBorders>
          </w:tcPr>
          <w:p>
            <w:pPr>
              <w:spacing w:after="0"/>
              <w:rPr>
                <w:sz w:val="24"/>
                <w:szCs w:val="24"/>
                <w:color w:val="auto"/>
              </w:rPr>
            </w:pPr>
          </w:p>
        </w:tc>
        <w:tc>
          <w:tcPr>
            <w:tcW w:w="460" w:type="dxa"/>
            <w:vAlign w:val="bottom"/>
            <w:tcBorders>
              <w:top w:val="single" w:sz="8" w:color="auto"/>
              <w:bottom w:val="single" w:sz="8" w:color="808080"/>
            </w:tcBorders>
          </w:tcPr>
          <w:p>
            <w:pPr>
              <w:spacing w:after="0"/>
              <w:rPr>
                <w:sz w:val="24"/>
                <w:szCs w:val="24"/>
                <w:color w:val="auto"/>
              </w:rPr>
            </w:pPr>
          </w:p>
        </w:tc>
        <w:tc>
          <w:tcPr>
            <w:tcW w:w="220" w:type="dxa"/>
            <w:vAlign w:val="bottom"/>
            <w:tcBorders>
              <w:top w:val="single" w:sz="8" w:color="CCFFCC"/>
              <w:bottom w:val="single" w:sz="8" w:color="808080"/>
            </w:tcBorders>
          </w:tcPr>
          <w:p>
            <w:pPr>
              <w:spacing w:after="0"/>
              <w:rPr>
                <w:sz w:val="24"/>
                <w:szCs w:val="24"/>
                <w:color w:val="auto"/>
              </w:rPr>
            </w:pPr>
          </w:p>
        </w:tc>
        <w:tc>
          <w:tcPr>
            <w:tcW w:w="100" w:type="dxa"/>
            <w:vAlign w:val="bottom"/>
            <w:tcBorders>
              <w:top w:val="single" w:sz="8" w:color="auto"/>
              <w:bottom w:val="single" w:sz="8" w:color="808080"/>
            </w:tcBorders>
          </w:tcPr>
          <w:p>
            <w:pPr>
              <w:spacing w:after="0"/>
              <w:rPr>
                <w:sz w:val="24"/>
                <w:szCs w:val="24"/>
                <w:color w:val="auto"/>
              </w:rPr>
            </w:pPr>
          </w:p>
        </w:tc>
        <w:tc>
          <w:tcPr>
            <w:tcW w:w="1300" w:type="dxa"/>
            <w:vAlign w:val="bottom"/>
            <w:tcBorders>
              <w:top w:val="single" w:sz="8" w:color="auto"/>
              <w:bottom w:val="single" w:sz="8" w:color="808080"/>
            </w:tcBorders>
          </w:tcPr>
          <w:p>
            <w:pPr>
              <w:spacing w:after="0"/>
              <w:rPr>
                <w:sz w:val="24"/>
                <w:szCs w:val="24"/>
                <w:color w:val="auto"/>
              </w:rPr>
            </w:pPr>
          </w:p>
        </w:tc>
        <w:tc>
          <w:tcPr>
            <w:tcW w:w="100" w:type="dxa"/>
            <w:vAlign w:val="bottom"/>
            <w:tcBorders>
              <w:top w:val="single" w:sz="8" w:color="CCFFCC"/>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Exhibit 31:</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RULE 13A -14(A) UNDER THE SECURITIES EXCHANGE ACT OF</w:t>
      </w:r>
    </w:p>
    <w:p>
      <w:pPr>
        <w:spacing w:after="0" w:line="27"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1934, AS AMENDED</w:t>
      </w:r>
    </w:p>
    <w:p>
      <w:pPr>
        <w:spacing w:after="0" w:line="9"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305" w:lineRule="exact"/>
        <w:rPr>
          <w:sz w:val="20"/>
          <w:szCs w:val="20"/>
          <w:color w:val="auto"/>
        </w:rPr>
      </w:pPr>
    </w:p>
    <w:p>
      <w:pPr>
        <w:ind w:left="820" w:hanging="488"/>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Daniel S. Jaffee, certify that:</w:t>
      </w:r>
    </w:p>
    <w:p>
      <w:pPr>
        <w:spacing w:after="0" w:line="292" w:lineRule="exact"/>
        <w:rPr>
          <w:rFonts w:ascii="Arial" w:cs="Arial" w:eastAsia="Arial" w:hAnsi="Arial"/>
          <w:sz w:val="18"/>
          <w:szCs w:val="18"/>
          <w:color w:val="auto"/>
        </w:rPr>
      </w:pPr>
    </w:p>
    <w:p>
      <w:pPr>
        <w:ind w:left="1300" w:hanging="482"/>
        <w:spacing w:after="0"/>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Oil-Dri Corporation of America (the “registrant”);</w:t>
      </w:r>
    </w:p>
    <w:p>
      <w:pPr>
        <w:spacing w:after="0" w:line="333" w:lineRule="exact"/>
        <w:rPr>
          <w:rFonts w:ascii="Arial" w:cs="Arial" w:eastAsia="Arial" w:hAnsi="Arial"/>
          <w:sz w:val="18"/>
          <w:szCs w:val="18"/>
          <w:color w:val="auto"/>
        </w:rPr>
      </w:pPr>
    </w:p>
    <w:p>
      <w:pPr>
        <w:jc w:val="both"/>
        <w:ind w:left="1300" w:hanging="482"/>
        <w:spacing w:after="0" w:line="264"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5" w:lineRule="exact"/>
        <w:rPr>
          <w:rFonts w:ascii="Arial" w:cs="Arial" w:eastAsia="Arial" w:hAnsi="Arial"/>
          <w:sz w:val="18"/>
          <w:szCs w:val="18"/>
          <w:color w:val="auto"/>
        </w:rPr>
      </w:pPr>
    </w:p>
    <w:p>
      <w:pPr>
        <w:ind w:left="1300" w:right="20" w:hanging="482"/>
        <w:spacing w:after="0" w:line="342" w:lineRule="auto"/>
        <w:tabs>
          <w:tab w:leader="none" w:pos="13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7" w:lineRule="exact"/>
        <w:rPr>
          <w:rFonts w:ascii="Arial" w:cs="Arial" w:eastAsia="Arial" w:hAnsi="Arial"/>
          <w:sz w:val="16"/>
          <w:szCs w:val="16"/>
          <w:color w:val="auto"/>
        </w:rPr>
      </w:pPr>
    </w:p>
    <w:p>
      <w:pPr>
        <w:jc w:val="both"/>
        <w:ind w:left="1300" w:hanging="482"/>
        <w:spacing w:after="0" w:line="264"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35" w:lineRule="exact"/>
        <w:rPr>
          <w:rFonts w:ascii="Arial" w:cs="Arial" w:eastAsia="Arial" w:hAnsi="Arial"/>
          <w:sz w:val="18"/>
          <w:szCs w:val="18"/>
          <w:color w:val="auto"/>
        </w:rPr>
      </w:pPr>
    </w:p>
    <w:p>
      <w:pPr>
        <w:jc w:val="both"/>
        <w:ind w:left="1800" w:hanging="333"/>
        <w:spacing w:after="0" w:line="286" w:lineRule="auto"/>
        <w:tabs>
          <w:tab w:leader="none" w:pos="1800" w:val="left"/>
        </w:tabs>
        <w:numPr>
          <w:ilvl w:val="2"/>
          <w:numId w:val="1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9" w:lineRule="exact"/>
        <w:rPr>
          <w:rFonts w:ascii="Arial" w:cs="Arial" w:eastAsia="Arial" w:hAnsi="Arial"/>
          <w:sz w:val="17"/>
          <w:szCs w:val="17"/>
          <w:color w:val="auto"/>
        </w:rPr>
      </w:pPr>
    </w:p>
    <w:p>
      <w:pPr>
        <w:jc w:val="both"/>
        <w:ind w:left="1800" w:hanging="333"/>
        <w:spacing w:after="0" w:line="264" w:lineRule="auto"/>
        <w:tabs>
          <w:tab w:leader="none" w:pos="1800" w:val="left"/>
        </w:tabs>
        <w:numPr>
          <w:ilvl w:val="2"/>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35" w:lineRule="exact"/>
        <w:rPr>
          <w:rFonts w:ascii="Arial" w:cs="Arial" w:eastAsia="Arial" w:hAnsi="Arial"/>
          <w:sz w:val="18"/>
          <w:szCs w:val="18"/>
          <w:color w:val="auto"/>
        </w:rPr>
      </w:pPr>
    </w:p>
    <w:p>
      <w:pPr>
        <w:jc w:val="both"/>
        <w:ind w:left="1800" w:hanging="333"/>
        <w:spacing w:after="0" w:line="264" w:lineRule="auto"/>
        <w:tabs>
          <w:tab w:leader="none" w:pos="1800" w:val="left"/>
        </w:tabs>
        <w:numPr>
          <w:ilvl w:val="2"/>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35" w:lineRule="exact"/>
        <w:rPr>
          <w:rFonts w:ascii="Arial" w:cs="Arial" w:eastAsia="Arial" w:hAnsi="Arial"/>
          <w:sz w:val="18"/>
          <w:szCs w:val="18"/>
          <w:color w:val="auto"/>
        </w:rPr>
      </w:pPr>
    </w:p>
    <w:p>
      <w:pPr>
        <w:jc w:val="both"/>
        <w:ind w:left="1800" w:hanging="333"/>
        <w:spacing w:after="0" w:line="264" w:lineRule="auto"/>
        <w:tabs>
          <w:tab w:leader="none" w:pos="1800" w:val="left"/>
        </w:tabs>
        <w:numPr>
          <w:ilvl w:val="2"/>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5" w:lineRule="exact"/>
        <w:rPr>
          <w:rFonts w:ascii="Arial" w:cs="Arial" w:eastAsia="Arial" w:hAnsi="Arial"/>
          <w:sz w:val="18"/>
          <w:szCs w:val="18"/>
          <w:color w:val="auto"/>
        </w:rPr>
      </w:pPr>
    </w:p>
    <w:p>
      <w:pPr>
        <w:jc w:val="both"/>
        <w:ind w:left="1300" w:hanging="482"/>
        <w:spacing w:after="0" w:line="264"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35" w:lineRule="exact"/>
        <w:rPr>
          <w:rFonts w:ascii="Arial" w:cs="Arial" w:eastAsia="Arial" w:hAnsi="Arial"/>
          <w:sz w:val="18"/>
          <w:szCs w:val="18"/>
          <w:color w:val="auto"/>
        </w:rPr>
      </w:pPr>
    </w:p>
    <w:p>
      <w:pPr>
        <w:ind w:left="1800" w:hanging="333"/>
        <w:spacing w:after="0" w:line="342" w:lineRule="auto"/>
        <w:tabs>
          <w:tab w:leader="none" w:pos="1800" w:val="left"/>
        </w:tabs>
        <w:numPr>
          <w:ilvl w:val="2"/>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7" w:lineRule="exact"/>
        <w:rPr>
          <w:rFonts w:ascii="Arial" w:cs="Arial" w:eastAsia="Arial" w:hAnsi="Arial"/>
          <w:sz w:val="16"/>
          <w:szCs w:val="16"/>
          <w:color w:val="auto"/>
        </w:rPr>
      </w:pPr>
    </w:p>
    <w:p>
      <w:pPr>
        <w:ind w:left="1800" w:hanging="333"/>
        <w:spacing w:after="0" w:line="277" w:lineRule="auto"/>
        <w:tabs>
          <w:tab w:leader="none" w:pos="1800" w:val="left"/>
        </w:tabs>
        <w:numPr>
          <w:ilvl w:val="2"/>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20" w:type="dxa"/>
            <w:vAlign w:val="bottom"/>
          </w:tcPr>
          <w:p>
            <w:pPr>
              <w:spacing w:after="0"/>
              <w:rPr>
                <w:sz w:val="20"/>
                <w:szCs w:val="20"/>
                <w:color w:val="auto"/>
              </w:rPr>
            </w:pPr>
            <w:r>
              <w:rPr>
                <w:rFonts w:ascii="Arial" w:cs="Arial" w:eastAsia="Arial" w:hAnsi="Arial"/>
                <w:sz w:val="18"/>
                <w:szCs w:val="18"/>
                <w:color w:val="auto"/>
              </w:rPr>
              <w:t>Date:</w:t>
            </w:r>
          </w:p>
        </w:tc>
        <w:tc>
          <w:tcPr>
            <w:tcW w:w="47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December 9, 2008</w:t>
            </w:r>
          </w:p>
        </w:tc>
        <w:tc>
          <w:tcPr>
            <w:tcW w:w="5720" w:type="dxa"/>
            <w:vAlign w:val="bottom"/>
          </w:tcPr>
          <w:p>
            <w:pPr>
              <w:spacing w:after="0"/>
              <w:rPr>
                <w:sz w:val="20"/>
                <w:szCs w:val="20"/>
                <w:color w:val="auto"/>
              </w:rPr>
            </w:pP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Daniel S. Jaffee</w:t>
            </w:r>
          </w:p>
        </w:tc>
        <w:tc>
          <w:tcPr>
            <w:tcW w:w="5720" w:type="dxa"/>
            <w:vAlign w:val="bottom"/>
          </w:tcPr>
          <w:p>
            <w:pPr>
              <w:spacing w:after="0"/>
              <w:rPr>
                <w:sz w:val="19"/>
                <w:szCs w:val="19"/>
                <w:color w:val="auto"/>
              </w:rPr>
            </w:pPr>
          </w:p>
        </w:tc>
      </w:tr>
      <w:tr>
        <w:trPr>
          <w:trHeight w:val="195"/>
        </w:trPr>
        <w:tc>
          <w:tcPr>
            <w:tcW w:w="920" w:type="dxa"/>
            <w:vAlign w:val="bottom"/>
          </w:tcPr>
          <w:p>
            <w:pPr>
              <w:spacing w:after="0"/>
              <w:rPr>
                <w:sz w:val="16"/>
                <w:szCs w:val="16"/>
                <w:color w:val="auto"/>
              </w:rPr>
            </w:pPr>
          </w:p>
        </w:tc>
        <w:tc>
          <w:tcPr>
            <w:tcW w:w="4780" w:type="dxa"/>
            <w:vAlign w:val="bottom"/>
          </w:tcPr>
          <w:p>
            <w:pPr>
              <w:ind w:left="100"/>
              <w:spacing w:after="0" w:line="195" w:lineRule="exact"/>
              <w:rPr>
                <w:sz w:val="20"/>
                <w:szCs w:val="20"/>
                <w:color w:val="auto"/>
              </w:rPr>
            </w:pPr>
            <w:r>
              <w:rPr>
                <w:rFonts w:ascii="Arial" w:cs="Arial" w:eastAsia="Arial" w:hAnsi="Arial"/>
                <w:sz w:val="18"/>
                <w:szCs w:val="18"/>
                <w:color w:val="auto"/>
              </w:rPr>
              <w:t>Daniel S. Jaffee</w:t>
            </w:r>
          </w:p>
        </w:tc>
        <w:tc>
          <w:tcPr>
            <w:tcW w:w="5720" w:type="dxa"/>
            <w:vAlign w:val="bottom"/>
          </w:tcPr>
          <w:p>
            <w:pPr>
              <w:spacing w:after="0"/>
              <w:rPr>
                <w:sz w:val="16"/>
                <w:szCs w:val="16"/>
                <w:color w:val="auto"/>
              </w:rPr>
            </w:pPr>
          </w:p>
        </w:tc>
      </w:tr>
      <w:tr>
        <w:trPr>
          <w:trHeight w:val="230"/>
        </w:trPr>
        <w:tc>
          <w:tcPr>
            <w:tcW w:w="920" w:type="dxa"/>
            <w:vAlign w:val="bottom"/>
          </w:tcPr>
          <w:p>
            <w:pPr>
              <w:spacing w:after="0"/>
              <w:rPr>
                <w:sz w:val="20"/>
                <w:szCs w:val="20"/>
                <w:color w:val="auto"/>
              </w:rPr>
            </w:pPr>
          </w:p>
        </w:tc>
        <w:tc>
          <w:tcPr>
            <w:tcW w:w="4780" w:type="dxa"/>
            <w:vAlign w:val="bottom"/>
          </w:tcPr>
          <w:p>
            <w:pPr>
              <w:ind w:left="100"/>
              <w:spacing w:after="0"/>
              <w:rPr>
                <w:sz w:val="20"/>
                <w:szCs w:val="20"/>
                <w:color w:val="auto"/>
              </w:rPr>
            </w:pPr>
            <w:r>
              <w:rPr>
                <w:rFonts w:ascii="Arial" w:cs="Arial" w:eastAsia="Arial" w:hAnsi="Arial"/>
                <w:sz w:val="18"/>
                <w:szCs w:val="18"/>
                <w:color w:val="auto"/>
              </w:rPr>
              <w:t>President and Chief Executive Officer</w:t>
            </w:r>
          </w:p>
        </w:tc>
        <w:tc>
          <w:tcPr>
            <w:tcW w:w="5720" w:type="dxa"/>
            <w:vAlign w:val="bottom"/>
          </w:tcPr>
          <w:p>
            <w:pPr>
              <w:spacing w:after="0"/>
              <w:rPr>
                <w:sz w:val="20"/>
                <w:szCs w:val="20"/>
                <w:color w:val="auto"/>
              </w:rPr>
            </w:pPr>
          </w:p>
        </w:tc>
      </w:tr>
      <w:tr>
        <w:trPr>
          <w:trHeight w:val="388"/>
        </w:trPr>
        <w:tc>
          <w:tcPr>
            <w:tcW w:w="920" w:type="dxa"/>
            <w:vAlign w:val="bottom"/>
            <w:tcBorders>
              <w:bottom w:val="single" w:sz="8" w:color="808080"/>
            </w:tcBorders>
          </w:tcPr>
          <w:p>
            <w:pPr>
              <w:spacing w:after="0"/>
              <w:rPr>
                <w:sz w:val="24"/>
                <w:szCs w:val="24"/>
                <w:color w:val="auto"/>
              </w:rPr>
            </w:pPr>
          </w:p>
        </w:tc>
        <w:tc>
          <w:tcPr>
            <w:tcW w:w="4780" w:type="dxa"/>
            <w:vAlign w:val="bottom"/>
            <w:tcBorders>
              <w:bottom w:val="single" w:sz="8" w:color="808080"/>
            </w:tcBorders>
          </w:tcPr>
          <w:p>
            <w:pPr>
              <w:spacing w:after="0"/>
              <w:rPr>
                <w:sz w:val="24"/>
                <w:szCs w:val="24"/>
                <w:color w:val="auto"/>
              </w:rPr>
            </w:pPr>
          </w:p>
        </w:tc>
        <w:tc>
          <w:tcPr>
            <w:tcW w:w="57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Exhibit 31 (continued):</w:t>
      </w:r>
    </w:p>
    <w:p>
      <w:pPr>
        <w:spacing w:after="0" w:line="27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305" w:lineRule="exact"/>
        <w:rPr>
          <w:sz w:val="20"/>
          <w:szCs w:val="20"/>
          <w:color w:val="auto"/>
        </w:rPr>
      </w:pPr>
    </w:p>
    <w:p>
      <w:pPr>
        <w:ind w:left="820" w:hanging="488"/>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Andrew N. Peterson, certify that:</w:t>
      </w:r>
    </w:p>
    <w:p>
      <w:pPr>
        <w:spacing w:after="0" w:line="292" w:lineRule="exact"/>
        <w:rPr>
          <w:rFonts w:ascii="Arial" w:cs="Arial" w:eastAsia="Arial" w:hAnsi="Arial"/>
          <w:sz w:val="18"/>
          <w:szCs w:val="18"/>
          <w:color w:val="auto"/>
        </w:rPr>
      </w:pPr>
    </w:p>
    <w:p>
      <w:pPr>
        <w:ind w:left="1300" w:hanging="482"/>
        <w:spacing w:after="0"/>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Oil-Dri Corporation of America (the “registrant”);</w:t>
      </w:r>
    </w:p>
    <w:p>
      <w:pPr>
        <w:spacing w:after="0" w:line="333" w:lineRule="exact"/>
        <w:rPr>
          <w:rFonts w:ascii="Arial" w:cs="Arial" w:eastAsia="Arial" w:hAnsi="Arial"/>
          <w:sz w:val="18"/>
          <w:szCs w:val="18"/>
          <w:color w:val="auto"/>
        </w:rPr>
      </w:pPr>
    </w:p>
    <w:p>
      <w:pPr>
        <w:jc w:val="both"/>
        <w:ind w:left="1300" w:hanging="482"/>
        <w:spacing w:after="0" w:line="264"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5" w:lineRule="exact"/>
        <w:rPr>
          <w:rFonts w:ascii="Arial" w:cs="Arial" w:eastAsia="Arial" w:hAnsi="Arial"/>
          <w:sz w:val="18"/>
          <w:szCs w:val="18"/>
          <w:color w:val="auto"/>
        </w:rPr>
      </w:pPr>
    </w:p>
    <w:p>
      <w:pPr>
        <w:ind w:left="1300" w:right="20" w:hanging="482"/>
        <w:spacing w:after="0" w:line="342" w:lineRule="auto"/>
        <w:tabs>
          <w:tab w:leader="none" w:pos="13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7" w:lineRule="exact"/>
        <w:rPr>
          <w:rFonts w:ascii="Arial" w:cs="Arial" w:eastAsia="Arial" w:hAnsi="Arial"/>
          <w:sz w:val="16"/>
          <w:szCs w:val="16"/>
          <w:color w:val="auto"/>
        </w:rPr>
      </w:pPr>
    </w:p>
    <w:p>
      <w:pPr>
        <w:jc w:val="both"/>
        <w:ind w:left="1300" w:hanging="482"/>
        <w:spacing w:after="0" w:line="264"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35" w:lineRule="exact"/>
        <w:rPr>
          <w:rFonts w:ascii="Arial" w:cs="Arial" w:eastAsia="Arial" w:hAnsi="Arial"/>
          <w:sz w:val="18"/>
          <w:szCs w:val="18"/>
          <w:color w:val="auto"/>
        </w:rPr>
      </w:pPr>
    </w:p>
    <w:p>
      <w:pPr>
        <w:jc w:val="both"/>
        <w:ind w:left="1620" w:hanging="315"/>
        <w:spacing w:after="0" w:line="264" w:lineRule="auto"/>
        <w:tabs>
          <w:tab w:leader="none" w:pos="1620" w:val="left"/>
        </w:tabs>
        <w:numPr>
          <w:ilvl w:val="2"/>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5" w:lineRule="exact"/>
        <w:rPr>
          <w:rFonts w:ascii="Arial" w:cs="Arial" w:eastAsia="Arial" w:hAnsi="Arial"/>
          <w:sz w:val="18"/>
          <w:szCs w:val="18"/>
          <w:color w:val="auto"/>
        </w:rPr>
      </w:pPr>
    </w:p>
    <w:p>
      <w:pPr>
        <w:jc w:val="both"/>
        <w:ind w:left="1620" w:hanging="315"/>
        <w:spacing w:after="0" w:line="264" w:lineRule="auto"/>
        <w:tabs>
          <w:tab w:leader="none" w:pos="1620" w:val="left"/>
        </w:tabs>
        <w:numPr>
          <w:ilvl w:val="2"/>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35" w:lineRule="exact"/>
        <w:rPr>
          <w:rFonts w:ascii="Arial" w:cs="Arial" w:eastAsia="Arial" w:hAnsi="Arial"/>
          <w:sz w:val="18"/>
          <w:szCs w:val="18"/>
          <w:color w:val="auto"/>
        </w:rPr>
      </w:pPr>
    </w:p>
    <w:p>
      <w:pPr>
        <w:jc w:val="both"/>
        <w:ind w:left="1620" w:hanging="315"/>
        <w:spacing w:after="0" w:line="342" w:lineRule="auto"/>
        <w:tabs>
          <w:tab w:leader="none" w:pos="1620" w:val="left"/>
        </w:tabs>
        <w:numPr>
          <w:ilvl w:val="2"/>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7" w:lineRule="exact"/>
        <w:rPr>
          <w:rFonts w:ascii="Arial" w:cs="Arial" w:eastAsia="Arial" w:hAnsi="Arial"/>
          <w:sz w:val="16"/>
          <w:szCs w:val="16"/>
          <w:color w:val="auto"/>
        </w:rPr>
      </w:pPr>
    </w:p>
    <w:p>
      <w:pPr>
        <w:jc w:val="both"/>
        <w:ind w:left="1620" w:hanging="315"/>
        <w:spacing w:after="0" w:line="264" w:lineRule="auto"/>
        <w:tabs>
          <w:tab w:leader="none" w:pos="1620" w:val="left"/>
        </w:tabs>
        <w:numPr>
          <w:ilvl w:val="2"/>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5" w:lineRule="exact"/>
        <w:rPr>
          <w:rFonts w:ascii="Arial" w:cs="Arial" w:eastAsia="Arial" w:hAnsi="Arial"/>
          <w:sz w:val="18"/>
          <w:szCs w:val="18"/>
          <w:color w:val="auto"/>
        </w:rPr>
      </w:pPr>
    </w:p>
    <w:p>
      <w:pPr>
        <w:jc w:val="both"/>
        <w:ind w:left="1300" w:hanging="482"/>
        <w:spacing w:after="0" w:line="264"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35" w:lineRule="exact"/>
        <w:rPr>
          <w:rFonts w:ascii="Arial" w:cs="Arial" w:eastAsia="Arial" w:hAnsi="Arial"/>
          <w:sz w:val="18"/>
          <w:szCs w:val="18"/>
          <w:color w:val="auto"/>
        </w:rPr>
      </w:pPr>
    </w:p>
    <w:p>
      <w:pPr>
        <w:ind w:left="1620" w:hanging="315"/>
        <w:spacing w:after="0" w:line="308" w:lineRule="auto"/>
        <w:tabs>
          <w:tab w:leader="none" w:pos="1620" w:val="left"/>
        </w:tabs>
        <w:numPr>
          <w:ilvl w:val="2"/>
          <w:numId w:val="1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0" w:lineRule="exact"/>
        <w:rPr>
          <w:rFonts w:ascii="Arial" w:cs="Arial" w:eastAsia="Arial" w:hAnsi="Arial"/>
          <w:sz w:val="17"/>
          <w:szCs w:val="17"/>
          <w:color w:val="auto"/>
        </w:rPr>
      </w:pPr>
    </w:p>
    <w:p>
      <w:pPr>
        <w:ind w:left="1620" w:hanging="315"/>
        <w:spacing w:after="0" w:line="277" w:lineRule="auto"/>
        <w:tabs>
          <w:tab w:leader="none" w:pos="1620" w:val="left"/>
        </w:tabs>
        <w:numPr>
          <w:ilvl w:val="2"/>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80" w:type="dxa"/>
            <w:vAlign w:val="bottom"/>
          </w:tcPr>
          <w:p>
            <w:pPr>
              <w:spacing w:after="0"/>
              <w:rPr>
                <w:sz w:val="20"/>
                <w:szCs w:val="20"/>
                <w:color w:val="auto"/>
              </w:rPr>
            </w:pPr>
            <w:r>
              <w:rPr>
                <w:rFonts w:ascii="Arial" w:cs="Arial" w:eastAsia="Arial" w:hAnsi="Arial"/>
                <w:sz w:val="18"/>
                <w:szCs w:val="18"/>
                <w:color w:val="auto"/>
              </w:rPr>
              <w:t>Date:</w:t>
            </w:r>
          </w:p>
        </w:tc>
        <w:tc>
          <w:tcPr>
            <w:tcW w:w="48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December 9, 2008</w:t>
            </w:r>
          </w:p>
        </w:tc>
        <w:tc>
          <w:tcPr>
            <w:tcW w:w="5720" w:type="dxa"/>
            <w:vAlign w:val="bottom"/>
          </w:tcPr>
          <w:p>
            <w:pPr>
              <w:spacing w:after="0"/>
              <w:rPr>
                <w:sz w:val="20"/>
                <w:szCs w:val="20"/>
                <w:color w:val="auto"/>
              </w:rPr>
            </w:pPr>
          </w:p>
        </w:tc>
      </w:t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Andrew N. Peterson</w:t>
            </w:r>
          </w:p>
        </w:tc>
        <w:tc>
          <w:tcPr>
            <w:tcW w:w="5720" w:type="dxa"/>
            <w:vAlign w:val="bottom"/>
          </w:tcPr>
          <w:p>
            <w:pPr>
              <w:spacing w:after="0"/>
              <w:rPr>
                <w:sz w:val="19"/>
                <w:szCs w:val="19"/>
                <w:color w:val="auto"/>
              </w:rPr>
            </w:pPr>
          </w:p>
        </w:tc>
      </w:tr>
      <w:tr>
        <w:trPr>
          <w:trHeight w:val="195"/>
        </w:trPr>
        <w:tc>
          <w:tcPr>
            <w:tcW w:w="880" w:type="dxa"/>
            <w:vAlign w:val="bottom"/>
          </w:tcPr>
          <w:p>
            <w:pPr>
              <w:spacing w:after="0"/>
              <w:rPr>
                <w:sz w:val="16"/>
                <w:szCs w:val="16"/>
                <w:color w:val="auto"/>
              </w:rPr>
            </w:pPr>
          </w:p>
        </w:tc>
        <w:tc>
          <w:tcPr>
            <w:tcW w:w="4820" w:type="dxa"/>
            <w:vAlign w:val="bottom"/>
          </w:tcPr>
          <w:p>
            <w:pPr>
              <w:ind w:left="80"/>
              <w:spacing w:after="0" w:line="195" w:lineRule="exact"/>
              <w:rPr>
                <w:sz w:val="20"/>
                <w:szCs w:val="20"/>
                <w:color w:val="auto"/>
              </w:rPr>
            </w:pPr>
            <w:r>
              <w:rPr>
                <w:rFonts w:ascii="Arial" w:cs="Arial" w:eastAsia="Arial" w:hAnsi="Arial"/>
                <w:sz w:val="18"/>
                <w:szCs w:val="18"/>
                <w:color w:val="auto"/>
              </w:rPr>
              <w:t>Andrew N. Peterson</w:t>
            </w:r>
          </w:p>
        </w:tc>
        <w:tc>
          <w:tcPr>
            <w:tcW w:w="5720" w:type="dxa"/>
            <w:vAlign w:val="bottom"/>
          </w:tcPr>
          <w:p>
            <w:pPr>
              <w:spacing w:after="0"/>
              <w:rPr>
                <w:sz w:val="16"/>
                <w:szCs w:val="16"/>
                <w:color w:val="auto"/>
              </w:rPr>
            </w:pPr>
          </w:p>
        </w:tc>
      </w:tr>
      <w:tr>
        <w:trPr>
          <w:trHeight w:val="230"/>
        </w:trPr>
        <w:tc>
          <w:tcPr>
            <w:tcW w:w="880" w:type="dxa"/>
            <w:vAlign w:val="bottom"/>
          </w:tcPr>
          <w:p>
            <w:pPr>
              <w:spacing w:after="0"/>
              <w:rPr>
                <w:sz w:val="20"/>
                <w:szCs w:val="20"/>
                <w:color w:val="auto"/>
              </w:rPr>
            </w:pPr>
          </w:p>
        </w:tc>
        <w:tc>
          <w:tcPr>
            <w:tcW w:w="4820" w:type="dxa"/>
            <w:vAlign w:val="bottom"/>
          </w:tcPr>
          <w:p>
            <w:pPr>
              <w:ind w:left="80"/>
              <w:spacing w:after="0"/>
              <w:rPr>
                <w:sz w:val="20"/>
                <w:szCs w:val="20"/>
                <w:color w:val="auto"/>
              </w:rPr>
            </w:pPr>
            <w:r>
              <w:rPr>
                <w:rFonts w:ascii="Arial" w:cs="Arial" w:eastAsia="Arial" w:hAnsi="Arial"/>
                <w:sz w:val="18"/>
                <w:szCs w:val="18"/>
                <w:color w:val="auto"/>
              </w:rPr>
              <w:t>Vice President and Chief Financial Officer</w:t>
            </w:r>
          </w:p>
        </w:tc>
        <w:tc>
          <w:tcPr>
            <w:tcW w:w="5720" w:type="dxa"/>
            <w:vAlign w:val="bottom"/>
          </w:tcPr>
          <w:p>
            <w:pPr>
              <w:spacing w:after="0"/>
              <w:rPr>
                <w:sz w:val="20"/>
                <w:szCs w:val="20"/>
                <w:color w:val="auto"/>
              </w:rPr>
            </w:pPr>
          </w:p>
        </w:tc>
      </w:tr>
      <w:tr>
        <w:trPr>
          <w:trHeight w:val="361"/>
        </w:trPr>
        <w:tc>
          <w:tcPr>
            <w:tcW w:w="880" w:type="dxa"/>
            <w:vAlign w:val="bottom"/>
            <w:tcBorders>
              <w:bottom w:val="single" w:sz="8" w:color="808080"/>
            </w:tcBorders>
          </w:tcPr>
          <w:p>
            <w:pPr>
              <w:spacing w:after="0"/>
              <w:rPr>
                <w:sz w:val="24"/>
                <w:szCs w:val="24"/>
                <w:color w:val="auto"/>
              </w:rPr>
            </w:pPr>
          </w:p>
        </w:tc>
        <w:tc>
          <w:tcPr>
            <w:tcW w:w="4820" w:type="dxa"/>
            <w:vAlign w:val="bottom"/>
            <w:tcBorders>
              <w:bottom w:val="single" w:sz="8" w:color="808080"/>
            </w:tcBorders>
          </w:tcPr>
          <w:p>
            <w:pPr>
              <w:spacing w:after="0"/>
              <w:rPr>
                <w:sz w:val="24"/>
                <w:szCs w:val="24"/>
                <w:color w:val="auto"/>
              </w:rPr>
            </w:pPr>
          </w:p>
        </w:tc>
        <w:tc>
          <w:tcPr>
            <w:tcW w:w="57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Exhibit 32:</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 CERTIFICATION</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18 U.S.C. Section 1350, the undersigned officer of Oil-Dri Corporation of America (the “Company”) hereby certifies that to the best of my knowledge the Company’s Quarterly Report on Form 10-Q for the quarter ended October 31, 2008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9, 2008</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 Daniel S. Jaffee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Daniel S. Jaffee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150050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50050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 President and Chief Executive Officer</w:t>
      </w:r>
    </w:p>
    <w:p>
      <w:pPr>
        <w:spacing w:after="0" w:line="2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Oil-Dri Corporation of America and will be retained by Oil-Dri Corporation of America and furnished to the Securities and Exchange Commission or its staff upon request.</w:t>
      </w:r>
    </w:p>
    <w:p>
      <w:pPr>
        <w:spacing w:after="0" w:line="2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(Section 1350, Chapter 63 of Title 18, United States Code) and is not being filed as part of the Report or as a separate disclosure document.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18 U.S.C. Section 1350, the undersigned officer of Oil-Dri Corporation of America (the “Company”) hereby certifies that to the best of my knowledge the Company’s Quarterly Report on Form 10-Q for the quarter ended October 31, 2008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9, 2008</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 Andrew N. Peterson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Andrew N.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17068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70688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 Vice President and Chief Financial Officer</w:t>
      </w:r>
    </w:p>
    <w:p>
      <w:pPr>
        <w:spacing w:after="0" w:line="26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Oil-Dri Corporation of America and will be retained by Oil-Dri Corporation of America and furnished to the Securities and Exchange Commission or its staff upon request.</w:t>
      </w:r>
    </w:p>
    <w:p>
      <w:pPr>
        <w:spacing w:after="0" w:line="2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(Section 1350, Chapter 63 of Title 18, United States Code) and is not being filed as part of the Report or as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5"/>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decimal"/>
      <w:start w:val="6"/>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bullet"/>
      <w:start w:val="1"/>
    </w:lvl>
  </w:abstractNum>
  <w:abstractNum w:abstractNumId="5">
    <w:nsid w:val="515F007C"/>
    <w:multiLevelType w:val="hybridMultilevel"/>
    <w:lvl w:ilvl="0">
      <w:lvlJc w:val="left"/>
      <w:lvlText w:val="2"/>
      <w:numFmt w:val="bullet"/>
      <w:start w:val="1"/>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decimal"/>
      <w:start w:val="31"/>
    </w:lvl>
  </w:abstractNum>
  <w:abstractNum w:abstractNumId="8">
    <w:nsid w:val="4DB127F8"/>
    <w:multiLevelType w:val="hybridMultilevel"/>
    <w:lvl w:ilvl="0">
      <w:lvlJc w:val="left"/>
      <w:lvlText w:val="%1"/>
      <w:numFmt w:val="decimal"/>
      <w:start w:val="31"/>
    </w:lvl>
  </w:abstractNum>
  <w:abstractNum w:abstractNumId="9">
    <w:nsid w:val="216231B"/>
    <w:multiLevelType w:val="hybridMultilevel"/>
    <w:lvl w:ilvl="0">
      <w:lvlJc w:val="left"/>
      <w:lvlText w:val="%1."/>
      <w:numFmt w:val="upperLetter"/>
      <w:start w:val="9"/>
    </w:lvl>
    <w:lvl w:ilvl="1">
      <w:lvlJc w:val="left"/>
      <w:lvlText w:val="%2."/>
      <w:numFmt w:val="decimal"/>
      <w:start w:val="1"/>
    </w:lvl>
    <w:lvl w:ilvl="2">
      <w:lvlJc w:val="left"/>
      <w:lvlText w:val="%3."/>
      <w:numFmt w:val="lowerLetter"/>
      <w:start w:val="1"/>
    </w:lvl>
  </w:abstractNum>
  <w:abstractNum w:abstractNumId="10">
    <w:nsid w:val="1F16E9E8"/>
    <w:multiLevelType w:val="hybridMultilevel"/>
    <w:lvl w:ilvl="0">
      <w:lvlJc w:val="left"/>
      <w:lvlText w:val="%1."/>
      <w:numFmt w:val="upperLetter"/>
      <w:start w:val="9"/>
    </w:lvl>
    <w:lvl w:ilvl="1">
      <w:lvlJc w:val="left"/>
      <w:lvlText w:val="%2."/>
      <w:numFmt w:val="decimal"/>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2020-02-01T12:29:01Z</dcterms:created>
  <dcterms:modified xsi:type="dcterms:W3CDTF">2020-02-01T12:29:01Z</dcterms:modified>
</cp:coreProperties>
</file>