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ildri10q.htm"/>
      <w:bookmarkStart w:id="1" w:name="ksoildri10q"/>
      <w:bookmarkEnd w:id="0"/>
      <w:bookmarkEnd w:id="1"/>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UNITED STATES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SECURITIES AND EXCHANGE COMMISSION</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Washington, D. 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FORM 10-Q</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(Mark One)</w:t>
      </w:r>
    </w:p>
    <w:p>
      <w:pPr>
        <w:pStyle w:val="TextBody"/>
        <w:spacing w:before="0" w:after="0"/>
        <w:ind w:left="0" w:right="0" w:hanging="0"/>
        <w:jc w:val="left"/>
        <w:rPr/>
      </w:pPr>
      <w:r>
        <w:rPr/>
        <w:t> </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2855"/>
        <w:gridCol w:w="4184"/>
        <w:gridCol w:w="3166"/>
      </w:tblGrid>
      <w:tr>
        <w:trPr/>
        <w:tc>
          <w:tcPr>
            <w:tcW w:w="285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[x]</w:t>
            </w:r>
          </w:p>
        </w:tc>
        <w:tc>
          <w:tcPr>
            <w:tcW w:w="418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Quarterly Report Pursuant to Section 13 or 15(d) of the</w:t>
            </w:r>
          </w:p>
        </w:tc>
        <w:tc>
          <w:tcPr>
            <w:tcW w:w="3166" w:type="dxa"/>
            <w:tcBorders/>
            <w:shd w:fill="FFFFFF" w:val="clear"/>
            <w:vAlign w:val="center"/>
          </w:tcPr>
          <w:p>
            <w:pPr>
              <w:pStyle w:val="TableContents"/>
              <w:spacing w:before="0" w:after="283"/>
              <w:rPr/>
            </w:pPr>
            <w:r>
              <w:rPr/>
              <w:t> </w:t>
            </w:r>
          </w:p>
        </w:tc>
      </w:tr>
      <w:tr>
        <w:trPr/>
        <w:tc>
          <w:tcPr>
            <w:tcW w:w="2855" w:type="dxa"/>
            <w:tcBorders/>
            <w:shd w:fill="FFFFFF" w:val="clear"/>
            <w:vAlign w:val="center"/>
          </w:tcPr>
          <w:p>
            <w:pPr>
              <w:pStyle w:val="TableContents"/>
              <w:spacing w:before="0" w:after="283"/>
              <w:rPr/>
            </w:pPr>
            <w:r>
              <w:rPr/>
              <w:t> </w:t>
            </w:r>
          </w:p>
        </w:tc>
        <w:tc>
          <w:tcPr>
            <w:tcW w:w="418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Securities Exchange Act of 1934</w:t>
            </w:r>
          </w:p>
        </w:tc>
        <w:tc>
          <w:tcPr>
            <w:tcW w:w="3166" w:type="dxa"/>
            <w:tcBorders/>
            <w:shd w:fill="FFFFFF" w:val="clear"/>
            <w:vAlign w:val="center"/>
          </w:tcPr>
          <w:p>
            <w:pPr>
              <w:pStyle w:val="TableContents"/>
              <w:spacing w:before="0" w:after="283"/>
              <w:rPr/>
            </w:pPr>
            <w:r>
              <w:rPr/>
              <w:t> </w:t>
            </w:r>
          </w:p>
        </w:tc>
      </w:tr>
      <w:tr>
        <w:trPr/>
        <w:tc>
          <w:tcPr>
            <w:tcW w:w="2855" w:type="dxa"/>
            <w:tcBorders/>
            <w:shd w:fill="FFFFFF" w:val="clear"/>
            <w:vAlign w:val="center"/>
          </w:tcPr>
          <w:p>
            <w:pPr>
              <w:pStyle w:val="TableContents"/>
              <w:spacing w:before="0" w:after="283"/>
              <w:rPr/>
            </w:pPr>
            <w:r>
              <w:rPr/>
              <w:t> </w:t>
            </w:r>
          </w:p>
        </w:tc>
        <w:tc>
          <w:tcPr>
            <w:tcW w:w="418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For the Quarterly Period Ended January 31, 2011</w:t>
            </w:r>
          </w:p>
        </w:tc>
        <w:tc>
          <w:tcPr>
            <w:tcW w:w="3166" w:type="dxa"/>
            <w:tcBorders/>
            <w:shd w:fill="FFFFFF"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or</w:t>
      </w:r>
    </w:p>
    <w:p>
      <w:pPr>
        <w:pStyle w:val="TextBody"/>
        <w:spacing w:before="0" w:after="0"/>
        <w:ind w:left="0" w:right="0" w:hanging="0"/>
        <w:jc w:val="center"/>
        <w:rPr/>
      </w:pPr>
      <w:r>
        <w:rPr/>
        <w:t> </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2857"/>
        <w:gridCol w:w="4185"/>
        <w:gridCol w:w="3163"/>
      </w:tblGrid>
      <w:tr>
        <w:trPr/>
        <w:tc>
          <w:tcPr>
            <w:tcW w:w="285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w:t>
            </w:r>
          </w:p>
        </w:tc>
        <w:tc>
          <w:tcPr>
            <w:tcW w:w="4185"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Transition Report Pursuant to Section 13 or 15(d) of the</w:t>
            </w:r>
          </w:p>
        </w:tc>
        <w:tc>
          <w:tcPr>
            <w:tcW w:w="3163" w:type="dxa"/>
            <w:tcBorders/>
            <w:shd w:fill="FFFFFF" w:val="clear"/>
            <w:vAlign w:val="center"/>
          </w:tcPr>
          <w:p>
            <w:pPr>
              <w:pStyle w:val="TableContents"/>
              <w:spacing w:before="0" w:after="283"/>
              <w:rPr/>
            </w:pPr>
            <w:r>
              <w:rPr/>
              <w:t> </w:t>
            </w:r>
          </w:p>
        </w:tc>
      </w:tr>
      <w:tr>
        <w:trPr/>
        <w:tc>
          <w:tcPr>
            <w:tcW w:w="2857" w:type="dxa"/>
            <w:tcBorders/>
            <w:shd w:fill="FFFFFF" w:val="clear"/>
            <w:vAlign w:val="center"/>
          </w:tcPr>
          <w:p>
            <w:pPr>
              <w:pStyle w:val="TableContents"/>
              <w:spacing w:before="0" w:after="283"/>
              <w:rPr/>
            </w:pPr>
            <w:r>
              <w:rPr/>
              <w:t> </w:t>
            </w:r>
          </w:p>
        </w:tc>
        <w:tc>
          <w:tcPr>
            <w:tcW w:w="4185"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Securities Exchange Act of 1934</w:t>
            </w:r>
          </w:p>
        </w:tc>
        <w:tc>
          <w:tcPr>
            <w:tcW w:w="3163" w:type="dxa"/>
            <w:tcBorders/>
            <w:shd w:fill="FFFFFF" w:val="clear"/>
            <w:vAlign w:val="center"/>
          </w:tcPr>
          <w:p>
            <w:pPr>
              <w:pStyle w:val="TableContents"/>
              <w:spacing w:before="0" w:after="283"/>
              <w:rPr/>
            </w:pPr>
            <w:r>
              <w:rPr/>
              <w:t> </w:t>
            </w:r>
          </w:p>
        </w:tc>
      </w:tr>
      <w:tr>
        <w:trPr/>
        <w:tc>
          <w:tcPr>
            <w:tcW w:w="2857" w:type="dxa"/>
            <w:tcBorders/>
            <w:shd w:fill="FFFFFF" w:val="clear"/>
            <w:vAlign w:val="center"/>
          </w:tcPr>
          <w:p>
            <w:pPr>
              <w:pStyle w:val="TableContents"/>
              <w:spacing w:before="0" w:after="283"/>
              <w:rPr/>
            </w:pPr>
            <w:r>
              <w:rPr/>
              <w:t> </w:t>
            </w:r>
          </w:p>
        </w:tc>
        <w:tc>
          <w:tcPr>
            <w:tcW w:w="4185"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For the transition period from _____________ to ______________</w:t>
            </w:r>
          </w:p>
        </w:tc>
        <w:tc>
          <w:tcPr>
            <w:tcW w:w="3163" w:type="dxa"/>
            <w:tcBorders/>
            <w:shd w:fill="FFFFFF"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Commission File Number 001-12622</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OIL-DRI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(Exact name of the registrant as specified in its charter)</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37"/>
        <w:gridCol w:w="4746"/>
        <w:gridCol w:w="356"/>
        <w:gridCol w:w="3916"/>
        <w:gridCol w:w="950"/>
      </w:tblGrid>
      <w:tr>
        <w:trPr/>
        <w:tc>
          <w:tcPr>
            <w:tcW w:w="237" w:type="dxa"/>
            <w:tcBorders/>
            <w:shd w:fill="auto" w:val="clear"/>
          </w:tcPr>
          <w:p>
            <w:pPr>
              <w:pStyle w:val="TableContents"/>
              <w:spacing w:before="0" w:after="283"/>
              <w:rPr/>
            </w:pPr>
            <w:r>
              <w:rPr/>
              <w:t xml:space="preserve">  </w:t>
            </w:r>
          </w:p>
        </w:tc>
        <w:tc>
          <w:tcPr>
            <w:tcW w:w="4746"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Delaware</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(State or other jurisdiction of incorporation or </w:t>
            </w:r>
          </w:p>
          <w:p>
            <w:pPr>
              <w:pStyle w:val="TableContents"/>
              <w:spacing w:before="0" w:after="0"/>
              <w:ind w:left="0" w:right="0" w:hanging="0"/>
              <w:jc w:val="center"/>
              <w:rPr>
                <w:rFonts w:ascii="times new roman" w:hAnsi="times new roman"/>
                <w:sz w:val="20"/>
              </w:rPr>
            </w:pPr>
            <w:r>
              <w:rPr>
                <w:rFonts w:ascii="times new roman" w:hAnsi="times new roman"/>
                <w:sz w:val="20"/>
              </w:rPr>
              <w:t>organization)</w:t>
            </w:r>
          </w:p>
        </w:tc>
        <w:tc>
          <w:tcPr>
            <w:tcW w:w="356" w:type="dxa"/>
            <w:tcBorders/>
            <w:shd w:fill="auto" w:val="clear"/>
          </w:tcPr>
          <w:p>
            <w:pPr>
              <w:pStyle w:val="TableContents"/>
              <w:spacing w:before="0" w:after="283"/>
              <w:rPr/>
            </w:pPr>
            <w:r>
              <w:rPr/>
              <w:t xml:space="preserve">  </w:t>
            </w:r>
          </w:p>
        </w:tc>
        <w:tc>
          <w:tcPr>
            <w:tcW w:w="3916"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36-2048898</w:t>
            </w:r>
          </w:p>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c>
          <w:tcPr>
            <w:tcW w:w="950" w:type="dxa"/>
            <w:tcBorders/>
            <w:shd w:fill="auto" w:val="clear"/>
          </w:tcPr>
          <w:p>
            <w:pPr>
              <w:pStyle w:val="TableContents"/>
              <w:spacing w:before="0" w:after="283"/>
              <w:rPr/>
            </w:pPr>
            <w:r>
              <w:rPr/>
              <w:t xml:space="preserve">  </w:t>
            </w:r>
          </w:p>
        </w:tc>
      </w:tr>
      <w:tr>
        <w:trPr/>
        <w:tc>
          <w:tcPr>
            <w:tcW w:w="237" w:type="dxa"/>
            <w:tcBorders/>
            <w:shd w:fill="auto" w:val="clear"/>
          </w:tcPr>
          <w:p>
            <w:pPr>
              <w:pStyle w:val="TableContents"/>
              <w:spacing w:before="0" w:after="283"/>
              <w:rPr/>
            </w:pPr>
            <w:r>
              <w:rPr/>
              <w:t xml:space="preserve">  </w:t>
            </w:r>
          </w:p>
        </w:tc>
        <w:tc>
          <w:tcPr>
            <w:tcW w:w="4746" w:type="dxa"/>
            <w:tcBorders/>
            <w:shd w:fill="auto" w:val="clear"/>
          </w:tcPr>
          <w:p>
            <w:pPr>
              <w:pStyle w:val="TableContents"/>
              <w:spacing w:before="0" w:after="283"/>
              <w:rPr/>
            </w:pPr>
            <w:r>
              <w:rPr/>
              <w:t xml:space="preserve">  </w:t>
            </w:r>
          </w:p>
        </w:tc>
        <w:tc>
          <w:tcPr>
            <w:tcW w:w="356" w:type="dxa"/>
            <w:tcBorders/>
            <w:shd w:fill="auto" w:val="clear"/>
          </w:tcPr>
          <w:p>
            <w:pPr>
              <w:pStyle w:val="TableContents"/>
              <w:spacing w:before="0" w:after="283"/>
              <w:rPr/>
            </w:pPr>
            <w:r>
              <w:rPr/>
              <w:t xml:space="preserve">  </w:t>
            </w:r>
          </w:p>
        </w:tc>
        <w:tc>
          <w:tcPr>
            <w:tcW w:w="3916" w:type="dxa"/>
            <w:tcBorders/>
            <w:shd w:fill="auto" w:val="clear"/>
          </w:tcPr>
          <w:p>
            <w:pPr>
              <w:pStyle w:val="TableContents"/>
              <w:spacing w:before="0" w:after="283"/>
              <w:rPr/>
            </w:pPr>
            <w:r>
              <w:rPr/>
              <w:t xml:space="preserve">  </w:t>
            </w:r>
          </w:p>
        </w:tc>
        <w:tc>
          <w:tcPr>
            <w:tcW w:w="950" w:type="dxa"/>
            <w:tcBorders/>
            <w:shd w:fill="auto" w:val="clear"/>
          </w:tcPr>
          <w:p>
            <w:pPr>
              <w:pStyle w:val="TableContents"/>
              <w:spacing w:before="0" w:after="283"/>
              <w:rPr/>
            </w:pPr>
            <w:r>
              <w:rPr/>
              <w:t xml:space="preserve">  </w:t>
            </w:r>
          </w:p>
        </w:tc>
      </w:tr>
      <w:tr>
        <w:trPr/>
        <w:tc>
          <w:tcPr>
            <w:tcW w:w="237" w:type="dxa"/>
            <w:tcBorders/>
            <w:shd w:fill="auto" w:val="clear"/>
          </w:tcPr>
          <w:p>
            <w:pPr>
              <w:pStyle w:val="TableContents"/>
              <w:spacing w:before="0" w:after="283"/>
              <w:rPr/>
            </w:pPr>
            <w:r>
              <w:rPr/>
              <w:t xml:space="preserve">  </w:t>
            </w:r>
          </w:p>
        </w:tc>
        <w:tc>
          <w:tcPr>
            <w:tcW w:w="474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410 North Michigan Avenue, Suite 400</w:t>
            </w:r>
          </w:p>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Chicago, Illinois</w:t>
            </w:r>
          </w:p>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56" w:type="dxa"/>
            <w:tcBorders/>
            <w:shd w:fill="auto" w:val="clear"/>
          </w:tcPr>
          <w:p>
            <w:pPr>
              <w:pStyle w:val="TableContents"/>
              <w:spacing w:before="0" w:after="283"/>
              <w:rPr/>
            </w:pPr>
            <w:r>
              <w:rPr/>
              <w:t xml:space="preserve">  </w:t>
            </w:r>
          </w:p>
        </w:tc>
        <w:tc>
          <w:tcPr>
            <w:tcW w:w="3916"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60611-4213</w:t>
            </w:r>
          </w:p>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c>
          <w:tcPr>
            <w:tcW w:w="950" w:type="dxa"/>
            <w:tcBorders/>
            <w:shd w:fill="auto" w:val="clear"/>
          </w:tcPr>
          <w:p>
            <w:pPr>
              <w:pStyle w:val="TableContents"/>
              <w:spacing w:before="0" w:after="283"/>
              <w:rPr/>
            </w:pPr>
            <w:r>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registrant's telephone number, including area code: (312) 321-1515</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Yes </w:t>
      </w:r>
      <w:r>
        <w:rPr>
          <w:rFonts w:ascii="Wingdings" w:hAnsi="Wingdings"/>
          <w:sz w:val="20"/>
        </w:rPr>
        <w:t>x</w:t>
      </w:r>
      <w:r>
        <w:rPr>
          <w:rFonts w:ascii="Times New Roman" w:hAnsi="Times New Roman"/>
          <w:sz w:val="20"/>
        </w:rPr>
        <w:t xml:space="preserve">   No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Yes </w:t>
      </w:r>
      <w:r>
        <w:rPr>
          <w:rFonts w:ascii="Wingdings" w:hAnsi="Wingdings"/>
          <w:sz w:val="20"/>
        </w:rPr>
        <w:t>o</w:t>
      </w:r>
      <w:r>
        <w:rPr>
          <w:rFonts w:ascii="Times New Roman" w:hAnsi="Times New Roman"/>
          <w:sz w:val="20"/>
        </w:rPr>
        <w:t xml:space="preserve">   No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364"/>
        <w:gridCol w:w="2613"/>
        <w:gridCol w:w="2364"/>
        <w:gridCol w:w="2864"/>
      </w:tblGrid>
      <w:tr>
        <w:trPr/>
        <w:tc>
          <w:tcPr>
            <w:tcW w:w="2364" w:type="dxa"/>
            <w:tcBorders/>
            <w:shd w:fill="auto" w:val="clear"/>
          </w:tcPr>
          <w:p>
            <w:pPr>
              <w:pStyle w:val="TableContents"/>
              <w:spacing w:before="0" w:after="0"/>
              <w:ind w:left="0" w:right="273" w:hanging="0"/>
              <w:jc w:val="left"/>
              <w:rPr>
                <w:rFonts w:ascii="times new roman" w:hAnsi="times new roman"/>
                <w:sz w:val="20"/>
              </w:rPr>
            </w:pPr>
            <w:r>
              <w:rPr>
                <w:rFonts w:ascii="times new roman" w:hAnsi="times new roman"/>
                <w:sz w:val="20"/>
              </w:rPr>
              <w:t>Large accelerated filer </w:t>
            </w:r>
            <w:r>
              <w:rPr>
                <w:rFonts w:ascii="wingdings" w:hAnsi="wingdings"/>
                <w:sz w:val="20"/>
              </w:rPr>
              <w:t>o</w:t>
            </w:r>
          </w:p>
        </w:tc>
        <w:tc>
          <w:tcPr>
            <w:tcW w:w="2613"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 xml:space="preserve">Accelerated filer  </w:t>
            </w:r>
            <w:r>
              <w:rPr>
                <w:rFonts w:ascii="wingdings" w:hAnsi="wingdings"/>
                <w:sz w:val="20"/>
              </w:rPr>
              <w:t>x</w:t>
            </w:r>
          </w:p>
        </w:tc>
        <w:tc>
          <w:tcPr>
            <w:tcW w:w="2364" w:type="dxa"/>
            <w:tcBorders/>
            <w:shd w:fill="auto" w:val="clear"/>
          </w:tcPr>
          <w:p>
            <w:pPr>
              <w:pStyle w:val="TableContents"/>
              <w:spacing w:before="0" w:after="0"/>
              <w:ind w:left="0" w:right="360" w:firstLine="180"/>
              <w:jc w:val="left"/>
              <w:rPr>
                <w:rFonts w:ascii="times new roman" w:hAnsi="times new roman"/>
                <w:sz w:val="20"/>
              </w:rPr>
            </w:pPr>
            <w:r>
              <w:rPr>
                <w:rFonts w:ascii="times new roman" w:hAnsi="times new roman"/>
                <w:sz w:val="20"/>
              </w:rPr>
              <w:t>Non-accelerated filer </w:t>
            </w:r>
            <w:r>
              <w:rPr>
                <w:rFonts w:ascii="wingdings" w:hAnsi="wingdings"/>
                <w:sz w:val="20"/>
              </w:rPr>
              <w:t>o</w:t>
            </w:r>
          </w:p>
        </w:tc>
        <w:tc>
          <w:tcPr>
            <w:tcW w:w="2864"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Smaller reporting company </w:t>
            </w:r>
            <w:r>
              <w:rPr>
                <w:rFonts w:ascii="wingdings" w:hAnsi="wingdings"/>
                <w:sz w:val="20"/>
              </w:rPr>
              <w:t>o</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shell company (as defined in Rule 12b-2 of the Exchange Act).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Yes </w:t>
      </w:r>
      <w:r>
        <w:rPr>
          <w:rFonts w:ascii="Wingdings" w:hAnsi="Wingdings"/>
          <w:sz w:val="20"/>
        </w:rPr>
        <w:t>o</w:t>
      </w:r>
      <w:r>
        <w:rPr>
          <w:rFonts w:ascii="Times New Roman" w:hAnsi="Times New Roman"/>
          <w:sz w:val="20"/>
        </w:rPr>
        <w:t xml:space="preserve">   No </w:t>
      </w:r>
      <w:r>
        <w:rPr>
          <w:rFonts w:ascii="Wingdings" w:hAnsi="Wingdings"/>
          <w:sz w:val="20"/>
        </w:rPr>
        <w:t>x</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the number of shares outstanding of each of the issuer’s classes of common stock as of January 31,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Common Stock – 5,049,552 Shares and Class B Stock – 2,049,409 Shares</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80" w:hanging="0"/>
        <w:jc w:val="center"/>
        <w:rPr/>
      </w:pPr>
      <w:r>
        <w:rPr/>
        <w:t> </w:t>
      </w:r>
    </w:p>
    <w:p>
      <w:pPr>
        <w:pStyle w:val="TextBody"/>
        <w:spacing w:before="0" w:after="0"/>
        <w:ind w:left="0" w:right="180" w:hanging="0"/>
        <w:jc w:val="center"/>
        <w:rPr>
          <w:rFonts w:ascii="Times New Roman" w:hAnsi="Times New Roman"/>
          <w:b/>
          <w:sz w:val="20"/>
        </w:rPr>
      </w:pPr>
      <w:r>
        <w:rPr>
          <w:rFonts w:ascii="Times New Roman" w:hAnsi="Times New Roman"/>
          <w:b/>
          <w:sz w:val="20"/>
        </w:rPr>
        <w:t>CONTENTS</w:t>
      </w:r>
    </w:p>
    <w:p>
      <w:pPr>
        <w:pStyle w:val="TextBody"/>
        <w:spacing w:before="0" w:after="0"/>
        <w:ind w:left="0" w:right="180" w:hanging="0"/>
        <w:jc w:val="center"/>
        <w:rPr/>
      </w:pPr>
      <w:r>
        <w:rPr/>
        <w:t> </w:t>
      </w:r>
    </w:p>
    <w:p>
      <w:pPr>
        <w:pStyle w:val="TextBody"/>
        <w:spacing w:before="0" w:after="0"/>
        <w:ind w:left="0" w:right="180" w:hanging="0"/>
        <w:jc w:val="center"/>
        <w:rPr/>
      </w:pPr>
      <w:r>
        <w:rPr/>
        <w:t> </w:t>
      </w:r>
    </w:p>
    <w:tbl>
      <w:tblPr>
        <w:tblW w:w="5000" w:type="pct"/>
        <w:jc w:val="center"/>
        <w:tblInd w:w="0" w:type="dxa"/>
        <w:shd w:fill="FFFFFF" w:val="clear"/>
        <w:tblCellMar>
          <w:top w:w="0" w:type="dxa"/>
          <w:left w:w="0" w:type="dxa"/>
          <w:bottom w:w="0" w:type="dxa"/>
          <w:right w:w="0" w:type="dxa"/>
        </w:tblCellMar>
      </w:tblPr>
      <w:tblGrid>
        <w:gridCol w:w="951"/>
        <w:gridCol w:w="8225"/>
        <w:gridCol w:w="1029"/>
      </w:tblGrid>
      <w:tr>
        <w:trPr/>
        <w:tc>
          <w:tcPr>
            <w:tcW w:w="951" w:type="dxa"/>
            <w:tcBorders/>
            <w:shd w:fill="FFFFFF" w:val="clear"/>
            <w:vAlign w:val="center"/>
          </w:tcPr>
          <w:p>
            <w:pPr>
              <w:pStyle w:val="TableContents"/>
              <w:spacing w:before="0" w:after="283"/>
              <w:rPr/>
            </w:pPr>
            <w:r>
              <w:rPr/>
              <w:t> </w:t>
            </w:r>
          </w:p>
        </w:tc>
        <w:tc>
          <w:tcPr>
            <w:tcW w:w="822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rFonts w:ascii="times new roman" w:hAnsi="times new roman"/>
                <w:b/>
                <w:sz w:val="20"/>
                <w:u w:val="single"/>
              </w:rPr>
            </w:pPr>
            <w:r>
              <w:rPr>
                <w:rFonts w:ascii="times new roman" w:hAnsi="times new roman"/>
                <w:b/>
                <w:sz w:val="20"/>
                <w:u w:val="single"/>
              </w:rPr>
              <w:t>Page</w:t>
            </w:r>
          </w:p>
        </w:tc>
      </w:tr>
      <w:tr>
        <w:trPr/>
        <w:tc>
          <w:tcPr>
            <w:tcW w:w="951" w:type="dxa"/>
            <w:tcBorders/>
            <w:shd w:fill="FFFFFF" w:val="clear"/>
            <w:vAlign w:val="center"/>
          </w:tcPr>
          <w:p>
            <w:pPr>
              <w:pStyle w:val="TableContents"/>
              <w:spacing w:before="0" w:after="283"/>
              <w:rPr/>
            </w:pPr>
            <w:r>
              <w:rPr/>
              <w:t> </w:t>
            </w:r>
          </w:p>
        </w:tc>
        <w:tc>
          <w:tcPr>
            <w:tcW w:w="8225" w:type="dxa"/>
            <w:tcBorders/>
            <w:shd w:fill="FFFFFF" w:val="clear"/>
            <w:vAlign w:val="center"/>
          </w:tcPr>
          <w:p>
            <w:pPr>
              <w:pStyle w:val="TableContents"/>
              <w:spacing w:before="0" w:after="283"/>
              <w:jc w:val="center"/>
              <w:rPr>
                <w:rFonts w:ascii="times new roman" w:hAnsi="times new roman"/>
                <w:b/>
                <w:sz w:val="20"/>
              </w:rPr>
            </w:pPr>
            <w:r>
              <w:rPr>
                <w:rFonts w:ascii="times new roman" w:hAnsi="times new roman"/>
                <w:b/>
                <w:sz w:val="20"/>
              </w:rPr>
              <w:t>PART I – FINANCIAL INFORMATION</w:t>
            </w:r>
          </w:p>
        </w:tc>
        <w:tc>
          <w:tcPr>
            <w:tcW w:w="1029" w:type="dxa"/>
            <w:tcBorders/>
            <w:shd w:fill="FFFFFF" w:val="clear"/>
            <w:vAlign w:val="center"/>
          </w:tcPr>
          <w:p>
            <w:pPr>
              <w:pStyle w:val="TableContents"/>
              <w:spacing w:before="0" w:after="283"/>
              <w:rPr/>
            </w:pPr>
            <w:r>
              <w:rPr/>
              <w:t> </w:t>
            </w:r>
          </w:p>
        </w:tc>
      </w:tr>
      <w:tr>
        <w:trPr/>
        <w:tc>
          <w:tcPr>
            <w:tcW w:w="951" w:type="dxa"/>
            <w:tcBorders/>
            <w:shd w:fill="FFFFFF" w:val="clear"/>
            <w:vAlign w:val="center"/>
          </w:tcPr>
          <w:p>
            <w:pPr>
              <w:pStyle w:val="TableContents"/>
              <w:spacing w:before="0" w:after="283"/>
              <w:rPr/>
            </w:pPr>
            <w:r>
              <w:rPr/>
              <w:t> </w:t>
            </w:r>
          </w:p>
        </w:tc>
        <w:tc>
          <w:tcPr>
            <w:tcW w:w="822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r>
      <w:tr>
        <w:trPr/>
        <w:tc>
          <w:tcPr>
            <w:tcW w:w="951"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Item 1:</w:t>
            </w:r>
          </w:p>
        </w:tc>
        <w:tc>
          <w:tcPr>
            <w:tcW w:w="82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Financial Statements </w:t>
            </w:r>
          </w:p>
        </w:tc>
        <w:tc>
          <w:tcPr>
            <w:tcW w:w="1029" w:type="dxa"/>
            <w:tcBorders/>
            <w:shd w:fill="CCEEFF" w:val="clear"/>
            <w:vAlign w:val="center"/>
          </w:tcPr>
          <w:p>
            <w:pPr>
              <w:pStyle w:val="TableContents"/>
              <w:spacing w:before="0" w:after="283"/>
              <w:rPr/>
            </w:pPr>
            <w:hyperlink w:anchor="3a">
              <w:r>
                <w:rPr>
                  <w:rStyle w:val="InternetLink"/>
                  <w:rFonts w:ascii="times new roman" w:hAnsi="times new roman"/>
                  <w:sz w:val="20"/>
                </w:rPr>
                <w:t>3</w:t>
              </w:r>
            </w:hyperlink>
            <w:r>
              <w:rPr>
                <w:rFonts w:ascii="times new roman" w:hAnsi="times new roman"/>
                <w:sz w:val="20"/>
              </w:rPr>
              <w:t xml:space="preserve"> – </w:t>
            </w:r>
            <w:hyperlink w:anchor="15">
              <w:r>
                <w:rPr>
                  <w:rStyle w:val="InternetLink"/>
                  <w:rFonts w:ascii="times new roman" w:hAnsi="times new roman"/>
                  <w:sz w:val="20"/>
                </w:rPr>
                <w:t>15</w:t>
              </w:r>
            </w:hyperlink>
          </w:p>
        </w:tc>
      </w:tr>
      <w:tr>
        <w:trPr/>
        <w:tc>
          <w:tcPr>
            <w:tcW w:w="951" w:type="dxa"/>
            <w:tcBorders/>
            <w:shd w:fill="FFFFFF" w:val="clear"/>
            <w:vAlign w:val="center"/>
          </w:tcPr>
          <w:p>
            <w:pPr>
              <w:pStyle w:val="TableContents"/>
              <w:spacing w:before="0" w:after="283"/>
              <w:rPr/>
            </w:pPr>
            <w:r>
              <w:rPr/>
              <w:t> </w:t>
            </w:r>
          </w:p>
        </w:tc>
        <w:tc>
          <w:tcPr>
            <w:tcW w:w="822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r>
      <w:tr>
        <w:trPr/>
        <w:tc>
          <w:tcPr>
            <w:tcW w:w="951"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Item 2:</w:t>
            </w:r>
          </w:p>
        </w:tc>
        <w:tc>
          <w:tcPr>
            <w:tcW w:w="82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Management’s Discussion and Analysis of Financial Condition </w:t>
            </w:r>
          </w:p>
          <w:p>
            <w:pPr>
              <w:pStyle w:val="TableContents"/>
              <w:spacing w:before="0" w:after="0"/>
              <w:rPr>
                <w:rFonts w:ascii="times new roman" w:hAnsi="times new roman"/>
                <w:sz w:val="20"/>
              </w:rPr>
            </w:pPr>
            <w:r>
              <w:rPr>
                <w:rFonts w:ascii="times new roman" w:hAnsi="times new roman"/>
                <w:sz w:val="20"/>
              </w:rPr>
              <w:t>and Results Of Operations</w:t>
            </w:r>
          </w:p>
        </w:tc>
        <w:tc>
          <w:tcPr>
            <w:tcW w:w="1029" w:type="dxa"/>
            <w:tcBorders/>
            <w:shd w:fill="CCEEFF" w:val="clear"/>
            <w:vAlign w:val="bottom"/>
          </w:tcPr>
          <w:p>
            <w:pPr>
              <w:pStyle w:val="TableContents"/>
              <w:spacing w:before="0" w:after="283"/>
              <w:rPr/>
            </w:pPr>
            <w:hyperlink w:anchor="16">
              <w:r>
                <w:rPr>
                  <w:rStyle w:val="InternetLink"/>
                  <w:rFonts w:ascii="times new roman" w:hAnsi="times new roman"/>
                  <w:sz w:val="20"/>
                </w:rPr>
                <w:t>16</w:t>
              </w:r>
            </w:hyperlink>
            <w:r>
              <w:rPr>
                <w:rFonts w:ascii="times new roman" w:hAnsi="times new roman"/>
                <w:sz w:val="20"/>
              </w:rPr>
              <w:t xml:space="preserve"> - </w:t>
            </w:r>
            <w:hyperlink w:anchor="24">
              <w:r>
                <w:rPr>
                  <w:rStyle w:val="InternetLink"/>
                  <w:rFonts w:ascii="times new roman" w:hAnsi="times new roman"/>
                  <w:sz w:val="20"/>
                </w:rPr>
                <w:t>24</w:t>
              </w:r>
            </w:hyperlink>
          </w:p>
        </w:tc>
      </w:tr>
      <w:tr>
        <w:trPr/>
        <w:tc>
          <w:tcPr>
            <w:tcW w:w="951" w:type="dxa"/>
            <w:tcBorders/>
            <w:shd w:fill="FFFFFF" w:val="clear"/>
            <w:vAlign w:val="center"/>
          </w:tcPr>
          <w:p>
            <w:pPr>
              <w:pStyle w:val="TableContents"/>
              <w:spacing w:before="0" w:after="283"/>
              <w:rPr/>
            </w:pPr>
            <w:r>
              <w:rPr/>
              <w:t> </w:t>
            </w:r>
          </w:p>
        </w:tc>
        <w:tc>
          <w:tcPr>
            <w:tcW w:w="822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r>
      <w:tr>
        <w:trPr/>
        <w:tc>
          <w:tcPr>
            <w:tcW w:w="951"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Item 3:</w:t>
            </w:r>
          </w:p>
        </w:tc>
        <w:tc>
          <w:tcPr>
            <w:tcW w:w="82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Quantitative and Qualitative Disclosures About Market Risk </w:t>
            </w:r>
          </w:p>
        </w:tc>
        <w:tc>
          <w:tcPr>
            <w:tcW w:w="1029" w:type="dxa"/>
            <w:tcBorders/>
            <w:shd w:fill="CCEEFF" w:val="clear"/>
            <w:vAlign w:val="center"/>
          </w:tcPr>
          <w:p>
            <w:pPr>
              <w:pStyle w:val="TableContents"/>
              <w:spacing w:before="0" w:after="283"/>
              <w:rPr/>
            </w:pPr>
            <w:hyperlink w:anchor="25">
              <w:r>
                <w:rPr>
                  <w:rStyle w:val="InternetLink"/>
                  <w:rFonts w:ascii="times new roman" w:hAnsi="times new roman"/>
                  <w:sz w:val="20"/>
                </w:rPr>
                <w:t>25</w:t>
              </w:r>
            </w:hyperlink>
          </w:p>
        </w:tc>
      </w:tr>
      <w:tr>
        <w:trPr/>
        <w:tc>
          <w:tcPr>
            <w:tcW w:w="951" w:type="dxa"/>
            <w:tcBorders/>
            <w:shd w:fill="FFFFFF" w:val="clear"/>
            <w:vAlign w:val="center"/>
          </w:tcPr>
          <w:p>
            <w:pPr>
              <w:pStyle w:val="TableContents"/>
              <w:spacing w:before="0" w:after="283"/>
              <w:rPr/>
            </w:pPr>
            <w:r>
              <w:rPr/>
              <w:t> </w:t>
            </w:r>
          </w:p>
        </w:tc>
        <w:tc>
          <w:tcPr>
            <w:tcW w:w="822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r>
      <w:tr>
        <w:trPr/>
        <w:tc>
          <w:tcPr>
            <w:tcW w:w="951"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Item 4:</w:t>
            </w:r>
          </w:p>
        </w:tc>
        <w:tc>
          <w:tcPr>
            <w:tcW w:w="82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Controls and Procedures</w:t>
            </w:r>
          </w:p>
        </w:tc>
        <w:tc>
          <w:tcPr>
            <w:tcW w:w="1029" w:type="dxa"/>
            <w:tcBorders/>
            <w:shd w:fill="CCEEFF" w:val="clear"/>
            <w:vAlign w:val="center"/>
          </w:tcPr>
          <w:p>
            <w:pPr>
              <w:pStyle w:val="TableContents"/>
              <w:spacing w:before="0" w:after="283"/>
              <w:rPr/>
            </w:pPr>
            <w:hyperlink w:anchor="26">
              <w:r>
                <w:rPr>
                  <w:rStyle w:val="InternetLink"/>
                  <w:rFonts w:ascii="times new roman" w:hAnsi="times new roman"/>
                  <w:sz w:val="20"/>
                </w:rPr>
                <w:t>26</w:t>
              </w:r>
            </w:hyperlink>
          </w:p>
        </w:tc>
      </w:tr>
      <w:tr>
        <w:trPr/>
        <w:tc>
          <w:tcPr>
            <w:tcW w:w="951" w:type="dxa"/>
            <w:tcBorders/>
            <w:shd w:fill="FFFFFF" w:val="clear"/>
            <w:vAlign w:val="center"/>
          </w:tcPr>
          <w:p>
            <w:pPr>
              <w:pStyle w:val="TableContents"/>
              <w:spacing w:before="0" w:after="283"/>
              <w:rPr/>
            </w:pPr>
            <w:r>
              <w:rPr/>
              <w:t> </w:t>
            </w:r>
          </w:p>
        </w:tc>
        <w:tc>
          <w:tcPr>
            <w:tcW w:w="822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r>
      <w:tr>
        <w:trPr/>
        <w:tc>
          <w:tcPr>
            <w:tcW w:w="951" w:type="dxa"/>
            <w:tcBorders/>
            <w:shd w:fill="CCEEFF" w:val="clear"/>
            <w:vAlign w:val="center"/>
          </w:tcPr>
          <w:p>
            <w:pPr>
              <w:pStyle w:val="TableContents"/>
              <w:spacing w:before="0" w:after="283"/>
              <w:rPr/>
            </w:pPr>
            <w:r>
              <w:rPr/>
              <w:t> </w:t>
            </w:r>
          </w:p>
        </w:tc>
        <w:tc>
          <w:tcPr>
            <w:tcW w:w="822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r>
      <w:tr>
        <w:trPr/>
        <w:tc>
          <w:tcPr>
            <w:tcW w:w="951" w:type="dxa"/>
            <w:tcBorders/>
            <w:shd w:fill="FFFFFF" w:val="clear"/>
            <w:vAlign w:val="center"/>
          </w:tcPr>
          <w:p>
            <w:pPr>
              <w:pStyle w:val="TableContents"/>
              <w:spacing w:before="0" w:after="283"/>
              <w:rPr/>
            </w:pPr>
            <w:r>
              <w:rPr/>
              <w:t> </w:t>
            </w:r>
          </w:p>
        </w:tc>
        <w:tc>
          <w:tcPr>
            <w:tcW w:w="8225" w:type="dxa"/>
            <w:tcBorders/>
            <w:shd w:fill="FFFFFF" w:val="clear"/>
            <w:vAlign w:val="center"/>
          </w:tcPr>
          <w:p>
            <w:pPr>
              <w:pStyle w:val="TableContents"/>
              <w:spacing w:before="0" w:after="0"/>
              <w:ind w:left="0" w:right="180" w:hanging="0"/>
              <w:jc w:val="center"/>
              <w:rPr>
                <w:rFonts w:ascii="times new roman" w:hAnsi="times new roman"/>
                <w:b/>
                <w:sz w:val="20"/>
              </w:rPr>
            </w:pPr>
            <w:r>
              <w:rPr>
                <w:rFonts w:ascii="times new roman" w:hAnsi="times new roman"/>
                <w:b/>
                <w:sz w:val="20"/>
              </w:rPr>
              <w:t>PART II – OTHER INFORMATION</w:t>
            </w:r>
          </w:p>
        </w:tc>
        <w:tc>
          <w:tcPr>
            <w:tcW w:w="1029" w:type="dxa"/>
            <w:tcBorders/>
            <w:shd w:fill="FFFFFF" w:val="clear"/>
            <w:vAlign w:val="center"/>
          </w:tcPr>
          <w:p>
            <w:pPr>
              <w:pStyle w:val="TableContents"/>
              <w:spacing w:before="0" w:after="283"/>
              <w:rPr/>
            </w:pPr>
            <w:r>
              <w:rPr/>
              <w:t> </w:t>
            </w:r>
          </w:p>
        </w:tc>
      </w:tr>
      <w:tr>
        <w:trPr/>
        <w:tc>
          <w:tcPr>
            <w:tcW w:w="951" w:type="dxa"/>
            <w:tcBorders/>
            <w:shd w:fill="CCEEFF" w:val="clear"/>
            <w:vAlign w:val="center"/>
          </w:tcPr>
          <w:p>
            <w:pPr>
              <w:pStyle w:val="TableContents"/>
              <w:spacing w:before="0" w:after="283"/>
              <w:rPr/>
            </w:pPr>
            <w:r>
              <w:rPr/>
              <w:t> </w:t>
            </w:r>
          </w:p>
        </w:tc>
        <w:tc>
          <w:tcPr>
            <w:tcW w:w="822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r>
      <w:tr>
        <w:trPr/>
        <w:tc>
          <w:tcPr>
            <w:tcW w:w="951"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Item 2:</w:t>
            </w:r>
          </w:p>
        </w:tc>
        <w:tc>
          <w:tcPr>
            <w:tcW w:w="82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Unregistered Sales of Equity Securities and Use of Proceeds</w:t>
            </w:r>
          </w:p>
        </w:tc>
        <w:tc>
          <w:tcPr>
            <w:tcW w:w="1029" w:type="dxa"/>
            <w:tcBorders/>
            <w:shd w:fill="FFFFFF" w:val="clear"/>
            <w:vAlign w:val="center"/>
          </w:tcPr>
          <w:p>
            <w:pPr>
              <w:pStyle w:val="TableContents"/>
              <w:spacing w:before="0" w:after="283"/>
              <w:rPr/>
            </w:pPr>
            <w:hyperlink w:anchor="27">
              <w:r>
                <w:rPr>
                  <w:rStyle w:val="InternetLink"/>
                  <w:rFonts w:ascii="times new roman" w:hAnsi="times new roman"/>
                  <w:sz w:val="20"/>
                </w:rPr>
                <w:t>27</w:t>
              </w:r>
            </w:hyperlink>
          </w:p>
        </w:tc>
      </w:tr>
      <w:tr>
        <w:trPr/>
        <w:tc>
          <w:tcPr>
            <w:tcW w:w="951" w:type="dxa"/>
            <w:tcBorders/>
            <w:shd w:fill="CCEEFF" w:val="clear"/>
            <w:vAlign w:val="center"/>
          </w:tcPr>
          <w:p>
            <w:pPr>
              <w:pStyle w:val="TableContents"/>
              <w:spacing w:before="0" w:after="283"/>
              <w:rPr/>
            </w:pPr>
            <w:r>
              <w:rPr/>
              <w:t> </w:t>
            </w:r>
          </w:p>
        </w:tc>
        <w:tc>
          <w:tcPr>
            <w:tcW w:w="822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r>
      <w:tr>
        <w:trPr/>
        <w:tc>
          <w:tcPr>
            <w:tcW w:w="951"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Item 4:</w:t>
            </w:r>
          </w:p>
        </w:tc>
        <w:tc>
          <w:tcPr>
            <w:tcW w:w="82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Mine Safety Disclosure </w:t>
            </w:r>
          </w:p>
        </w:tc>
        <w:tc>
          <w:tcPr>
            <w:tcW w:w="1029" w:type="dxa"/>
            <w:tcBorders/>
            <w:shd w:fill="FFFFFF" w:val="clear"/>
            <w:vAlign w:val="center"/>
          </w:tcPr>
          <w:p>
            <w:pPr>
              <w:pStyle w:val="TableContents"/>
              <w:spacing w:before="0" w:after="283"/>
              <w:rPr/>
            </w:pPr>
            <w:hyperlink w:anchor="27">
              <w:r>
                <w:rPr>
                  <w:rStyle w:val="InternetLink"/>
                  <w:rFonts w:ascii="times new roman" w:hAnsi="times new roman"/>
                  <w:sz w:val="20"/>
                </w:rPr>
                <w:t>27</w:t>
              </w:r>
            </w:hyperlink>
          </w:p>
        </w:tc>
      </w:tr>
      <w:tr>
        <w:trPr/>
        <w:tc>
          <w:tcPr>
            <w:tcW w:w="951" w:type="dxa"/>
            <w:tcBorders/>
            <w:shd w:fill="CCEEFF" w:val="clear"/>
            <w:vAlign w:val="center"/>
          </w:tcPr>
          <w:p>
            <w:pPr>
              <w:pStyle w:val="TableContents"/>
              <w:spacing w:before="0" w:after="283"/>
              <w:rPr/>
            </w:pPr>
            <w:r>
              <w:rPr/>
              <w:t> </w:t>
            </w:r>
          </w:p>
        </w:tc>
        <w:tc>
          <w:tcPr>
            <w:tcW w:w="822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r>
      <w:tr>
        <w:trPr/>
        <w:tc>
          <w:tcPr>
            <w:tcW w:w="951"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Item 6:</w:t>
            </w:r>
          </w:p>
        </w:tc>
        <w:tc>
          <w:tcPr>
            <w:tcW w:w="82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Exhibits</w:t>
            </w:r>
          </w:p>
        </w:tc>
        <w:tc>
          <w:tcPr>
            <w:tcW w:w="1029" w:type="dxa"/>
            <w:tcBorders/>
            <w:shd w:fill="FFFFFF" w:val="clear"/>
            <w:vAlign w:val="center"/>
          </w:tcPr>
          <w:p>
            <w:pPr>
              <w:pStyle w:val="TableContents"/>
              <w:spacing w:before="0" w:after="283"/>
              <w:rPr/>
            </w:pPr>
            <w:hyperlink w:anchor="28a">
              <w:r>
                <w:rPr>
                  <w:rStyle w:val="InternetLink"/>
                  <w:rFonts w:ascii="times new roman" w:hAnsi="times new roman"/>
                  <w:sz w:val="20"/>
                </w:rPr>
                <w:t>28</w:t>
              </w:r>
            </w:hyperlink>
          </w:p>
        </w:tc>
      </w:tr>
      <w:tr>
        <w:trPr/>
        <w:tc>
          <w:tcPr>
            <w:tcW w:w="951" w:type="dxa"/>
            <w:tcBorders/>
            <w:shd w:fill="CCEEFF" w:val="clear"/>
            <w:vAlign w:val="center"/>
          </w:tcPr>
          <w:p>
            <w:pPr>
              <w:pStyle w:val="TableContents"/>
              <w:spacing w:before="0" w:after="283"/>
              <w:rPr/>
            </w:pPr>
            <w:r>
              <w:rPr/>
              <w:t> </w:t>
            </w:r>
          </w:p>
        </w:tc>
        <w:tc>
          <w:tcPr>
            <w:tcW w:w="822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r>
      <w:tr>
        <w:trPr/>
        <w:tc>
          <w:tcPr>
            <w:tcW w:w="951"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Signatures</w:t>
            </w:r>
          </w:p>
        </w:tc>
        <w:tc>
          <w:tcPr>
            <w:tcW w:w="822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hyperlink w:anchor="29">
              <w:r>
                <w:rPr>
                  <w:rStyle w:val="InternetLink"/>
                  <w:rFonts w:ascii="times new roman" w:hAnsi="times new roman"/>
                  <w:sz w:val="20"/>
                </w:rPr>
                <w:t>29</w:t>
              </w:r>
            </w:hyperlink>
          </w:p>
        </w:tc>
      </w:tr>
      <w:tr>
        <w:trPr/>
        <w:tc>
          <w:tcPr>
            <w:tcW w:w="951" w:type="dxa"/>
            <w:tcBorders/>
            <w:shd w:fill="CCEEFF" w:val="clear"/>
            <w:vAlign w:val="center"/>
          </w:tcPr>
          <w:p>
            <w:pPr>
              <w:pStyle w:val="TableContents"/>
              <w:spacing w:before="0" w:after="283"/>
              <w:rPr/>
            </w:pPr>
            <w:r>
              <w:rPr/>
              <w:t> </w:t>
            </w:r>
          </w:p>
        </w:tc>
        <w:tc>
          <w:tcPr>
            <w:tcW w:w="822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r>
      <w:tr>
        <w:trPr/>
        <w:tc>
          <w:tcPr>
            <w:tcW w:w="951"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Exhibits</w:t>
            </w:r>
          </w:p>
        </w:tc>
        <w:tc>
          <w:tcPr>
            <w:tcW w:w="822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hyperlink w:anchor="30">
              <w:r>
                <w:rPr>
                  <w:rStyle w:val="InternetLink"/>
                  <w:rFonts w:ascii="times new roman" w:hAnsi="times new roman"/>
                  <w:sz w:val="20"/>
                </w:rPr>
                <w:t>30</w:t>
              </w:r>
            </w:hyperlink>
          </w:p>
        </w:tc>
      </w:tr>
    </w:tbl>
    <w:p>
      <w:pPr>
        <w:pStyle w:val="TextBody"/>
        <w:spacing w:before="0" w:after="0"/>
        <w:ind w:left="0" w:right="180" w:hanging="0"/>
        <w:jc w:val="center"/>
        <w:rPr/>
      </w:pPr>
      <w:r>
        <w:rPr/>
        <w:t> </w:t>
      </w:r>
    </w:p>
    <w:p>
      <w:pPr>
        <w:pStyle w:val="TextBody"/>
        <w:spacing w:before="0" w:after="0"/>
        <w:ind w:left="0" w:right="0" w:hanging="0"/>
        <w:rPr/>
      </w:pPr>
      <w:r>
        <w:rPr/>
        <w:t> </w:t>
      </w:r>
    </w:p>
    <w:p>
      <w:pPr>
        <w:pStyle w:val="TextBody"/>
        <w:spacing w:before="0" w:after="0"/>
        <w:ind w:left="0" w:right="0" w:firstLine="720"/>
        <w:jc w:val="center"/>
        <w:rPr>
          <w:rFonts w:ascii="Times New Roman" w:hAnsi="Times New Roman"/>
          <w:b/>
          <w:sz w:val="20"/>
        </w:rPr>
      </w:pPr>
      <w:r>
        <w:rPr>
          <w:rFonts w:ascii="Times New Roman" w:hAnsi="Times New Roman"/>
          <w:b/>
          <w:sz w:val="20"/>
        </w:rPr>
        <w:t>FORWARD-LOOKING STATEMENTS</w:t>
      </w:r>
    </w:p>
    <w:p>
      <w:pPr>
        <w:pStyle w:val="TextBody"/>
        <w:spacing w:before="0" w:after="0"/>
        <w:ind w:left="0" w:right="0" w:hanging="0"/>
        <w:rPr/>
      </w:pPr>
      <w:r>
        <w:rPr/>
      </w:r>
    </w:p>
    <w:p>
      <w:pPr>
        <w:pStyle w:val="TextBody"/>
        <w:spacing w:before="0" w:after="0"/>
        <w:ind w:left="739" w:right="0" w:hanging="0"/>
        <w:jc w:val="both"/>
        <w:rPr>
          <w:rFonts w:ascii="Times New Roman" w:hAnsi="Times New Roman"/>
          <w:sz w:val="20"/>
        </w:rPr>
      </w:pPr>
      <w:bookmarkStart w:id="2" w:name="TAB1"/>
      <w:bookmarkEnd w:id="2"/>
      <w:r>
        <w:rPr>
          <w:rFonts w:ascii="Times New Roman" w:hAnsi="Times New Roman"/>
          <w:sz w:val="20"/>
        </w:rPr>
        <w:t>Certain statements in this report, including, but not limited to, those under the heading “Management’s Discussion and Analysis of Financial Condition and Results of Operations” and those statements elsewhere in this report and other documents we file with the Securities and Exchange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0" w:right="0" w:hanging="0"/>
        <w:rPr/>
      </w:pPr>
      <w:r>
        <w:rPr/>
      </w:r>
    </w:p>
    <w:p>
      <w:pPr>
        <w:pStyle w:val="TextBody"/>
        <w:spacing w:before="0" w:after="0"/>
        <w:ind w:left="739" w:right="0" w:hanging="0"/>
        <w:jc w:val="both"/>
        <w:rPr>
          <w:rFonts w:ascii="Times New Roman" w:hAnsi="Times New Roman"/>
          <w:sz w:val="20"/>
        </w:rPr>
      </w:pPr>
      <w:bookmarkStart w:id="3" w:name="TAB11"/>
      <w:bookmarkEnd w:id="3"/>
      <w:r>
        <w:rPr>
          <w:rFonts w:ascii="Times New Roman" w:hAnsi="Times New Roman"/>
          <w:sz w:val="20"/>
        </w:rPr>
        <w:t>Such statements are subject to certain risks, uncertainties and assumptions that could cause actual results to differ materially, including those described in Item 1A, Risk Factors, of our Annual Report on Form 10-K for the fiscal year ended July 31, 2010, which risk factors are incorporated herein by reference.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pStyle w:val="TextBody"/>
        <w:spacing w:before="0" w:after="0"/>
        <w:ind w:left="0" w:right="0" w:hanging="0"/>
        <w:jc w:val="both"/>
        <w:rPr/>
      </w:pPr>
      <w:r>
        <w:rPr/>
        <w:t> </w:t>
      </w:r>
    </w:p>
    <w:p>
      <w:pPr>
        <w:pStyle w:val="TextBody"/>
        <w:spacing w:before="0" w:after="0"/>
        <w:ind w:left="0" w:right="0" w:firstLine="720"/>
        <w:jc w:val="center"/>
        <w:rPr>
          <w:rFonts w:ascii="Times New Roman" w:hAnsi="Times New Roman"/>
          <w:b/>
          <w:sz w:val="20"/>
        </w:rPr>
      </w:pPr>
      <w:r>
        <w:rPr>
          <w:rFonts w:ascii="Times New Roman" w:hAnsi="Times New Roman"/>
          <w:b/>
          <w:sz w:val="20"/>
        </w:rPr>
        <w:t>TRADEMARK NOTICE</w:t>
      </w:r>
    </w:p>
    <w:p>
      <w:pPr>
        <w:pStyle w:val="TextBody"/>
        <w:spacing w:before="0" w:after="0"/>
        <w:ind w:left="0" w:right="0" w:hanging="0"/>
        <w:rPr/>
      </w:pPr>
      <w:r>
        <w:rPr/>
      </w:r>
    </w:p>
    <w:p>
      <w:pPr>
        <w:pStyle w:val="TextBody"/>
        <w:spacing w:before="0" w:after="0"/>
        <w:ind w:left="739" w:right="0" w:hanging="0"/>
        <w:jc w:val="both"/>
        <w:rPr>
          <w:rFonts w:ascii="Times New Roman" w:hAnsi="Times New Roman"/>
          <w:sz w:val="20"/>
        </w:rPr>
      </w:pPr>
      <w:bookmarkStart w:id="4" w:name="TAB12"/>
      <w:bookmarkEnd w:id="4"/>
      <w:r>
        <w:rPr>
          <w:rFonts w:ascii="Times New Roman" w:hAnsi="Times New Roman"/>
          <w:sz w:val="20"/>
        </w:rPr>
        <w:t>Agsorb, Calibrin, Cat’s Pride, ConditionAde, Flo-Fre, Jonny Cat, KatKit, Oil-Dri, Pel-Unite, Perform, Poultry Guard, Pro Mound, Pure-Flo, Rapid Dry, Select and Ultra-Clear are all registered trademarks of Oil-Dri Corporation of America or of its subsidiaries.  Pro’s Choice, Saular and Verge are trademarks of Oil-Dri Corporation of America.  Fresh Step is a registered trademark of The Clorox Company.</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 w:name="GLFTR"/>
      <w:bookmarkEnd w:id="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 w:name="PN"/>
      <w:bookmarkEnd w:id="1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 w:name="GLHDR"/>
      <w:bookmarkEnd w:id="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r>
      <w:r>
        <w:rPr>
          <w:b/>
        </w:rPr>
        <w:t>PART I - FINANCIAL INFORM</w:t>
      </w:r>
      <w:bookmarkStart w:id="14" w:name="3a"/>
      <w:bookmarkEnd w:id="14"/>
      <w:r>
        <w:rPr>
          <w:b/>
        </w:rPr>
        <w:t>ATION</w:t>
      </w:r>
    </w:p>
    <w:tbl>
      <w:tblPr>
        <w:tblW w:w="5000" w:type="pct"/>
        <w:jc w:val="left"/>
        <w:tblInd w:w="0" w:type="dxa"/>
        <w:tblCellMar>
          <w:top w:w="0" w:type="dxa"/>
          <w:left w:w="0" w:type="dxa"/>
          <w:bottom w:w="0" w:type="dxa"/>
          <w:right w:w="0" w:type="dxa"/>
        </w:tblCellMar>
      </w:tblPr>
      <w:tblGrid>
        <w:gridCol w:w="7419"/>
        <w:gridCol w:w="108"/>
        <w:gridCol w:w="126"/>
        <w:gridCol w:w="1041"/>
        <w:gridCol w:w="113"/>
        <w:gridCol w:w="108"/>
        <w:gridCol w:w="126"/>
        <w:gridCol w:w="1041"/>
        <w:gridCol w:w="123"/>
      </w:tblGrid>
      <w:tr>
        <w:trPr/>
        <w:tc>
          <w:tcPr>
            <w:tcW w:w="7419" w:type="dxa"/>
            <w:tcBorders/>
            <w:shd w:fill="auto" w:val="clear"/>
            <w:vAlign w:val="bottom"/>
          </w:tcPr>
          <w:p>
            <w:pPr>
              <w:pStyle w:val="TableContents"/>
              <w:spacing w:before="0" w:after="283"/>
              <w:rPr/>
            </w:pPr>
            <w:r>
              <w:rPr/>
              <w:t xml:space="preserve">  </w:t>
            </w:r>
          </w:p>
        </w:tc>
        <w:tc>
          <w:tcPr>
            <w:tcW w:w="1388" w:type="dxa"/>
            <w:gridSpan w:val="4"/>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ITEM 1. Financial Statements</w:t>
            </w:r>
          </w:p>
        </w:tc>
        <w:tc>
          <w:tcPr>
            <w:tcW w:w="1388" w:type="dxa"/>
            <w:gridSpan w:val="4"/>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283"/>
              <w:rPr/>
            </w:pPr>
            <w:r>
              <w:rPr/>
              <w:t xml:space="preserve">  </w:t>
            </w:r>
          </w:p>
        </w:tc>
        <w:tc>
          <w:tcPr>
            <w:tcW w:w="1388" w:type="dxa"/>
            <w:gridSpan w:val="4"/>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bookmarkStart w:id="15" w:name="range!a5%3Ad38"/>
            <w:bookmarkEnd w:id="15"/>
            <w:r>
              <w:rPr>
                <w:rFonts w:ascii="times new roman" w:hAnsi="times new roman"/>
                <w:b/>
                <w:sz w:val="20"/>
              </w:rPr>
              <w:t>OIL-DRI CORPORATION OF AMERICA &amp; SUBSIDIARIES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8" w:type="dxa"/>
            <w:tcBorders/>
            <w:shd w:fill="auto" w:val="clear"/>
            <w:vAlign w:val="bottom"/>
          </w:tcPr>
          <w:p>
            <w:pPr>
              <w:pStyle w:val="TableContents"/>
              <w:spacing w:before="0" w:after="283"/>
              <w:rPr/>
            </w:pPr>
            <w:r>
              <w:rPr/>
              <w:t> </w:t>
            </w:r>
          </w:p>
        </w:tc>
        <w:tc>
          <w:tcPr>
            <w:tcW w:w="11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January 31, </w:t>
            </w:r>
          </w:p>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July 31, </w:t>
            </w:r>
          </w:p>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555" w:type="dxa"/>
            <w:gridSpan w:val="6"/>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Current Assets</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19,282</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shd w:fill="CCEEFF" w:val="clear"/>
            <w:vAlign w:val="bottom"/>
          </w:tcPr>
          <w:p>
            <w:pPr>
              <w:pStyle w:val="TableContents"/>
              <w:spacing w:before="0" w:after="283"/>
              <w:ind w:left="240" w:right="0" w:hanging="0"/>
              <w:jc w:val="right"/>
              <w:rPr>
                <w:rFonts w:ascii="times new roman" w:hAnsi="times new roman"/>
                <w:sz w:val="20"/>
              </w:rPr>
            </w:pPr>
            <w:bookmarkStart w:id="16" w:name="TAB13"/>
            <w:bookmarkStart w:id="17" w:name="TAB14"/>
            <w:bookmarkEnd w:id="16"/>
            <w:bookmarkEnd w:id="17"/>
            <w:r>
              <w:rPr>
                <w:rFonts w:ascii="times new roman" w:hAnsi="times new roman"/>
                <w:sz w:val="20"/>
              </w:rPr>
              <w:t>18,762</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short-term securities</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21,375</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18" w:name="TAB15"/>
            <w:bookmarkEnd w:id="18"/>
            <w:r>
              <w:rPr>
                <w:rFonts w:ascii="times new roman" w:hAnsi="times new roman"/>
                <w:sz w:val="20"/>
              </w:rPr>
              <w:t>5,859</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receivable, less allowance of $611 and $572</w:t>
            </w:r>
          </w:p>
          <w:p>
            <w:pPr>
              <w:pStyle w:val="TableContents"/>
              <w:spacing w:before="0" w:after="0"/>
              <w:ind w:left="0" w:right="0" w:hanging="0"/>
              <w:jc w:val="left"/>
              <w:rPr/>
            </w:pPr>
            <w:r>
              <w:rPr/>
              <w:t>  </w:t>
            </w:r>
            <w:r>
              <w:rPr>
                <w:rFonts w:ascii="times new roman" w:hAnsi="times new roman"/>
                <w:sz w:val="20"/>
              </w:rPr>
              <w:t>at January 31, 2011 and July 31, 2010, respectively</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26,976</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19" w:name="TAB16"/>
            <w:bookmarkEnd w:id="19"/>
            <w:r>
              <w:rPr>
                <w:rFonts w:ascii="times new roman" w:hAnsi="times new roman"/>
                <w:sz w:val="20"/>
              </w:rPr>
              <w:t>27,178</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Inventories</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17,254</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20" w:name="TAB17"/>
            <w:bookmarkEnd w:id="20"/>
            <w:r>
              <w:rPr>
                <w:rFonts w:ascii="times new roman" w:hAnsi="times new roman"/>
                <w:sz w:val="20"/>
              </w:rPr>
              <w:t>16,023</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income taxes</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2,867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21" w:name="TAB18"/>
            <w:bookmarkEnd w:id="21"/>
            <w:r>
              <w:rPr>
                <w:rFonts w:ascii="times new roman" w:hAnsi="times new roman"/>
                <w:sz w:val="20"/>
              </w:rPr>
              <w:t>2,867</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repairs expense</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3,684</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22" w:name="TAB19"/>
            <w:bookmarkEnd w:id="22"/>
            <w:r>
              <w:rPr>
                <w:rFonts w:ascii="times new roman" w:hAnsi="times new roman"/>
                <w:sz w:val="20"/>
              </w:rPr>
              <w:t>3,993</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2,214</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ind w:left="1114" w:right="0" w:hanging="0"/>
              <w:jc w:val="right"/>
              <w:rPr>
                <w:rFonts w:ascii="times new roman" w:hAnsi="times new roman"/>
                <w:sz w:val="20"/>
              </w:rPr>
            </w:pPr>
            <w:bookmarkStart w:id="23" w:name="TAB110"/>
            <w:bookmarkEnd w:id="23"/>
            <w:r>
              <w:rPr>
                <w:rFonts w:ascii="times new roman" w:hAnsi="times new roman"/>
                <w:sz w:val="20"/>
              </w:rPr>
              <w:t>1,507</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Current Assets</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93,652</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ind w:left="1114" w:right="0" w:hanging="0"/>
              <w:jc w:val="right"/>
              <w:rPr>
                <w:rFonts w:ascii="times new roman" w:hAnsi="times new roman"/>
                <w:sz w:val="20"/>
              </w:rPr>
            </w:pPr>
            <w:bookmarkStart w:id="24" w:name="TAB111"/>
            <w:bookmarkEnd w:id="24"/>
            <w:r>
              <w:rPr>
                <w:rFonts w:ascii="times new roman" w:hAnsi="times new roman"/>
                <w:sz w:val="20"/>
              </w:rPr>
              <w:t>76,189</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Property, Plant and Equipment</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Cost</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181,248</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177,617</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depreciation and amortization</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(118,203</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(115,115</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19"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Property, Plant and Equipment, Net</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63,045</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62,502</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Other Assets</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Goodwill</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5,162</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25" w:name="TAB112"/>
            <w:bookmarkEnd w:id="25"/>
            <w:r>
              <w:rPr>
                <w:rFonts w:ascii="times new roman" w:hAnsi="times new roman"/>
                <w:sz w:val="20"/>
              </w:rPr>
              <w:t>5,162</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Trademarks and patents, net of accumulated amortization</w:t>
            </w:r>
          </w:p>
          <w:p>
            <w:pPr>
              <w:pStyle w:val="TableContents"/>
              <w:spacing w:before="0" w:after="0"/>
              <w:ind w:left="0" w:right="0" w:hanging="0"/>
              <w:jc w:val="left"/>
              <w:rPr/>
            </w:pPr>
            <w:r>
              <w:rPr/>
              <w:t>  </w:t>
            </w:r>
            <w:r>
              <w:rPr>
                <w:rFonts w:ascii="times new roman" w:hAnsi="times new roman"/>
                <w:sz w:val="20"/>
              </w:rPr>
              <w:t>of $367 and $357 at January 31, 2011 and July 31, 2010,</w:t>
            </w:r>
          </w:p>
          <w:p>
            <w:pPr>
              <w:pStyle w:val="TableContents"/>
              <w:spacing w:before="0" w:after="0"/>
              <w:ind w:left="0" w:right="0" w:hanging="0"/>
              <w:jc w:val="left"/>
              <w:rPr/>
            </w:pPr>
            <w:r>
              <w:rPr/>
              <w:t>  </w:t>
            </w:r>
            <w:r>
              <w:rPr>
                <w:rFonts w:ascii="times new roman" w:hAnsi="times new roman"/>
                <w:sz w:val="20"/>
              </w:rPr>
              <w:t>respectively</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603</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26" w:name="TAB113"/>
            <w:bookmarkEnd w:id="26"/>
            <w:r>
              <w:rPr>
                <w:rFonts w:ascii="times new roman" w:hAnsi="times new roman"/>
                <w:sz w:val="20"/>
              </w:rPr>
              <w:t>617</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issuance costs, net of accumulated amortization</w:t>
            </w:r>
          </w:p>
          <w:p>
            <w:pPr>
              <w:pStyle w:val="TableContents"/>
              <w:spacing w:before="0" w:after="0"/>
              <w:ind w:left="0" w:right="0" w:hanging="0"/>
              <w:jc w:val="left"/>
              <w:rPr/>
            </w:pPr>
            <w:r>
              <w:rPr/>
              <w:t>  </w:t>
            </w:r>
            <w:r>
              <w:rPr>
                <w:rFonts w:ascii="times new roman" w:hAnsi="times new roman"/>
                <w:sz w:val="20"/>
              </w:rPr>
              <w:t>of $372 and $524 at January 31, 2011 and July 31, 2010,</w:t>
            </w:r>
          </w:p>
          <w:p>
            <w:pPr>
              <w:pStyle w:val="TableContents"/>
              <w:spacing w:before="0" w:after="0"/>
              <w:ind w:left="0" w:right="0" w:hanging="0"/>
              <w:jc w:val="left"/>
              <w:rPr/>
            </w:pPr>
            <w:r>
              <w:rPr/>
              <w:t>  </w:t>
            </w:r>
            <w:r>
              <w:rPr>
                <w:rFonts w:ascii="times new roman" w:hAnsi="times new roman"/>
                <w:sz w:val="20"/>
              </w:rPr>
              <w:t>respectively</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502</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27" w:name="TAB114"/>
            <w:bookmarkEnd w:id="27"/>
            <w:r>
              <w:rPr>
                <w:rFonts w:ascii="times new roman" w:hAnsi="times new roman"/>
                <w:sz w:val="20"/>
              </w:rPr>
              <w:t>255</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Licensing agreements and non-compete agreements, net</w:t>
            </w:r>
          </w:p>
          <w:p>
            <w:pPr>
              <w:pStyle w:val="TableContents"/>
              <w:spacing w:before="0" w:after="0"/>
              <w:ind w:left="180" w:right="0" w:hanging="180"/>
              <w:jc w:val="left"/>
              <w:rPr/>
            </w:pPr>
            <w:r>
              <w:rPr/>
              <w:t>  </w:t>
            </w:r>
            <w:r>
              <w:rPr>
                <w:rFonts w:ascii="times new roman" w:hAnsi="times new roman"/>
                <w:sz w:val="20"/>
              </w:rPr>
              <w:t>of accumulated amortization of $1,236 and $3,611 at</w:t>
            </w:r>
          </w:p>
          <w:p>
            <w:pPr>
              <w:pStyle w:val="TableContents"/>
              <w:spacing w:before="0" w:after="0"/>
              <w:ind w:left="0" w:right="0" w:hanging="0"/>
              <w:jc w:val="left"/>
              <w:rPr/>
            </w:pPr>
            <w:r>
              <w:rPr/>
              <w:t>  </w:t>
            </w:r>
            <w:r>
              <w:rPr>
                <w:rFonts w:ascii="times new roman" w:hAnsi="times new roman"/>
                <w:sz w:val="20"/>
              </w:rPr>
              <w:t>January 31, 2011 and July 31, 2010, respectively</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1,003</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ind w:left="1114" w:right="0" w:hanging="0"/>
              <w:jc w:val="right"/>
              <w:rPr>
                <w:rFonts w:ascii="times new roman" w:hAnsi="times new roman"/>
                <w:sz w:val="20"/>
              </w:rPr>
            </w:pPr>
            <w:bookmarkStart w:id="28" w:name="TAB115"/>
            <w:bookmarkEnd w:id="28"/>
            <w:r>
              <w:rPr>
                <w:rFonts w:ascii="times new roman" w:hAnsi="times new roman"/>
                <w:sz w:val="20"/>
              </w:rPr>
              <w:t>1,127</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income taxes</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3,861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ind w:left="1114" w:right="0" w:hanging="0"/>
              <w:jc w:val="right"/>
              <w:rPr>
                <w:rFonts w:ascii="times new roman" w:hAnsi="times new roman"/>
                <w:sz w:val="20"/>
              </w:rPr>
            </w:pPr>
            <w:bookmarkStart w:id="29" w:name="TAB116"/>
            <w:bookmarkEnd w:id="29"/>
            <w:r>
              <w:rPr>
                <w:rFonts w:ascii="times new roman" w:hAnsi="times new roman"/>
                <w:sz w:val="20"/>
              </w:rPr>
              <w:t>3,981</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4,233</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ind w:left="1114" w:right="0" w:hanging="0"/>
              <w:jc w:val="right"/>
              <w:rPr>
                <w:rFonts w:ascii="times new roman" w:hAnsi="times new roman"/>
                <w:sz w:val="20"/>
              </w:rPr>
            </w:pPr>
            <w:bookmarkStart w:id="30" w:name="TAB117"/>
            <w:bookmarkEnd w:id="30"/>
            <w:r>
              <w:rPr>
                <w:rFonts w:ascii="times new roman" w:hAnsi="times new roman"/>
                <w:sz w:val="20"/>
              </w:rPr>
              <w:t>4,149</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Other Assets</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15,364</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ind w:left="1114" w:right="0" w:hanging="0"/>
              <w:jc w:val="right"/>
              <w:rPr>
                <w:rFonts w:ascii="times new roman" w:hAnsi="times new roman"/>
                <w:sz w:val="20"/>
              </w:rPr>
            </w:pPr>
            <w:bookmarkStart w:id="31" w:name="TAB118"/>
            <w:bookmarkEnd w:id="31"/>
            <w:r>
              <w:rPr>
                <w:rFonts w:ascii="times new roman" w:hAnsi="times new roman"/>
                <w:sz w:val="20"/>
              </w:rPr>
              <w:t>15,291</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108"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172,061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153,982</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1"/>
      <w:bookmarkStart w:id="33" w:name="PGBRK1"/>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FTR1"/>
      <w:bookmarkStart w:id="35" w:name="FTR1"/>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 w:name="GLFTR1"/>
      <w:bookmarkEnd w:id="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 w:name="PN1"/>
      <w:bookmarkEnd w:id="37"/>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HDR1"/>
      <w:bookmarkStart w:id="39" w:name="HDR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 w:name="GLHDR1"/>
      <w:bookmarkEnd w:id="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xml:space="preserve">  </w:t>
      </w:r>
    </w:p>
    <w:p>
      <w:pPr>
        <w:pStyle w:val="TextBody"/>
        <w:spacing w:before="0" w:after="0"/>
        <w:ind w:left="0" w:right="0" w:hanging="0"/>
        <w:jc w:val="center"/>
        <w:rPr>
          <w:rFonts w:ascii="times new roman" w:hAnsi="times new roman"/>
          <w:b/>
          <w:sz w:val="20"/>
        </w:rPr>
      </w:pPr>
      <w:r>
        <w:rPr>
          <w:rFonts w:ascii="times new roman" w:hAnsi="times new roman"/>
          <w:b/>
          <w:sz w:val="20"/>
        </w:rPr>
        <w:t>OIL-DRI CORPORATI</w:t>
      </w:r>
      <w:bookmarkStart w:id="41" w:name="3"/>
      <w:bookmarkEnd w:id="41"/>
      <w:r>
        <w:rPr>
          <w:rFonts w:ascii="times new roman" w:hAnsi="times new roman"/>
          <w:b/>
          <w:sz w:val="20"/>
        </w:rPr>
        <w:t>ON OF AMERICA &amp; SUBSIDIARIES</w:t>
      </w:r>
    </w:p>
    <w:tbl>
      <w:tblPr>
        <w:tblW w:w="5000" w:type="pct"/>
        <w:jc w:val="left"/>
        <w:tblInd w:w="0" w:type="dxa"/>
        <w:tblCellMar>
          <w:top w:w="0" w:type="dxa"/>
          <w:left w:w="0" w:type="dxa"/>
          <w:bottom w:w="0" w:type="dxa"/>
          <w:right w:w="0" w:type="dxa"/>
        </w:tblCellMar>
      </w:tblPr>
      <w:tblGrid>
        <w:gridCol w:w="7459"/>
        <w:gridCol w:w="107"/>
        <w:gridCol w:w="127"/>
        <w:gridCol w:w="1021"/>
        <w:gridCol w:w="113"/>
        <w:gridCol w:w="107"/>
        <w:gridCol w:w="127"/>
        <w:gridCol w:w="1021"/>
        <w:gridCol w:w="123"/>
      </w:tblGrid>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&amp; STOCKHOLDERS’ EQUITY</w:t>
            </w:r>
          </w:p>
        </w:tc>
        <w:tc>
          <w:tcPr>
            <w:tcW w:w="107" w:type="dxa"/>
            <w:tcBorders/>
            <w:shd w:fill="auto" w:val="clear"/>
            <w:vAlign w:val="bottom"/>
          </w:tcPr>
          <w:p>
            <w:pPr>
              <w:pStyle w:val="TableContents"/>
              <w:spacing w:before="0" w:after="283"/>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January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July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2516" w:type="dxa"/>
            <w:gridSpan w:val="6"/>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Current Liabilities</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maturities of notes payable</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1" w:type="dxa"/>
            <w:tcBorders/>
            <w:shd w:fill="CCEEFF" w:val="clear"/>
            <w:vAlign w:val="bottom"/>
          </w:tcPr>
          <w:p>
            <w:pPr>
              <w:pStyle w:val="TableContents"/>
              <w:spacing w:before="0" w:after="283"/>
              <w:ind w:left="238" w:right="0" w:hanging="0"/>
              <w:jc w:val="right"/>
              <w:rPr>
                <w:rFonts w:ascii="times new roman" w:hAnsi="times new roman"/>
                <w:b/>
                <w:sz w:val="20"/>
              </w:rPr>
            </w:pPr>
            <w:bookmarkStart w:id="42" w:name="TAB119"/>
            <w:bookmarkEnd w:id="42"/>
            <w:r>
              <w:rPr>
                <w:rFonts w:ascii="times new roman" w:hAnsi="times new roman"/>
                <w:b/>
                <w:sz w:val="20"/>
              </w:rPr>
              <w:t>4,100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shd w:fill="CCEEFF" w:val="clear"/>
            <w:vAlign w:val="bottom"/>
          </w:tcPr>
          <w:p>
            <w:pPr>
              <w:pStyle w:val="TableContents"/>
              <w:spacing w:before="0" w:after="283"/>
              <w:ind w:left="238" w:right="0" w:hanging="0"/>
              <w:jc w:val="right"/>
              <w:rPr>
                <w:rFonts w:ascii="times new roman" w:hAnsi="times new roman"/>
                <w:sz w:val="20"/>
              </w:rPr>
            </w:pPr>
            <w:bookmarkStart w:id="43" w:name="TAB120"/>
            <w:bookmarkEnd w:id="43"/>
            <w:r>
              <w:rPr>
                <w:rFonts w:ascii="times new roman" w:hAnsi="times new roman"/>
                <w:sz w:val="20"/>
              </w:rPr>
              <w:t>3,500</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17" w:right="0" w:hanging="0"/>
              <w:jc w:val="right"/>
              <w:rPr>
                <w:rFonts w:ascii="times new roman" w:hAnsi="times new roman"/>
                <w:b/>
                <w:sz w:val="20"/>
              </w:rPr>
            </w:pPr>
            <w:bookmarkStart w:id="44" w:name="TAB121"/>
            <w:bookmarkEnd w:id="44"/>
            <w:r>
              <w:rPr>
                <w:rFonts w:ascii="times new roman" w:hAnsi="times new roman"/>
                <w:b/>
                <w:sz w:val="20"/>
              </w:rPr>
              <w:t>7,687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84" w:right="0" w:hanging="0"/>
              <w:jc w:val="right"/>
              <w:rPr>
                <w:rFonts w:ascii="times new roman" w:hAnsi="times new roman"/>
                <w:sz w:val="20"/>
              </w:rPr>
            </w:pPr>
            <w:bookmarkStart w:id="45" w:name="TAB122"/>
            <w:bookmarkEnd w:id="45"/>
            <w:r>
              <w:rPr>
                <w:rFonts w:ascii="times new roman" w:hAnsi="times new roman"/>
                <w:sz w:val="20"/>
              </w:rPr>
              <w:t>6,482</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Dividends payable</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17" w:right="0" w:hanging="0"/>
              <w:jc w:val="right"/>
              <w:rPr>
                <w:rFonts w:ascii="times new roman" w:hAnsi="times new roman"/>
                <w:b/>
                <w:sz w:val="20"/>
              </w:rPr>
            </w:pPr>
            <w:bookmarkStart w:id="46" w:name="TAB123"/>
            <w:bookmarkEnd w:id="46"/>
            <w:r>
              <w:rPr>
                <w:rFonts w:ascii="times new roman" w:hAnsi="times new roman"/>
                <w:b/>
                <w:sz w:val="20"/>
              </w:rPr>
              <w:t>1,059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84" w:right="0" w:hanging="0"/>
              <w:jc w:val="right"/>
              <w:rPr>
                <w:rFonts w:ascii="times new roman" w:hAnsi="times new roman"/>
                <w:sz w:val="20"/>
              </w:rPr>
            </w:pPr>
            <w:bookmarkStart w:id="47" w:name="TAB124"/>
            <w:bookmarkEnd w:id="47"/>
            <w:r>
              <w:rPr>
                <w:rFonts w:ascii="times new roman" w:hAnsi="times new roman"/>
                <w:sz w:val="20"/>
              </w:rPr>
              <w:t>1,043</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Salaries, wages and commissions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17" w:right="0" w:hanging="0"/>
              <w:jc w:val="right"/>
              <w:rPr>
                <w:rFonts w:ascii="times new roman" w:hAnsi="times new roman"/>
                <w:b/>
                <w:sz w:val="20"/>
              </w:rPr>
            </w:pPr>
            <w:bookmarkStart w:id="48" w:name="TAB125"/>
            <w:bookmarkEnd w:id="48"/>
            <w:r>
              <w:rPr>
                <w:rFonts w:ascii="times new roman" w:hAnsi="times new roman"/>
                <w:b/>
                <w:sz w:val="20"/>
              </w:rPr>
              <w:t>4,248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84" w:right="0" w:hanging="0"/>
              <w:jc w:val="right"/>
              <w:rPr>
                <w:rFonts w:ascii="times new roman" w:hAnsi="times new roman"/>
                <w:sz w:val="20"/>
              </w:rPr>
            </w:pPr>
            <w:bookmarkStart w:id="49" w:name="TAB126"/>
            <w:bookmarkEnd w:id="49"/>
            <w:r>
              <w:rPr>
                <w:rFonts w:ascii="times new roman" w:hAnsi="times new roman"/>
                <w:sz w:val="20"/>
              </w:rPr>
              <w:t>7,064</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Trade promotions and advertising</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17" w:right="0" w:hanging="0"/>
              <w:jc w:val="right"/>
              <w:rPr>
                <w:rFonts w:ascii="times new roman" w:hAnsi="times new roman"/>
                <w:b/>
                <w:sz w:val="20"/>
              </w:rPr>
            </w:pPr>
            <w:bookmarkStart w:id="50" w:name="TAB127"/>
            <w:bookmarkEnd w:id="50"/>
            <w:r>
              <w:rPr>
                <w:rFonts w:ascii="times new roman" w:hAnsi="times new roman"/>
                <w:b/>
                <w:sz w:val="20"/>
              </w:rPr>
              <w:t>2,654</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84" w:right="0" w:hanging="0"/>
              <w:jc w:val="right"/>
              <w:rPr>
                <w:rFonts w:ascii="times new roman" w:hAnsi="times new roman"/>
                <w:sz w:val="20"/>
              </w:rPr>
            </w:pPr>
            <w:bookmarkStart w:id="51" w:name="TAB128"/>
            <w:bookmarkEnd w:id="51"/>
            <w:r>
              <w:rPr>
                <w:rFonts w:ascii="times new roman" w:hAnsi="times new roman"/>
                <w:sz w:val="20"/>
              </w:rPr>
              <w:t>2,313</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Freight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17" w:right="0" w:hanging="0"/>
              <w:jc w:val="right"/>
              <w:rPr>
                <w:rFonts w:ascii="times new roman" w:hAnsi="times new roman"/>
                <w:b/>
                <w:sz w:val="20"/>
              </w:rPr>
            </w:pPr>
            <w:bookmarkStart w:id="52" w:name="TAB129"/>
            <w:bookmarkEnd w:id="52"/>
            <w:r>
              <w:rPr>
                <w:rFonts w:ascii="times new roman" w:hAnsi="times new roman"/>
                <w:b/>
                <w:sz w:val="20"/>
              </w:rPr>
              <w:t>1,649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84" w:right="0" w:hanging="0"/>
              <w:jc w:val="right"/>
              <w:rPr>
                <w:rFonts w:ascii="times new roman" w:hAnsi="times new roman"/>
                <w:sz w:val="20"/>
              </w:rPr>
            </w:pPr>
            <w:bookmarkStart w:id="53" w:name="TAB130"/>
            <w:bookmarkEnd w:id="53"/>
            <w:r>
              <w:rPr>
                <w:rFonts w:ascii="times new roman" w:hAnsi="times new roman"/>
                <w:sz w:val="20"/>
              </w:rPr>
              <w:t>1,504</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517" w:right="0" w:hanging="0"/>
              <w:jc w:val="right"/>
              <w:rPr>
                <w:rFonts w:ascii="times new roman" w:hAnsi="times new roman"/>
                <w:b/>
                <w:sz w:val="20"/>
              </w:rPr>
            </w:pPr>
            <w:bookmarkStart w:id="54" w:name="TAB131"/>
            <w:bookmarkEnd w:id="54"/>
            <w:r>
              <w:rPr>
                <w:rFonts w:ascii="times new roman" w:hAnsi="times new roman"/>
                <w:b/>
                <w:sz w:val="20"/>
              </w:rPr>
              <w:t>5,952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584" w:right="0" w:hanging="0"/>
              <w:jc w:val="right"/>
              <w:rPr>
                <w:rFonts w:ascii="times new roman" w:hAnsi="times new roman"/>
                <w:sz w:val="20"/>
              </w:rPr>
            </w:pPr>
            <w:bookmarkStart w:id="55" w:name="TAB132"/>
            <w:bookmarkEnd w:id="55"/>
            <w:r>
              <w:rPr>
                <w:rFonts w:ascii="times new roman" w:hAnsi="times new roman"/>
                <w:sz w:val="20"/>
              </w:rPr>
              <w:t>5,885</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Current Liabilities</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384" w:right="0" w:hanging="0"/>
              <w:jc w:val="right"/>
              <w:rPr>
                <w:rFonts w:ascii="times new roman" w:hAnsi="times new roman"/>
                <w:b/>
                <w:sz w:val="20"/>
              </w:rPr>
            </w:pPr>
            <w:bookmarkStart w:id="56" w:name="TAB133"/>
            <w:bookmarkEnd w:id="56"/>
            <w:r>
              <w:rPr>
                <w:rFonts w:ascii="times new roman" w:hAnsi="times new roman"/>
                <w:b/>
                <w:sz w:val="20"/>
              </w:rPr>
              <w:t>27,349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450" w:right="0" w:hanging="0"/>
              <w:jc w:val="right"/>
              <w:rPr>
                <w:rFonts w:ascii="times new roman" w:hAnsi="times new roman"/>
                <w:sz w:val="20"/>
              </w:rPr>
            </w:pPr>
            <w:bookmarkStart w:id="57" w:name="TAB134"/>
            <w:bookmarkEnd w:id="57"/>
            <w:r>
              <w:rPr>
                <w:rFonts w:ascii="times new roman" w:hAnsi="times new roman"/>
                <w:sz w:val="20"/>
              </w:rPr>
              <w:t>27,791</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Noncurrent Liabilities</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384" w:right="0" w:hanging="0"/>
              <w:jc w:val="right"/>
              <w:rPr>
                <w:rFonts w:ascii="times new roman" w:hAnsi="times new roman"/>
                <w:b/>
                <w:sz w:val="20"/>
              </w:rPr>
            </w:pPr>
            <w:bookmarkStart w:id="58" w:name="TAB135"/>
            <w:bookmarkEnd w:id="58"/>
            <w:r>
              <w:rPr>
                <w:rFonts w:ascii="times new roman" w:hAnsi="times new roman"/>
                <w:b/>
                <w:sz w:val="20"/>
              </w:rPr>
              <w:t>31,200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50" w:right="0" w:hanging="0"/>
              <w:jc w:val="right"/>
              <w:rPr>
                <w:rFonts w:ascii="times new roman" w:hAnsi="times new roman"/>
                <w:sz w:val="20"/>
              </w:rPr>
            </w:pPr>
            <w:bookmarkStart w:id="59" w:name="TAB136"/>
            <w:bookmarkEnd w:id="59"/>
            <w:r>
              <w:rPr>
                <w:rFonts w:ascii="times new roman" w:hAnsi="times new roman"/>
                <w:sz w:val="20"/>
              </w:rPr>
              <w:t>14,800</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compensation</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17" w:right="0" w:hanging="0"/>
              <w:jc w:val="right"/>
              <w:rPr>
                <w:rFonts w:ascii="times new roman" w:hAnsi="times new roman"/>
                <w:b/>
                <w:sz w:val="20"/>
              </w:rPr>
            </w:pPr>
            <w:bookmarkStart w:id="60" w:name="TAB137"/>
            <w:bookmarkEnd w:id="60"/>
            <w:r>
              <w:rPr>
                <w:rFonts w:ascii="times new roman" w:hAnsi="times new roman"/>
                <w:b/>
                <w:sz w:val="20"/>
              </w:rPr>
              <w:t>6,789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584" w:right="0" w:hanging="0"/>
              <w:jc w:val="right"/>
              <w:rPr>
                <w:rFonts w:ascii="times new roman" w:hAnsi="times new roman"/>
                <w:sz w:val="20"/>
              </w:rPr>
            </w:pPr>
            <w:bookmarkStart w:id="61" w:name="TAB138"/>
            <w:bookmarkEnd w:id="61"/>
            <w:r>
              <w:rPr>
                <w:rFonts w:ascii="times new roman" w:hAnsi="times new roman"/>
                <w:sz w:val="20"/>
              </w:rPr>
              <w:t>6,818</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Pension and postretirement benefits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384" w:right="0" w:hanging="0"/>
              <w:jc w:val="right"/>
              <w:rPr>
                <w:rFonts w:ascii="times new roman" w:hAnsi="times new roman"/>
                <w:b/>
                <w:sz w:val="20"/>
              </w:rPr>
            </w:pPr>
            <w:bookmarkStart w:id="62" w:name="TAB139"/>
            <w:bookmarkEnd w:id="62"/>
            <w:r>
              <w:rPr>
                <w:rFonts w:ascii="times new roman" w:hAnsi="times new roman"/>
                <w:b/>
                <w:sz w:val="20"/>
              </w:rPr>
              <w:t>13,402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50" w:right="0" w:hanging="0"/>
              <w:jc w:val="right"/>
              <w:rPr>
                <w:rFonts w:ascii="times new roman" w:hAnsi="times new roman"/>
                <w:sz w:val="20"/>
              </w:rPr>
            </w:pPr>
            <w:bookmarkStart w:id="63" w:name="TAB140"/>
            <w:bookmarkEnd w:id="63"/>
            <w:r>
              <w:rPr>
                <w:rFonts w:ascii="times new roman" w:hAnsi="times new roman"/>
                <w:sz w:val="20"/>
              </w:rPr>
              <w:t>12,558</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517" w:right="0" w:hanging="0"/>
              <w:jc w:val="right"/>
              <w:rPr>
                <w:rFonts w:ascii="times new roman" w:hAnsi="times new roman"/>
                <w:b/>
                <w:sz w:val="20"/>
              </w:rPr>
            </w:pPr>
            <w:bookmarkStart w:id="64" w:name="TAB141"/>
            <w:bookmarkEnd w:id="64"/>
            <w:r>
              <w:rPr>
                <w:rFonts w:ascii="times new roman" w:hAnsi="times new roman"/>
                <w:b/>
                <w:sz w:val="20"/>
              </w:rPr>
              <w:t>1,447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584" w:right="0" w:hanging="0"/>
              <w:jc w:val="right"/>
              <w:rPr>
                <w:rFonts w:ascii="times new roman" w:hAnsi="times new roman"/>
                <w:sz w:val="20"/>
              </w:rPr>
            </w:pPr>
            <w:bookmarkStart w:id="65" w:name="TAB142"/>
            <w:bookmarkEnd w:id="65"/>
            <w:r>
              <w:rPr>
                <w:rFonts w:ascii="times new roman" w:hAnsi="times new roman"/>
                <w:sz w:val="20"/>
              </w:rPr>
              <w:t>1,426</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Noncurrent Liabilities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384" w:right="0" w:hanging="0"/>
              <w:jc w:val="right"/>
              <w:rPr>
                <w:rFonts w:ascii="times new roman" w:hAnsi="times new roman"/>
                <w:b/>
                <w:sz w:val="20"/>
              </w:rPr>
            </w:pPr>
            <w:bookmarkStart w:id="66" w:name="TAB143"/>
            <w:bookmarkEnd w:id="66"/>
            <w:r>
              <w:rPr>
                <w:rFonts w:ascii="times new roman" w:hAnsi="times new roman"/>
                <w:b/>
                <w:sz w:val="20"/>
              </w:rPr>
              <w:t>52,838</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450" w:right="0" w:hanging="0"/>
              <w:jc w:val="right"/>
              <w:rPr>
                <w:rFonts w:ascii="times new roman" w:hAnsi="times new roman"/>
                <w:sz w:val="20"/>
              </w:rPr>
            </w:pPr>
            <w:bookmarkStart w:id="67" w:name="TAB144"/>
            <w:bookmarkEnd w:id="67"/>
            <w:r>
              <w:rPr>
                <w:rFonts w:ascii="times new roman" w:hAnsi="times new roman"/>
                <w:sz w:val="20"/>
              </w:rPr>
              <w:t>35,602</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Liabilities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450" w:right="0" w:hanging="0"/>
              <w:jc w:val="right"/>
              <w:rPr>
                <w:rFonts w:ascii="times new roman" w:hAnsi="times new roman"/>
                <w:b/>
                <w:sz w:val="20"/>
              </w:rPr>
            </w:pPr>
            <w:bookmarkStart w:id="68" w:name="TAB145"/>
            <w:bookmarkEnd w:id="68"/>
            <w:r>
              <w:rPr>
                <w:rFonts w:ascii="times new roman" w:hAnsi="times new roman"/>
                <w:b/>
                <w:sz w:val="20"/>
              </w:rPr>
              <w:t>80,187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334" w:right="0" w:hanging="0"/>
              <w:jc w:val="right"/>
              <w:rPr>
                <w:rFonts w:ascii="times new roman" w:hAnsi="times new roman"/>
                <w:sz w:val="20"/>
              </w:rPr>
            </w:pPr>
            <w:bookmarkStart w:id="69" w:name="TAB146"/>
            <w:bookmarkEnd w:id="69"/>
            <w:r>
              <w:rPr>
                <w:rFonts w:ascii="times new roman" w:hAnsi="times new roman"/>
                <w:sz w:val="20"/>
              </w:rPr>
              <w:t>63,393</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b/>
                <w:sz w:val="20"/>
                <w:u w:val="single"/>
                <w:bdr w:val="double" w:sz="2" w:space="1" w:color="000000"/>
              </w:rPr>
            </w:pPr>
            <w:r>
              <w:rPr>
                <w:rFonts w:ascii="times new roman" w:hAnsi="times new roman"/>
                <w:b/>
                <w:sz w:val="20"/>
                <w:u w:val="single"/>
                <w:bdr w:val="double" w:sz="2" w:space="1" w:color="000000"/>
              </w:rPr>
              <w:t>Stockholders’ Equity</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par value $.10 per share, issued</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7,679,721 shares at January 31, 2011 and 7,639,922</w:t>
            </w:r>
          </w:p>
          <w:p>
            <w:pPr>
              <w:pStyle w:val="TableContents"/>
              <w:spacing w:before="0" w:after="0"/>
              <w:ind w:left="0" w:right="0" w:hanging="0"/>
              <w:jc w:val="left"/>
              <w:rPr/>
            </w:pPr>
            <w:r>
              <w:rPr/>
              <w:t>  </w:t>
            </w:r>
            <w:r>
              <w:rPr>
                <w:rFonts w:ascii="times new roman" w:hAnsi="times new roman"/>
                <w:sz w:val="20"/>
              </w:rPr>
              <w:t>shares at July 31, 2010</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784" w:right="0" w:hanging="0"/>
              <w:jc w:val="right"/>
              <w:rPr>
                <w:rFonts w:ascii="times new roman" w:hAnsi="times new roman"/>
                <w:b/>
                <w:sz w:val="20"/>
              </w:rPr>
            </w:pPr>
            <w:bookmarkStart w:id="70" w:name="TAB147"/>
            <w:bookmarkEnd w:id="70"/>
            <w:r>
              <w:rPr>
                <w:rFonts w:ascii="times new roman" w:hAnsi="times new roman"/>
                <w:b/>
                <w:sz w:val="20"/>
              </w:rPr>
              <w:t>768</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734" w:right="0" w:hanging="0"/>
              <w:jc w:val="right"/>
              <w:rPr>
                <w:rFonts w:ascii="times new roman" w:hAnsi="times new roman"/>
                <w:sz w:val="20"/>
              </w:rPr>
            </w:pPr>
            <w:bookmarkStart w:id="71" w:name="TAB148"/>
            <w:bookmarkEnd w:id="71"/>
            <w:r>
              <w:rPr>
                <w:rFonts w:ascii="times new roman" w:hAnsi="times new roman"/>
                <w:sz w:val="20"/>
              </w:rPr>
              <w:t>764</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Class B Stock, par value $.10 per share, issued</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2,374,150 shares at January 31, 2011 and 2,244,217</w:t>
            </w:r>
          </w:p>
          <w:p>
            <w:pPr>
              <w:pStyle w:val="TableContents"/>
              <w:spacing w:before="0" w:after="0"/>
              <w:ind w:left="0" w:right="0" w:hanging="0"/>
              <w:jc w:val="left"/>
              <w:rPr/>
            </w:pPr>
            <w:r>
              <w:rPr/>
              <w:t>  </w:t>
            </w:r>
            <w:r>
              <w:rPr>
                <w:rFonts w:ascii="times new roman" w:hAnsi="times new roman"/>
                <w:sz w:val="20"/>
              </w:rPr>
              <w:t>shares at July 31, 2010</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784" w:right="0" w:hanging="0"/>
              <w:jc w:val="right"/>
              <w:rPr>
                <w:rFonts w:ascii="times new roman" w:hAnsi="times new roman"/>
                <w:b/>
                <w:sz w:val="20"/>
              </w:rPr>
            </w:pPr>
            <w:bookmarkStart w:id="72" w:name="TAB149"/>
            <w:bookmarkEnd w:id="72"/>
            <w:r>
              <w:rPr>
                <w:rFonts w:ascii="times new roman" w:hAnsi="times new roman"/>
                <w:b/>
                <w:sz w:val="20"/>
              </w:rPr>
              <w:t>237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734" w:right="0" w:hanging="0"/>
              <w:jc w:val="right"/>
              <w:rPr>
                <w:rFonts w:ascii="times new roman" w:hAnsi="times new roman"/>
                <w:sz w:val="20"/>
              </w:rPr>
            </w:pPr>
            <w:bookmarkStart w:id="73" w:name="TAB150"/>
            <w:bookmarkEnd w:id="73"/>
            <w:r>
              <w:rPr>
                <w:rFonts w:ascii="times new roman" w:hAnsi="times new roman"/>
                <w:sz w:val="20"/>
              </w:rPr>
              <w:t>224</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50" w:right="0" w:hanging="0"/>
              <w:jc w:val="right"/>
              <w:rPr>
                <w:rFonts w:ascii="times new roman" w:hAnsi="times new roman"/>
                <w:b/>
                <w:sz w:val="20"/>
              </w:rPr>
            </w:pPr>
            <w:bookmarkStart w:id="74" w:name="TAB151"/>
            <w:bookmarkEnd w:id="74"/>
            <w:r>
              <w:rPr>
                <w:rFonts w:ascii="times new roman" w:hAnsi="times new roman"/>
                <w:b/>
                <w:sz w:val="20"/>
              </w:rPr>
              <w:t>28,482</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50" w:right="0" w:hanging="0"/>
              <w:jc w:val="right"/>
              <w:rPr>
                <w:rFonts w:ascii="times new roman" w:hAnsi="times new roman"/>
                <w:sz w:val="20"/>
              </w:rPr>
            </w:pPr>
            <w:bookmarkStart w:id="75" w:name="TAB152"/>
            <w:bookmarkEnd w:id="75"/>
            <w:r>
              <w:rPr>
                <w:rFonts w:ascii="times new roman" w:hAnsi="times new roman"/>
                <w:sz w:val="20"/>
              </w:rPr>
              <w:t>25,104</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Restricted unearned stock compensation</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06" w:right="0" w:hanging="0"/>
              <w:jc w:val="right"/>
              <w:rPr>
                <w:rFonts w:ascii="times new roman" w:hAnsi="times new roman"/>
                <w:b/>
                <w:sz w:val="20"/>
              </w:rPr>
            </w:pPr>
            <w:bookmarkStart w:id="76" w:name="TAB153"/>
            <w:bookmarkEnd w:id="76"/>
            <w:r>
              <w:rPr>
                <w:rFonts w:ascii="times new roman" w:hAnsi="times new roman"/>
                <w:b/>
                <w:sz w:val="20"/>
              </w:rPr>
              <w:t>(2,724</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606" w:right="0" w:hanging="0"/>
              <w:jc w:val="right"/>
              <w:rPr>
                <w:rFonts w:ascii="times new roman" w:hAnsi="times new roman"/>
                <w:sz w:val="20"/>
              </w:rPr>
            </w:pPr>
            <w:bookmarkStart w:id="77" w:name="TAB154"/>
            <w:bookmarkEnd w:id="77"/>
            <w:r>
              <w:rPr>
                <w:rFonts w:ascii="times new roman" w:hAnsi="times new roman"/>
                <w:sz w:val="20"/>
              </w:rPr>
              <w:t>(156</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Retained earnings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250" w:right="0" w:hanging="0"/>
              <w:jc w:val="right"/>
              <w:rPr>
                <w:rFonts w:ascii="times new roman" w:hAnsi="times new roman"/>
                <w:b/>
                <w:sz w:val="20"/>
              </w:rPr>
            </w:pPr>
            <w:bookmarkStart w:id="78" w:name="TAB155"/>
            <w:bookmarkEnd w:id="78"/>
            <w:r>
              <w:rPr>
                <w:rFonts w:ascii="times new roman" w:hAnsi="times new roman"/>
                <w:b/>
                <w:sz w:val="20"/>
              </w:rPr>
              <w:t>118,819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317" w:right="0" w:hanging="0"/>
              <w:jc w:val="right"/>
              <w:rPr>
                <w:rFonts w:ascii="times new roman" w:hAnsi="times new roman"/>
                <w:sz w:val="20"/>
              </w:rPr>
            </w:pPr>
            <w:bookmarkStart w:id="79" w:name="TAB156"/>
            <w:bookmarkEnd w:id="79"/>
            <w:r>
              <w:rPr>
                <w:rFonts w:ascii="times new roman" w:hAnsi="times new roman"/>
                <w:sz w:val="20"/>
              </w:rPr>
              <w:t>116,917</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Accumulated Other Comprehensive Income</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Unrealized gain on marketable securities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68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917" w:right="0" w:hanging="0"/>
              <w:jc w:val="right"/>
              <w:rPr>
                <w:rFonts w:ascii="times new roman" w:hAnsi="times new roman"/>
                <w:sz w:val="20"/>
              </w:rPr>
            </w:pPr>
            <w:bookmarkStart w:id="80" w:name="TAB157"/>
            <w:bookmarkEnd w:id="80"/>
            <w:r>
              <w:rPr>
                <w:rFonts w:ascii="times new roman" w:hAnsi="times new roman"/>
                <w:sz w:val="20"/>
              </w:rPr>
              <w:t>67</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Pension and postretirement benefits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(5,196</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06" w:right="0" w:hanging="0"/>
              <w:jc w:val="right"/>
              <w:rPr>
                <w:rFonts w:ascii="times new roman" w:hAnsi="times new roman"/>
                <w:sz w:val="20"/>
              </w:rPr>
            </w:pPr>
            <w:bookmarkStart w:id="81" w:name="TAB158"/>
            <w:bookmarkEnd w:id="81"/>
            <w:r>
              <w:rPr>
                <w:rFonts w:ascii="times new roman" w:hAnsi="times new roman"/>
                <w:sz w:val="20"/>
              </w:rPr>
              <w:t>(5,310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Cumulative translation adjustment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238" w:right="0" w:hanging="0"/>
              <w:jc w:val="right"/>
              <w:rPr>
                <w:rFonts w:ascii="times new roman" w:hAnsi="times new roman"/>
                <w:b/>
                <w:sz w:val="20"/>
              </w:rPr>
            </w:pPr>
            <w:bookmarkStart w:id="82" w:name="TAB159"/>
            <w:bookmarkEnd w:id="82"/>
            <w:r>
              <w:rPr>
                <w:rFonts w:ascii="times new roman" w:hAnsi="times new roman"/>
                <w:b/>
                <w:sz w:val="20"/>
              </w:rPr>
              <w:t>598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784" w:right="0" w:hanging="0"/>
              <w:jc w:val="right"/>
              <w:rPr>
                <w:rFonts w:ascii="times new roman" w:hAnsi="times new roman"/>
                <w:sz w:val="20"/>
              </w:rPr>
            </w:pPr>
            <w:bookmarkStart w:id="83" w:name="TAB160"/>
            <w:bookmarkEnd w:id="83"/>
            <w:r>
              <w:rPr>
                <w:rFonts w:ascii="times new roman" w:hAnsi="times new roman"/>
                <w:sz w:val="20"/>
              </w:rPr>
              <w:t>492</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317" w:right="0" w:hanging="0"/>
              <w:jc w:val="right"/>
              <w:rPr>
                <w:rFonts w:ascii="times new roman" w:hAnsi="times new roman"/>
                <w:b/>
                <w:sz w:val="20"/>
              </w:rPr>
            </w:pPr>
            <w:bookmarkStart w:id="84" w:name="TAB161"/>
            <w:bookmarkEnd w:id="84"/>
            <w:r>
              <w:rPr>
                <w:rFonts w:ascii="times new roman" w:hAnsi="times new roman"/>
                <w:b/>
                <w:sz w:val="20"/>
              </w:rPr>
              <w:t>141,052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317" w:right="0" w:hanging="0"/>
              <w:jc w:val="right"/>
              <w:rPr>
                <w:rFonts w:ascii="times new roman" w:hAnsi="times new roman"/>
                <w:sz w:val="20"/>
              </w:rPr>
            </w:pPr>
            <w:bookmarkStart w:id="85" w:name="TAB162"/>
            <w:bookmarkEnd w:id="85"/>
            <w:r>
              <w:rPr>
                <w:rFonts w:ascii="times new roman" w:hAnsi="times new roman"/>
                <w:sz w:val="20"/>
              </w:rPr>
              <w:t>138,102</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Treasury Stock, at cost (2,630,169 Common and 324,741</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Class B shares at January 31, 2011 and 2,558,764 Common and</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324,741 Class B shares at July 31, 2010)</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273" w:right="0" w:hanging="0"/>
              <w:jc w:val="right"/>
              <w:rPr>
                <w:rFonts w:ascii="times new roman" w:hAnsi="times new roman"/>
                <w:b/>
                <w:sz w:val="20"/>
              </w:rPr>
            </w:pPr>
            <w:bookmarkStart w:id="86" w:name="TAB163"/>
            <w:bookmarkEnd w:id="86"/>
            <w:r>
              <w:rPr>
                <w:rFonts w:ascii="times new roman" w:hAnsi="times new roman"/>
                <w:b/>
                <w:sz w:val="20"/>
              </w:rPr>
              <w:t>(49,178</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(47,513</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Stockholders’ Equity</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450" w:right="0" w:hanging="0"/>
              <w:jc w:val="right"/>
              <w:rPr>
                <w:rFonts w:ascii="times new roman" w:hAnsi="times new roman"/>
                <w:b/>
                <w:sz w:val="20"/>
              </w:rPr>
            </w:pPr>
            <w:bookmarkStart w:id="87" w:name="TAB164"/>
            <w:bookmarkEnd w:id="87"/>
            <w:r>
              <w:rPr>
                <w:rFonts w:ascii="times new roman" w:hAnsi="times new roman"/>
                <w:b/>
                <w:sz w:val="20"/>
              </w:rPr>
              <w:t>91,874</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400" w:right="0" w:hanging="0"/>
              <w:jc w:val="right"/>
              <w:rPr>
                <w:rFonts w:ascii="times new roman" w:hAnsi="times new roman"/>
                <w:sz w:val="20"/>
              </w:rPr>
            </w:pPr>
            <w:bookmarkStart w:id="88" w:name="TAB165"/>
            <w:bookmarkEnd w:id="88"/>
            <w:r>
              <w:rPr>
                <w:rFonts w:ascii="times new roman" w:hAnsi="times new roman"/>
                <w:sz w:val="20"/>
              </w:rPr>
              <w:t>90,589</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Liabilities &amp; Stockholders’ Equity</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1" w:type="dxa"/>
            <w:tcBorders>
              <w:bottom w:val="double" w:sz="8" w:space="0" w:color="000000"/>
            </w:tcBorders>
            <w:shd w:fill="FFFFFF" w:val="clear"/>
            <w:tcMar>
              <w:bottom w:w="28" w:type="dxa"/>
            </w:tcMar>
            <w:vAlign w:val="bottom"/>
          </w:tcPr>
          <w:p>
            <w:pPr>
              <w:pStyle w:val="TableContents"/>
              <w:spacing w:before="0" w:after="283"/>
              <w:ind w:left="238" w:right="0" w:hanging="0"/>
              <w:jc w:val="right"/>
              <w:rPr>
                <w:rFonts w:ascii="times new roman" w:hAnsi="times new roman"/>
                <w:b/>
                <w:sz w:val="20"/>
              </w:rPr>
            </w:pPr>
            <w:bookmarkStart w:id="89" w:name="TAB166"/>
            <w:bookmarkEnd w:id="89"/>
            <w:r>
              <w:rPr>
                <w:rFonts w:ascii="times new roman" w:hAnsi="times new roman"/>
                <w:b/>
                <w:sz w:val="20"/>
              </w:rPr>
              <w:t>172,061</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bottom w:val="double" w:sz="8" w:space="0" w:color="000000"/>
            </w:tcBorders>
            <w:shd w:fill="FFFFFF" w:val="clear"/>
            <w:tcMar>
              <w:bottom w:w="28" w:type="dxa"/>
            </w:tcMar>
            <w:vAlign w:val="bottom"/>
          </w:tcPr>
          <w:p>
            <w:pPr>
              <w:pStyle w:val="TableContents"/>
              <w:spacing w:before="0" w:after="283"/>
              <w:ind w:left="248" w:right="0" w:hanging="0"/>
              <w:jc w:val="right"/>
              <w:rPr>
                <w:rFonts w:ascii="times new roman" w:hAnsi="times new roman"/>
                <w:sz w:val="20"/>
              </w:rPr>
            </w:pPr>
            <w:bookmarkStart w:id="90" w:name="TAB167"/>
            <w:bookmarkEnd w:id="90"/>
            <w:r>
              <w:rPr>
                <w:rFonts w:ascii="times new roman" w:hAnsi="times new roman"/>
                <w:sz w:val="20"/>
              </w:rPr>
              <w:t>153,982</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 w:name="PGBRK2"/>
      <w:bookmarkStart w:id="92" w:name="PGBRK2"/>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FTR2"/>
      <w:bookmarkStart w:id="94" w:name="FTR2"/>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 w:name="GLFTR2"/>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 w:name="PN2"/>
      <w:bookmarkEnd w:id="96"/>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HDR2"/>
      <w:bookmarkStart w:id="98" w:name="HDR2"/>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 w:name="GLHDR2"/>
      <w:bookmarkEnd w:id="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42"/>
        <w:gridCol w:w="109"/>
        <w:gridCol w:w="127"/>
        <w:gridCol w:w="1027"/>
        <w:gridCol w:w="114"/>
        <w:gridCol w:w="109"/>
        <w:gridCol w:w="127"/>
        <w:gridCol w:w="1027"/>
        <w:gridCol w:w="123"/>
      </w:tblGrid>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Income and Retained Earnings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except for per share amounts)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744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53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Six Months Ended</w:t>
            </w:r>
          </w:p>
          <w:p>
            <w:pPr>
              <w:pStyle w:val="TableContents"/>
              <w:spacing w:before="0" w:after="0"/>
              <w:ind w:left="0" w:right="0" w:hanging="0"/>
              <w:jc w:val="center"/>
              <w:rPr/>
            </w:pPr>
            <w:r>
              <w:rPr/>
              <w:t> </w:t>
            </w:r>
            <w:r>
              <w:rPr>
                <w:rFonts w:ascii="times new roman" w:hAnsi="times new roman"/>
                <w:b/>
                <w:sz w:val="20"/>
              </w:rPr>
              <w:t>January 31,</w:t>
            </w:r>
          </w:p>
        </w:tc>
        <w:tc>
          <w:tcPr>
            <w:tcW w:w="123" w:type="dxa"/>
            <w:tcBorders/>
            <w:shd w:fill="auto" w:val="clear"/>
            <w:vAlign w:val="bottom"/>
          </w:tcPr>
          <w:p>
            <w:pPr>
              <w:pStyle w:val="TableContents"/>
              <w:spacing w:before="0" w:after="283"/>
              <w:jc w:val="left"/>
              <w:rPr/>
            </w:pPr>
            <w:r>
              <w:rPr/>
              <w:t> </w:t>
            </w:r>
          </w:p>
        </w:tc>
      </w:tr>
      <w:tr>
        <w:trPr/>
        <w:tc>
          <w:tcPr>
            <w:tcW w:w="744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3" w:type="dxa"/>
            <w:tcBorders/>
            <w:shd w:fill="auto" w:val="clear"/>
            <w:vAlign w:val="bottom"/>
          </w:tcPr>
          <w:p>
            <w:pPr>
              <w:pStyle w:val="TableContents"/>
              <w:spacing w:before="0" w:after="283"/>
              <w:jc w:val="left"/>
              <w:rPr/>
            </w:pPr>
            <w:r>
              <w:rPr/>
              <w:t> </w:t>
            </w:r>
          </w:p>
        </w:tc>
      </w:tr>
      <w:tr>
        <w:trPr/>
        <w:tc>
          <w:tcPr>
            <w:tcW w:w="744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113,486</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108,138</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Cost of Sales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(87,786</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(83,145</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25,700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24,993</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 Expenses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(18,824</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(18,158</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from Operations</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6,876</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6,835</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 (Expense)</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(945</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(715</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38</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net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65</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Other Income (Expense), Net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(842</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(559</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6,034</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6,276</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(1,738</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4,296</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4,456</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Retained Earnings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beginning of year</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116,917</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111,593</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dividends declared and treasury stock issuances</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(2,394</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(2,007</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Retained Earnings – January 31</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118,819</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114,042</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Basic Common</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0.65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0.67</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Basic Class B</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0.49</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Diluted</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0.60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0.61</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Average Shares Outstanding</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Basic Common</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5,082</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Basic Class B</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1,902</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1,885</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Diluted</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7,112</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7,259</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 w:name="PGBRK3"/>
      <w:bookmarkStart w:id="101" w:name="PGBRK3"/>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FTR3"/>
      <w:bookmarkStart w:id="103" w:name="FTR3"/>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 w:name="GLFTR3"/>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5" w:name="PN3"/>
      <w:bookmarkEnd w:id="105"/>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 w:name="HDR3"/>
      <w:bookmarkStart w:id="107" w:name="HDR3"/>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8" w:name="GLHDR3"/>
      <w:bookmarkEnd w:id="1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tbl>
      <w:tblPr>
        <w:tblW w:w="5000" w:type="pct"/>
        <w:jc w:val="left"/>
        <w:tblInd w:w="0" w:type="dxa"/>
        <w:tblCellMar>
          <w:top w:w="0" w:type="dxa"/>
          <w:left w:w="0" w:type="dxa"/>
          <w:bottom w:w="0" w:type="dxa"/>
          <w:right w:w="0" w:type="dxa"/>
        </w:tblCellMar>
      </w:tblPr>
      <w:tblGrid>
        <w:gridCol w:w="7547"/>
        <w:gridCol w:w="110"/>
        <w:gridCol w:w="127"/>
        <w:gridCol w:w="979"/>
        <w:gridCol w:w="110"/>
        <w:gridCol w:w="110"/>
        <w:gridCol w:w="127"/>
        <w:gridCol w:w="979"/>
        <w:gridCol w:w="116"/>
      </w:tblGrid>
      <w:tr>
        <w:trPr/>
        <w:tc>
          <w:tcPr>
            <w:tcW w:w="10089"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16" w:type="dxa"/>
            <w:tcBorders/>
            <w:shd w:fill="auto" w:val="clear"/>
            <w:vAlign w:val="bottom"/>
          </w:tcPr>
          <w:p>
            <w:pPr>
              <w:pStyle w:val="TableContents"/>
              <w:spacing w:before="0" w:after="283"/>
              <w:jc w:val="left"/>
              <w:rPr/>
            </w:pPr>
            <w:r>
              <w:rPr/>
              <w:t> </w:t>
            </w:r>
          </w:p>
        </w:tc>
      </w:tr>
      <w:tr>
        <w:trPr/>
        <w:tc>
          <w:tcPr>
            <w:tcW w:w="10089"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Comprehensive Income</w:t>
            </w:r>
          </w:p>
        </w:tc>
        <w:tc>
          <w:tcPr>
            <w:tcW w:w="116" w:type="dxa"/>
            <w:tcBorders/>
            <w:shd w:fill="auto" w:val="clear"/>
            <w:vAlign w:val="bottom"/>
          </w:tcPr>
          <w:p>
            <w:pPr>
              <w:pStyle w:val="TableContents"/>
              <w:spacing w:before="0" w:after="283"/>
              <w:jc w:val="left"/>
              <w:rPr/>
            </w:pPr>
            <w:r>
              <w:rPr/>
              <w:t> </w:t>
            </w:r>
          </w:p>
        </w:tc>
      </w:tr>
      <w:tr>
        <w:trPr/>
        <w:tc>
          <w:tcPr>
            <w:tcW w:w="10089"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16" w:type="dxa"/>
            <w:tcBorders/>
            <w:shd w:fill="auto" w:val="clear"/>
            <w:vAlign w:val="bottom"/>
          </w:tcPr>
          <w:p>
            <w:pPr>
              <w:pStyle w:val="TableContents"/>
              <w:spacing w:before="0" w:after="283"/>
              <w:jc w:val="left"/>
              <w:rPr/>
            </w:pPr>
            <w:r>
              <w:rPr/>
              <w:t> </w:t>
            </w:r>
          </w:p>
        </w:tc>
      </w:tr>
      <w:tr>
        <w:trPr/>
        <w:tc>
          <w:tcPr>
            <w:tcW w:w="10089"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6" w:type="dxa"/>
            <w:tcBorders/>
            <w:shd w:fill="auto" w:val="clear"/>
            <w:vAlign w:val="bottom"/>
          </w:tcPr>
          <w:p>
            <w:pPr>
              <w:pStyle w:val="TableContents"/>
              <w:spacing w:before="0" w:after="283"/>
              <w:jc w:val="left"/>
              <w:rPr/>
            </w:pPr>
            <w:r>
              <w:rPr/>
              <w:t> </w:t>
            </w:r>
          </w:p>
        </w:tc>
      </w:tr>
      <w:tr>
        <w:trPr/>
        <w:tc>
          <w:tcPr>
            <w:tcW w:w="754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32" w:type="dxa"/>
            <w:gridSpan w:val="6"/>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r>
      <w:tr>
        <w:trPr/>
        <w:tc>
          <w:tcPr>
            <w:tcW w:w="754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3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Six Months Ended</w:t>
            </w:r>
          </w:p>
          <w:p>
            <w:pPr>
              <w:pStyle w:val="TableContents"/>
              <w:spacing w:before="0" w:after="0"/>
              <w:ind w:left="0" w:right="0" w:hanging="0"/>
              <w:jc w:val="center"/>
              <w:rPr/>
            </w:pPr>
            <w:r>
              <w:rPr/>
              <w:t> </w:t>
            </w:r>
            <w:r>
              <w:rPr>
                <w:rFonts w:ascii="times new roman" w:hAnsi="times new roman"/>
                <w:b/>
                <w:sz w:val="20"/>
              </w:rPr>
              <w:t>January 31,</w:t>
            </w:r>
          </w:p>
        </w:tc>
        <w:tc>
          <w:tcPr>
            <w:tcW w:w="116" w:type="dxa"/>
            <w:tcBorders/>
            <w:shd w:fill="auto" w:val="clear"/>
            <w:vAlign w:val="bottom"/>
          </w:tcPr>
          <w:p>
            <w:pPr>
              <w:pStyle w:val="TableContents"/>
              <w:spacing w:before="0" w:after="283"/>
              <w:jc w:val="left"/>
              <w:rPr/>
            </w:pPr>
            <w:r>
              <w:rPr/>
              <w:t> </w:t>
            </w:r>
          </w:p>
        </w:tc>
      </w:tr>
      <w:tr>
        <w:trPr/>
        <w:tc>
          <w:tcPr>
            <w:tcW w:w="754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6" w:type="dxa"/>
            <w:tcBorders/>
            <w:shd w:fill="auto" w:val="clear"/>
            <w:vAlign w:val="bottom"/>
          </w:tcPr>
          <w:p>
            <w:pPr>
              <w:pStyle w:val="TableContents"/>
              <w:spacing w:before="0" w:after="283"/>
              <w:jc w:val="left"/>
              <w:rPr/>
            </w:pPr>
            <w:r>
              <w:rPr/>
              <w:t> </w:t>
            </w:r>
          </w:p>
        </w:tc>
      </w:tr>
      <w:tr>
        <w:trPr/>
        <w:tc>
          <w:tcPr>
            <w:tcW w:w="754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06"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06"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r>
      <w:tr>
        <w:trPr/>
        <w:tc>
          <w:tcPr>
            <w:tcW w:w="7547"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9"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4,296</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4,456</w:t>
            </w:r>
          </w:p>
        </w:tc>
        <w:tc>
          <w:tcPr>
            <w:tcW w:w="116" w:type="dxa"/>
            <w:tcBorders/>
            <w:shd w:fill="CCEE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r>
      <w:tr>
        <w:trPr/>
        <w:tc>
          <w:tcPr>
            <w:tcW w:w="75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Comprehensive Income:</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116" w:type="dxa"/>
            <w:tcBorders/>
            <w:shd w:fill="CCEE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Unrealized gain on marketable securities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16" w:type="dxa"/>
            <w:tcBorders/>
            <w:shd w:fill="FFFFFF" w:val="clear"/>
            <w:vAlign w:val="bottom"/>
          </w:tcPr>
          <w:p>
            <w:pPr>
              <w:pStyle w:val="TableContents"/>
              <w:spacing w:before="0" w:after="283"/>
              <w:jc w:val="left"/>
              <w:rPr/>
            </w:pPr>
            <w:r>
              <w:rPr/>
              <w:t> </w:t>
            </w:r>
          </w:p>
        </w:tc>
      </w:tr>
      <w:tr>
        <w:trPr/>
        <w:tc>
          <w:tcPr>
            <w:tcW w:w="75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Pension and postretirement benefits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114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16" w:type="dxa"/>
            <w:tcBorders/>
            <w:shd w:fill="CCEE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Cumulative translation adjustment</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16" w:type="dxa"/>
            <w:tcBorders/>
            <w:shd w:fill="FFFFFF" w:val="clear"/>
            <w:vAlign w:val="bottom"/>
          </w:tcPr>
          <w:p>
            <w:pPr>
              <w:pStyle w:val="TableContents"/>
              <w:spacing w:before="0" w:after="283"/>
              <w:jc w:val="left"/>
              <w:rPr/>
            </w:pPr>
            <w:r>
              <w:rPr/>
              <w:t> </w:t>
            </w:r>
          </w:p>
        </w:tc>
      </w:tr>
      <w:tr>
        <w:trPr/>
        <w:tc>
          <w:tcPr>
            <w:tcW w:w="7547"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116" w:type="dxa"/>
            <w:tcBorders/>
            <w:shd w:fill="CCEE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Comprehensive Income</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9" w:type="dxa"/>
            <w:tcBorders>
              <w:bottom w:val="double" w:sz="8" w:space="0" w:color="000000"/>
            </w:tcBorders>
            <w:shd w:fill="FFFFFF" w:val="clear"/>
            <w:tcMar>
              <w:bottom w:w="28" w:type="dxa"/>
            </w:tcMar>
            <w:vAlign w:val="bottom"/>
          </w:tcPr>
          <w:p>
            <w:pPr>
              <w:pStyle w:val="TableContents"/>
              <w:spacing w:before="0" w:after="283"/>
              <w:ind w:left="646" w:right="0" w:hanging="0"/>
              <w:jc w:val="right"/>
              <w:rPr>
                <w:rFonts w:ascii="times new roman" w:hAnsi="times new roman"/>
                <w:b/>
                <w:sz w:val="20"/>
              </w:rPr>
            </w:pPr>
            <w:bookmarkStart w:id="109" w:name="TAB168"/>
            <w:bookmarkEnd w:id="109"/>
            <w:r>
              <w:rPr>
                <w:rFonts w:ascii="times new roman" w:hAnsi="times new roman"/>
                <w:b/>
                <w:sz w:val="20"/>
              </w:rPr>
              <w:t>4,517</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9" w:type="dxa"/>
            <w:tcBorders>
              <w:bottom w:val="double" w:sz="8" w:space="0" w:color="000000"/>
            </w:tcBorders>
            <w:shd w:fill="FFFFFF" w:val="clear"/>
            <w:tcMar>
              <w:bottom w:w="28" w:type="dxa"/>
            </w:tcMar>
            <w:vAlign w:val="bottom"/>
          </w:tcPr>
          <w:p>
            <w:pPr>
              <w:pStyle w:val="TableContents"/>
              <w:spacing w:before="0" w:after="283"/>
              <w:ind w:left="646" w:right="0" w:hanging="0"/>
              <w:jc w:val="right"/>
              <w:rPr>
                <w:rFonts w:ascii="times new roman" w:hAnsi="times new roman"/>
                <w:sz w:val="20"/>
              </w:rPr>
            </w:pPr>
            <w:bookmarkStart w:id="110" w:name="TAB169"/>
            <w:bookmarkEnd w:id="110"/>
            <w:r>
              <w:rPr>
                <w:rFonts w:ascii="times new roman" w:hAnsi="times new roman"/>
                <w:sz w:val="20"/>
              </w:rPr>
              <w:t>4,605</w:t>
            </w:r>
          </w:p>
        </w:tc>
        <w:tc>
          <w:tcPr>
            <w:tcW w:w="116" w:type="dxa"/>
            <w:tcBorders/>
            <w:shd w:fill="FFFF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1" w:name="PGBRK4"/>
      <w:bookmarkStart w:id="112" w:name="PGBRK4"/>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FTR4"/>
      <w:bookmarkStart w:id="114" w:name="FTR4"/>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5" w:name="GLFTR4"/>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6" w:name="PN4"/>
      <w:bookmarkEnd w:id="116"/>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HDR4"/>
      <w:bookmarkStart w:id="118" w:name="HDR4"/>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9" w:name="GLHDR4"/>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54"/>
        <w:gridCol w:w="109"/>
        <w:gridCol w:w="127"/>
        <w:gridCol w:w="1020"/>
        <w:gridCol w:w="115"/>
        <w:gridCol w:w="109"/>
        <w:gridCol w:w="127"/>
        <w:gridCol w:w="1020"/>
        <w:gridCol w:w="124"/>
      </w:tblGrid>
      <w:tr>
        <w:trPr/>
        <w:tc>
          <w:tcPr>
            <w:tcW w:w="1008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4" w:type="dxa"/>
            <w:tcBorders/>
            <w:shd w:fill="auto" w:val="clear"/>
            <w:vAlign w:val="bottom"/>
          </w:tcPr>
          <w:p>
            <w:pPr>
              <w:pStyle w:val="TableContents"/>
              <w:spacing w:before="0" w:after="283"/>
              <w:jc w:val="left"/>
              <w:rPr/>
            </w:pPr>
            <w:r>
              <w:rPr/>
              <w:t> </w:t>
            </w:r>
          </w:p>
        </w:tc>
      </w:tr>
      <w:tr>
        <w:trPr/>
        <w:tc>
          <w:tcPr>
            <w:tcW w:w="1008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Income and Retained Earnings</w:t>
            </w:r>
          </w:p>
        </w:tc>
        <w:tc>
          <w:tcPr>
            <w:tcW w:w="124" w:type="dxa"/>
            <w:tcBorders/>
            <w:shd w:fill="auto" w:val="clear"/>
            <w:vAlign w:val="bottom"/>
          </w:tcPr>
          <w:p>
            <w:pPr>
              <w:pStyle w:val="TableContents"/>
              <w:spacing w:before="0" w:after="283"/>
              <w:jc w:val="left"/>
              <w:rPr/>
            </w:pPr>
            <w:r>
              <w:rPr/>
              <w:t> </w:t>
            </w:r>
          </w:p>
        </w:tc>
      </w:tr>
      <w:tr>
        <w:trPr/>
        <w:tc>
          <w:tcPr>
            <w:tcW w:w="1008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except for per share amounts)</w:t>
            </w:r>
          </w:p>
        </w:tc>
        <w:tc>
          <w:tcPr>
            <w:tcW w:w="124" w:type="dxa"/>
            <w:tcBorders/>
            <w:shd w:fill="auto" w:val="clear"/>
            <w:vAlign w:val="bottom"/>
          </w:tcPr>
          <w:p>
            <w:pPr>
              <w:pStyle w:val="TableContents"/>
              <w:spacing w:before="0" w:after="283"/>
              <w:jc w:val="left"/>
              <w:rPr/>
            </w:pPr>
            <w:r>
              <w:rPr/>
              <w:t> </w:t>
            </w:r>
          </w:p>
        </w:tc>
      </w:tr>
      <w:tr>
        <w:trPr/>
        <w:tc>
          <w:tcPr>
            <w:tcW w:w="1008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4" w:type="dxa"/>
            <w:tcBorders/>
            <w:shd w:fill="auto" w:val="clear"/>
            <w:vAlign w:val="bottom"/>
          </w:tcPr>
          <w:p>
            <w:pPr>
              <w:pStyle w:val="TableContents"/>
              <w:spacing w:before="0" w:after="283"/>
              <w:jc w:val="left"/>
              <w:rPr/>
            </w:pPr>
            <w:r>
              <w:rPr/>
              <w:t> </w:t>
            </w:r>
          </w:p>
        </w:tc>
      </w:tr>
      <w:tr>
        <w:trPr/>
        <w:tc>
          <w:tcPr>
            <w:tcW w:w="745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51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Three Months Ended</w:t>
            </w:r>
          </w:p>
          <w:p>
            <w:pPr>
              <w:pStyle w:val="TableContents"/>
              <w:spacing w:before="0" w:after="0"/>
              <w:ind w:left="0" w:right="0" w:hanging="0"/>
              <w:jc w:val="center"/>
              <w:rPr/>
            </w:pPr>
            <w:r>
              <w:rPr/>
              <w:t> </w:t>
            </w:r>
            <w:r>
              <w:rPr>
                <w:rFonts w:ascii="times new roman" w:hAnsi="times new roman"/>
                <w:b/>
                <w:sz w:val="20"/>
              </w:rPr>
              <w:t>January 31</w:t>
            </w:r>
          </w:p>
        </w:tc>
        <w:tc>
          <w:tcPr>
            <w:tcW w:w="124" w:type="dxa"/>
            <w:tcBorders/>
            <w:shd w:fill="auto" w:val="clear"/>
            <w:vAlign w:val="bottom"/>
          </w:tcPr>
          <w:p>
            <w:pPr>
              <w:pStyle w:val="TableContents"/>
              <w:spacing w:before="0" w:after="283"/>
              <w:jc w:val="left"/>
              <w:rPr/>
            </w:pPr>
            <w:r>
              <w:rPr/>
              <w:t> </w:t>
            </w:r>
          </w:p>
        </w:tc>
      </w:tr>
      <w:tr>
        <w:trPr/>
        <w:tc>
          <w:tcPr>
            <w:tcW w:w="745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4" w:type="dxa"/>
            <w:tcBorders/>
            <w:shd w:fill="auto" w:val="clear"/>
            <w:vAlign w:val="bottom"/>
          </w:tcPr>
          <w:p>
            <w:pPr>
              <w:pStyle w:val="TableContents"/>
              <w:spacing w:before="0" w:after="283"/>
              <w:jc w:val="left"/>
              <w:rPr/>
            </w:pPr>
            <w:r>
              <w:rPr/>
              <w:t> </w:t>
            </w:r>
          </w:p>
        </w:tc>
      </w:tr>
      <w:tr>
        <w:trPr/>
        <w:tc>
          <w:tcPr>
            <w:tcW w:w="745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0"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57,201</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54,734</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Cost of Sales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(44,709</w:t>
            </w:r>
          </w:p>
        </w:tc>
        <w:tc>
          <w:tcPr>
            <w:tcW w:w="11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(42,064</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12,492</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12,670</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 Expenses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(9,438</w:t>
            </w:r>
          </w:p>
        </w:tc>
        <w:tc>
          <w:tcPr>
            <w:tcW w:w="11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(9,187</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from Operations</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3,054</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3,483</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 (Expense)</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(534</w:t>
            </w:r>
          </w:p>
        </w:tc>
        <w:tc>
          <w:tcPr>
            <w:tcW w:w="11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19</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net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15</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4"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Other Income (Expense), Net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(500</w:t>
            </w:r>
          </w:p>
        </w:tc>
        <w:tc>
          <w:tcPr>
            <w:tcW w:w="11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(262</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2,554</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3,221</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(777</w:t>
            </w:r>
          </w:p>
        </w:tc>
        <w:tc>
          <w:tcPr>
            <w:tcW w:w="11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(959</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1,777</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2,262</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Basic Common</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0"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0.27</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24"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Basic Class B</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0"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0.20</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Diluted</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0"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0.25</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24"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Average Shares Outstanding</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Basic Common</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5,079</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5,206</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Basic Class B</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1,908</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1,890</w:t>
            </w:r>
          </w:p>
        </w:tc>
        <w:tc>
          <w:tcPr>
            <w:tcW w:w="124"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Diluted</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7,097</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7,269</w:t>
            </w:r>
          </w:p>
        </w:tc>
        <w:tc>
          <w:tcPr>
            <w:tcW w:w="124"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10081"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 w:name="PGBRK5"/>
      <w:bookmarkStart w:id="121" w:name="PGBRK5"/>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FTR5"/>
      <w:bookmarkStart w:id="123" w:name="FTR5"/>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4" w:name="GLFTR5"/>
      <w:bookmarkEnd w:id="1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5" w:name="PN5"/>
      <w:bookmarkEnd w:id="125"/>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HDR5"/>
      <w:bookmarkStart w:id="127" w:name="HDR5"/>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8" w:name="GLHDR5"/>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tbl>
      <w:tblPr>
        <w:tblW w:w="5000" w:type="pct"/>
        <w:jc w:val="left"/>
        <w:tblInd w:w="0" w:type="dxa"/>
        <w:tblCellMar>
          <w:top w:w="0" w:type="dxa"/>
          <w:left w:w="0" w:type="dxa"/>
          <w:bottom w:w="0" w:type="dxa"/>
          <w:right w:w="0" w:type="dxa"/>
        </w:tblCellMar>
      </w:tblPr>
      <w:tblGrid>
        <w:gridCol w:w="7537"/>
        <w:gridCol w:w="110"/>
        <w:gridCol w:w="127"/>
        <w:gridCol w:w="980"/>
        <w:gridCol w:w="110"/>
        <w:gridCol w:w="110"/>
        <w:gridCol w:w="127"/>
        <w:gridCol w:w="980"/>
        <w:gridCol w:w="124"/>
      </w:tblGrid>
      <w:tr>
        <w:trPr/>
        <w:tc>
          <w:tcPr>
            <w:tcW w:w="1008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4" w:type="dxa"/>
            <w:tcBorders/>
            <w:shd w:fill="auto" w:val="clear"/>
            <w:vAlign w:val="bottom"/>
          </w:tcPr>
          <w:p>
            <w:pPr>
              <w:pStyle w:val="TableContents"/>
              <w:spacing w:before="0" w:after="283"/>
              <w:jc w:val="left"/>
              <w:rPr/>
            </w:pPr>
            <w:r>
              <w:rPr/>
              <w:t> </w:t>
            </w:r>
          </w:p>
        </w:tc>
      </w:tr>
      <w:tr>
        <w:trPr/>
        <w:tc>
          <w:tcPr>
            <w:tcW w:w="1008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Comprehensive Income</w:t>
            </w:r>
          </w:p>
        </w:tc>
        <w:tc>
          <w:tcPr>
            <w:tcW w:w="124" w:type="dxa"/>
            <w:tcBorders/>
            <w:shd w:fill="auto" w:val="clear"/>
            <w:vAlign w:val="bottom"/>
          </w:tcPr>
          <w:p>
            <w:pPr>
              <w:pStyle w:val="TableContents"/>
              <w:spacing w:before="0" w:after="283"/>
              <w:jc w:val="left"/>
              <w:rPr/>
            </w:pPr>
            <w:r>
              <w:rPr/>
              <w:t> </w:t>
            </w:r>
          </w:p>
        </w:tc>
      </w:tr>
      <w:tr>
        <w:trPr/>
        <w:tc>
          <w:tcPr>
            <w:tcW w:w="1008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4" w:type="dxa"/>
            <w:tcBorders/>
            <w:shd w:fill="auto" w:val="clear"/>
            <w:vAlign w:val="bottom"/>
          </w:tcPr>
          <w:p>
            <w:pPr>
              <w:pStyle w:val="TableContents"/>
              <w:spacing w:before="0" w:after="283"/>
              <w:jc w:val="left"/>
              <w:rPr/>
            </w:pPr>
            <w:r>
              <w:rPr/>
              <w:t> </w:t>
            </w:r>
          </w:p>
        </w:tc>
      </w:tr>
      <w:tr>
        <w:trPr/>
        <w:tc>
          <w:tcPr>
            <w:tcW w:w="10081"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4" w:type="dxa"/>
            <w:tcBorders/>
            <w:shd w:fill="auto" w:val="clear"/>
            <w:vAlign w:val="bottom"/>
          </w:tcPr>
          <w:p>
            <w:pPr>
              <w:pStyle w:val="TableContents"/>
              <w:spacing w:before="0" w:after="283"/>
              <w:jc w:val="left"/>
              <w:rPr/>
            </w:pPr>
            <w:r>
              <w:rPr/>
              <w:t> </w:t>
            </w:r>
          </w:p>
        </w:tc>
      </w:tr>
      <w:tr>
        <w:trPr/>
        <w:tc>
          <w:tcPr>
            <w:tcW w:w="753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34" w:type="dxa"/>
            <w:gridSpan w:val="6"/>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53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3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Three Months Ended</w:t>
            </w:r>
          </w:p>
          <w:p>
            <w:pPr>
              <w:pStyle w:val="TableContents"/>
              <w:spacing w:before="0" w:after="0"/>
              <w:ind w:left="0" w:right="0" w:hanging="0"/>
              <w:jc w:val="center"/>
              <w:rPr/>
            </w:pPr>
            <w:r>
              <w:rPr/>
              <w:t> </w:t>
            </w:r>
            <w:r>
              <w:rPr>
                <w:rFonts w:ascii="times new roman" w:hAnsi="times new roman"/>
                <w:b/>
                <w:sz w:val="20"/>
              </w:rPr>
              <w:t>January 31</w:t>
            </w:r>
          </w:p>
        </w:tc>
        <w:tc>
          <w:tcPr>
            <w:tcW w:w="124" w:type="dxa"/>
            <w:tcBorders/>
            <w:shd w:fill="auto" w:val="clear"/>
            <w:vAlign w:val="bottom"/>
          </w:tcPr>
          <w:p>
            <w:pPr>
              <w:pStyle w:val="TableContents"/>
              <w:spacing w:before="0" w:after="283"/>
              <w:jc w:val="left"/>
              <w:rPr/>
            </w:pPr>
            <w:r>
              <w:rPr/>
              <w:t> </w:t>
            </w:r>
          </w:p>
        </w:tc>
      </w:tr>
      <w:tr>
        <w:trPr/>
        <w:tc>
          <w:tcPr>
            <w:tcW w:w="753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0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0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4" w:type="dxa"/>
            <w:tcBorders/>
            <w:shd w:fill="auto" w:val="clear"/>
            <w:vAlign w:val="bottom"/>
          </w:tcPr>
          <w:p>
            <w:pPr>
              <w:pStyle w:val="TableContents"/>
              <w:spacing w:before="0" w:after="283"/>
              <w:jc w:val="left"/>
              <w:rPr/>
            </w:pPr>
            <w:r>
              <w:rPr/>
              <w:t> </w:t>
            </w:r>
          </w:p>
        </w:tc>
      </w:tr>
      <w:tr>
        <w:trPr/>
        <w:tc>
          <w:tcPr>
            <w:tcW w:w="753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07"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07"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80"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1,777</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2,262</w:t>
            </w:r>
          </w:p>
        </w:tc>
        <w:tc>
          <w:tcPr>
            <w:tcW w:w="124"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Comprehensive Income:</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Unrealized gain (loss) on marketable securities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3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Pension and postretirement benefits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56</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4"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Cumulative translation adjustment</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4"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Comprehensive Income</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80" w:type="dxa"/>
            <w:tcBorders>
              <w:bottom w:val="double" w:sz="8" w:space="0" w:color="000000"/>
            </w:tcBorders>
            <w:shd w:fill="FFFFFF" w:val="clear"/>
            <w:tcMar>
              <w:bottom w:w="28" w:type="dxa"/>
            </w:tcMar>
            <w:vAlign w:val="bottom"/>
          </w:tcPr>
          <w:p>
            <w:pPr>
              <w:pStyle w:val="TableContents"/>
              <w:spacing w:before="0" w:after="283"/>
              <w:ind w:left="646" w:right="0" w:hanging="0"/>
              <w:jc w:val="right"/>
              <w:rPr>
                <w:rFonts w:ascii="times new roman" w:hAnsi="times new roman"/>
                <w:b/>
                <w:sz w:val="20"/>
              </w:rPr>
            </w:pPr>
            <w:bookmarkStart w:id="129" w:name="TAB170"/>
            <w:bookmarkEnd w:id="129"/>
            <w:r>
              <w:rPr>
                <w:rFonts w:ascii="times new roman" w:hAnsi="times new roman"/>
                <w:b/>
                <w:sz w:val="20"/>
              </w:rPr>
              <w:t>1,919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FFFFFF" w:val="clear"/>
            <w:tcMar>
              <w:bottom w:w="28" w:type="dxa"/>
            </w:tcMar>
            <w:vAlign w:val="bottom"/>
          </w:tcPr>
          <w:p>
            <w:pPr>
              <w:pStyle w:val="TableContents"/>
              <w:spacing w:before="0" w:after="283"/>
              <w:ind w:left="646" w:right="0" w:hanging="0"/>
              <w:jc w:val="right"/>
              <w:rPr>
                <w:rFonts w:ascii="times new roman" w:hAnsi="times new roman"/>
                <w:sz w:val="20"/>
              </w:rPr>
            </w:pPr>
            <w:bookmarkStart w:id="130" w:name="TAB171"/>
            <w:bookmarkEnd w:id="130"/>
            <w:r>
              <w:rPr>
                <w:rFonts w:ascii="times new roman" w:hAnsi="times new roman"/>
                <w:sz w:val="20"/>
              </w:rPr>
              <w:t>2,353</w:t>
            </w:r>
          </w:p>
        </w:tc>
        <w:tc>
          <w:tcPr>
            <w:tcW w:w="124"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 w:name="PGBRK6"/>
      <w:bookmarkStart w:id="132" w:name="PGBRK6"/>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FTR6"/>
      <w:bookmarkStart w:id="134" w:name="FTR6"/>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5" w:name="GLFTR6"/>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6" w:name="PN6"/>
      <w:bookmarkEnd w:id="136"/>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 w:name="HDR6"/>
      <w:bookmarkStart w:id="138" w:name="HDR6"/>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 w:name="GLHDR6"/>
      <w:bookmarkEnd w:id="1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87"/>
        <w:gridCol w:w="108"/>
        <w:gridCol w:w="125"/>
        <w:gridCol w:w="1009"/>
        <w:gridCol w:w="113"/>
        <w:gridCol w:w="108"/>
        <w:gridCol w:w="125"/>
        <w:gridCol w:w="1009"/>
        <w:gridCol w:w="121"/>
      </w:tblGrid>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1" w:type="dxa"/>
            <w:tcBorders/>
            <w:shd w:fill="auto" w:val="clear"/>
            <w:vAlign w:val="bottom"/>
          </w:tcPr>
          <w:p>
            <w:pPr>
              <w:pStyle w:val="TableContents"/>
              <w:spacing w:before="0" w:after="283"/>
              <w:jc w:val="left"/>
              <w:rPr/>
            </w:pPr>
            <w:r>
              <w:rPr/>
              <w:t> </w:t>
            </w:r>
          </w:p>
        </w:tc>
      </w:tr>
      <w:tr>
        <w:trPr/>
        <w:tc>
          <w:tcPr>
            <w:tcW w:w="748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48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Six Months Ended January 31,</w:t>
            </w:r>
          </w:p>
        </w:tc>
        <w:tc>
          <w:tcPr>
            <w:tcW w:w="121" w:type="dxa"/>
            <w:tcBorders/>
            <w:shd w:fill="auto" w:val="clear"/>
            <w:vAlign w:val="bottom"/>
          </w:tcPr>
          <w:p>
            <w:pPr>
              <w:pStyle w:val="TableContents"/>
              <w:spacing w:before="0" w:after="283"/>
              <w:jc w:val="left"/>
              <w:rPr/>
            </w:pPr>
            <w:r>
              <w:rPr/>
              <w:t> </w:t>
            </w:r>
          </w:p>
        </w:tc>
      </w:tr>
      <w:tr>
        <w:trPr/>
        <w:tc>
          <w:tcPr>
            <w:tcW w:w="7487" w:type="dxa"/>
            <w:tcBorders/>
            <w:shd w:fill="auto"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CASH FLOWS FROM OPERATING ACTIVITIES</w:t>
            </w:r>
          </w:p>
        </w:tc>
        <w:tc>
          <w:tcPr>
            <w:tcW w:w="108" w:type="dxa"/>
            <w:tcBorders/>
            <w:shd w:fill="auto" w:val="clear"/>
            <w:vAlign w:val="bottom"/>
          </w:tcPr>
          <w:p>
            <w:pPr>
              <w:pStyle w:val="TableContents"/>
              <w:spacing w:before="0" w:after="283"/>
              <w:rPr/>
            </w:pPr>
            <w:r>
              <w:rPr/>
              <w:t>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1" w:type="dxa"/>
            <w:tcBorders/>
            <w:shd w:fill="auto"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09" w:type="dxa"/>
            <w:tcBorders>
              <w:bottom w:val="single" w:sz="12"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b/>
                <w:sz w:val="20"/>
              </w:rPr>
            </w:pPr>
            <w:bookmarkStart w:id="140" w:name="TAB172"/>
            <w:bookmarkEnd w:id="140"/>
            <w:r>
              <w:rPr>
                <w:rFonts w:ascii="times new roman" w:hAnsi="times new roman"/>
                <w:b/>
                <w:sz w:val="20"/>
              </w:rPr>
              <w:t>4,296</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single" w:sz="12"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sz w:val="20"/>
              </w:rPr>
            </w:pPr>
            <w:bookmarkStart w:id="141" w:name="TAB173"/>
            <w:bookmarkEnd w:id="141"/>
            <w:r>
              <w:rPr>
                <w:rFonts w:ascii="times new roman" w:hAnsi="times new roman"/>
                <w:sz w:val="20"/>
              </w:rPr>
              <w:t>4,456</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income to net cash</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provided by operating activities:</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 and amortization</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481" w:right="0" w:hanging="0"/>
              <w:jc w:val="right"/>
              <w:rPr>
                <w:rFonts w:ascii="times new roman" w:hAnsi="times new roman"/>
                <w:b/>
                <w:sz w:val="20"/>
              </w:rPr>
            </w:pPr>
            <w:bookmarkStart w:id="142" w:name="TAB174"/>
            <w:bookmarkEnd w:id="142"/>
            <w:r>
              <w:rPr>
                <w:rFonts w:ascii="times new roman" w:hAnsi="times new roman"/>
                <w:b/>
                <w:sz w:val="20"/>
              </w:rPr>
              <w:t>4,182</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481" w:right="0" w:hanging="0"/>
              <w:jc w:val="right"/>
              <w:rPr>
                <w:rFonts w:ascii="times new roman" w:hAnsi="times new roman"/>
                <w:sz w:val="20"/>
              </w:rPr>
            </w:pPr>
            <w:bookmarkStart w:id="143" w:name="TAB175"/>
            <w:bookmarkEnd w:id="143"/>
            <w:r>
              <w:rPr>
                <w:rFonts w:ascii="times new roman" w:hAnsi="times new roman"/>
                <w:sz w:val="20"/>
              </w:rPr>
              <w:t>3,711</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investment discount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947" w:right="0" w:hanging="0"/>
              <w:jc w:val="right"/>
              <w:rPr>
                <w:rFonts w:ascii="times new roman" w:hAnsi="times new roman"/>
                <w:b/>
                <w:sz w:val="20"/>
              </w:rPr>
            </w:pPr>
            <w:bookmarkStart w:id="144" w:name="TAB176"/>
            <w:bookmarkEnd w:id="144"/>
            <w:r>
              <w:rPr>
                <w:rFonts w:ascii="times new roman" w:hAnsi="times new roman"/>
                <w:b/>
                <w:sz w:val="20"/>
              </w:rPr>
              <w:t>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770" w:right="0" w:hanging="0"/>
              <w:jc w:val="right"/>
              <w:rPr>
                <w:rFonts w:ascii="times new roman" w:hAnsi="times new roman"/>
                <w:sz w:val="20"/>
              </w:rPr>
            </w:pPr>
            <w:bookmarkStart w:id="145" w:name="TAB177"/>
            <w:bookmarkEnd w:id="145"/>
            <w:r>
              <w:rPr>
                <w:rFonts w:ascii="times new roman" w:hAnsi="times new roman"/>
                <w:sz w:val="20"/>
              </w:rPr>
              <w:t>(6</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Non-cash stock compensation expense</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146" w:name="TAB178"/>
            <w:bookmarkEnd w:id="146"/>
            <w:r>
              <w:rPr>
                <w:rFonts w:ascii="times new roman" w:hAnsi="times new roman"/>
                <w:b/>
                <w:sz w:val="20"/>
              </w:rPr>
              <w:t>315</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sz w:val="20"/>
              </w:rPr>
            </w:pPr>
            <w:bookmarkStart w:id="147" w:name="TAB179"/>
            <w:bookmarkEnd w:id="147"/>
            <w:r>
              <w:rPr>
                <w:rFonts w:ascii="times new roman" w:hAnsi="times new roman"/>
                <w:sz w:val="20"/>
              </w:rPr>
              <w:t>173</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Excess tax benefits for share-based payments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03" w:right="0" w:hanging="0"/>
              <w:jc w:val="right"/>
              <w:rPr>
                <w:rFonts w:ascii="times new roman" w:hAnsi="times new roman"/>
                <w:b/>
                <w:sz w:val="20"/>
              </w:rPr>
            </w:pPr>
            <w:bookmarkStart w:id="148" w:name="TAB180"/>
            <w:bookmarkEnd w:id="148"/>
            <w:r>
              <w:rPr>
                <w:rFonts w:ascii="times new roman" w:hAnsi="times new roman"/>
                <w:b/>
                <w:sz w:val="20"/>
              </w:rPr>
              <w:t>(217</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36" w:right="0" w:hanging="0"/>
              <w:jc w:val="right"/>
              <w:rPr>
                <w:rFonts w:ascii="times new roman" w:hAnsi="times new roman"/>
                <w:sz w:val="20"/>
              </w:rPr>
            </w:pPr>
            <w:bookmarkStart w:id="149" w:name="TAB181"/>
            <w:bookmarkEnd w:id="149"/>
            <w:r>
              <w:rPr>
                <w:rFonts w:ascii="times new roman" w:hAnsi="times new roman"/>
                <w:sz w:val="20"/>
              </w:rPr>
              <w:t>(88</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Deferred income taxes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814" w:right="0" w:hanging="0"/>
              <w:jc w:val="right"/>
              <w:rPr>
                <w:rFonts w:ascii="times new roman" w:hAnsi="times new roman"/>
                <w:b/>
                <w:sz w:val="20"/>
              </w:rPr>
            </w:pPr>
            <w:bookmarkStart w:id="150" w:name="TAB182"/>
            <w:bookmarkEnd w:id="150"/>
            <w:r>
              <w:rPr>
                <w:rFonts w:ascii="times new roman" w:hAnsi="times new roman"/>
                <w:b/>
                <w:sz w:val="20"/>
              </w:rPr>
              <w:t>73</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814" w:right="0" w:hanging="0"/>
              <w:jc w:val="right"/>
              <w:rPr>
                <w:rFonts w:ascii="times new roman" w:hAnsi="times new roman"/>
                <w:sz w:val="20"/>
              </w:rPr>
            </w:pPr>
            <w:bookmarkStart w:id="151" w:name="TAB183"/>
            <w:bookmarkEnd w:id="151"/>
            <w:r>
              <w:rPr>
                <w:rFonts w:ascii="times new roman" w:hAnsi="times new roman"/>
                <w:sz w:val="20"/>
              </w:rPr>
              <w:t>67</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Provision for bad debts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814" w:right="0" w:hanging="0"/>
              <w:jc w:val="right"/>
              <w:rPr>
                <w:rFonts w:ascii="times new roman" w:hAnsi="times new roman"/>
                <w:b/>
                <w:sz w:val="20"/>
              </w:rPr>
            </w:pPr>
            <w:bookmarkStart w:id="152" w:name="TAB184"/>
            <w:bookmarkEnd w:id="152"/>
            <w:r>
              <w:rPr>
                <w:rFonts w:ascii="times new roman" w:hAnsi="times new roman"/>
                <w:b/>
                <w:sz w:val="20"/>
              </w:rPr>
              <w:t>35</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36" w:right="0" w:hanging="0"/>
              <w:jc w:val="right"/>
              <w:rPr>
                <w:rFonts w:ascii="times new roman" w:hAnsi="times new roman"/>
                <w:sz w:val="20"/>
              </w:rPr>
            </w:pPr>
            <w:bookmarkStart w:id="153" w:name="TAB185"/>
            <w:bookmarkEnd w:id="153"/>
            <w:r>
              <w:rPr>
                <w:rFonts w:ascii="times new roman" w:hAnsi="times new roman"/>
                <w:sz w:val="20"/>
              </w:rPr>
              <w:t>(52</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the sale of fixed assets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154" w:name="TAB186"/>
            <w:bookmarkEnd w:id="154"/>
            <w:r>
              <w:rPr>
                <w:rFonts w:ascii="times new roman" w:hAnsi="times new roman"/>
                <w:b/>
                <w:sz w:val="20"/>
              </w:rPr>
              <w:t>145</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747" w:right="0" w:hanging="0"/>
              <w:jc w:val="right"/>
              <w:rPr>
                <w:rFonts w:ascii="times new roman" w:hAnsi="times new roman"/>
                <w:sz w:val="20"/>
              </w:rPr>
            </w:pPr>
            <w:bookmarkStart w:id="155" w:name="TAB187"/>
            <w:bookmarkEnd w:id="155"/>
            <w:r>
              <w:rPr>
                <w:rFonts w:ascii="times new roman" w:hAnsi="times new roman"/>
                <w:sz w:val="20"/>
              </w:rPr>
              <w:t>63</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(Increase) Decrease in:</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receivable</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156" w:name="TAB188"/>
            <w:bookmarkEnd w:id="156"/>
            <w:r>
              <w:rPr>
                <w:rFonts w:ascii="times new roman" w:hAnsi="times new roman"/>
                <w:b/>
                <w:sz w:val="20"/>
              </w:rPr>
              <w:t>167</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481" w:right="0" w:hanging="0"/>
              <w:jc w:val="right"/>
              <w:rPr>
                <w:rFonts w:ascii="times new roman" w:hAnsi="times new roman"/>
                <w:sz w:val="20"/>
              </w:rPr>
            </w:pPr>
            <w:bookmarkStart w:id="157" w:name="TAB189"/>
            <w:bookmarkEnd w:id="157"/>
            <w:r>
              <w:rPr>
                <w:rFonts w:ascii="times new roman" w:hAnsi="times new roman"/>
                <w:sz w:val="20"/>
              </w:rPr>
              <w:t>1,842</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Inventories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03" w:right="0" w:hanging="0"/>
              <w:jc w:val="right"/>
              <w:rPr>
                <w:rFonts w:ascii="times new roman" w:hAnsi="times new roman"/>
                <w:b/>
                <w:sz w:val="20"/>
              </w:rPr>
            </w:pPr>
            <w:bookmarkStart w:id="158" w:name="TAB190"/>
            <w:bookmarkEnd w:id="158"/>
            <w:r>
              <w:rPr>
                <w:rFonts w:ascii="times new roman" w:hAnsi="times new roman"/>
                <w:b/>
                <w:sz w:val="20"/>
              </w:rPr>
              <w:t>(1,231</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81" w:right="0" w:hanging="0"/>
              <w:jc w:val="right"/>
              <w:rPr>
                <w:rFonts w:ascii="times new roman" w:hAnsi="times new roman"/>
                <w:sz w:val="20"/>
              </w:rPr>
            </w:pPr>
            <w:bookmarkStart w:id="159" w:name="TAB191"/>
            <w:bookmarkEnd w:id="159"/>
            <w:r>
              <w:rPr>
                <w:rFonts w:ascii="times new roman" w:hAnsi="times new roman"/>
                <w:sz w:val="20"/>
              </w:rPr>
              <w:t>810</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expenses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503" w:right="0" w:hanging="0"/>
              <w:jc w:val="right"/>
              <w:rPr>
                <w:rFonts w:ascii="times new roman" w:hAnsi="times new roman"/>
                <w:b/>
                <w:sz w:val="20"/>
              </w:rPr>
            </w:pPr>
            <w:bookmarkStart w:id="160" w:name="TAB192"/>
            <w:bookmarkEnd w:id="160"/>
            <w:r>
              <w:rPr>
                <w:rFonts w:ascii="times new roman" w:hAnsi="times new roman"/>
                <w:b/>
                <w:sz w:val="20"/>
              </w:rPr>
              <w:t>(398</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sz w:val="20"/>
              </w:rPr>
            </w:pPr>
            <w:bookmarkStart w:id="161" w:name="TAB193"/>
            <w:bookmarkEnd w:id="161"/>
            <w:r>
              <w:rPr>
                <w:rFonts w:ascii="times new roman" w:hAnsi="times new roman"/>
                <w:sz w:val="20"/>
              </w:rPr>
              <w:t>109</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 assets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03" w:right="0" w:hanging="0"/>
              <w:jc w:val="right"/>
              <w:rPr>
                <w:rFonts w:ascii="times new roman" w:hAnsi="times new roman"/>
                <w:b/>
                <w:sz w:val="20"/>
              </w:rPr>
            </w:pPr>
            <w:bookmarkStart w:id="162" w:name="TAB194"/>
            <w:bookmarkEnd w:id="162"/>
            <w:r>
              <w:rPr>
                <w:rFonts w:ascii="times new roman" w:hAnsi="times new roman"/>
                <w:b/>
                <w:sz w:val="20"/>
              </w:rPr>
              <w:t>(231</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81" w:right="0" w:hanging="0"/>
              <w:jc w:val="right"/>
              <w:rPr>
                <w:rFonts w:ascii="times new roman" w:hAnsi="times new roman"/>
                <w:sz w:val="20"/>
              </w:rPr>
            </w:pPr>
            <w:bookmarkStart w:id="163" w:name="TAB195"/>
            <w:bookmarkEnd w:id="163"/>
            <w:r>
              <w:rPr>
                <w:rFonts w:ascii="times new roman" w:hAnsi="times new roman"/>
                <w:sz w:val="20"/>
              </w:rPr>
              <w:t>329</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Increase (Decrease) in:</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481" w:right="0" w:hanging="0"/>
              <w:jc w:val="right"/>
              <w:rPr>
                <w:rFonts w:ascii="times new roman" w:hAnsi="times new roman"/>
                <w:b/>
                <w:sz w:val="20"/>
              </w:rPr>
            </w:pPr>
            <w:bookmarkStart w:id="164" w:name="TAB196"/>
            <w:bookmarkEnd w:id="164"/>
            <w:r>
              <w:rPr>
                <w:rFonts w:ascii="times new roman" w:hAnsi="times new roman"/>
                <w:b/>
                <w:sz w:val="20"/>
              </w:rPr>
              <w:t>1,468</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81" w:right="0" w:hanging="0"/>
              <w:jc w:val="right"/>
              <w:rPr>
                <w:rFonts w:ascii="times new roman" w:hAnsi="times new roman"/>
                <w:sz w:val="20"/>
              </w:rPr>
            </w:pPr>
            <w:bookmarkStart w:id="165" w:name="TAB197"/>
            <w:bookmarkEnd w:id="165"/>
            <w:r>
              <w:rPr>
                <w:rFonts w:ascii="times new roman" w:hAnsi="times new roman"/>
                <w:sz w:val="20"/>
              </w:rPr>
              <w:t>285</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expenses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03" w:right="0" w:hanging="0"/>
              <w:jc w:val="right"/>
              <w:rPr>
                <w:rFonts w:ascii="times new roman" w:hAnsi="times new roman"/>
                <w:b/>
                <w:sz w:val="20"/>
              </w:rPr>
            </w:pPr>
            <w:bookmarkStart w:id="166" w:name="TAB198"/>
            <w:bookmarkEnd w:id="166"/>
            <w:r>
              <w:rPr>
                <w:rFonts w:ascii="times new roman" w:hAnsi="times new roman"/>
                <w:b/>
                <w:sz w:val="20"/>
              </w:rPr>
              <w:t>(2,263</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sz w:val="20"/>
              </w:rPr>
            </w:pPr>
            <w:bookmarkStart w:id="167" w:name="TAB199"/>
            <w:bookmarkEnd w:id="167"/>
            <w:r>
              <w:rPr>
                <w:rFonts w:ascii="times new roman" w:hAnsi="times new roman"/>
                <w:sz w:val="20"/>
              </w:rPr>
              <w:t>783</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compensation</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36" w:right="0" w:hanging="0"/>
              <w:jc w:val="right"/>
              <w:rPr>
                <w:rFonts w:ascii="times new roman" w:hAnsi="times new roman"/>
                <w:b/>
                <w:sz w:val="20"/>
              </w:rPr>
            </w:pPr>
            <w:bookmarkStart w:id="168" w:name="TAB1100"/>
            <w:bookmarkEnd w:id="168"/>
            <w:r>
              <w:rPr>
                <w:rFonts w:ascii="times new roman" w:hAnsi="times new roman"/>
                <w:b/>
                <w:sz w:val="20"/>
              </w:rPr>
              <w:t>(29</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81" w:right="0" w:hanging="0"/>
              <w:jc w:val="right"/>
              <w:rPr>
                <w:rFonts w:ascii="times new roman" w:hAnsi="times new roman"/>
                <w:sz w:val="20"/>
              </w:rPr>
            </w:pPr>
            <w:bookmarkStart w:id="169" w:name="TAB1101"/>
            <w:bookmarkEnd w:id="169"/>
            <w:r>
              <w:rPr>
                <w:rFonts w:ascii="times new roman" w:hAnsi="times new roman"/>
                <w:sz w:val="20"/>
              </w:rPr>
              <w:t>388</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liabilities</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681" w:right="0" w:hanging="0"/>
              <w:jc w:val="right"/>
              <w:rPr>
                <w:rFonts w:ascii="times new roman" w:hAnsi="times new roman"/>
                <w:b/>
                <w:sz w:val="20"/>
              </w:rPr>
            </w:pPr>
            <w:bookmarkStart w:id="170" w:name="TAB1102"/>
            <w:bookmarkEnd w:id="170"/>
            <w:r>
              <w:rPr>
                <w:rFonts w:ascii="times new roman" w:hAnsi="times new roman"/>
                <w:b/>
                <w:sz w:val="20"/>
              </w:rPr>
              <w:t>935</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681" w:right="0" w:hanging="0"/>
              <w:jc w:val="right"/>
              <w:rPr>
                <w:rFonts w:ascii="times new roman" w:hAnsi="times new roman"/>
                <w:sz w:val="20"/>
              </w:rPr>
            </w:pPr>
            <w:bookmarkStart w:id="171" w:name="TAB1103"/>
            <w:bookmarkEnd w:id="171"/>
            <w:r>
              <w:rPr>
                <w:rFonts w:ascii="times new roman" w:hAnsi="times new roman"/>
                <w:sz w:val="20"/>
              </w:rPr>
              <w:t>893</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Adjustments</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481" w:right="0" w:hanging="0"/>
              <w:jc w:val="right"/>
              <w:rPr>
                <w:rFonts w:ascii="times new roman" w:hAnsi="times new roman"/>
                <w:b/>
                <w:sz w:val="20"/>
              </w:rPr>
            </w:pPr>
            <w:bookmarkStart w:id="172" w:name="TAB1104"/>
            <w:bookmarkEnd w:id="172"/>
            <w:r>
              <w:rPr>
                <w:rFonts w:ascii="times new roman" w:hAnsi="times new roman"/>
                <w:b/>
                <w:sz w:val="20"/>
              </w:rPr>
              <w:t>2,960</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481" w:right="0" w:hanging="0"/>
              <w:jc w:val="right"/>
              <w:rPr>
                <w:rFonts w:ascii="times new roman" w:hAnsi="times new roman"/>
                <w:sz w:val="20"/>
              </w:rPr>
            </w:pPr>
            <w:bookmarkStart w:id="173" w:name="TAB1105"/>
            <w:bookmarkEnd w:id="173"/>
            <w:r>
              <w:rPr>
                <w:rFonts w:ascii="times new roman" w:hAnsi="times new roman"/>
                <w:sz w:val="20"/>
              </w:rPr>
              <w:t>9,307</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Net Cash Provided by Operating Activities</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481" w:right="0" w:hanging="0"/>
              <w:jc w:val="right"/>
              <w:rPr>
                <w:rFonts w:ascii="times new roman" w:hAnsi="times new roman"/>
                <w:b/>
                <w:sz w:val="20"/>
              </w:rPr>
            </w:pPr>
            <w:bookmarkStart w:id="174" w:name="TAB1106"/>
            <w:bookmarkEnd w:id="174"/>
            <w:r>
              <w:rPr>
                <w:rFonts w:ascii="times new roman" w:hAnsi="times new roman"/>
                <w:b/>
                <w:sz w:val="20"/>
              </w:rPr>
              <w:t>7,256</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47" w:right="0" w:hanging="0"/>
              <w:jc w:val="right"/>
              <w:rPr>
                <w:rFonts w:ascii="times new roman" w:hAnsi="times new roman"/>
                <w:sz w:val="20"/>
              </w:rPr>
            </w:pPr>
            <w:bookmarkStart w:id="175" w:name="TAB1107"/>
            <w:bookmarkEnd w:id="175"/>
            <w:r>
              <w:rPr>
                <w:rFonts w:ascii="times new roman" w:hAnsi="times new roman"/>
                <w:sz w:val="20"/>
              </w:rPr>
              <w:t>13,763</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CASH FLOWS FROM INVESTING ACTIVITIES</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expenditures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03" w:right="0" w:hanging="0"/>
              <w:jc w:val="right"/>
              <w:rPr>
                <w:rFonts w:ascii="times new roman" w:hAnsi="times new roman"/>
                <w:b/>
                <w:sz w:val="20"/>
              </w:rPr>
            </w:pPr>
            <w:bookmarkStart w:id="176" w:name="TAB1108"/>
            <w:bookmarkEnd w:id="176"/>
            <w:r>
              <w:rPr>
                <w:rFonts w:ascii="times new roman" w:hAnsi="times new roman"/>
                <w:b/>
                <w:sz w:val="20"/>
              </w:rPr>
              <w:t>(4,773</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03" w:right="0" w:hanging="0"/>
              <w:jc w:val="right"/>
              <w:rPr>
                <w:rFonts w:ascii="times new roman" w:hAnsi="times new roman"/>
                <w:sz w:val="20"/>
              </w:rPr>
            </w:pPr>
            <w:bookmarkStart w:id="177" w:name="TAB1109"/>
            <w:bookmarkEnd w:id="177"/>
            <w:r>
              <w:rPr>
                <w:rFonts w:ascii="times new roman" w:hAnsi="times new roman"/>
                <w:sz w:val="20"/>
              </w:rPr>
              <w:t>(4,818</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sale of property, plant and equipment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178" w:name="TAB1110"/>
            <w:bookmarkEnd w:id="178"/>
            <w:r>
              <w:rPr>
                <w:rFonts w:ascii="times new roman" w:hAnsi="times new roman"/>
                <w:b/>
                <w:sz w:val="20"/>
              </w:rPr>
              <w:t>131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sz w:val="20"/>
              </w:rPr>
            </w:pPr>
            <w:bookmarkStart w:id="179" w:name="TAB1111"/>
            <w:bookmarkEnd w:id="179"/>
            <w:r>
              <w:rPr>
                <w:rFonts w:ascii="times new roman" w:hAnsi="times new roman"/>
                <w:sz w:val="20"/>
              </w:rPr>
              <w:t>337</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investment in short-term securities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170" w:right="0" w:hanging="0"/>
              <w:jc w:val="right"/>
              <w:rPr>
                <w:rFonts w:ascii="times new roman" w:hAnsi="times new roman"/>
                <w:b/>
                <w:sz w:val="20"/>
              </w:rPr>
            </w:pPr>
            <w:bookmarkStart w:id="180" w:name="TAB1112"/>
            <w:bookmarkEnd w:id="180"/>
            <w:r>
              <w:rPr>
                <w:rFonts w:ascii="times new roman" w:hAnsi="times new roman"/>
                <w:b/>
                <w:sz w:val="20"/>
              </w:rPr>
              <w:t>(38,375</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170" w:right="0" w:hanging="0"/>
              <w:jc w:val="right"/>
              <w:rPr>
                <w:rFonts w:ascii="times new roman" w:hAnsi="times new roman"/>
                <w:sz w:val="20"/>
              </w:rPr>
            </w:pPr>
            <w:bookmarkStart w:id="181" w:name="TAB1113"/>
            <w:bookmarkEnd w:id="181"/>
            <w:r>
              <w:rPr>
                <w:rFonts w:ascii="times new roman" w:hAnsi="times new roman"/>
                <w:sz w:val="20"/>
              </w:rPr>
              <w:t>(14,995</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Dispositions of investment in short-term securities</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47" w:right="0" w:hanging="0"/>
              <w:jc w:val="right"/>
              <w:rPr>
                <w:rFonts w:ascii="times new roman" w:hAnsi="times new roman"/>
                <w:b/>
                <w:sz w:val="20"/>
              </w:rPr>
            </w:pPr>
            <w:bookmarkStart w:id="182" w:name="TAB1114"/>
            <w:bookmarkEnd w:id="182"/>
            <w:r>
              <w:rPr>
                <w:rFonts w:ascii="times new roman" w:hAnsi="times new roman"/>
                <w:b/>
                <w:sz w:val="20"/>
              </w:rPr>
              <w:t>22,850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47" w:right="0" w:hanging="0"/>
              <w:jc w:val="right"/>
              <w:rPr>
                <w:rFonts w:ascii="times new roman" w:hAnsi="times new roman"/>
                <w:sz w:val="20"/>
              </w:rPr>
            </w:pPr>
            <w:bookmarkStart w:id="183" w:name="TAB1115"/>
            <w:bookmarkEnd w:id="183"/>
            <w:r>
              <w:rPr>
                <w:rFonts w:ascii="times new roman" w:hAnsi="times new roman"/>
                <w:sz w:val="20"/>
              </w:rPr>
              <w:t>17,000</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Net Cash Used in Investing Activities</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170" w:right="0" w:hanging="0"/>
              <w:jc w:val="right"/>
              <w:rPr>
                <w:rFonts w:ascii="times new roman" w:hAnsi="times new roman"/>
                <w:b/>
                <w:sz w:val="20"/>
              </w:rPr>
            </w:pPr>
            <w:bookmarkStart w:id="184" w:name="TAB1116"/>
            <w:bookmarkEnd w:id="184"/>
            <w:r>
              <w:rPr>
                <w:rFonts w:ascii="times new roman" w:hAnsi="times new roman"/>
                <w:b/>
                <w:sz w:val="20"/>
              </w:rPr>
              <w:t>(20,167</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303" w:right="0" w:hanging="0"/>
              <w:jc w:val="right"/>
              <w:rPr>
                <w:rFonts w:ascii="times new roman" w:hAnsi="times new roman"/>
                <w:sz w:val="20"/>
              </w:rPr>
            </w:pPr>
            <w:bookmarkStart w:id="185" w:name="TAB1117"/>
            <w:bookmarkEnd w:id="185"/>
            <w:r>
              <w:rPr>
                <w:rFonts w:ascii="times new roman" w:hAnsi="times new roman"/>
                <w:sz w:val="20"/>
              </w:rPr>
              <w:t>(2,476</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CASH FLOWS FROM FINANCING ACTIVITIES</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notes payable</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47" w:right="0" w:hanging="0"/>
              <w:jc w:val="right"/>
              <w:rPr>
                <w:rFonts w:ascii="times new roman" w:hAnsi="times new roman"/>
                <w:b/>
                <w:sz w:val="20"/>
              </w:rPr>
            </w:pPr>
            <w:bookmarkStart w:id="186" w:name="TAB1118"/>
            <w:bookmarkEnd w:id="186"/>
            <w:r>
              <w:rPr>
                <w:rFonts w:ascii="times new roman" w:hAnsi="times new roman"/>
                <w:b/>
                <w:sz w:val="20"/>
              </w:rPr>
              <w:t>18,500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903" w:right="0" w:hanging="0"/>
              <w:jc w:val="right"/>
              <w:rPr>
                <w:rFonts w:ascii="times new roman" w:hAnsi="times new roman"/>
                <w:sz w:val="20"/>
              </w:rPr>
            </w:pPr>
            <w:bookmarkStart w:id="187" w:name="TAB1119"/>
            <w:bookmarkEnd w:id="187"/>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Principal payments on notes payable</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03" w:right="0" w:hanging="0"/>
              <w:jc w:val="right"/>
              <w:rPr>
                <w:rFonts w:ascii="times new roman" w:hAnsi="times new roman"/>
                <w:b/>
                <w:sz w:val="20"/>
              </w:rPr>
            </w:pPr>
            <w:bookmarkStart w:id="188" w:name="TAB1120"/>
            <w:bookmarkEnd w:id="188"/>
            <w:r>
              <w:rPr>
                <w:rFonts w:ascii="times new roman" w:hAnsi="times new roman"/>
                <w:b/>
                <w:sz w:val="20"/>
              </w:rPr>
              <w:t>(1,500</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03" w:right="0" w:hanging="0"/>
              <w:jc w:val="right"/>
              <w:rPr>
                <w:rFonts w:ascii="times new roman" w:hAnsi="times new roman"/>
                <w:sz w:val="20"/>
              </w:rPr>
            </w:pPr>
            <w:bookmarkStart w:id="189" w:name="TAB1121"/>
            <w:bookmarkEnd w:id="189"/>
            <w:r>
              <w:rPr>
                <w:rFonts w:ascii="times new roman" w:hAnsi="times new roman"/>
                <w:sz w:val="20"/>
              </w:rPr>
              <w:t>(200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Dividends paid</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03" w:right="0" w:hanging="0"/>
              <w:jc w:val="right"/>
              <w:rPr>
                <w:rFonts w:ascii="times new roman" w:hAnsi="times new roman"/>
                <w:b/>
                <w:sz w:val="20"/>
              </w:rPr>
            </w:pPr>
            <w:bookmarkStart w:id="190" w:name="TAB1122"/>
            <w:bookmarkEnd w:id="190"/>
            <w:r>
              <w:rPr>
                <w:rFonts w:ascii="times new roman" w:hAnsi="times new roman"/>
                <w:b/>
                <w:sz w:val="20"/>
              </w:rPr>
              <w:t>(2,103</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03" w:right="0" w:hanging="0"/>
              <w:jc w:val="right"/>
              <w:rPr>
                <w:rFonts w:ascii="times new roman" w:hAnsi="times new roman"/>
                <w:sz w:val="20"/>
              </w:rPr>
            </w:pPr>
            <w:bookmarkStart w:id="191" w:name="TAB1123"/>
            <w:bookmarkEnd w:id="191"/>
            <w:r>
              <w:rPr>
                <w:rFonts w:ascii="times new roman" w:hAnsi="times new roman"/>
                <w:sz w:val="20"/>
              </w:rPr>
              <w:t>(1,991</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 of treasury stock</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03" w:right="0" w:hanging="0"/>
              <w:jc w:val="right"/>
              <w:rPr>
                <w:rFonts w:ascii="times new roman" w:hAnsi="times new roman"/>
                <w:b/>
                <w:sz w:val="20"/>
              </w:rPr>
            </w:pPr>
            <w:bookmarkStart w:id="192" w:name="TAB1124"/>
            <w:bookmarkEnd w:id="192"/>
            <w:r>
              <w:rPr>
                <w:rFonts w:ascii="times new roman" w:hAnsi="times new roman"/>
                <w:b/>
                <w:sz w:val="20"/>
              </w:rPr>
              <w:t>(2,194</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03" w:right="0" w:hanging="0"/>
              <w:jc w:val="right"/>
              <w:rPr>
                <w:rFonts w:ascii="times new roman" w:hAnsi="times new roman"/>
                <w:sz w:val="20"/>
              </w:rPr>
            </w:pPr>
            <w:bookmarkStart w:id="193" w:name="TAB1125"/>
            <w:bookmarkEnd w:id="193"/>
            <w:r>
              <w:rPr>
                <w:rFonts w:ascii="times new roman" w:hAnsi="times new roman"/>
                <w:sz w:val="20"/>
              </w:rPr>
              <w:t>(538</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treasury stock</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194" w:name="TAB1126"/>
            <w:bookmarkEnd w:id="194"/>
            <w:r>
              <w:rPr>
                <w:rFonts w:ascii="times new roman" w:hAnsi="times new roman"/>
                <w:b/>
                <w:sz w:val="20"/>
              </w:rPr>
              <w:t>221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814" w:right="0" w:hanging="0"/>
              <w:jc w:val="right"/>
              <w:rPr>
                <w:rFonts w:ascii="times new roman" w:hAnsi="times new roman"/>
                <w:sz w:val="20"/>
              </w:rPr>
            </w:pPr>
            <w:bookmarkStart w:id="195" w:name="TAB1127"/>
            <w:bookmarkEnd w:id="195"/>
            <w:r>
              <w:rPr>
                <w:rFonts w:ascii="times new roman" w:hAnsi="times new roman"/>
                <w:sz w:val="20"/>
              </w:rPr>
              <w:t>52</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common stock</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81" w:right="0" w:hanging="0"/>
              <w:jc w:val="right"/>
              <w:rPr>
                <w:rFonts w:ascii="times new roman" w:hAnsi="times new roman"/>
                <w:b/>
                <w:sz w:val="20"/>
              </w:rPr>
            </w:pPr>
            <w:bookmarkStart w:id="196" w:name="TAB1128"/>
            <w:bookmarkEnd w:id="196"/>
            <w:r>
              <w:rPr>
                <w:rFonts w:ascii="times new roman" w:hAnsi="times new roman"/>
                <w:b/>
                <w:sz w:val="20"/>
              </w:rPr>
              <w:t>327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81" w:right="0" w:hanging="0"/>
              <w:jc w:val="right"/>
              <w:rPr>
                <w:rFonts w:ascii="times new roman" w:hAnsi="times new roman"/>
                <w:sz w:val="20"/>
              </w:rPr>
            </w:pPr>
            <w:bookmarkStart w:id="197" w:name="TAB1129"/>
            <w:bookmarkEnd w:id="197"/>
            <w:r>
              <w:rPr>
                <w:rFonts w:ascii="times new roman" w:hAnsi="times new roman"/>
                <w:sz w:val="20"/>
              </w:rPr>
              <w:t>297</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Excess tax benefits for share-based payments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198" w:name="TAB1130"/>
            <w:bookmarkEnd w:id="198"/>
            <w:r>
              <w:rPr>
                <w:rFonts w:ascii="times new roman" w:hAnsi="times new roman"/>
                <w:b/>
                <w:sz w:val="20"/>
              </w:rPr>
              <w:t>217</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814" w:right="0" w:hanging="0"/>
              <w:jc w:val="right"/>
              <w:rPr>
                <w:rFonts w:ascii="times new roman" w:hAnsi="times new roman"/>
                <w:sz w:val="20"/>
              </w:rPr>
            </w:pPr>
            <w:bookmarkStart w:id="199" w:name="TAB1131"/>
            <w:bookmarkEnd w:id="199"/>
            <w:r>
              <w:rPr>
                <w:rFonts w:ascii="times new roman" w:hAnsi="times new roman"/>
                <w:sz w:val="20"/>
              </w:rPr>
              <w:t>88</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 net</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814" w:right="0" w:hanging="0"/>
              <w:jc w:val="right"/>
              <w:rPr>
                <w:rFonts w:ascii="times new roman" w:hAnsi="times new roman"/>
                <w:b/>
                <w:sz w:val="20"/>
              </w:rPr>
            </w:pPr>
            <w:bookmarkStart w:id="200" w:name="TAB1132"/>
            <w:bookmarkEnd w:id="200"/>
            <w:r>
              <w:rPr>
                <w:rFonts w:ascii="times new roman" w:hAnsi="times new roman"/>
                <w:b/>
                <w:sz w:val="20"/>
              </w:rPr>
              <w:t>49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814" w:right="0" w:hanging="0"/>
              <w:jc w:val="right"/>
              <w:rPr>
                <w:rFonts w:ascii="times new roman" w:hAnsi="times new roman"/>
                <w:sz w:val="20"/>
              </w:rPr>
            </w:pPr>
            <w:bookmarkStart w:id="201" w:name="TAB1133"/>
            <w:bookmarkEnd w:id="201"/>
            <w:r>
              <w:rPr>
                <w:rFonts w:ascii="times new roman" w:hAnsi="times new roman"/>
                <w:sz w:val="20"/>
              </w:rPr>
              <w:t>26</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Net Cash Provided by (Used in) Financing Activities</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47" w:right="0" w:hanging="0"/>
              <w:jc w:val="right"/>
              <w:rPr>
                <w:rFonts w:ascii="times new roman" w:hAnsi="times new roman"/>
                <w:b/>
                <w:sz w:val="20"/>
              </w:rPr>
            </w:pPr>
            <w:bookmarkStart w:id="202" w:name="TAB1134"/>
            <w:bookmarkEnd w:id="202"/>
            <w:r>
              <w:rPr>
                <w:rFonts w:ascii="times new roman" w:hAnsi="times new roman"/>
                <w:b/>
                <w:sz w:val="20"/>
              </w:rPr>
              <w:t>13,517</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03" w:right="0" w:hanging="0"/>
              <w:jc w:val="right"/>
              <w:rPr>
                <w:rFonts w:ascii="times new roman" w:hAnsi="times new roman"/>
                <w:sz w:val="20"/>
              </w:rPr>
            </w:pPr>
            <w:bookmarkStart w:id="203" w:name="TAB1135"/>
            <w:bookmarkEnd w:id="203"/>
            <w:r>
              <w:rPr>
                <w:rFonts w:ascii="times new roman" w:hAnsi="times new roman"/>
                <w:sz w:val="20"/>
              </w:rPr>
              <w:t>(2,266</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exchange rate changes on cash and cash equivalents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36" w:right="0" w:hanging="0"/>
              <w:jc w:val="right"/>
              <w:rPr>
                <w:rFonts w:ascii="times new roman" w:hAnsi="times new roman"/>
                <w:b/>
                <w:sz w:val="20"/>
              </w:rPr>
            </w:pPr>
            <w:bookmarkStart w:id="204" w:name="TAB1136"/>
            <w:bookmarkEnd w:id="204"/>
            <w:r>
              <w:rPr>
                <w:rFonts w:ascii="times new roman" w:hAnsi="times new roman"/>
                <w:b/>
                <w:sz w:val="20"/>
              </w:rPr>
              <w:t>(86</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947" w:right="0" w:hanging="0"/>
              <w:jc w:val="right"/>
              <w:rPr>
                <w:rFonts w:ascii="times new roman" w:hAnsi="times new roman"/>
                <w:sz w:val="20"/>
              </w:rPr>
            </w:pPr>
            <w:bookmarkStart w:id="205" w:name="TAB1137"/>
            <w:bookmarkEnd w:id="205"/>
            <w:r>
              <w:rPr>
                <w:rFonts w:ascii="times new roman" w:hAnsi="times new roman"/>
                <w:sz w:val="20"/>
              </w:rPr>
              <w:t>4</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Increase in Cash and Cash Equivalents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81" w:right="0" w:hanging="0"/>
              <w:jc w:val="right"/>
              <w:rPr>
                <w:rFonts w:ascii="times new roman" w:hAnsi="times new roman"/>
                <w:b/>
                <w:sz w:val="20"/>
              </w:rPr>
            </w:pPr>
            <w:bookmarkStart w:id="206" w:name="TAB1138"/>
            <w:bookmarkEnd w:id="206"/>
            <w:r>
              <w:rPr>
                <w:rFonts w:ascii="times new roman" w:hAnsi="times new roman"/>
                <w:b/>
                <w:sz w:val="20"/>
              </w:rPr>
              <w:t>520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481" w:right="0" w:hanging="0"/>
              <w:jc w:val="right"/>
              <w:rPr>
                <w:rFonts w:ascii="times new roman" w:hAnsi="times new roman"/>
                <w:sz w:val="20"/>
              </w:rPr>
            </w:pPr>
            <w:bookmarkStart w:id="207" w:name="TAB1139"/>
            <w:bookmarkEnd w:id="207"/>
            <w:r>
              <w:rPr>
                <w:rFonts w:ascii="times new roman" w:hAnsi="times new roman"/>
                <w:sz w:val="20"/>
              </w:rPr>
              <w:t>9,025</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Beginning of Year</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347" w:right="0" w:hanging="0"/>
              <w:jc w:val="right"/>
              <w:rPr>
                <w:rFonts w:ascii="times new roman" w:hAnsi="times new roman"/>
                <w:b/>
                <w:sz w:val="20"/>
              </w:rPr>
            </w:pPr>
            <w:bookmarkStart w:id="208" w:name="TAB1140"/>
            <w:bookmarkEnd w:id="208"/>
            <w:r>
              <w:rPr>
                <w:rFonts w:ascii="times new roman" w:hAnsi="times new roman"/>
                <w:b/>
                <w:sz w:val="20"/>
              </w:rPr>
              <w:t>18,762</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347" w:right="0" w:hanging="0"/>
              <w:jc w:val="right"/>
              <w:rPr>
                <w:rFonts w:ascii="times new roman" w:hAnsi="times new roman"/>
                <w:sz w:val="20"/>
              </w:rPr>
            </w:pPr>
            <w:bookmarkStart w:id="209" w:name="TAB1141"/>
            <w:bookmarkEnd w:id="209"/>
            <w:r>
              <w:rPr>
                <w:rFonts w:ascii="times new roman" w:hAnsi="times new roman"/>
                <w:sz w:val="20"/>
              </w:rPr>
              <w:t>11,839</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January 31</w:t>
            </w:r>
          </w:p>
        </w:tc>
        <w:tc>
          <w:tcPr>
            <w:tcW w:w="108"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09" w:type="dxa"/>
            <w:tcBorders>
              <w:bottom w:val="double" w:sz="8" w:space="0" w:color="000000"/>
            </w:tcBorders>
            <w:shd w:fill="FFFFFF" w:val="clear"/>
            <w:tcMar>
              <w:bottom w:w="28" w:type="dxa"/>
            </w:tcMar>
            <w:vAlign w:val="bottom"/>
          </w:tcPr>
          <w:p>
            <w:pPr>
              <w:pStyle w:val="TableContents"/>
              <w:spacing w:before="0" w:after="283"/>
              <w:ind w:left="225" w:right="0" w:hanging="0"/>
              <w:jc w:val="right"/>
              <w:rPr>
                <w:rFonts w:ascii="times new roman" w:hAnsi="times new roman"/>
                <w:b/>
                <w:sz w:val="20"/>
              </w:rPr>
            </w:pPr>
            <w:bookmarkStart w:id="210" w:name="TAB1142"/>
            <w:bookmarkEnd w:id="210"/>
            <w:r>
              <w:rPr>
                <w:rFonts w:ascii="times new roman" w:hAnsi="times new roman"/>
                <w:b/>
                <w:sz w:val="20"/>
              </w:rPr>
              <w:t>19,282</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FFFFFF" w:val="clear"/>
            <w:tcMar>
              <w:bottom w:w="28" w:type="dxa"/>
            </w:tcMar>
            <w:vAlign w:val="bottom"/>
          </w:tcPr>
          <w:p>
            <w:pPr>
              <w:pStyle w:val="TableContents"/>
              <w:spacing w:before="0" w:after="283"/>
              <w:ind w:left="225" w:right="0" w:hanging="0"/>
              <w:jc w:val="right"/>
              <w:rPr>
                <w:rFonts w:ascii="times new roman" w:hAnsi="times new roman"/>
                <w:sz w:val="20"/>
              </w:rPr>
            </w:pPr>
            <w:bookmarkStart w:id="211" w:name="TAB1143"/>
            <w:bookmarkEnd w:id="211"/>
            <w:r>
              <w:rPr>
                <w:rFonts w:ascii="times new roman" w:hAnsi="times new roman"/>
                <w:sz w:val="20"/>
              </w:rPr>
              <w:t>20,864</w:t>
            </w:r>
          </w:p>
        </w:tc>
        <w:tc>
          <w:tcPr>
            <w:tcW w:w="121" w:type="dxa"/>
            <w:tcBorders/>
            <w:shd w:fill="FFFFFF" w:val="clear"/>
            <w:vAlign w:val="bottom"/>
          </w:tcPr>
          <w:p>
            <w:pPr>
              <w:pStyle w:val="TableContents"/>
              <w:spacing w:before="0" w:after="283"/>
              <w:jc w:val="left"/>
              <w:rPr/>
            </w:pPr>
            <w:r>
              <w:rPr/>
              <w:t> </w:t>
            </w:r>
          </w:p>
        </w:tc>
      </w:tr>
      <w:tr>
        <w:trPr/>
        <w:tc>
          <w:tcPr>
            <w:tcW w:w="10084" w:type="dxa"/>
            <w:gridSpan w:val="8"/>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1008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 w:name="PGBRK7"/>
      <w:bookmarkStart w:id="213" w:name="PGBRK7"/>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FTR7"/>
      <w:bookmarkStart w:id="215" w:name="FTR7"/>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6" w:name="GLFTR7"/>
      <w:bookmarkEnd w:id="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7" w:name="PN7"/>
      <w:bookmarkEnd w:id="217"/>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HDR7"/>
      <w:bookmarkStart w:id="219" w:name="HDR7"/>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0" w:name="GLHDR7"/>
      <w:bookmarkEnd w:id="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r>
      <w:r>
        <w:rPr>
          <w:rFonts w:ascii="Times New Roman" w:hAnsi="Times New Roman"/>
          <w:b/>
          <w:sz w:val="20"/>
        </w:rPr>
        <w:t>OIL-DRI CORPORATION OF AMERICA &amp; SUBSIDIARIES</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1.</w:t>
      </w:r>
      <w:bookmarkStart w:id="221" w:name="TAB2"/>
      <w:bookmarkEnd w:id="221"/>
      <w:r>
        <w:rPr>
          <w:color w:val="000000"/>
          <w:spacing w:val="180"/>
        </w:rPr>
        <w:t> </w:t>
      </w:r>
      <w:r>
        <w:rPr>
          <w:rFonts w:ascii="Times New Roman" w:hAnsi="Times New Roman"/>
          <w:b/>
          <w:sz w:val="20"/>
        </w:rPr>
        <w:t>BASIS OF STATEMENT PRESENTATION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2010 included in our Annual Report on Form 10-K filed with the Securities and Exchange Commission (“SEC”).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unaudited condensed consolidated financial statements include the accounts of the parent company and its subsidiaries.  All significant intercompany transactions are eliminated.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unaudited condensed consolidated financial statements reflect all adjustments, consisting of normal recurring accruals, which are, in the opinion of management, necessary for a fair presentation of the statements contained herein.  Operating results for the three and six months ended January 31, 2011 are not necessarily an indication of the results that may be expected for the fiscal year ending July 31,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our sales agreements with customers, we recognize revenue when risk of loss and title are transferred.  Upon shipment an invoice is generated that sets the fixed and determinable price.  Promotional reserves are provided for sales incentives made directly to consumers and customers and are netted against sales.  Sales returns and allowances are not material.  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evaluate our allowance for doubtful accounts utilizing a combination of a historical experience and a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We defer as prepaid expense and amortize the pre-production overburden removal costs associated with opening a new mine.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normal course of our overburden removal activities we perform ongoing reclamation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2" w:name="PGBRK8"/>
      <w:bookmarkStart w:id="223" w:name="PGBRK8"/>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FTR8"/>
      <w:bookmarkStart w:id="225" w:name="FTR8"/>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6" w:name="GLFTR8"/>
      <w:bookmarkEnd w:id="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7" w:name="PN8"/>
      <w:bookmarkEnd w:id="227"/>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HDR8"/>
      <w:bookmarkStart w:id="229" w:name="HDR8"/>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0" w:name="GLHDR8"/>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2.</w:t>
      </w:r>
      <w:bookmarkStart w:id="231" w:name="TAB21"/>
      <w:bookmarkEnd w:id="231"/>
      <w:r>
        <w:rPr>
          <w:color w:val="000000"/>
          <w:spacing w:val="180"/>
        </w:rPr>
        <w:t> </w:t>
      </w:r>
      <w:r>
        <w:rPr>
          <w:rFonts w:ascii="Times New Roman" w:hAnsi="Times New Roman"/>
          <w:b/>
          <w:sz w:val="20"/>
        </w:rPr>
        <w:t>NEW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Recently Adopted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adopted the required portions of FASB guidance issued in July 2010 under Accounting Standards Codification (“ASC”) 310-10, </w:t>
      </w:r>
      <w:r>
        <w:rPr>
          <w:rFonts w:ascii="Times New Roman" w:hAnsi="Times New Roman"/>
          <w:i/>
          <w:sz w:val="20"/>
        </w:rPr>
        <w:t>Disclosures about the Credit Quality of Financing Receivables and the Allowance for Credit Losses.  </w:t>
      </w:r>
      <w:r>
        <w:rPr>
          <w:rFonts w:ascii="Times New Roman" w:hAnsi="Times New Roman"/>
          <w:sz w:val="20"/>
        </w:rPr>
        <w:t>The guidance effective for this Quarterly Report on Form 10-Q for the quarter ending January 31, 2011 required new disclosures to provide a greater level of disaggregated information about the credit quality of financing receivables, including credit quality indicators, past due information and modifications of financing receivables.  We had no material financing receivables as of January 31, 2011; therefore, the adoption of this guidance did not result in any new disclosures in the notes to the unaudited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Recently Issued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January 2010, the FASB issued guidance under ASC 820-10, </w:t>
      </w:r>
      <w:r>
        <w:rPr>
          <w:rFonts w:ascii="Times New Roman" w:hAnsi="Times New Roman"/>
          <w:i/>
          <w:sz w:val="20"/>
        </w:rPr>
        <w:t xml:space="preserve">Fair Value Measurements and Disclosures: Improving Disclosures about Fair Value Measurements, </w:t>
      </w:r>
      <w:r>
        <w:rPr>
          <w:rFonts w:ascii="Times New Roman" w:hAnsi="Times New Roman"/>
          <w:sz w:val="20"/>
        </w:rPr>
        <w:t>that requires new disclosures related to Level 3 fair value measurements.  Adoption of this guidance may result in enhanced disclosures beginning with our Quarterly Report on Form 10-Q for the quarter ending October 31, 2011 and will not have a material impact on the Consolidated Financial Statements.</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3.</w:t>
      </w:r>
      <w:bookmarkStart w:id="232" w:name="TAB22"/>
      <w:bookmarkEnd w:id="232"/>
      <w:r>
        <w:rPr>
          <w:color w:val="000000"/>
          <w:spacing w:val="180"/>
        </w:rPr>
        <w:t> </w:t>
      </w:r>
      <w:r>
        <w:rPr>
          <w:rFonts w:ascii="Times New Roman" w:hAnsi="Times New Roman"/>
          <w:b/>
          <w:sz w:val="20"/>
        </w:rPr>
        <w:t>INVENTORIES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composition of inventories is as follows (in thousands of dollars):</w:t>
      </w:r>
    </w:p>
    <w:p>
      <w:pPr>
        <w:pStyle w:val="TextBody"/>
        <w:spacing w:before="0" w:after="0"/>
        <w:ind w:left="0" w:right="0" w:hanging="0"/>
        <w:rPr/>
      </w:pPr>
      <w:r>
        <w:rPr/>
      </w:r>
    </w:p>
    <w:tbl>
      <w:tblPr>
        <w:tblW w:w="2500" w:type="pct"/>
        <w:jc w:val="center"/>
        <w:tblInd w:w="0" w:type="dxa"/>
        <w:tblCellMar>
          <w:top w:w="0" w:type="dxa"/>
          <w:left w:w="0" w:type="dxa"/>
          <w:bottom w:w="0" w:type="dxa"/>
          <w:right w:w="0" w:type="dxa"/>
        </w:tblCellMar>
      </w:tblPr>
      <w:tblGrid>
        <w:gridCol w:w="2708"/>
        <w:gridCol w:w="89"/>
        <w:gridCol w:w="126"/>
        <w:gridCol w:w="887"/>
        <w:gridCol w:w="89"/>
        <w:gridCol w:w="89"/>
        <w:gridCol w:w="126"/>
        <w:gridCol w:w="887"/>
        <w:gridCol w:w="101"/>
      </w:tblGrid>
      <w:tr>
        <w:trPr/>
        <w:tc>
          <w:tcPr>
            <w:tcW w:w="270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January 31,</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013"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31,</w:t>
            </w:r>
          </w:p>
        </w:tc>
        <w:tc>
          <w:tcPr>
            <w:tcW w:w="101" w:type="dxa"/>
            <w:tcBorders/>
            <w:shd w:fill="auto" w:val="clear"/>
            <w:vAlign w:val="bottom"/>
          </w:tcPr>
          <w:p>
            <w:pPr>
              <w:pStyle w:val="TableContents"/>
              <w:spacing w:before="0" w:after="283"/>
              <w:jc w:val="left"/>
              <w:rPr/>
            </w:pPr>
            <w:r>
              <w:rPr/>
              <w:t> </w:t>
            </w:r>
          </w:p>
        </w:tc>
      </w:tr>
      <w:tr>
        <w:trPr/>
        <w:tc>
          <w:tcPr>
            <w:tcW w:w="270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0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0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1" w:type="dxa"/>
            <w:tcBorders/>
            <w:shd w:fill="auto" w:val="clear"/>
            <w:vAlign w:val="bottom"/>
          </w:tcPr>
          <w:p>
            <w:pPr>
              <w:pStyle w:val="TableContents"/>
              <w:spacing w:before="0" w:after="283"/>
              <w:jc w:val="left"/>
              <w:rPr/>
            </w:pPr>
            <w:r>
              <w:rPr/>
              <w:t> </w:t>
            </w:r>
          </w:p>
        </w:tc>
      </w:tr>
      <w:tr>
        <w:trPr/>
        <w:tc>
          <w:tcPr>
            <w:tcW w:w="2708" w:type="dxa"/>
            <w:tcBorders/>
            <w:shd w:fill="CCEEFF"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Finished goods</w:t>
            </w:r>
          </w:p>
        </w:tc>
        <w:tc>
          <w:tcPr>
            <w:tcW w:w="8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7" w:type="dxa"/>
            <w:tcBorders/>
            <w:shd w:fill="CCEEFF" w:val="clear"/>
            <w:vAlign w:val="bottom"/>
          </w:tcPr>
          <w:p>
            <w:pPr>
              <w:pStyle w:val="TableContents"/>
              <w:spacing w:before="0" w:after="283"/>
              <w:ind w:left="192" w:right="0" w:hanging="0"/>
              <w:jc w:val="right"/>
              <w:rPr>
                <w:rFonts w:ascii="times new roman" w:hAnsi="times new roman"/>
                <w:sz w:val="20"/>
              </w:rPr>
            </w:pPr>
            <w:bookmarkStart w:id="233" w:name="TAB1144"/>
            <w:bookmarkEnd w:id="233"/>
            <w:r>
              <w:rPr>
                <w:rFonts w:ascii="times new roman" w:hAnsi="times new roman"/>
                <w:sz w:val="20"/>
              </w:rPr>
              <w:t>10,697</w:t>
            </w:r>
          </w:p>
        </w:tc>
        <w:tc>
          <w:tcPr>
            <w:tcW w:w="89"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7" w:type="dxa"/>
            <w:tcBorders/>
            <w:shd w:fill="CCEEFF" w:val="clear"/>
            <w:vAlign w:val="bottom"/>
          </w:tcPr>
          <w:p>
            <w:pPr>
              <w:pStyle w:val="TableContents"/>
              <w:spacing w:before="0" w:after="283"/>
              <w:ind w:left="192" w:right="0" w:hanging="0"/>
              <w:jc w:val="right"/>
              <w:rPr>
                <w:rFonts w:ascii="times new roman" w:hAnsi="times new roman"/>
                <w:sz w:val="20"/>
              </w:rPr>
            </w:pPr>
            <w:bookmarkStart w:id="234" w:name="TAB1145"/>
            <w:bookmarkEnd w:id="234"/>
            <w:r>
              <w:rPr>
                <w:rFonts w:ascii="times new roman" w:hAnsi="times new roman"/>
                <w:sz w:val="20"/>
              </w:rPr>
              <w:t>9,834</w:t>
            </w:r>
          </w:p>
        </w:tc>
        <w:tc>
          <w:tcPr>
            <w:tcW w:w="101" w:type="dxa"/>
            <w:tcBorders/>
            <w:shd w:fill="CCEEFF" w:val="clear"/>
            <w:vAlign w:val="bottom"/>
          </w:tcPr>
          <w:p>
            <w:pPr>
              <w:pStyle w:val="TableContents"/>
              <w:spacing w:before="0" w:after="283"/>
              <w:jc w:val="left"/>
              <w:rPr/>
            </w:pPr>
            <w:r>
              <w:rPr/>
              <w:t> </w:t>
            </w:r>
          </w:p>
        </w:tc>
      </w:tr>
      <w:tr>
        <w:trPr/>
        <w:tc>
          <w:tcPr>
            <w:tcW w:w="27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Packaging</w:t>
            </w:r>
          </w:p>
        </w:tc>
        <w:tc>
          <w:tcPr>
            <w:tcW w:w="8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8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3,298</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887" w:type="dxa"/>
            <w:tcBorders/>
            <w:shd w:fill="FFFFFF" w:val="clear"/>
            <w:vAlign w:val="bottom"/>
          </w:tcPr>
          <w:p>
            <w:pPr>
              <w:pStyle w:val="TableContents"/>
              <w:spacing w:before="0" w:after="283"/>
              <w:ind w:left="448" w:right="0" w:hanging="0"/>
              <w:jc w:val="right"/>
              <w:rPr>
                <w:rFonts w:ascii="times new roman" w:hAnsi="times new roman"/>
                <w:sz w:val="20"/>
              </w:rPr>
            </w:pPr>
            <w:bookmarkStart w:id="235" w:name="TAB1146"/>
            <w:bookmarkEnd w:id="235"/>
            <w:r>
              <w:rPr>
                <w:rFonts w:ascii="times new roman" w:hAnsi="times new roman"/>
                <w:sz w:val="20"/>
              </w:rPr>
              <w:t>3,051</w:t>
            </w:r>
          </w:p>
        </w:tc>
        <w:tc>
          <w:tcPr>
            <w:tcW w:w="101" w:type="dxa"/>
            <w:tcBorders/>
            <w:shd w:fill="FFFFFF" w:val="clear"/>
            <w:vAlign w:val="bottom"/>
          </w:tcPr>
          <w:p>
            <w:pPr>
              <w:pStyle w:val="TableContents"/>
              <w:spacing w:before="0" w:after="283"/>
              <w:jc w:val="left"/>
              <w:rPr/>
            </w:pPr>
            <w:r>
              <w:rPr/>
              <w:t> </w:t>
            </w:r>
          </w:p>
        </w:tc>
      </w:tr>
      <w:tr>
        <w:trPr/>
        <w:tc>
          <w:tcPr>
            <w:tcW w:w="27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8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8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3,259</w:t>
            </w:r>
          </w:p>
        </w:tc>
        <w:tc>
          <w:tcPr>
            <w:tcW w:w="89"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87" w:type="dxa"/>
            <w:tcBorders>
              <w:bottom w:val="single" w:sz="12" w:space="0" w:color="000000"/>
            </w:tcBorders>
            <w:shd w:fill="CCEEFF" w:val="clear"/>
            <w:tcMar>
              <w:bottom w:w="28" w:type="dxa"/>
            </w:tcMar>
            <w:vAlign w:val="bottom"/>
          </w:tcPr>
          <w:p>
            <w:pPr>
              <w:pStyle w:val="TableContents"/>
              <w:spacing w:before="0" w:after="283"/>
              <w:ind w:left="448" w:right="0" w:hanging="0"/>
              <w:jc w:val="right"/>
              <w:rPr>
                <w:rFonts w:ascii="times new roman" w:hAnsi="times new roman"/>
                <w:sz w:val="20"/>
              </w:rPr>
            </w:pPr>
            <w:bookmarkStart w:id="236" w:name="TAB1147"/>
            <w:bookmarkEnd w:id="236"/>
            <w:r>
              <w:rPr>
                <w:rFonts w:ascii="times new roman" w:hAnsi="times new roman"/>
                <w:sz w:val="20"/>
              </w:rPr>
              <w:t>3,138</w:t>
            </w:r>
          </w:p>
        </w:tc>
        <w:tc>
          <w:tcPr>
            <w:tcW w:w="101" w:type="dxa"/>
            <w:tcBorders/>
            <w:shd w:fill="CCEEFF" w:val="clear"/>
            <w:vAlign w:val="bottom"/>
          </w:tcPr>
          <w:p>
            <w:pPr>
              <w:pStyle w:val="TableContents"/>
              <w:spacing w:before="0" w:after="283"/>
              <w:jc w:val="left"/>
              <w:rPr/>
            </w:pPr>
            <w:r>
              <w:rPr/>
              <w:t> </w:t>
            </w:r>
          </w:p>
        </w:tc>
      </w:tr>
      <w:tr>
        <w:trPr/>
        <w:tc>
          <w:tcPr>
            <w:tcW w:w="270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7" w:type="dxa"/>
            <w:tcBorders>
              <w:bottom w:val="double" w:sz="8" w:space="0" w:color="000000"/>
            </w:tcBorders>
            <w:shd w:fill="FFFFFF" w:val="clear"/>
            <w:tcMar>
              <w:bottom w:w="28" w:type="dxa"/>
            </w:tcMar>
            <w:vAlign w:val="bottom"/>
          </w:tcPr>
          <w:p>
            <w:pPr>
              <w:pStyle w:val="TableContents"/>
              <w:spacing w:before="0" w:after="283"/>
              <w:ind w:left="192" w:right="0" w:hanging="0"/>
              <w:jc w:val="right"/>
              <w:rPr>
                <w:rFonts w:ascii="times new roman" w:hAnsi="times new roman"/>
                <w:sz w:val="20"/>
              </w:rPr>
            </w:pPr>
            <w:bookmarkStart w:id="237" w:name="TAB1148"/>
            <w:bookmarkEnd w:id="237"/>
            <w:r>
              <w:rPr>
                <w:rFonts w:ascii="times new roman" w:hAnsi="times new roman"/>
                <w:sz w:val="20"/>
              </w:rPr>
              <w:t>17,254</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7" w:type="dxa"/>
            <w:tcBorders>
              <w:bottom w:val="double" w:sz="8" w:space="0" w:color="000000"/>
            </w:tcBorders>
            <w:shd w:fill="FFFFFF" w:val="clear"/>
            <w:tcMar>
              <w:bottom w:w="28" w:type="dxa"/>
            </w:tcMar>
            <w:vAlign w:val="bottom"/>
          </w:tcPr>
          <w:p>
            <w:pPr>
              <w:pStyle w:val="TableContents"/>
              <w:spacing w:before="0" w:after="283"/>
              <w:ind w:left="192" w:right="0" w:hanging="0"/>
              <w:jc w:val="right"/>
              <w:rPr>
                <w:rFonts w:ascii="times new roman" w:hAnsi="times new roman"/>
                <w:sz w:val="20"/>
              </w:rPr>
            </w:pPr>
            <w:bookmarkStart w:id="238" w:name="TAB1149"/>
            <w:bookmarkEnd w:id="238"/>
            <w:r>
              <w:rPr>
                <w:rFonts w:ascii="times new roman" w:hAnsi="times new roman"/>
                <w:sz w:val="20"/>
              </w:rPr>
              <w:t>16,023</w:t>
            </w:r>
          </w:p>
        </w:tc>
        <w:tc>
          <w:tcPr>
            <w:tcW w:w="10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January 31, 2011 and July 31, 2010 were $362,000 and $449,000, respectively.</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4.</w:t>
      </w:r>
      <w:bookmarkStart w:id="239" w:name="TAB23"/>
      <w:bookmarkEnd w:id="239"/>
      <w:r>
        <w:rPr>
          <w:color w:val="000000"/>
          <w:spacing w:val="180"/>
        </w:rPr>
        <w:t> </w:t>
      </w:r>
      <w:r>
        <w:rPr>
          <w:rFonts w:ascii="Times New Roman" w:hAnsi="Times New Roman"/>
          <w:b/>
          <w:sz w:val="20"/>
        </w:rPr>
        <w:t>FAIR VALUE MEASUREMENTS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203"/>
        <w:gridCol w:w="714"/>
        <w:gridCol w:w="9288"/>
      </w:tblGrid>
      <w:tr>
        <w:trPr/>
        <w:tc>
          <w:tcPr>
            <w:tcW w:w="203"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r>
              <w:rPr>
                <w:rFonts w:ascii="times new roman" w:hAnsi="times new roman"/>
                <w:sz w:val="20"/>
              </w:rPr>
              <w:t>Level 1:</w:t>
            </w:r>
          </w:p>
        </w:tc>
        <w:tc>
          <w:tcPr>
            <w:tcW w:w="92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Financial assets and liabilities whose values are based on quoted market prices in active markets for identical assets or liabilities.</w:t>
            </w:r>
          </w:p>
        </w:tc>
      </w:tr>
      <w:tr>
        <w:trPr/>
        <w:tc>
          <w:tcPr>
            <w:tcW w:w="203"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r>
              <w:rPr>
                <w:rFonts w:ascii="times new roman" w:hAnsi="times new roman"/>
                <w:sz w:val="20"/>
              </w:rPr>
              <w:t>Level 2:</w:t>
            </w:r>
          </w:p>
        </w:tc>
        <w:tc>
          <w:tcPr>
            <w:tcW w:w="92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Financial assets and liabilities whose values are based on:</w:t>
            </w:r>
          </w:p>
        </w:tc>
      </w:tr>
      <w:tr>
        <w:trPr/>
        <w:tc>
          <w:tcPr>
            <w:tcW w:w="203"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p>
        </w:tc>
        <w:tc>
          <w:tcPr>
            <w:tcW w:w="9288" w:type="dxa"/>
            <w:tcBorders/>
            <w:shd w:fill="FFFFFF" w:val="clear"/>
            <w:vAlign w:val="center"/>
          </w:tcPr>
          <w:p>
            <w:pPr>
              <w:pStyle w:val="TableContents"/>
              <w:spacing w:before="0" w:after="283"/>
              <w:rPr/>
            </w:pPr>
            <w:r>
              <w:rPr/>
              <w:t> </w:t>
            </w:r>
            <w:r>
              <w:rPr>
                <w:rFonts w:ascii="times new roman" w:hAnsi="times new roman"/>
                <w:sz w:val="20"/>
              </w:rPr>
              <w:t>1)  Quoted prices for similar assets or liabilities in active markets.</w:t>
            </w:r>
          </w:p>
        </w:tc>
      </w:tr>
      <w:tr>
        <w:trPr/>
        <w:tc>
          <w:tcPr>
            <w:tcW w:w="203"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p>
        </w:tc>
        <w:tc>
          <w:tcPr>
            <w:tcW w:w="9288" w:type="dxa"/>
            <w:tcBorders/>
            <w:shd w:fill="FFFFFF" w:val="clear"/>
            <w:vAlign w:val="center"/>
          </w:tcPr>
          <w:p>
            <w:pPr>
              <w:pStyle w:val="TableContents"/>
              <w:spacing w:before="0" w:after="283"/>
              <w:rPr/>
            </w:pPr>
            <w:r>
              <w:rPr/>
              <w:t> </w:t>
            </w:r>
            <w:r>
              <w:rPr>
                <w:rFonts w:ascii="times new roman" w:hAnsi="times new roman"/>
                <w:sz w:val="20"/>
              </w:rPr>
              <w:t>2)  Quoted prices for identical or similar assets or liabilities in markets that are not active.</w:t>
            </w:r>
          </w:p>
        </w:tc>
      </w:tr>
      <w:tr>
        <w:trPr/>
        <w:tc>
          <w:tcPr>
            <w:tcW w:w="203"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p>
        </w:tc>
        <w:tc>
          <w:tcPr>
            <w:tcW w:w="9288" w:type="dxa"/>
            <w:tcBorders/>
            <w:shd w:fill="FFFFFF" w:val="clear"/>
            <w:vAlign w:val="center"/>
          </w:tcPr>
          <w:p>
            <w:pPr>
              <w:pStyle w:val="TableContents"/>
              <w:spacing w:before="0" w:after="283"/>
              <w:rPr/>
            </w:pPr>
            <w:r>
              <w:rPr/>
              <w:t> </w:t>
            </w:r>
            <w:r>
              <w:rPr>
                <w:rFonts w:ascii="times new roman" w:hAnsi="times new roman"/>
                <w:sz w:val="20"/>
              </w:rPr>
              <w:t>3)  Valuation models whose inputs are observable, directly or indirectly, for substantially the full term of the asset or liability.</w:t>
            </w:r>
          </w:p>
        </w:tc>
      </w:tr>
      <w:tr>
        <w:trPr/>
        <w:tc>
          <w:tcPr>
            <w:tcW w:w="203" w:type="dxa"/>
            <w:tcBorders/>
            <w:shd w:fill="FFFFFF" w:val="clear"/>
            <w:vAlign w:val="center"/>
          </w:tcPr>
          <w:p>
            <w:pPr>
              <w:pStyle w:val="TableContents"/>
              <w:spacing w:before="0" w:after="283"/>
              <w:rPr/>
            </w:pPr>
            <w:r>
              <w:rPr/>
              <w:t> </w:t>
            </w:r>
          </w:p>
        </w:tc>
        <w:tc>
          <w:tcPr>
            <w:tcW w:w="714" w:type="dxa"/>
            <w:tcBorders/>
            <w:shd w:fill="FFFFFF" w:val="clear"/>
          </w:tcPr>
          <w:p>
            <w:pPr>
              <w:pStyle w:val="TableContents"/>
              <w:spacing w:before="0" w:after="283"/>
              <w:rPr/>
            </w:pPr>
            <w:r>
              <w:rPr/>
              <w:t> </w:t>
            </w:r>
            <w:r>
              <w:rPr>
                <w:rFonts w:ascii="times new roman" w:hAnsi="times new roman"/>
                <w:sz w:val="20"/>
              </w:rPr>
              <w:t>Level 3:</w:t>
            </w:r>
          </w:p>
        </w:tc>
        <w:tc>
          <w:tcPr>
            <w:tcW w:w="92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tc>
      </w:tr>
    </w:tbl>
    <w:p>
      <w:pPr>
        <w:pStyle w:val="TextBody"/>
        <w:spacing w:before="0" w:after="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0" w:name="PGBRK9"/>
      <w:bookmarkStart w:id="241" w:name="PGBRK9"/>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 w:name="FTR9"/>
      <w:bookmarkStart w:id="243" w:name="FTR9"/>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4" w:name="GLFTR9"/>
      <w:bookmarkEnd w:id="2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5" w:name="PN9"/>
      <w:bookmarkEnd w:id="245"/>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6" w:name="HDR9"/>
      <w:bookmarkStart w:id="247" w:name="HDR9"/>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8" w:name="GLHDR9"/>
      <w:bookmarkEnd w:id="2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our financial assets and liabilities that were measured at fair value by level within the fair value hierarchy:</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227"/>
        <w:gridCol w:w="108"/>
        <w:gridCol w:w="125"/>
        <w:gridCol w:w="991"/>
        <w:gridCol w:w="108"/>
        <w:gridCol w:w="108"/>
        <w:gridCol w:w="125"/>
        <w:gridCol w:w="991"/>
        <w:gridCol w:w="108"/>
        <w:gridCol w:w="108"/>
        <w:gridCol w:w="125"/>
        <w:gridCol w:w="964"/>
        <w:gridCol w:w="117"/>
      </w:tblGrid>
      <w:tr>
        <w:trPr/>
        <w:tc>
          <w:tcPr>
            <w:tcW w:w="62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3753"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Fair Value at January 31, 2011</w:t>
            </w:r>
          </w:p>
          <w:p>
            <w:pPr>
              <w:pStyle w:val="TableContents"/>
              <w:spacing w:before="0" w:after="0"/>
              <w:ind w:left="0" w:right="0" w:hanging="0"/>
              <w:jc w:val="center"/>
              <w:rPr>
                <w:rFonts w:ascii="times new roman" w:hAnsi="times new roman"/>
                <w:sz w:val="20"/>
              </w:rPr>
            </w:pPr>
            <w:r>
              <w:rPr>
                <w:rFonts w:ascii="times new roman" w:hAnsi="times new roman"/>
                <w:sz w:val="20"/>
              </w:rPr>
              <w:t>(in thousands)</w:t>
            </w:r>
          </w:p>
        </w:tc>
        <w:tc>
          <w:tcPr>
            <w:tcW w:w="117" w:type="dxa"/>
            <w:tcBorders/>
            <w:shd w:fill="auto" w:val="clear"/>
            <w:vAlign w:val="bottom"/>
          </w:tcPr>
          <w:p>
            <w:pPr>
              <w:pStyle w:val="TableContents"/>
              <w:spacing w:before="0" w:after="283"/>
              <w:jc w:val="left"/>
              <w:rPr/>
            </w:pPr>
            <w:r>
              <w:rPr/>
              <w:t> </w:t>
            </w:r>
          </w:p>
        </w:tc>
      </w:tr>
      <w:tr>
        <w:trPr/>
        <w:tc>
          <w:tcPr>
            <w:tcW w:w="62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Level 1</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Level 2</w:t>
            </w:r>
          </w:p>
        </w:tc>
        <w:tc>
          <w:tcPr>
            <w:tcW w:w="117" w:type="dxa"/>
            <w:tcBorders/>
            <w:shd w:fill="auto" w:val="clear"/>
            <w:vAlign w:val="bottom"/>
          </w:tcPr>
          <w:p>
            <w:pPr>
              <w:pStyle w:val="TableContents"/>
              <w:spacing w:before="0" w:after="283"/>
              <w:jc w:val="left"/>
              <w:rPr/>
            </w:pPr>
            <w:r>
              <w:rPr/>
              <w:t> </w:t>
            </w:r>
          </w:p>
        </w:tc>
      </w:tr>
      <w:tr>
        <w:trPr/>
        <w:tc>
          <w:tcPr>
            <w:tcW w:w="6227"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Assets</w:t>
            </w:r>
          </w:p>
        </w:tc>
        <w:tc>
          <w:tcPr>
            <w:tcW w:w="108" w:type="dxa"/>
            <w:tcBorders/>
            <w:shd w:fill="auto" w:val="clear"/>
            <w:vAlign w:val="bottom"/>
          </w:tcPr>
          <w:p>
            <w:pPr>
              <w:pStyle w:val="TableContents"/>
              <w:spacing w:before="0" w:after="283"/>
              <w:rPr/>
            </w:pPr>
            <w:r>
              <w:rPr/>
              <w:t> </w:t>
            </w:r>
          </w:p>
        </w:tc>
        <w:tc>
          <w:tcPr>
            <w:tcW w:w="1116"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16"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89"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r>
      <w:tr>
        <w:trPr/>
        <w:tc>
          <w:tcPr>
            <w:tcW w:w="622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equivalents</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10,899</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10,899</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r>
      <w:tr>
        <w:trPr/>
        <w:tc>
          <w:tcPr>
            <w:tcW w:w="622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Marketable equity securities</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r>
      <w:tr>
        <w:trPr/>
        <w:tc>
          <w:tcPr>
            <w:tcW w:w="622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surrender value of life insurance</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3,902</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3,902</w:t>
            </w:r>
          </w:p>
        </w:tc>
        <w:tc>
          <w:tcPr>
            <w:tcW w:w="117" w:type="dxa"/>
            <w:tcBorders/>
            <w:shd w:fill="CCEEFF" w:val="clear"/>
            <w:vAlign w:val="bottom"/>
          </w:tcPr>
          <w:p>
            <w:pPr>
              <w:pStyle w:val="TableContents"/>
              <w:spacing w:before="0" w:after="283"/>
              <w:jc w:val="left"/>
              <w:rPr/>
            </w:pPr>
            <w:r>
              <w:rPr/>
              <w:t> </w:t>
            </w:r>
          </w:p>
        </w:tc>
      </w:tr>
      <w:tr>
        <w:trPr/>
        <w:tc>
          <w:tcPr>
            <w:tcW w:w="6227"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equivalents are classified as Level 1 of the fair value hierarchy because they were valued using quoted market prices in active markets.  These cash instruments are primarily money market mutual funds.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key employees as of January 31, 2011.  The cash surrender value of life insurance is included in other assets on the condensed Consolidated Balance Sheets.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investment in short-term securities on the Consolidated Balance Sheets includes U.S. Treasury securities, certificates of deposit and debt securities.  We have the ability to hold our investment in short-term securities to maturity and intend to do so; therefore, these investments were reported at amortized cost on the Consolidated Balance sheets, which approximated fair value as of January 31, 2011, and these balances are excluded from the above table.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receivable and accounts payable balances on the Consolidated Balance Sheets approximate their fair values at January 31, 2011 due to the short maturity and nature of those balances; therefore, these balances are excluded from the above table.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carrying values of notes payable approximated their fair values at January 31, 2011 and are not included in the above table.  The estimated fair value of long-term debt, including current maturities, was approximately $35,930,000 as of January 31,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apply fair value techniques on a non-recurring basis associated with: (1) valuing potential impairment loss related to goodwill and indefinite-lived intangible assets and (2) valuing potential impairment loss related to long-lived assets.</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5.</w:t>
      </w:r>
      <w:bookmarkStart w:id="249" w:name="TAB24"/>
      <w:bookmarkEnd w:id="249"/>
      <w:r>
        <w:rPr>
          <w:color w:val="000000"/>
          <w:spacing w:val="180"/>
        </w:rPr>
        <w:t> </w:t>
      </w:r>
      <w:r>
        <w:rPr>
          <w:rFonts w:ascii="Times New Roman" w:hAnsi="Times New Roman"/>
          <w:b/>
          <w:sz w:val="20"/>
        </w:rPr>
        <w:t>PENSION AND OTHER POSTRETIREMENT BENEFITS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components of net periodic pension benefits cost of our sponsored defined benefit plans were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56"/>
        <w:gridCol w:w="108"/>
        <w:gridCol w:w="127"/>
        <w:gridCol w:w="936"/>
        <w:gridCol w:w="114"/>
        <w:gridCol w:w="108"/>
        <w:gridCol w:w="127"/>
        <w:gridCol w:w="936"/>
        <w:gridCol w:w="114"/>
        <w:gridCol w:w="108"/>
        <w:gridCol w:w="127"/>
        <w:gridCol w:w="935"/>
        <w:gridCol w:w="114"/>
        <w:gridCol w:w="108"/>
        <w:gridCol w:w="127"/>
        <w:gridCol w:w="936"/>
        <w:gridCol w:w="124"/>
      </w:tblGrid>
      <w:tr>
        <w:trPr/>
        <w:tc>
          <w:tcPr>
            <w:tcW w:w="505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4917"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PENSION PLAN</w:t>
            </w:r>
          </w:p>
          <w:p>
            <w:pPr>
              <w:pStyle w:val="TableContents"/>
              <w:spacing w:before="0" w:after="0"/>
              <w:ind w:left="0" w:right="0" w:hanging="0"/>
              <w:jc w:val="center"/>
              <w:rPr>
                <w:rFonts w:ascii="times new roman" w:hAnsi="times new roman"/>
                <w:sz w:val="20"/>
              </w:rPr>
            </w:pPr>
            <w:r>
              <w:rPr>
                <w:rFonts w:ascii="times new roman" w:hAnsi="times new roman"/>
                <w:sz w:val="20"/>
              </w:rPr>
              <w:t>(dollars in thousands)</w:t>
            </w:r>
          </w:p>
        </w:tc>
        <w:tc>
          <w:tcPr>
            <w:tcW w:w="124" w:type="dxa"/>
            <w:tcBorders/>
            <w:shd w:fill="auto" w:val="clear"/>
            <w:vAlign w:val="bottom"/>
          </w:tcPr>
          <w:p>
            <w:pPr>
              <w:pStyle w:val="TableContents"/>
              <w:spacing w:before="0" w:after="283"/>
              <w:jc w:val="left"/>
              <w:rPr/>
            </w:pPr>
            <w:r>
              <w:rPr/>
              <w:t> </w:t>
            </w:r>
          </w:p>
        </w:tc>
      </w:tr>
      <w:tr>
        <w:trPr/>
        <w:tc>
          <w:tcPr>
            <w:tcW w:w="505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34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Three Months Ended </w:t>
            </w:r>
          </w:p>
          <w:p>
            <w:pPr>
              <w:pStyle w:val="TableContents"/>
              <w:spacing w:before="0" w:after="0"/>
              <w:ind w:left="0" w:right="0" w:hanging="0"/>
              <w:jc w:val="center"/>
              <w:rPr>
                <w:rFonts w:ascii="times new roman" w:hAnsi="times new roman"/>
                <w:sz w:val="20"/>
              </w:rPr>
            </w:pPr>
            <w:r>
              <w:rPr>
                <w:rFonts w:ascii="times new roman" w:hAnsi="times new roman"/>
                <w:sz w:val="20"/>
              </w:rPr>
              <w:t>January 31,</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234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January 31,</w:t>
            </w:r>
          </w:p>
        </w:tc>
        <w:tc>
          <w:tcPr>
            <w:tcW w:w="124" w:type="dxa"/>
            <w:tcBorders/>
            <w:shd w:fill="auto" w:val="clear"/>
            <w:vAlign w:val="bottom"/>
          </w:tcPr>
          <w:p>
            <w:pPr>
              <w:pStyle w:val="TableContents"/>
              <w:spacing w:before="0" w:after="283"/>
              <w:jc w:val="left"/>
              <w:rPr/>
            </w:pPr>
            <w:r>
              <w:rPr/>
              <w:t> </w:t>
            </w:r>
          </w:p>
        </w:tc>
      </w:tr>
      <w:tr>
        <w:trPr/>
        <w:tc>
          <w:tcPr>
            <w:tcW w:w="505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6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24" w:type="dxa"/>
            <w:tcBorders/>
            <w:shd w:fill="auto" w:val="clear"/>
            <w:vAlign w:val="bottom"/>
          </w:tcPr>
          <w:p>
            <w:pPr>
              <w:pStyle w:val="TableContents"/>
              <w:spacing w:before="0" w:after="283"/>
              <w:jc w:val="left"/>
              <w:rPr/>
            </w:pPr>
            <w:r>
              <w:rPr/>
              <w:t> </w:t>
            </w:r>
          </w:p>
        </w:tc>
      </w:tr>
      <w:tr>
        <w:trPr/>
        <w:tc>
          <w:tcPr>
            <w:tcW w:w="5056" w:type="dxa"/>
            <w:tcBorders/>
            <w:shd w:fill="auto" w:val="clear"/>
            <w:vAlign w:val="bottom"/>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Components of net periodic pension benefit cost:</w:t>
            </w:r>
          </w:p>
        </w:tc>
        <w:tc>
          <w:tcPr>
            <w:tcW w:w="108"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62"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05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Service cost</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569</w:t>
            </w:r>
          </w:p>
        </w:tc>
        <w:tc>
          <w:tcPr>
            <w:tcW w:w="124" w:type="dxa"/>
            <w:tcBorders/>
            <w:shd w:fill="CCEEFF" w:val="clear"/>
            <w:vAlign w:val="bottom"/>
          </w:tcPr>
          <w:p>
            <w:pPr>
              <w:pStyle w:val="TableContents"/>
              <w:spacing w:before="0" w:after="283"/>
              <w:jc w:val="left"/>
              <w:rPr/>
            </w:pPr>
            <w:r>
              <w:rPr/>
              <w:t> </w:t>
            </w:r>
          </w:p>
        </w:tc>
      </w:tr>
      <w:tr>
        <w:trPr/>
        <w:tc>
          <w:tcPr>
            <w:tcW w:w="505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08"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379</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754</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708</w:t>
            </w:r>
          </w:p>
        </w:tc>
        <w:tc>
          <w:tcPr>
            <w:tcW w:w="124" w:type="dxa"/>
            <w:tcBorders/>
            <w:shd w:fill="FFFFFF" w:val="clear"/>
            <w:vAlign w:val="bottom"/>
          </w:tcPr>
          <w:p>
            <w:pPr>
              <w:pStyle w:val="TableContents"/>
              <w:spacing w:before="0" w:after="283"/>
              <w:jc w:val="left"/>
              <w:rPr/>
            </w:pPr>
            <w:r>
              <w:rPr/>
              <w:t> </w:t>
            </w:r>
          </w:p>
        </w:tc>
      </w:tr>
      <w:tr>
        <w:trPr/>
        <w:tc>
          <w:tcPr>
            <w:tcW w:w="505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return on plan assets</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(644</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05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amortization</w:t>
            </w:r>
          </w:p>
        </w:tc>
        <w:tc>
          <w:tcPr>
            <w:tcW w:w="108"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4" w:type="dxa"/>
            <w:tcBorders/>
            <w:shd w:fill="FFFFFF" w:val="clear"/>
            <w:vAlign w:val="bottom"/>
          </w:tcPr>
          <w:p>
            <w:pPr>
              <w:pStyle w:val="TableContents"/>
              <w:spacing w:before="0" w:after="283"/>
              <w:jc w:val="left"/>
              <w:rPr/>
            </w:pPr>
            <w:r>
              <w:rPr/>
              <w:t> </w:t>
            </w:r>
          </w:p>
        </w:tc>
      </w:tr>
      <w:tr>
        <w:trPr/>
        <w:tc>
          <w:tcPr>
            <w:tcW w:w="5056"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501</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395</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926</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funded the plan based upon actuarially determined contributions that take into account the normal cost and the minimum and maximum contribution requirements of various regulations.  We did not make a contribution to our pension plan during the six months ended January 31, 2011.  We intend to make a contribution to the pension plan during the current fiscal year approximately equal to the annual actuarial determined cost.  We currently estimate this amount to be approximately $1,200,000.  See Item 3. Quantitative and Qualitative Disclosures About Market Risk for a discussion of the potential impact of financial market fluctuations on pension plan assets and future funding contributions.</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0" w:name="PGBRK10"/>
      <w:bookmarkStart w:id="251" w:name="PGBRK10"/>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2" w:name="FTR10"/>
      <w:bookmarkStart w:id="253" w:name="FTR10"/>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4" w:name="GLFTR10"/>
      <w:bookmarkEnd w:id="2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5" w:name="PN10"/>
      <w:bookmarkEnd w:id="255"/>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HDR10"/>
      <w:bookmarkStart w:id="257" w:name="HDR10"/>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8" w:name="GLHDR10"/>
      <w:bookmarkEnd w:id="2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The components of the net periodic postretirement health benefit cost were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917"/>
        <w:gridCol w:w="117"/>
        <w:gridCol w:w="212"/>
        <w:gridCol w:w="864"/>
        <w:gridCol w:w="117"/>
        <w:gridCol w:w="117"/>
        <w:gridCol w:w="212"/>
        <w:gridCol w:w="864"/>
        <w:gridCol w:w="117"/>
        <w:gridCol w:w="117"/>
        <w:gridCol w:w="158"/>
        <w:gridCol w:w="931"/>
        <w:gridCol w:w="117"/>
        <w:gridCol w:w="117"/>
        <w:gridCol w:w="157"/>
        <w:gridCol w:w="931"/>
        <w:gridCol w:w="140"/>
      </w:tblGrid>
      <w:tr>
        <w:trPr/>
        <w:tc>
          <w:tcPr>
            <w:tcW w:w="491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5031"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 RETIREMENT HEALTH BENEFITS</w:t>
            </w:r>
          </w:p>
          <w:p>
            <w:pPr>
              <w:pStyle w:val="TableContents"/>
              <w:spacing w:before="0" w:after="0"/>
              <w:ind w:left="0" w:right="0" w:hanging="0"/>
              <w:jc w:val="center"/>
              <w:rPr>
                <w:rFonts w:ascii="times new roman" w:hAnsi="times new roman"/>
                <w:sz w:val="20"/>
              </w:rPr>
            </w:pPr>
            <w:r>
              <w:rPr>
                <w:rFonts w:ascii="times new roman" w:hAnsi="times new roman"/>
                <w:sz w:val="20"/>
              </w:rPr>
              <w:t>(dollars in thousands)</w:t>
            </w:r>
          </w:p>
        </w:tc>
        <w:tc>
          <w:tcPr>
            <w:tcW w:w="140" w:type="dxa"/>
            <w:tcBorders/>
            <w:shd w:fill="auto" w:val="clear"/>
            <w:vAlign w:val="bottom"/>
          </w:tcPr>
          <w:p>
            <w:pPr>
              <w:pStyle w:val="TableContents"/>
              <w:spacing w:before="0" w:after="283"/>
              <w:jc w:val="left"/>
              <w:rPr/>
            </w:pPr>
            <w:r>
              <w:rPr/>
              <w:t> </w:t>
            </w:r>
          </w:p>
        </w:tc>
      </w:tr>
      <w:tr>
        <w:trPr/>
        <w:tc>
          <w:tcPr>
            <w:tcW w:w="491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238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Three Months Ended </w:t>
            </w:r>
          </w:p>
          <w:p>
            <w:pPr>
              <w:pStyle w:val="TableContents"/>
              <w:spacing w:before="0" w:after="0"/>
              <w:ind w:left="0" w:right="0" w:hanging="0"/>
              <w:jc w:val="center"/>
              <w:rPr>
                <w:rFonts w:ascii="times new roman" w:hAnsi="times new roman"/>
                <w:sz w:val="20"/>
              </w:rPr>
            </w:pPr>
            <w:r>
              <w:rPr>
                <w:rFonts w:ascii="times new roman" w:hAnsi="times new roman"/>
                <w:sz w:val="20"/>
              </w:rPr>
              <w:t>January 31,</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241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p>
            <w:pPr>
              <w:pStyle w:val="TableContents"/>
              <w:spacing w:before="0" w:after="0"/>
              <w:ind w:left="0" w:right="0" w:hanging="0"/>
              <w:jc w:val="center"/>
              <w:rPr/>
            </w:pPr>
            <w:r>
              <w:rPr/>
              <w:t> </w:t>
            </w:r>
            <w:r>
              <w:rPr>
                <w:rFonts w:ascii="times new roman" w:hAnsi="times new roman"/>
                <w:sz w:val="20"/>
              </w:rPr>
              <w:t>January 31,</w:t>
            </w:r>
          </w:p>
        </w:tc>
        <w:tc>
          <w:tcPr>
            <w:tcW w:w="140" w:type="dxa"/>
            <w:tcBorders/>
            <w:shd w:fill="auto" w:val="clear"/>
            <w:vAlign w:val="bottom"/>
          </w:tcPr>
          <w:p>
            <w:pPr>
              <w:pStyle w:val="TableContents"/>
              <w:spacing w:before="0" w:after="283"/>
              <w:jc w:val="left"/>
              <w:rPr/>
            </w:pPr>
            <w:r>
              <w:rPr/>
              <w:t> </w:t>
            </w:r>
          </w:p>
        </w:tc>
      </w:tr>
      <w:tr>
        <w:trPr/>
        <w:tc>
          <w:tcPr>
            <w:tcW w:w="491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07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07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0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0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40" w:type="dxa"/>
            <w:tcBorders/>
            <w:shd w:fill="auto" w:val="clear"/>
            <w:vAlign w:val="bottom"/>
          </w:tcPr>
          <w:p>
            <w:pPr>
              <w:pStyle w:val="TableContents"/>
              <w:spacing w:before="0" w:after="283"/>
              <w:jc w:val="left"/>
              <w:rPr/>
            </w:pPr>
            <w:r>
              <w:rPr/>
              <w:t> </w:t>
            </w:r>
          </w:p>
        </w:tc>
      </w:tr>
      <w:tr>
        <w:trPr/>
        <w:tc>
          <w:tcPr>
            <w:tcW w:w="4917" w:type="dxa"/>
            <w:tcBorders/>
            <w:shd w:fill="auto" w:val="clear"/>
            <w:vAlign w:val="bottom"/>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Components of net periodic postretirement benefit cost:</w:t>
            </w:r>
          </w:p>
        </w:tc>
        <w:tc>
          <w:tcPr>
            <w:tcW w:w="117" w:type="dxa"/>
            <w:tcBorders/>
            <w:shd w:fill="auto" w:val="clear"/>
            <w:vAlign w:val="bottom"/>
          </w:tcPr>
          <w:p>
            <w:pPr>
              <w:pStyle w:val="TableContents"/>
              <w:spacing w:before="0" w:after="283"/>
              <w:rPr/>
            </w:pPr>
            <w:r>
              <w:rPr/>
              <w:t> </w:t>
            </w:r>
          </w:p>
        </w:tc>
        <w:tc>
          <w:tcPr>
            <w:tcW w:w="1076"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076"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089"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088" w:type="dxa"/>
            <w:gridSpan w:val="2"/>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r>
      <w:tr>
        <w:trPr/>
        <w:tc>
          <w:tcPr>
            <w:tcW w:w="491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Service cost</w:t>
            </w:r>
          </w:p>
        </w:tc>
        <w:tc>
          <w:tcPr>
            <w:tcW w:w="117" w:type="dxa"/>
            <w:tcBorders/>
            <w:shd w:fill="CCEEFF" w:val="clear"/>
            <w:vAlign w:val="bottom"/>
          </w:tcPr>
          <w:p>
            <w:pPr>
              <w:pStyle w:val="TableContents"/>
              <w:spacing w:before="0" w:after="283"/>
              <w:jc w:val="right"/>
              <w:rPr/>
            </w:pPr>
            <w:r>
              <w:rPr/>
              <w:t> </w:t>
            </w:r>
          </w:p>
        </w:tc>
        <w:tc>
          <w:tcPr>
            <w:tcW w:w="2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2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40" w:type="dxa"/>
            <w:tcBorders/>
            <w:shd w:fill="CCEEFF" w:val="clear"/>
            <w:vAlign w:val="bottom"/>
          </w:tcPr>
          <w:p>
            <w:pPr>
              <w:pStyle w:val="TableContents"/>
              <w:spacing w:before="0" w:after="283"/>
              <w:jc w:val="left"/>
              <w:rPr/>
            </w:pPr>
            <w:r>
              <w:rPr/>
              <w:t> </w:t>
            </w:r>
          </w:p>
        </w:tc>
      </w:tr>
      <w:tr>
        <w:trPr/>
        <w:tc>
          <w:tcPr>
            <w:tcW w:w="491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17"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left"/>
              <w:rPr/>
            </w:pPr>
            <w:r>
              <w:rPr/>
              <w:t> </w:t>
            </w:r>
          </w:p>
        </w:tc>
        <w:tc>
          <w:tcPr>
            <w:tcW w:w="8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left"/>
              <w:rPr/>
            </w:pPr>
            <w:r>
              <w:rPr/>
              <w:t> </w:t>
            </w:r>
          </w:p>
        </w:tc>
        <w:tc>
          <w:tcPr>
            <w:tcW w:w="8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40" w:type="dxa"/>
            <w:tcBorders/>
            <w:shd w:fill="FFFFFF" w:val="clear"/>
            <w:vAlign w:val="bottom"/>
          </w:tcPr>
          <w:p>
            <w:pPr>
              <w:pStyle w:val="TableContents"/>
              <w:spacing w:before="0" w:after="283"/>
              <w:jc w:val="left"/>
              <w:rPr/>
            </w:pPr>
            <w:r>
              <w:rPr/>
              <w:t> </w:t>
            </w:r>
          </w:p>
        </w:tc>
      </w:tr>
      <w:tr>
        <w:trPr/>
        <w:tc>
          <w:tcPr>
            <w:tcW w:w="491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net transition obligation</w:t>
            </w:r>
          </w:p>
        </w:tc>
        <w:tc>
          <w:tcPr>
            <w:tcW w:w="117" w:type="dxa"/>
            <w:tcBorders/>
            <w:shd w:fill="CCEEFF" w:val="clear"/>
            <w:vAlign w:val="bottom"/>
          </w:tcPr>
          <w:p>
            <w:pPr>
              <w:pStyle w:val="TableContents"/>
              <w:spacing w:before="0" w:after="283"/>
              <w:jc w:val="right"/>
              <w:rPr/>
            </w:pPr>
            <w:r>
              <w:rPr/>
              <w:t> </w:t>
            </w:r>
          </w:p>
        </w:tc>
        <w:tc>
          <w:tcPr>
            <w:tcW w:w="212" w:type="dxa"/>
            <w:tcBorders/>
            <w:shd w:fill="CCEEFF" w:val="clear"/>
            <w:vAlign w:val="bottom"/>
          </w:tcPr>
          <w:p>
            <w:pPr>
              <w:pStyle w:val="TableContents"/>
              <w:spacing w:before="0" w:after="283"/>
              <w:jc w:val="left"/>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212" w:type="dxa"/>
            <w:tcBorders/>
            <w:shd w:fill="CCEEFF" w:val="clear"/>
            <w:vAlign w:val="bottom"/>
          </w:tcPr>
          <w:p>
            <w:pPr>
              <w:pStyle w:val="TableContents"/>
              <w:spacing w:before="0" w:after="283"/>
              <w:jc w:val="left"/>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jc w:val="left"/>
              <w:rPr/>
            </w:pPr>
            <w:r>
              <w:rPr/>
              <w:t> </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40" w:type="dxa"/>
            <w:tcBorders/>
            <w:shd w:fill="CCEEFF" w:val="clear"/>
            <w:vAlign w:val="bottom"/>
          </w:tcPr>
          <w:p>
            <w:pPr>
              <w:pStyle w:val="TableContents"/>
              <w:spacing w:before="0" w:after="283"/>
              <w:jc w:val="left"/>
              <w:rPr/>
            </w:pPr>
            <w:r>
              <w:rPr/>
              <w:t> </w:t>
            </w:r>
          </w:p>
        </w:tc>
      </w:tr>
      <w:tr>
        <w:trPr/>
        <w:tc>
          <w:tcPr>
            <w:tcW w:w="491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actuarial loss</w:t>
            </w:r>
          </w:p>
        </w:tc>
        <w:tc>
          <w:tcPr>
            <w:tcW w:w="117" w:type="dxa"/>
            <w:tcBorders/>
            <w:shd w:fill="FFFFFF" w:val="clear"/>
            <w:vAlign w:val="bottom"/>
          </w:tcPr>
          <w:p>
            <w:pPr>
              <w:pStyle w:val="TableContents"/>
              <w:spacing w:before="0" w:after="283"/>
              <w:jc w:val="right"/>
              <w:rPr/>
            </w:pPr>
            <w:r>
              <w:rPr/>
              <w:t> </w:t>
            </w:r>
          </w:p>
        </w:tc>
        <w:tc>
          <w:tcPr>
            <w:tcW w:w="2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2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40" w:type="dxa"/>
            <w:tcBorders/>
            <w:shd w:fill="FFFFFF" w:val="clear"/>
            <w:vAlign w:val="bottom"/>
          </w:tcPr>
          <w:p>
            <w:pPr>
              <w:pStyle w:val="TableContents"/>
              <w:spacing w:before="0" w:after="283"/>
              <w:jc w:val="left"/>
              <w:rPr/>
            </w:pPr>
            <w:r>
              <w:rPr/>
              <w:t> </w:t>
            </w:r>
          </w:p>
        </w:tc>
      </w:tr>
      <w:tr>
        <w:trPr/>
        <w:tc>
          <w:tcPr>
            <w:tcW w:w="4917" w:type="dxa"/>
            <w:tcBorders/>
            <w:shd w:fill="CCEEFF" w:val="clear"/>
            <w:vAlign w:val="bottom"/>
          </w:tcPr>
          <w:p>
            <w:pPr>
              <w:pStyle w:val="TableContents"/>
              <w:spacing w:before="0" w:after="283"/>
              <w:rPr/>
            </w:pPr>
            <w:r>
              <w:rPr/>
              <w:t xml:space="preserve">  </w:t>
            </w:r>
          </w:p>
        </w:tc>
        <w:tc>
          <w:tcPr>
            <w:tcW w:w="117" w:type="dxa"/>
            <w:tcBorders/>
            <w:shd w:fill="CCEEFF" w:val="clear"/>
            <w:vAlign w:val="bottom"/>
          </w:tcPr>
          <w:p>
            <w:pPr>
              <w:pStyle w:val="TableContents"/>
              <w:spacing w:before="0" w:after="283"/>
              <w:jc w:val="right"/>
              <w:rPr/>
            </w:pPr>
            <w:r>
              <w:rPr/>
              <w:t> </w:t>
            </w:r>
          </w:p>
        </w:tc>
        <w:tc>
          <w:tcPr>
            <w:tcW w:w="21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21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5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4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Our plan covering postretirement health benefits is an unfunded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Assumptions used in the previous calculations were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71"/>
        <w:gridCol w:w="110"/>
        <w:gridCol w:w="129"/>
        <w:gridCol w:w="1008"/>
        <w:gridCol w:w="198"/>
        <w:gridCol w:w="110"/>
        <w:gridCol w:w="129"/>
        <w:gridCol w:w="1008"/>
        <w:gridCol w:w="198"/>
        <w:gridCol w:w="110"/>
        <w:gridCol w:w="140"/>
        <w:gridCol w:w="998"/>
        <w:gridCol w:w="224"/>
        <w:gridCol w:w="118"/>
        <w:gridCol w:w="140"/>
        <w:gridCol w:w="998"/>
        <w:gridCol w:w="216"/>
      </w:tblGrid>
      <w:tr>
        <w:trPr/>
        <w:tc>
          <w:tcPr>
            <w:tcW w:w="437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58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PENSION PLAN</w:t>
            </w:r>
          </w:p>
        </w:tc>
        <w:tc>
          <w:tcPr>
            <w:tcW w:w="198"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261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POST RETIREMENT </w:t>
            </w:r>
          </w:p>
          <w:p>
            <w:pPr>
              <w:pStyle w:val="TableContents"/>
              <w:spacing w:before="0" w:after="0"/>
              <w:ind w:left="0" w:right="0" w:hanging="0"/>
              <w:jc w:val="center"/>
              <w:rPr>
                <w:rFonts w:ascii="times new roman" w:hAnsi="times new roman"/>
                <w:b/>
                <w:sz w:val="20"/>
              </w:rPr>
            </w:pPr>
            <w:r>
              <w:rPr>
                <w:rFonts w:ascii="times new roman" w:hAnsi="times new roman"/>
                <w:b/>
                <w:sz w:val="20"/>
              </w:rPr>
              <w:t>HEALTH BENEFITS</w:t>
            </w:r>
          </w:p>
        </w:tc>
        <w:tc>
          <w:tcPr>
            <w:tcW w:w="216" w:type="dxa"/>
            <w:tcBorders/>
            <w:shd w:fill="auto" w:val="clear"/>
            <w:vAlign w:val="bottom"/>
          </w:tcPr>
          <w:p>
            <w:pPr>
              <w:pStyle w:val="TableContents"/>
              <w:spacing w:before="0" w:after="283"/>
              <w:jc w:val="left"/>
              <w:rPr/>
            </w:pPr>
            <w:r>
              <w:rPr/>
              <w:t> </w:t>
            </w:r>
          </w:p>
        </w:tc>
      </w:tr>
      <w:tr>
        <w:trPr/>
        <w:tc>
          <w:tcPr>
            <w:tcW w:w="437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5508" w:type="dxa"/>
            <w:gridSpan w:val="14"/>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For three and six months ended:</w:t>
            </w:r>
          </w:p>
        </w:tc>
        <w:tc>
          <w:tcPr>
            <w:tcW w:w="216" w:type="dxa"/>
            <w:tcBorders/>
            <w:shd w:fill="auto" w:val="clear"/>
            <w:vAlign w:val="bottom"/>
          </w:tcPr>
          <w:p>
            <w:pPr>
              <w:pStyle w:val="TableContents"/>
              <w:spacing w:before="0" w:after="283"/>
              <w:jc w:val="left"/>
              <w:rPr/>
            </w:pPr>
            <w:r>
              <w:rPr/>
              <w:t> </w:t>
            </w:r>
          </w:p>
        </w:tc>
      </w:tr>
      <w:tr>
        <w:trPr/>
        <w:tc>
          <w:tcPr>
            <w:tcW w:w="437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98"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98"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224"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1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January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216" w:type="dxa"/>
            <w:tcBorders/>
            <w:shd w:fill="auto" w:val="clear"/>
            <w:vAlign w:val="bottom"/>
          </w:tcPr>
          <w:p>
            <w:pPr>
              <w:pStyle w:val="TableContents"/>
              <w:spacing w:before="0" w:after="283"/>
              <w:jc w:val="left"/>
              <w:rPr/>
            </w:pPr>
            <w:r>
              <w:rPr/>
              <w:t> </w:t>
            </w:r>
          </w:p>
        </w:tc>
      </w:tr>
      <w:tr>
        <w:trPr/>
        <w:tc>
          <w:tcPr>
            <w:tcW w:w="437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Discount rate for net periodic benefit cost</w:t>
            </w:r>
          </w:p>
        </w:tc>
        <w:tc>
          <w:tcPr>
            <w:tcW w:w="110"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w:t>
            </w:r>
          </w:p>
        </w:tc>
        <w:tc>
          <w:tcPr>
            <w:tcW w:w="19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9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w:t>
            </w:r>
          </w:p>
        </w:tc>
        <w:tc>
          <w:tcPr>
            <w:tcW w:w="2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2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37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Rate of increase in compensation levels</w:t>
            </w:r>
          </w:p>
        </w:tc>
        <w:tc>
          <w:tcPr>
            <w:tcW w:w="110"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9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9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9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24"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9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6" w:type="dxa"/>
            <w:tcBorders/>
            <w:shd w:fill="FFFFFF" w:val="clear"/>
            <w:vAlign w:val="bottom"/>
          </w:tcPr>
          <w:p>
            <w:pPr>
              <w:pStyle w:val="TableContents"/>
              <w:spacing w:before="0" w:after="283"/>
              <w:jc w:val="left"/>
              <w:rPr/>
            </w:pPr>
            <w:r>
              <w:rPr/>
              <w:t> </w:t>
            </w:r>
          </w:p>
        </w:tc>
      </w:tr>
      <w:tr>
        <w:trPr/>
        <w:tc>
          <w:tcPr>
            <w:tcW w:w="437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Long-term expected rate of return on assets</w:t>
            </w:r>
          </w:p>
        </w:tc>
        <w:tc>
          <w:tcPr>
            <w:tcW w:w="110"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9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9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24"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6" w:type="dxa"/>
            <w:tcBorders/>
            <w:shd w:fill="CCEEFF" w:val="clear"/>
            <w:vAlign w:val="bottom"/>
          </w:tcPr>
          <w:p>
            <w:pPr>
              <w:pStyle w:val="TableContents"/>
              <w:spacing w:before="0" w:after="283"/>
              <w:jc w:val="left"/>
              <w:rPr/>
            </w:pPr>
            <w:r>
              <w:rPr/>
              <w:t> </w:t>
            </w:r>
          </w:p>
        </w:tc>
      </w:tr>
      <w:tr>
        <w:trPr/>
        <w:tc>
          <w:tcPr>
            <w:tcW w:w="437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Measurement date</w:t>
            </w:r>
          </w:p>
        </w:tc>
        <w:tc>
          <w:tcPr>
            <w:tcW w:w="110" w:type="dxa"/>
            <w:tcBorders/>
            <w:shd w:fill="FFFFFF" w:val="clear"/>
            <w:vAlign w:val="bottom"/>
          </w:tcPr>
          <w:p>
            <w:pPr>
              <w:pStyle w:val="TableContents"/>
              <w:spacing w:before="0" w:after="283"/>
              <w:jc w:val="right"/>
              <w:rPr/>
            </w:pPr>
            <w:r>
              <w:rPr/>
              <w:t> </w:t>
            </w:r>
          </w:p>
        </w:tc>
        <w:tc>
          <w:tcPr>
            <w:tcW w:w="1137" w:type="dxa"/>
            <w:gridSpan w:val="2"/>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7/31/2010</w:t>
            </w:r>
          </w:p>
        </w:tc>
        <w:tc>
          <w:tcPr>
            <w:tcW w:w="198"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137" w:type="dxa"/>
            <w:gridSpan w:val="2"/>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7/31/2009</w:t>
            </w:r>
          </w:p>
        </w:tc>
        <w:tc>
          <w:tcPr>
            <w:tcW w:w="198"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138" w:type="dxa"/>
            <w:gridSpan w:val="2"/>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7/31/2010</w:t>
            </w:r>
          </w:p>
        </w:tc>
        <w:tc>
          <w:tcPr>
            <w:tcW w:w="224"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138" w:type="dxa"/>
            <w:gridSpan w:val="2"/>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7/31/2009</w:t>
            </w:r>
          </w:p>
        </w:tc>
        <w:tc>
          <w:tcPr>
            <w:tcW w:w="216" w:type="dxa"/>
            <w:tcBorders/>
            <w:shd w:fill="FFFFFF" w:val="clear"/>
            <w:vAlign w:val="bottom"/>
          </w:tcPr>
          <w:p>
            <w:pPr>
              <w:pStyle w:val="TableContents"/>
              <w:spacing w:before="0" w:after="283"/>
              <w:jc w:val="left"/>
              <w:rPr/>
            </w:pPr>
            <w:r>
              <w:rPr/>
              <w:t> </w:t>
            </w:r>
          </w:p>
        </w:tc>
      </w:tr>
      <w:tr>
        <w:trPr/>
        <w:tc>
          <w:tcPr>
            <w:tcW w:w="437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Census date</w:t>
            </w:r>
          </w:p>
        </w:tc>
        <w:tc>
          <w:tcPr>
            <w:tcW w:w="110" w:type="dxa"/>
            <w:tcBorders/>
            <w:shd w:fill="CCEEFF" w:val="clear"/>
            <w:vAlign w:val="bottom"/>
          </w:tcPr>
          <w:p>
            <w:pPr>
              <w:pStyle w:val="TableContents"/>
              <w:spacing w:before="0" w:after="283"/>
              <w:jc w:val="right"/>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8/1/2010</w:t>
            </w:r>
          </w:p>
        </w:tc>
        <w:tc>
          <w:tcPr>
            <w:tcW w:w="198"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8/1/2009</w:t>
            </w:r>
          </w:p>
        </w:tc>
        <w:tc>
          <w:tcPr>
            <w:tcW w:w="198"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138"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8/1/2010</w:t>
            </w:r>
          </w:p>
        </w:tc>
        <w:tc>
          <w:tcPr>
            <w:tcW w:w="224"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138"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8/1/2009</w:t>
            </w:r>
          </w:p>
        </w:tc>
        <w:tc>
          <w:tcPr>
            <w:tcW w:w="21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medical cost trend assumption for postretirement health benefits was a graded rate starting at 9% and decreasing to an ultimate rate of 5% in 1% annual increments.</w:t>
      </w:r>
    </w:p>
    <w:p>
      <w:pPr>
        <w:pStyle w:val="TextBody"/>
        <w:spacing w:before="0" w:after="0"/>
        <w:ind w:left="0" w:right="0" w:hanging="0"/>
        <w:rPr/>
      </w:pPr>
      <w:r>
        <w:rPr/>
      </w:r>
    </w:p>
    <w:p>
      <w:pPr>
        <w:pStyle w:val="Normal"/>
        <w:spacing w:before="0" w:after="0"/>
        <w:rPr>
          <w:sz w:val="4"/>
          <w:szCs w:val="4"/>
        </w:rPr>
      </w:pPr>
      <w:r>
        <w:rPr>
          <w:sz w:val="4"/>
          <w:szCs w:val="4"/>
        </w:rPr>
      </w:r>
      <w:bookmarkStart w:id="259" w:name="list"/>
      <w:bookmarkStart w:id="260" w:name="list"/>
      <w:bookmarkEnd w:id="260"/>
    </w:p>
    <w:tbl>
      <w:tblPr>
        <w:tblW w:w="5000" w:type="pct"/>
        <w:jc w:val="left"/>
        <w:tblInd w:w="0" w:type="dxa"/>
        <w:tblCellMar>
          <w:top w:w="0" w:type="dxa"/>
          <w:left w:w="0" w:type="dxa"/>
          <w:bottom w:w="0" w:type="dxa"/>
          <w:right w:w="0" w:type="dxa"/>
        </w:tblCellMar>
      </w:tblPr>
      <w:tblGrid>
        <w:gridCol w:w="1122"/>
        <w:gridCol w:w="9083"/>
      </w:tblGrid>
      <w:tr>
        <w:trPr/>
        <w:tc>
          <w:tcPr>
            <w:tcW w:w="1122"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6.  </w:t>
            </w:r>
          </w:p>
        </w:tc>
        <w:tc>
          <w:tcPr>
            <w:tcW w:w="908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SEGMENT REPORTING</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two operating segments:  Retail and Wholesale Products and Business to Business Products.  These segments are managed separately because each business has different customer characteristics.  Net sales and operating income for each segment are provided below.  As the result of a change in management organization in fiscal 2011, our sports field products are now included in the Retail and Wholesale Products Group.  Prior year segment net sales and operating income have also been restated to reflect this change.  The organization change was intended to better serve our customers and the segment information presented reflects the information regularly reviewed by our chief operating decision maker.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2010 filed with the SEC.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1" w:name="PGBRK11"/>
      <w:bookmarkStart w:id="262" w:name="PGBRK11"/>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FTR11"/>
      <w:bookmarkStart w:id="264" w:name="FTR11"/>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5" w:name="GLFTR11"/>
      <w:bookmarkEnd w:id="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6" w:name="PN11"/>
      <w:bookmarkEnd w:id="266"/>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HDR11"/>
      <w:bookmarkStart w:id="268" w:name="HDR11"/>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9" w:name="GLHDR11"/>
      <w:bookmarkEnd w:id="2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tbl>
      <w:tblPr>
        <w:tblW w:w="2500" w:type="pct"/>
        <w:jc w:val="left"/>
        <w:tblInd w:w="0" w:type="dxa"/>
        <w:tblCellMar>
          <w:top w:w="0" w:type="dxa"/>
          <w:left w:w="0" w:type="dxa"/>
          <w:bottom w:w="0" w:type="dxa"/>
          <w:right w:w="0" w:type="dxa"/>
        </w:tblCellMar>
      </w:tblPr>
      <w:tblGrid>
        <w:gridCol w:w="2474"/>
        <w:gridCol w:w="94"/>
        <w:gridCol w:w="126"/>
        <w:gridCol w:w="993"/>
        <w:gridCol w:w="94"/>
        <w:gridCol w:w="94"/>
        <w:gridCol w:w="126"/>
        <w:gridCol w:w="993"/>
        <w:gridCol w:w="108"/>
      </w:tblGrid>
      <w:tr>
        <w:trPr/>
        <w:tc>
          <w:tcPr>
            <w:tcW w:w="247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426" w:type="dxa"/>
            <w:gridSpan w:val="6"/>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108" w:type="dxa"/>
            <w:tcBorders/>
            <w:shd w:fill="auto" w:val="clear"/>
            <w:vAlign w:val="bottom"/>
          </w:tcPr>
          <w:p>
            <w:pPr>
              <w:pStyle w:val="TableContents"/>
              <w:spacing w:before="0" w:after="283"/>
              <w:jc w:val="left"/>
              <w:rPr/>
            </w:pPr>
            <w:r>
              <w:rPr/>
              <w:t> </w:t>
            </w:r>
          </w:p>
        </w:tc>
      </w:tr>
      <w:tr>
        <w:trPr/>
        <w:tc>
          <w:tcPr>
            <w:tcW w:w="247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January 31,</w:t>
            </w:r>
          </w:p>
        </w:tc>
        <w:tc>
          <w:tcPr>
            <w:tcW w:w="9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July 31,</w:t>
            </w:r>
          </w:p>
        </w:tc>
        <w:tc>
          <w:tcPr>
            <w:tcW w:w="108" w:type="dxa"/>
            <w:tcBorders/>
            <w:shd w:fill="auto" w:val="clear"/>
            <w:vAlign w:val="bottom"/>
          </w:tcPr>
          <w:p>
            <w:pPr>
              <w:pStyle w:val="TableContents"/>
              <w:spacing w:before="0" w:after="283"/>
              <w:jc w:val="left"/>
              <w:rPr/>
            </w:pPr>
            <w:r>
              <w:rPr/>
              <w:t> </w:t>
            </w:r>
          </w:p>
        </w:tc>
      </w:tr>
      <w:tr>
        <w:trPr/>
        <w:tc>
          <w:tcPr>
            <w:tcW w:w="2474" w:type="dxa"/>
            <w:tcBorders/>
            <w:shd w:fill="auto" w:val="clear"/>
            <w:vAlign w:val="bottom"/>
          </w:tcPr>
          <w:p>
            <w:pPr>
              <w:pStyle w:val="TableContents"/>
              <w:spacing w:before="0" w:after="283"/>
              <w:rPr/>
            </w:pPr>
            <w:r>
              <w:rPr/>
              <w:t xml:space="preserve">  </w:t>
            </w:r>
          </w:p>
        </w:tc>
        <w:tc>
          <w:tcPr>
            <w:tcW w:w="94" w:type="dxa"/>
            <w:tcBorders/>
            <w:shd w:fill="auto" w:val="clear"/>
            <w:vAlign w:val="bottom"/>
          </w:tcPr>
          <w:p>
            <w:pPr>
              <w:pStyle w:val="TableContents"/>
              <w:spacing w:before="0" w:after="283"/>
              <w:rPr/>
            </w:pPr>
            <w:r>
              <w:rPr/>
              <w:t> </w:t>
            </w:r>
          </w:p>
        </w:tc>
        <w:tc>
          <w:tcPr>
            <w:tcW w:w="1119" w:type="dxa"/>
            <w:gridSpan w:val="2"/>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2011</w:t>
            </w:r>
          </w:p>
        </w:tc>
        <w:tc>
          <w:tcPr>
            <w:tcW w:w="9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19" w:type="dxa"/>
            <w:gridSpan w:val="2"/>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108" w:type="dxa"/>
            <w:tcBorders/>
            <w:shd w:fill="auto" w:val="clear"/>
            <w:vAlign w:val="bottom"/>
          </w:tcPr>
          <w:p>
            <w:pPr>
              <w:pStyle w:val="TableContents"/>
              <w:spacing w:before="0" w:after="283"/>
              <w:jc w:val="left"/>
              <w:rPr/>
            </w:pPr>
            <w:r>
              <w:rPr/>
              <w:t> </w:t>
            </w:r>
          </w:p>
        </w:tc>
      </w:tr>
      <w:tr>
        <w:trPr/>
        <w:tc>
          <w:tcPr>
            <w:tcW w:w="2474" w:type="dxa"/>
            <w:tcBorders/>
            <w:shd w:fill="auto" w:val="clear"/>
            <w:vAlign w:val="bottom"/>
          </w:tcPr>
          <w:p>
            <w:pPr>
              <w:pStyle w:val="TableContents"/>
              <w:spacing w:before="0" w:after="283"/>
              <w:rPr/>
            </w:pPr>
            <w:r>
              <w:rPr/>
              <w:t xml:space="preserve">  </w:t>
            </w:r>
          </w:p>
        </w:tc>
        <w:tc>
          <w:tcPr>
            <w:tcW w:w="94" w:type="dxa"/>
            <w:tcBorders/>
            <w:shd w:fill="auto" w:val="clear"/>
            <w:vAlign w:val="bottom"/>
          </w:tcPr>
          <w:p>
            <w:pPr>
              <w:pStyle w:val="TableContents"/>
              <w:spacing w:before="0" w:after="283"/>
              <w:rPr/>
            </w:pPr>
            <w:r>
              <w:rPr/>
              <w:t> </w:t>
            </w:r>
          </w:p>
        </w:tc>
        <w:tc>
          <w:tcPr>
            <w:tcW w:w="2426"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w:t>
            </w:r>
          </w:p>
        </w:tc>
        <w:tc>
          <w:tcPr>
            <w:tcW w:w="108" w:type="dxa"/>
            <w:tcBorders/>
            <w:shd w:fill="auto" w:val="clear"/>
            <w:vAlign w:val="bottom"/>
          </w:tcPr>
          <w:p>
            <w:pPr>
              <w:pStyle w:val="TableContents"/>
              <w:spacing w:before="0" w:after="283"/>
              <w:jc w:val="left"/>
              <w:rPr/>
            </w:pPr>
            <w:r>
              <w:rPr/>
              <w:t> </w:t>
            </w:r>
          </w:p>
        </w:tc>
      </w:tr>
      <w:tr>
        <w:trPr/>
        <w:tc>
          <w:tcPr>
            <w:tcW w:w="247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Business to Business Products</w:t>
            </w:r>
          </w:p>
        </w:tc>
        <w:tc>
          <w:tcPr>
            <w:tcW w:w="9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3"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70" w:name="TAB1150"/>
            <w:bookmarkEnd w:id="270"/>
            <w:r>
              <w:rPr>
                <w:rFonts w:ascii="times new roman" w:hAnsi="times new roman"/>
                <w:b/>
                <w:sz w:val="20"/>
              </w:rPr>
              <w:t>40,746</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3" w:type="dxa"/>
            <w:tcBorders/>
            <w:shd w:fill="CCEEFF" w:val="clear"/>
            <w:vAlign w:val="bottom"/>
          </w:tcPr>
          <w:p>
            <w:pPr>
              <w:pStyle w:val="TableContents"/>
              <w:spacing w:before="0" w:after="283"/>
              <w:ind w:left="81" w:right="0" w:hanging="0"/>
              <w:jc w:val="right"/>
              <w:rPr>
                <w:rFonts w:ascii="times new roman" w:hAnsi="times new roman"/>
                <w:b/>
                <w:sz w:val="20"/>
              </w:rPr>
            </w:pPr>
            <w:bookmarkStart w:id="271" w:name="TAB1151"/>
            <w:bookmarkEnd w:id="271"/>
            <w:r>
              <w:rPr>
                <w:rFonts w:ascii="times new roman" w:hAnsi="times new roman"/>
                <w:b/>
                <w:sz w:val="20"/>
              </w:rPr>
              <w:t>41,773</w:t>
            </w:r>
          </w:p>
        </w:tc>
        <w:tc>
          <w:tcPr>
            <w:tcW w:w="108" w:type="dxa"/>
            <w:tcBorders/>
            <w:shd w:fill="CCEEFF" w:val="clear"/>
            <w:vAlign w:val="bottom"/>
          </w:tcPr>
          <w:p>
            <w:pPr>
              <w:pStyle w:val="TableContents"/>
              <w:spacing w:before="0" w:after="283"/>
              <w:jc w:val="left"/>
              <w:rPr/>
            </w:pPr>
            <w:r>
              <w:rPr/>
              <w:t> </w:t>
            </w:r>
          </w:p>
        </w:tc>
      </w:tr>
      <w:tr>
        <w:trPr/>
        <w:tc>
          <w:tcPr>
            <w:tcW w:w="247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Retail and Wholesale Products </w:t>
            </w:r>
          </w:p>
        </w:tc>
        <w:tc>
          <w:tcPr>
            <w:tcW w:w="9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93" w:type="dxa"/>
            <w:tcBorders/>
            <w:shd w:fill="FFFFFF" w:val="clear"/>
            <w:vAlign w:val="bottom"/>
          </w:tcPr>
          <w:p>
            <w:pPr>
              <w:pStyle w:val="TableContents"/>
              <w:spacing w:before="0" w:after="283"/>
              <w:ind w:left="240" w:right="0" w:hanging="0"/>
              <w:jc w:val="right"/>
              <w:rPr>
                <w:rFonts w:ascii="times new roman" w:hAnsi="times new roman"/>
                <w:b/>
                <w:sz w:val="20"/>
              </w:rPr>
            </w:pPr>
            <w:bookmarkStart w:id="272" w:name="TAB1152"/>
            <w:bookmarkEnd w:id="272"/>
            <w:r>
              <w:rPr>
                <w:rFonts w:ascii="times new roman" w:hAnsi="times new roman"/>
                <w:b/>
                <w:sz w:val="20"/>
              </w:rPr>
              <w:t>71,679</w:t>
            </w:r>
          </w:p>
        </w:tc>
        <w:tc>
          <w:tcPr>
            <w:tcW w:w="9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93" w:type="dxa"/>
            <w:tcBorders/>
            <w:shd w:fill="FFFFFF" w:val="clear"/>
            <w:vAlign w:val="bottom"/>
          </w:tcPr>
          <w:p>
            <w:pPr>
              <w:pStyle w:val="TableContents"/>
              <w:spacing w:before="0" w:after="283"/>
              <w:ind w:left="124" w:right="0" w:hanging="0"/>
              <w:jc w:val="right"/>
              <w:rPr>
                <w:rFonts w:ascii="times new roman" w:hAnsi="times new roman"/>
                <w:b/>
                <w:sz w:val="20"/>
              </w:rPr>
            </w:pPr>
            <w:bookmarkStart w:id="273" w:name="TAB1153"/>
            <w:bookmarkEnd w:id="273"/>
            <w:r>
              <w:rPr>
                <w:rFonts w:ascii="times new roman" w:hAnsi="times new roman"/>
                <w:b/>
                <w:sz w:val="20"/>
              </w:rPr>
              <w:t>69,248</w:t>
            </w:r>
          </w:p>
        </w:tc>
        <w:tc>
          <w:tcPr>
            <w:tcW w:w="108" w:type="dxa"/>
            <w:tcBorders/>
            <w:shd w:fill="FFFFFF" w:val="clear"/>
            <w:vAlign w:val="bottom"/>
          </w:tcPr>
          <w:p>
            <w:pPr>
              <w:pStyle w:val="TableContents"/>
              <w:spacing w:before="0" w:after="283"/>
              <w:jc w:val="left"/>
              <w:rPr/>
            </w:pPr>
            <w:r>
              <w:rPr/>
              <w:t> </w:t>
            </w:r>
          </w:p>
        </w:tc>
      </w:tr>
      <w:tr>
        <w:trPr/>
        <w:tc>
          <w:tcPr>
            <w:tcW w:w="247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Unallocated Assets</w:t>
            </w:r>
          </w:p>
        </w:tc>
        <w:tc>
          <w:tcPr>
            <w:tcW w:w="94"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74" w:name="TAB1154"/>
            <w:bookmarkEnd w:id="274"/>
            <w:r>
              <w:rPr>
                <w:rFonts w:ascii="times new roman" w:hAnsi="times new roman"/>
                <w:b/>
                <w:sz w:val="20"/>
              </w:rPr>
              <w:t>59,636</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spacing w:before="0" w:after="283"/>
              <w:ind w:left="124" w:right="0" w:hanging="0"/>
              <w:jc w:val="right"/>
              <w:rPr>
                <w:rFonts w:ascii="times new roman" w:hAnsi="times new roman"/>
                <w:b/>
                <w:sz w:val="20"/>
              </w:rPr>
            </w:pPr>
            <w:bookmarkStart w:id="275" w:name="TAB1155"/>
            <w:bookmarkEnd w:id="275"/>
            <w:r>
              <w:rPr>
                <w:rFonts w:ascii="times new roman" w:hAnsi="times new roman"/>
                <w:b/>
                <w:sz w:val="20"/>
              </w:rPr>
              <w:t>42,961</w:t>
            </w:r>
          </w:p>
        </w:tc>
        <w:tc>
          <w:tcPr>
            <w:tcW w:w="108" w:type="dxa"/>
            <w:tcBorders/>
            <w:shd w:fill="CCEEFF" w:val="clear"/>
            <w:vAlign w:val="bottom"/>
          </w:tcPr>
          <w:p>
            <w:pPr>
              <w:pStyle w:val="TableContents"/>
              <w:spacing w:before="0" w:after="283"/>
              <w:jc w:val="left"/>
              <w:rPr/>
            </w:pPr>
            <w:r>
              <w:rPr/>
              <w:t> </w:t>
            </w:r>
          </w:p>
        </w:tc>
      </w:tr>
      <w:tr>
        <w:trPr/>
        <w:tc>
          <w:tcPr>
            <w:tcW w:w="247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94"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3" w:type="dxa"/>
            <w:tcBorders>
              <w:bottom w:val="double" w:sz="8"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76" w:name="TAB1156"/>
            <w:bookmarkStart w:id="277" w:name="TAB1157"/>
            <w:bookmarkEnd w:id="276"/>
            <w:bookmarkEnd w:id="277"/>
            <w:r>
              <w:rPr>
                <w:rFonts w:ascii="times new roman" w:hAnsi="times new roman"/>
                <w:b/>
                <w:sz w:val="20"/>
              </w:rPr>
              <w:t>172,061</w:t>
            </w:r>
          </w:p>
        </w:tc>
        <w:tc>
          <w:tcPr>
            <w:tcW w:w="9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3" w:type="dxa"/>
            <w:tcBorders>
              <w:bottom w:val="double" w:sz="8"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78" w:name="TAB1158"/>
            <w:bookmarkEnd w:id="278"/>
            <w:r>
              <w:rPr>
                <w:rFonts w:ascii="times new roman" w:hAnsi="times new roman"/>
                <w:b/>
                <w:sz w:val="20"/>
              </w:rPr>
              <w:t>153,982</w:t>
            </w:r>
          </w:p>
        </w:tc>
        <w:tc>
          <w:tcPr>
            <w:tcW w:w="108"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left"/>
        <w:rPr/>
      </w:pPr>
      <w:r>
        <w:rPr/>
      </w:r>
      <w:bookmarkStart w:id="279" w:name="RANGE!A1%3AM26"/>
      <w:bookmarkStart w:id="280" w:name="RANGE!A1%3AM26"/>
      <w:bookmarkEnd w:id="280"/>
    </w:p>
    <w:tbl>
      <w:tblPr>
        <w:tblW w:w="5000" w:type="pct"/>
        <w:jc w:val="left"/>
        <w:tblInd w:w="0" w:type="dxa"/>
        <w:tblCellMar>
          <w:top w:w="0" w:type="dxa"/>
          <w:left w:w="0" w:type="dxa"/>
          <w:bottom w:w="0" w:type="dxa"/>
          <w:right w:w="0" w:type="dxa"/>
        </w:tblCellMar>
      </w:tblPr>
      <w:tblGrid>
        <w:gridCol w:w="4943"/>
        <w:gridCol w:w="104"/>
        <w:gridCol w:w="125"/>
        <w:gridCol w:w="993"/>
        <w:gridCol w:w="104"/>
        <w:gridCol w:w="104"/>
        <w:gridCol w:w="125"/>
        <w:gridCol w:w="992"/>
        <w:gridCol w:w="104"/>
        <w:gridCol w:w="104"/>
        <w:gridCol w:w="125"/>
        <w:gridCol w:w="959"/>
        <w:gridCol w:w="110"/>
        <w:gridCol w:w="104"/>
        <w:gridCol w:w="125"/>
        <w:gridCol w:w="959"/>
        <w:gridCol w:w="125"/>
      </w:tblGrid>
      <w:tr>
        <w:trPr/>
        <w:tc>
          <w:tcPr>
            <w:tcW w:w="49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center"/>
              <w:rPr/>
            </w:pPr>
            <w:r>
              <w:rPr/>
              <w:t> </w:t>
            </w:r>
          </w:p>
        </w:tc>
        <w:tc>
          <w:tcPr>
            <w:tcW w:w="5033" w:type="dxa"/>
            <w:gridSpan w:val="14"/>
            <w:tcBorders>
              <w:bottom w:val="single" w:sz="12" w:space="0" w:color="000000"/>
            </w:tcBorders>
            <w:shd w:fill="auto" w:val="clear"/>
            <w:tcMar>
              <w:bottom w:w="28" w:type="dxa"/>
            </w:tcMar>
            <w:vAlign w:val="bottom"/>
          </w:tcPr>
          <w:p>
            <w:pPr>
              <w:pStyle w:val="TableContents"/>
              <w:spacing w:before="0" w:after="283"/>
              <w:jc w:val="center"/>
              <w:rPr/>
            </w:pPr>
            <w:r>
              <w:rPr/>
              <w:t xml:space="preserve">  </w:t>
            </w:r>
            <w:r>
              <w:rPr>
                <w:rFonts w:ascii="times new roman" w:hAnsi="times new roman"/>
                <w:b/>
                <w:sz w:val="20"/>
              </w:rPr>
              <w:t>Six Months Ended January 31,</w:t>
            </w:r>
          </w:p>
        </w:tc>
        <w:tc>
          <w:tcPr>
            <w:tcW w:w="125" w:type="dxa"/>
            <w:tcBorders/>
            <w:shd w:fill="auto" w:val="clear"/>
            <w:vAlign w:val="bottom"/>
          </w:tcPr>
          <w:p>
            <w:pPr>
              <w:pStyle w:val="TableContents"/>
              <w:spacing w:before="0" w:after="283"/>
              <w:jc w:val="left"/>
              <w:rPr/>
            </w:pPr>
            <w:r>
              <w:rPr/>
              <w:t> </w:t>
            </w:r>
          </w:p>
        </w:tc>
      </w:tr>
      <w:tr>
        <w:trPr/>
        <w:tc>
          <w:tcPr>
            <w:tcW w:w="49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2443" w:type="dxa"/>
            <w:gridSpan w:val="6"/>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Net Sales</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2382" w:type="dxa"/>
            <w:gridSpan w:val="6"/>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Operating Income</w:t>
            </w:r>
          </w:p>
        </w:tc>
        <w:tc>
          <w:tcPr>
            <w:tcW w:w="125" w:type="dxa"/>
            <w:tcBorders/>
            <w:shd w:fill="auto" w:val="clear"/>
            <w:vAlign w:val="bottom"/>
          </w:tcPr>
          <w:p>
            <w:pPr>
              <w:pStyle w:val="TableContents"/>
              <w:spacing w:before="0" w:after="283"/>
              <w:jc w:val="left"/>
              <w:rPr/>
            </w:pPr>
            <w:r>
              <w:rPr/>
              <w:t> </w:t>
            </w:r>
          </w:p>
        </w:tc>
      </w:tr>
      <w:tr>
        <w:trPr/>
        <w:tc>
          <w:tcPr>
            <w:tcW w:w="49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11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11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5" w:type="dxa"/>
            <w:tcBorders/>
            <w:shd w:fill="auto" w:val="clear"/>
            <w:vAlign w:val="bottom"/>
          </w:tcPr>
          <w:p>
            <w:pPr>
              <w:pStyle w:val="TableContents"/>
              <w:spacing w:before="0" w:after="283"/>
              <w:jc w:val="left"/>
              <w:rPr/>
            </w:pPr>
            <w:r>
              <w:rPr/>
              <w:t> </w:t>
            </w:r>
          </w:p>
        </w:tc>
      </w:tr>
      <w:tr>
        <w:trPr/>
        <w:tc>
          <w:tcPr>
            <w:tcW w:w="49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5033" w:type="dxa"/>
            <w:gridSpan w:val="14"/>
            <w:tcBorders/>
            <w:shd w:fill="auto" w:val="clear"/>
            <w:vAlign w:val="bottom"/>
          </w:tcPr>
          <w:p>
            <w:pPr>
              <w:pStyle w:val="TableContents"/>
              <w:spacing w:before="0" w:after="283"/>
              <w:jc w:val="center"/>
              <w:rPr/>
            </w:pPr>
            <w:r>
              <w:rPr/>
              <w:t> </w:t>
            </w:r>
            <w:r>
              <w:rPr>
                <w:rFonts w:ascii="times new roman" w:hAnsi="times new roman"/>
                <w:b/>
                <w:sz w:val="20"/>
              </w:rPr>
              <w:t>(in thousands)</w:t>
            </w:r>
          </w:p>
        </w:tc>
        <w:tc>
          <w:tcPr>
            <w:tcW w:w="125" w:type="dxa"/>
            <w:tcBorders/>
            <w:shd w:fill="auto" w:val="clear"/>
            <w:vAlign w:val="bottom"/>
          </w:tcPr>
          <w:p>
            <w:pPr>
              <w:pStyle w:val="TableContents"/>
              <w:spacing w:before="0" w:after="283"/>
              <w:jc w:val="left"/>
              <w:rPr/>
            </w:pPr>
            <w:r>
              <w:rPr/>
              <w:t> </w:t>
            </w:r>
          </w:p>
        </w:tc>
      </w:tr>
      <w:tr>
        <w:trPr/>
        <w:tc>
          <w:tcPr>
            <w:tcW w:w="494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Business to Business Products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37,026</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2"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34,669</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59"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81" w:name="TAB1159"/>
            <w:bookmarkEnd w:id="281"/>
            <w:r>
              <w:rPr>
                <w:rFonts w:ascii="times new roman" w:hAnsi="times new roman"/>
                <w:b/>
                <w:sz w:val="20"/>
              </w:rPr>
              <w:t>9,801</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59"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82" w:name="TAB1160"/>
            <w:bookmarkEnd w:id="282"/>
            <w:r>
              <w:rPr>
                <w:rFonts w:ascii="times new roman" w:hAnsi="times new roman"/>
                <w:b/>
                <w:sz w:val="20"/>
              </w:rPr>
              <w:t>9,757</w:t>
            </w:r>
          </w:p>
        </w:tc>
        <w:tc>
          <w:tcPr>
            <w:tcW w:w="125" w:type="dxa"/>
            <w:tcBorders/>
            <w:shd w:fill="CCEEFF" w:val="clear"/>
            <w:vAlign w:val="bottom"/>
          </w:tcPr>
          <w:p>
            <w:pPr>
              <w:pStyle w:val="TableContents"/>
              <w:spacing w:before="0" w:after="283"/>
              <w:jc w:val="left"/>
              <w:rPr/>
            </w:pPr>
            <w:r>
              <w:rPr/>
              <w:t> </w:t>
            </w:r>
          </w:p>
        </w:tc>
      </w:tr>
      <w:tr>
        <w:trPr/>
        <w:tc>
          <w:tcPr>
            <w:tcW w:w="494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Retail and Wholesale Products </w:t>
            </w:r>
          </w:p>
        </w:tc>
        <w:tc>
          <w:tcPr>
            <w:tcW w:w="104"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3" w:type="dxa"/>
            <w:tcBorders>
              <w:bottom w:val="single" w:sz="12"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83" w:name="TAB1161"/>
            <w:bookmarkEnd w:id="283"/>
            <w:r>
              <w:rPr>
                <w:rFonts w:ascii="times new roman" w:hAnsi="times new roman"/>
                <w:b/>
                <w:sz w:val="20"/>
              </w:rPr>
              <w:t>76,460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2" w:type="dxa"/>
            <w:tcBorders>
              <w:bottom w:val="single" w:sz="12"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84" w:name="TAB1162"/>
            <w:bookmarkEnd w:id="284"/>
            <w:r>
              <w:rPr>
                <w:rFonts w:ascii="times new roman" w:hAnsi="times new roman"/>
                <w:b/>
                <w:sz w:val="20"/>
              </w:rPr>
              <w:t>73,469</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85" w:name="TAB1163"/>
            <w:bookmarkEnd w:id="285"/>
            <w:r>
              <w:rPr>
                <w:rFonts w:ascii="times new roman" w:hAnsi="times new roman"/>
                <w:b/>
                <w:sz w:val="20"/>
              </w:rPr>
              <w:t>5,666</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86" w:name="TAB1164"/>
            <w:bookmarkEnd w:id="286"/>
            <w:r>
              <w:rPr>
                <w:rFonts w:ascii="times new roman" w:hAnsi="times new roman"/>
                <w:b/>
                <w:sz w:val="20"/>
              </w:rPr>
              <w:t>6,001</w:t>
            </w:r>
          </w:p>
        </w:tc>
        <w:tc>
          <w:tcPr>
            <w:tcW w:w="125" w:type="dxa"/>
            <w:tcBorders/>
            <w:shd w:fill="FFFFFF" w:val="clear"/>
            <w:vAlign w:val="bottom"/>
          </w:tcPr>
          <w:p>
            <w:pPr>
              <w:pStyle w:val="TableContents"/>
              <w:spacing w:before="0" w:after="283"/>
              <w:jc w:val="left"/>
              <w:rPr/>
            </w:pPr>
            <w:r>
              <w:rPr/>
              <w:t> </w:t>
            </w:r>
          </w:p>
        </w:tc>
      </w:tr>
      <w:tr>
        <w:trPr/>
        <w:tc>
          <w:tcPr>
            <w:tcW w:w="494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Sales/Operating Income</w:t>
            </w:r>
          </w:p>
        </w:tc>
        <w:tc>
          <w:tcPr>
            <w:tcW w:w="104"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3" w:type="dxa"/>
            <w:tcBorders>
              <w:bottom w:val="single" w:sz="12" w:space="0" w:color="000000"/>
            </w:tcBorders>
            <w:shd w:fill="CCEE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87" w:name="TAB1165"/>
            <w:bookmarkEnd w:id="287"/>
            <w:r>
              <w:rPr>
                <w:rFonts w:ascii="times new roman" w:hAnsi="times new roman"/>
                <w:b/>
                <w:sz w:val="20"/>
              </w:rPr>
              <w:t>113,486</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92" w:type="dxa"/>
            <w:tcBorders>
              <w:bottom w:val="single" w:sz="12" w:space="0" w:color="000000"/>
            </w:tcBorders>
            <w:shd w:fill="CCEE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88" w:name="TAB1166"/>
            <w:bookmarkEnd w:id="288"/>
            <w:r>
              <w:rPr>
                <w:rFonts w:ascii="times new roman" w:hAnsi="times new roman"/>
                <w:b/>
                <w:sz w:val="20"/>
              </w:rPr>
              <w:t>108,138</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59"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89" w:name="TAB1167"/>
            <w:bookmarkEnd w:id="289"/>
            <w:r>
              <w:rPr>
                <w:rFonts w:ascii="times new roman" w:hAnsi="times new roman"/>
                <w:b/>
                <w:sz w:val="20"/>
              </w:rPr>
              <w:t>15,467</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59"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90" w:name="TAB1168"/>
            <w:bookmarkEnd w:id="290"/>
            <w:r>
              <w:rPr>
                <w:rFonts w:ascii="times new roman" w:hAnsi="times new roman"/>
                <w:b/>
                <w:sz w:val="20"/>
              </w:rPr>
              <w:t>15,758</w:t>
            </w:r>
          </w:p>
        </w:tc>
        <w:tc>
          <w:tcPr>
            <w:tcW w:w="125" w:type="dxa"/>
            <w:tcBorders/>
            <w:shd w:fill="CCEEFF" w:val="clear"/>
            <w:vAlign w:val="bottom"/>
          </w:tcPr>
          <w:p>
            <w:pPr>
              <w:pStyle w:val="TableContents"/>
              <w:spacing w:before="0" w:after="283"/>
              <w:jc w:val="left"/>
              <w:rPr/>
            </w:pPr>
            <w:r>
              <w:rPr/>
              <w:t> </w:t>
            </w:r>
          </w:p>
        </w:tc>
      </w:tr>
      <w:tr>
        <w:trPr/>
        <w:tc>
          <w:tcPr>
            <w:tcW w:w="494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Less: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4943"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Corporate Expenses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59"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91" w:name="TAB1169"/>
            <w:bookmarkEnd w:id="291"/>
            <w:r>
              <w:rPr>
                <w:rFonts w:ascii="times new roman" w:hAnsi="times new roman"/>
                <w:b/>
                <w:sz w:val="20"/>
              </w:rPr>
              <w:t>8,526</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59"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92" w:name="TAB1170"/>
            <w:bookmarkEnd w:id="292"/>
            <w:r>
              <w:rPr>
                <w:rFonts w:ascii="times new roman" w:hAnsi="times new roman"/>
                <w:b/>
                <w:sz w:val="20"/>
              </w:rPr>
              <w:t>8,841</w:t>
            </w:r>
          </w:p>
        </w:tc>
        <w:tc>
          <w:tcPr>
            <w:tcW w:w="125" w:type="dxa"/>
            <w:tcBorders/>
            <w:shd w:fill="CCEEFF" w:val="clear"/>
            <w:vAlign w:val="bottom"/>
          </w:tcPr>
          <w:p>
            <w:pPr>
              <w:pStyle w:val="TableContents"/>
              <w:spacing w:before="0" w:after="283"/>
              <w:jc w:val="left"/>
              <w:rPr/>
            </w:pPr>
            <w:r>
              <w:rPr/>
              <w:t> </w:t>
            </w:r>
          </w:p>
        </w:tc>
      </w:tr>
      <w:tr>
        <w:trPr/>
        <w:tc>
          <w:tcPr>
            <w:tcW w:w="4943"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Interest Expense, net of Interest Income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93" w:name="TAB1171"/>
            <w:bookmarkEnd w:id="293"/>
            <w:r>
              <w:rPr>
                <w:rFonts w:ascii="times new roman" w:hAnsi="times new roman"/>
                <w:b/>
                <w:sz w:val="20"/>
              </w:rPr>
              <w:t>907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94" w:name="TAB1172"/>
            <w:bookmarkEnd w:id="294"/>
            <w:r>
              <w:rPr>
                <w:rFonts w:ascii="times new roman" w:hAnsi="times new roman"/>
                <w:b/>
                <w:sz w:val="20"/>
              </w:rPr>
              <w:t>641</w:t>
            </w:r>
          </w:p>
        </w:tc>
        <w:tc>
          <w:tcPr>
            <w:tcW w:w="125" w:type="dxa"/>
            <w:tcBorders/>
            <w:shd w:fill="FFFFFF" w:val="clear"/>
            <w:vAlign w:val="bottom"/>
          </w:tcPr>
          <w:p>
            <w:pPr>
              <w:pStyle w:val="TableContents"/>
              <w:spacing w:before="0" w:after="283"/>
              <w:jc w:val="left"/>
              <w:rPr/>
            </w:pPr>
            <w:r>
              <w:rPr/>
              <w:t> </w:t>
            </w:r>
          </w:p>
        </w:tc>
      </w:tr>
      <w:tr>
        <w:trPr/>
        <w:tc>
          <w:tcPr>
            <w:tcW w:w="494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Income before Income Taxes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59"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95" w:name="TAB1173"/>
            <w:bookmarkEnd w:id="295"/>
            <w:r>
              <w:rPr>
                <w:rFonts w:ascii="times new roman" w:hAnsi="times new roman"/>
                <w:b/>
                <w:sz w:val="20"/>
              </w:rPr>
              <w:t>6,034</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59"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296" w:name="TAB1174"/>
            <w:bookmarkEnd w:id="296"/>
            <w:r>
              <w:rPr>
                <w:rFonts w:ascii="times new roman" w:hAnsi="times new roman"/>
                <w:b/>
                <w:sz w:val="20"/>
              </w:rPr>
              <w:t>6,276</w:t>
            </w:r>
          </w:p>
        </w:tc>
        <w:tc>
          <w:tcPr>
            <w:tcW w:w="125" w:type="dxa"/>
            <w:tcBorders/>
            <w:shd w:fill="CCEEFF" w:val="clear"/>
            <w:vAlign w:val="bottom"/>
          </w:tcPr>
          <w:p>
            <w:pPr>
              <w:pStyle w:val="TableContents"/>
              <w:spacing w:before="0" w:after="283"/>
              <w:jc w:val="left"/>
              <w:rPr/>
            </w:pPr>
            <w:r>
              <w:rPr/>
              <w:t> </w:t>
            </w:r>
          </w:p>
        </w:tc>
      </w:tr>
      <w:tr>
        <w:trPr/>
        <w:tc>
          <w:tcPr>
            <w:tcW w:w="494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Income Taxes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97" w:name="TAB1175"/>
            <w:bookmarkEnd w:id="297"/>
            <w:r>
              <w:rPr>
                <w:rFonts w:ascii="times new roman" w:hAnsi="times new roman"/>
                <w:b/>
                <w:sz w:val="20"/>
              </w:rPr>
              <w:t>(1,738</w:t>
            </w:r>
          </w:p>
        </w:tc>
        <w:tc>
          <w:tcPr>
            <w:tcW w:w="110"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4"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98" w:name="TAB1176"/>
            <w:bookmarkEnd w:id="298"/>
            <w:r>
              <w:rPr>
                <w:rFonts w:ascii="times new roman" w:hAnsi="times new roman"/>
                <w:b/>
                <w:sz w:val="20"/>
              </w:rPr>
              <w:t>(1,820</w:t>
            </w:r>
          </w:p>
        </w:tc>
        <w:tc>
          <w:tcPr>
            <w:tcW w:w="12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r>
      <w:tr>
        <w:trPr/>
        <w:tc>
          <w:tcPr>
            <w:tcW w:w="494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59" w:type="dxa"/>
            <w:tcBorders>
              <w:bottom w:val="double" w:sz="8" w:space="0" w:color="000000"/>
            </w:tcBorders>
            <w:shd w:fill="CCEE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299" w:name="TAB1177"/>
            <w:bookmarkStart w:id="300" w:name="TAB1178"/>
            <w:bookmarkEnd w:id="299"/>
            <w:bookmarkEnd w:id="300"/>
            <w:r>
              <w:rPr>
                <w:rFonts w:ascii="times new roman" w:hAnsi="times new roman"/>
                <w:b/>
                <w:sz w:val="20"/>
              </w:rPr>
              <w:t>4,296</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59" w:type="dxa"/>
            <w:tcBorders>
              <w:bottom w:val="double" w:sz="8" w:space="0" w:color="000000"/>
            </w:tcBorders>
            <w:shd w:fill="CCEE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301" w:name="TAB1179"/>
            <w:bookmarkStart w:id="302" w:name="TAB1180"/>
            <w:bookmarkEnd w:id="301"/>
            <w:bookmarkEnd w:id="302"/>
            <w:r>
              <w:rPr>
                <w:rFonts w:ascii="times new roman" w:hAnsi="times new roman"/>
                <w:b/>
                <w:sz w:val="20"/>
              </w:rPr>
              <w:t>4,456</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38"/>
        <w:gridCol w:w="105"/>
        <w:gridCol w:w="125"/>
        <w:gridCol w:w="966"/>
        <w:gridCol w:w="105"/>
        <w:gridCol w:w="105"/>
        <w:gridCol w:w="125"/>
        <w:gridCol w:w="966"/>
        <w:gridCol w:w="105"/>
        <w:gridCol w:w="105"/>
        <w:gridCol w:w="125"/>
        <w:gridCol w:w="935"/>
        <w:gridCol w:w="110"/>
        <w:gridCol w:w="105"/>
        <w:gridCol w:w="125"/>
        <w:gridCol w:w="935"/>
        <w:gridCol w:w="125"/>
      </w:tblGrid>
      <w:tr>
        <w:trPr/>
        <w:tc>
          <w:tcPr>
            <w:tcW w:w="5038"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4937" w:type="dxa"/>
            <w:gridSpan w:val="14"/>
            <w:tcBorders>
              <w:bottom w:val="single" w:sz="12" w:space="0" w:color="000000"/>
            </w:tcBorders>
            <w:shd w:fill="auto" w:val="clear"/>
            <w:tcMar>
              <w:bottom w:w="28" w:type="dxa"/>
            </w:tcMar>
            <w:vAlign w:val="bottom"/>
          </w:tcPr>
          <w:p>
            <w:pPr>
              <w:pStyle w:val="TableContents"/>
              <w:spacing w:before="0" w:after="283"/>
              <w:jc w:val="center"/>
              <w:rPr/>
            </w:pPr>
            <w:r>
              <w:rPr/>
              <w:t xml:space="preserve">  </w:t>
            </w:r>
            <w:r>
              <w:rPr>
                <w:rFonts w:ascii="times new roman" w:hAnsi="times new roman"/>
                <w:b/>
                <w:sz w:val="20"/>
              </w:rPr>
              <w:t>Three Months Ended January 31,</w:t>
            </w:r>
          </w:p>
        </w:tc>
        <w:tc>
          <w:tcPr>
            <w:tcW w:w="125" w:type="dxa"/>
            <w:tcBorders/>
            <w:shd w:fill="auto" w:val="clear"/>
            <w:vAlign w:val="bottom"/>
          </w:tcPr>
          <w:p>
            <w:pPr>
              <w:pStyle w:val="TableContents"/>
              <w:spacing w:before="0" w:after="283"/>
              <w:jc w:val="left"/>
              <w:rPr/>
            </w:pPr>
            <w:r>
              <w:rPr/>
              <w:t> </w:t>
            </w:r>
          </w:p>
        </w:tc>
      </w:tr>
      <w:tr>
        <w:trPr/>
        <w:tc>
          <w:tcPr>
            <w:tcW w:w="5038"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239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Net Sales</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233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Operating Income</w:t>
            </w:r>
          </w:p>
        </w:tc>
        <w:tc>
          <w:tcPr>
            <w:tcW w:w="125" w:type="dxa"/>
            <w:tcBorders/>
            <w:shd w:fill="auto" w:val="clear"/>
            <w:vAlign w:val="bottom"/>
          </w:tcPr>
          <w:p>
            <w:pPr>
              <w:pStyle w:val="TableContents"/>
              <w:spacing w:before="0" w:after="283"/>
              <w:jc w:val="left"/>
              <w:rPr/>
            </w:pPr>
            <w:r>
              <w:rPr/>
              <w:t> </w:t>
            </w:r>
          </w:p>
        </w:tc>
      </w:tr>
      <w:tr>
        <w:trPr/>
        <w:tc>
          <w:tcPr>
            <w:tcW w:w="5038"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0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0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0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0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5" w:type="dxa"/>
            <w:tcBorders/>
            <w:shd w:fill="auto" w:val="clear"/>
            <w:vAlign w:val="bottom"/>
          </w:tcPr>
          <w:p>
            <w:pPr>
              <w:pStyle w:val="TableContents"/>
              <w:spacing w:before="0" w:after="283"/>
              <w:jc w:val="left"/>
              <w:rPr/>
            </w:pPr>
            <w:r>
              <w:rPr/>
              <w:t> </w:t>
            </w:r>
          </w:p>
        </w:tc>
      </w:tr>
      <w:tr>
        <w:trPr/>
        <w:tc>
          <w:tcPr>
            <w:tcW w:w="5038"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4937" w:type="dxa"/>
            <w:gridSpan w:val="14"/>
            <w:tcBorders/>
            <w:shd w:fill="auto" w:val="clear"/>
            <w:vAlign w:val="bottom"/>
          </w:tcPr>
          <w:p>
            <w:pPr>
              <w:pStyle w:val="TableContents"/>
              <w:spacing w:before="0" w:after="283"/>
              <w:jc w:val="center"/>
              <w:rPr/>
            </w:pPr>
            <w:r>
              <w:rPr/>
              <w:t xml:space="preserve">  </w:t>
            </w:r>
            <w:r>
              <w:rPr>
                <w:rFonts w:ascii="times new roman" w:hAnsi="times new roman"/>
                <w:b/>
                <w:sz w:val="20"/>
              </w:rPr>
              <w:t>(in thousands)</w:t>
            </w:r>
          </w:p>
        </w:tc>
        <w:tc>
          <w:tcPr>
            <w:tcW w:w="125" w:type="dxa"/>
            <w:tcBorders/>
            <w:shd w:fill="auto" w:val="clear"/>
            <w:vAlign w:val="bottom"/>
          </w:tcPr>
          <w:p>
            <w:pPr>
              <w:pStyle w:val="TableContents"/>
              <w:spacing w:before="0" w:after="283"/>
              <w:jc w:val="left"/>
              <w:rPr/>
            </w:pPr>
            <w:r>
              <w:rPr/>
              <w:t> </w:t>
            </w:r>
          </w:p>
        </w:tc>
      </w:tr>
      <w:tr>
        <w:trPr/>
        <w:tc>
          <w:tcPr>
            <w:tcW w:w="503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Business to Business Products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6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17,981</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6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17,892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35"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303" w:name="TAB1181"/>
            <w:bookmarkEnd w:id="303"/>
            <w:r>
              <w:rPr>
                <w:rFonts w:ascii="times new roman" w:hAnsi="times new roman"/>
                <w:b/>
                <w:sz w:val="20"/>
              </w:rPr>
              <w:t>4,513</w:t>
            </w:r>
          </w:p>
        </w:tc>
        <w:tc>
          <w:tcPr>
            <w:tcW w:w="11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35"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304" w:name="TAB1182"/>
            <w:bookmarkEnd w:id="304"/>
            <w:r>
              <w:rPr>
                <w:rFonts w:ascii="times new roman" w:hAnsi="times new roman"/>
                <w:b/>
                <w:sz w:val="20"/>
              </w:rPr>
              <w:t>5,136</w:t>
            </w:r>
          </w:p>
        </w:tc>
        <w:tc>
          <w:tcPr>
            <w:tcW w:w="125" w:type="dxa"/>
            <w:tcBorders/>
            <w:shd w:fill="CCEEFF" w:val="clear"/>
            <w:vAlign w:val="bottom"/>
          </w:tcPr>
          <w:p>
            <w:pPr>
              <w:pStyle w:val="TableContents"/>
              <w:spacing w:before="0" w:after="283"/>
              <w:jc w:val="left"/>
              <w:rPr/>
            </w:pPr>
            <w:r>
              <w:rPr/>
              <w:t> </w:t>
            </w:r>
          </w:p>
        </w:tc>
      </w:tr>
      <w:tr>
        <w:trPr/>
        <w:tc>
          <w:tcPr>
            <w:tcW w:w="503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Retail and Wholesale Products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6" w:type="dxa"/>
            <w:tcBorders>
              <w:bottom w:val="single" w:sz="12"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305" w:name="TAB1183"/>
            <w:bookmarkEnd w:id="305"/>
            <w:r>
              <w:rPr>
                <w:rFonts w:ascii="times new roman" w:hAnsi="times new roman"/>
                <w:b/>
                <w:sz w:val="20"/>
              </w:rPr>
              <w:t>39,220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6" w:type="dxa"/>
            <w:tcBorders>
              <w:bottom w:val="single" w:sz="12"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306" w:name="TAB1184"/>
            <w:bookmarkEnd w:id="306"/>
            <w:r>
              <w:rPr>
                <w:rFonts w:ascii="times new roman" w:hAnsi="times new roman"/>
                <w:b/>
                <w:sz w:val="20"/>
              </w:rPr>
              <w:t>36,842</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307" w:name="TAB1185"/>
            <w:bookmarkEnd w:id="307"/>
            <w:r>
              <w:rPr>
                <w:rFonts w:ascii="times new roman" w:hAnsi="times new roman"/>
                <w:b/>
                <w:sz w:val="20"/>
              </w:rPr>
              <w:t>2,600</w:t>
            </w:r>
          </w:p>
        </w:tc>
        <w:tc>
          <w:tcPr>
            <w:tcW w:w="11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308" w:name="TAB1186"/>
            <w:bookmarkEnd w:id="308"/>
            <w:r>
              <w:rPr>
                <w:rFonts w:ascii="times new roman" w:hAnsi="times new roman"/>
                <w:b/>
                <w:sz w:val="20"/>
              </w:rPr>
              <w:t>2,897</w:t>
            </w:r>
          </w:p>
        </w:tc>
        <w:tc>
          <w:tcPr>
            <w:tcW w:w="125" w:type="dxa"/>
            <w:tcBorders/>
            <w:shd w:fill="FFFFFF" w:val="clear"/>
            <w:vAlign w:val="bottom"/>
          </w:tcPr>
          <w:p>
            <w:pPr>
              <w:pStyle w:val="TableContents"/>
              <w:spacing w:before="0" w:after="283"/>
              <w:jc w:val="left"/>
              <w:rPr/>
            </w:pPr>
            <w:r>
              <w:rPr/>
              <w:t> </w:t>
            </w:r>
          </w:p>
        </w:tc>
      </w:tr>
      <w:tr>
        <w:trPr/>
        <w:tc>
          <w:tcPr>
            <w:tcW w:w="503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66" w:type="dxa"/>
            <w:tcBorders>
              <w:bottom w:val="single" w:sz="12" w:space="0" w:color="000000"/>
            </w:tcBorders>
            <w:shd w:fill="CCEE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309" w:name="TAB1187"/>
            <w:bookmarkEnd w:id="309"/>
            <w:r>
              <w:rPr>
                <w:rFonts w:ascii="times new roman" w:hAnsi="times new roman"/>
                <w:b/>
                <w:sz w:val="20"/>
              </w:rPr>
              <w:t>57,201</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66" w:type="dxa"/>
            <w:tcBorders>
              <w:bottom w:val="single" w:sz="12" w:space="0" w:color="000000"/>
            </w:tcBorders>
            <w:shd w:fill="CCEE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310" w:name="TAB1188"/>
            <w:bookmarkEnd w:id="310"/>
            <w:r>
              <w:rPr>
                <w:rFonts w:ascii="times new roman" w:hAnsi="times new roman"/>
                <w:b/>
                <w:sz w:val="20"/>
              </w:rPr>
              <w:t>54,734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311" w:name="TAB1189"/>
            <w:bookmarkEnd w:id="311"/>
            <w:r>
              <w:rPr>
                <w:rFonts w:ascii="times new roman" w:hAnsi="times new roman"/>
                <w:b/>
                <w:sz w:val="20"/>
              </w:rPr>
              <w:t>7,113</w:t>
            </w:r>
          </w:p>
        </w:tc>
        <w:tc>
          <w:tcPr>
            <w:tcW w:w="11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312" w:name="TAB1190"/>
            <w:bookmarkEnd w:id="312"/>
            <w:r>
              <w:rPr>
                <w:rFonts w:ascii="times new roman" w:hAnsi="times new roman"/>
                <w:b/>
                <w:sz w:val="20"/>
              </w:rPr>
              <w:t>8,033</w:t>
            </w:r>
          </w:p>
        </w:tc>
        <w:tc>
          <w:tcPr>
            <w:tcW w:w="125" w:type="dxa"/>
            <w:tcBorders/>
            <w:shd w:fill="CCEEFF" w:val="clear"/>
            <w:vAlign w:val="bottom"/>
          </w:tcPr>
          <w:p>
            <w:pPr>
              <w:pStyle w:val="TableContents"/>
              <w:spacing w:before="0" w:after="283"/>
              <w:jc w:val="left"/>
              <w:rPr/>
            </w:pPr>
            <w:r>
              <w:rPr/>
              <w:t> </w:t>
            </w:r>
          </w:p>
        </w:tc>
      </w:tr>
      <w:tr>
        <w:trPr/>
        <w:tc>
          <w:tcPr>
            <w:tcW w:w="503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Less: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038"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Corporate Expenses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313" w:name="TAB1191"/>
            <w:bookmarkEnd w:id="313"/>
            <w:r>
              <w:rPr>
                <w:rFonts w:ascii="times new roman" w:hAnsi="times new roman"/>
                <w:b/>
                <w:sz w:val="20"/>
              </w:rPr>
              <w:t>4,044</w:t>
            </w:r>
          </w:p>
        </w:tc>
        <w:tc>
          <w:tcPr>
            <w:tcW w:w="11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314" w:name="TAB1192"/>
            <w:bookmarkEnd w:id="314"/>
            <w:r>
              <w:rPr>
                <w:rFonts w:ascii="times new roman" w:hAnsi="times new roman"/>
                <w:b/>
                <w:sz w:val="20"/>
              </w:rPr>
              <w:t>4,505</w:t>
            </w:r>
          </w:p>
        </w:tc>
        <w:tc>
          <w:tcPr>
            <w:tcW w:w="125" w:type="dxa"/>
            <w:tcBorders/>
            <w:shd w:fill="CCEEFF" w:val="clear"/>
            <w:vAlign w:val="bottom"/>
          </w:tcPr>
          <w:p>
            <w:pPr>
              <w:pStyle w:val="TableContents"/>
              <w:spacing w:before="0" w:after="283"/>
              <w:jc w:val="left"/>
              <w:rPr/>
            </w:pPr>
            <w:r>
              <w:rPr/>
              <w:t> </w:t>
            </w:r>
          </w:p>
        </w:tc>
      </w:tr>
      <w:tr>
        <w:trPr/>
        <w:tc>
          <w:tcPr>
            <w:tcW w:w="5038"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Interest Expense, net of Interest Income</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315" w:name="TAB1193"/>
            <w:bookmarkEnd w:id="315"/>
            <w:r>
              <w:rPr>
                <w:rFonts w:ascii="times new roman" w:hAnsi="times new roman"/>
                <w:b/>
                <w:sz w:val="20"/>
              </w:rPr>
              <w:t>515</w:t>
            </w:r>
          </w:p>
        </w:tc>
        <w:tc>
          <w:tcPr>
            <w:tcW w:w="11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316" w:name="TAB1194"/>
            <w:bookmarkEnd w:id="316"/>
            <w:r>
              <w:rPr>
                <w:rFonts w:ascii="times new roman" w:hAnsi="times new roman"/>
                <w:b/>
                <w:sz w:val="20"/>
              </w:rPr>
              <w:t>307</w:t>
            </w:r>
          </w:p>
        </w:tc>
        <w:tc>
          <w:tcPr>
            <w:tcW w:w="125" w:type="dxa"/>
            <w:tcBorders/>
            <w:shd w:fill="FFFFFF" w:val="clear"/>
            <w:vAlign w:val="bottom"/>
          </w:tcPr>
          <w:p>
            <w:pPr>
              <w:pStyle w:val="TableContents"/>
              <w:spacing w:before="0" w:after="283"/>
              <w:jc w:val="left"/>
              <w:rPr/>
            </w:pPr>
            <w:r>
              <w:rPr/>
              <w:t> </w:t>
            </w:r>
          </w:p>
        </w:tc>
      </w:tr>
      <w:tr>
        <w:trPr/>
        <w:tc>
          <w:tcPr>
            <w:tcW w:w="503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Income before Income Taxes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317" w:name="TAB1195"/>
            <w:bookmarkEnd w:id="317"/>
            <w:r>
              <w:rPr>
                <w:rFonts w:ascii="times new roman" w:hAnsi="times new roman"/>
                <w:b/>
                <w:sz w:val="20"/>
              </w:rPr>
              <w:t>2,554</w:t>
            </w:r>
          </w:p>
        </w:tc>
        <w:tc>
          <w:tcPr>
            <w:tcW w:w="11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ind w:left="240" w:right="0" w:hanging="0"/>
              <w:jc w:val="right"/>
              <w:rPr>
                <w:rFonts w:ascii="times new roman" w:hAnsi="times new roman"/>
                <w:b/>
                <w:sz w:val="20"/>
              </w:rPr>
            </w:pPr>
            <w:bookmarkStart w:id="318" w:name="TAB1196"/>
            <w:bookmarkEnd w:id="318"/>
            <w:r>
              <w:rPr>
                <w:rFonts w:ascii="times new roman" w:hAnsi="times new roman"/>
                <w:b/>
                <w:sz w:val="20"/>
              </w:rPr>
              <w:t>3,221</w:t>
            </w:r>
          </w:p>
        </w:tc>
        <w:tc>
          <w:tcPr>
            <w:tcW w:w="125" w:type="dxa"/>
            <w:tcBorders/>
            <w:shd w:fill="CCEEFF" w:val="clear"/>
            <w:vAlign w:val="bottom"/>
          </w:tcPr>
          <w:p>
            <w:pPr>
              <w:pStyle w:val="TableContents"/>
              <w:spacing w:before="0" w:after="283"/>
              <w:jc w:val="left"/>
              <w:rPr/>
            </w:pPr>
            <w:r>
              <w:rPr/>
              <w:t> </w:t>
            </w:r>
          </w:p>
        </w:tc>
      </w:tr>
      <w:tr>
        <w:trPr/>
        <w:tc>
          <w:tcPr>
            <w:tcW w:w="503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Income Taxes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319" w:name="TAB1197"/>
            <w:bookmarkEnd w:id="319"/>
            <w:r>
              <w:rPr>
                <w:rFonts w:ascii="times new roman" w:hAnsi="times new roman"/>
                <w:b/>
                <w:sz w:val="20"/>
              </w:rPr>
              <w:t>(777</w:t>
            </w:r>
          </w:p>
        </w:tc>
        <w:tc>
          <w:tcPr>
            <w:tcW w:w="110"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320" w:name="TAB1198"/>
            <w:bookmarkEnd w:id="320"/>
            <w:r>
              <w:rPr>
                <w:rFonts w:ascii="times new roman" w:hAnsi="times new roman"/>
                <w:b/>
                <w:sz w:val="20"/>
              </w:rPr>
              <w:t>(959</w:t>
            </w:r>
          </w:p>
        </w:tc>
        <w:tc>
          <w:tcPr>
            <w:tcW w:w="12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r>
      <w:tr>
        <w:trPr/>
        <w:tc>
          <w:tcPr>
            <w:tcW w:w="503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35" w:type="dxa"/>
            <w:tcBorders>
              <w:bottom w:val="double" w:sz="8" w:space="0" w:color="000000"/>
            </w:tcBorders>
            <w:shd w:fill="CCEE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321" w:name="TAB1199"/>
            <w:bookmarkStart w:id="322" w:name="TAB1200"/>
            <w:bookmarkEnd w:id="321"/>
            <w:bookmarkEnd w:id="322"/>
            <w:r>
              <w:rPr>
                <w:rFonts w:ascii="times new roman" w:hAnsi="times new roman"/>
                <w:b/>
                <w:sz w:val="20"/>
              </w:rPr>
              <w:t>1,777</w:t>
            </w:r>
          </w:p>
        </w:tc>
        <w:tc>
          <w:tcPr>
            <w:tcW w:w="11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35" w:type="dxa"/>
            <w:tcBorders>
              <w:bottom w:val="double" w:sz="8" w:space="0" w:color="000000"/>
            </w:tcBorders>
            <w:shd w:fill="CCEEFF" w:val="clear"/>
            <w:tcMar>
              <w:bottom w:w="28" w:type="dxa"/>
            </w:tcMar>
            <w:vAlign w:val="bottom"/>
          </w:tcPr>
          <w:p>
            <w:pPr>
              <w:pStyle w:val="TableContents"/>
              <w:spacing w:before="0" w:after="283"/>
              <w:ind w:left="240" w:right="0" w:hanging="0"/>
              <w:jc w:val="right"/>
              <w:rPr>
                <w:rFonts w:ascii="times new roman" w:hAnsi="times new roman"/>
                <w:b/>
                <w:sz w:val="20"/>
              </w:rPr>
            </w:pPr>
            <w:bookmarkStart w:id="323" w:name="TAB1201"/>
            <w:bookmarkStart w:id="324" w:name="TAB1202"/>
            <w:bookmarkEnd w:id="323"/>
            <w:bookmarkEnd w:id="324"/>
            <w:r>
              <w:rPr>
                <w:rFonts w:ascii="times new roman" w:hAnsi="times new roman"/>
                <w:b/>
                <w:sz w:val="20"/>
              </w:rPr>
              <w:t>2,262</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7.</w:t>
      </w:r>
      <w:bookmarkStart w:id="325" w:name="TAB25"/>
      <w:bookmarkEnd w:id="325"/>
      <w:r>
        <w:rPr>
          <w:color w:val="000000"/>
          <w:spacing w:val="180"/>
        </w:rPr>
        <w:t> </w:t>
      </w:r>
      <w:r>
        <w:rPr>
          <w:rFonts w:ascii="Times New Roman" w:hAnsi="Times New Roman"/>
          <w:b/>
          <w:sz w:val="20"/>
        </w:rPr>
        <w:t>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Stock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was from authorized but unissued stock.  All restricted stock issued was from treasury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Oil-Dri Corporation of America 2006 Long Term Incentive Plan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In addition, 227,115 restricted shares have been issued under the 2006 Plan.</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6" w:name="PGBRK12"/>
      <w:bookmarkStart w:id="327" w:name="PGBRK12"/>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8" w:name="FTR12"/>
      <w:bookmarkStart w:id="329" w:name="FTR12"/>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0" w:name="GLFTR12"/>
      <w:bookmarkEnd w:id="3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1" w:name="PN12"/>
      <w:bookmarkEnd w:id="331"/>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2" w:name="HDR12"/>
      <w:bookmarkStart w:id="333" w:name="HDR12"/>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4" w:name="GLHDR12"/>
      <w:bookmarkEnd w:id="3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The Oil-Dri Corporation of America Outside Director Stock Plan (the “Directors’ Plan”) provides f</w:t>
      </w:r>
      <w:bookmarkStart w:id="335" w:name="15"/>
      <w:bookmarkEnd w:id="335"/>
      <w:r>
        <w:rPr>
          <w:rFonts w:ascii="Times New Roman" w:hAnsi="Times New Roman"/>
          <w:sz w:val="20"/>
        </w:rPr>
        <w:t>or grants of stock options to our directors at an option price per share of 100% of the fair market value of Common Stock on the date of grant.  Stock options have been granted to our directors for a 10-year term with a one year vesting period.  There are 18,750 stock options outstanding as of January 31, 2011 and no stock options are available for future grants under this plan.  All stock issued under this plan was from treasury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stock options were granted in the first six months of fiscal years 2011 or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Changes in our stock options during the first six months of fiscal 2011 were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47"/>
        <w:gridCol w:w="107"/>
        <w:gridCol w:w="148"/>
        <w:gridCol w:w="1076"/>
        <w:gridCol w:w="119"/>
        <w:gridCol w:w="107"/>
        <w:gridCol w:w="172"/>
        <w:gridCol w:w="1034"/>
        <w:gridCol w:w="107"/>
        <w:gridCol w:w="107"/>
        <w:gridCol w:w="177"/>
        <w:gridCol w:w="1129"/>
        <w:gridCol w:w="107"/>
        <w:gridCol w:w="107"/>
        <w:gridCol w:w="177"/>
        <w:gridCol w:w="1056"/>
        <w:gridCol w:w="128"/>
      </w:tblGrid>
      <w:tr>
        <w:trPr/>
        <w:tc>
          <w:tcPr>
            <w:tcW w:w="434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Shares (in thousands)</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Exercise Price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Remaining Contractual Term (Years)</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Aggregate Intrinsic Value (in thousands)</w:t>
            </w:r>
          </w:p>
        </w:tc>
        <w:tc>
          <w:tcPr>
            <w:tcW w:w="128" w:type="dxa"/>
            <w:tcBorders/>
            <w:shd w:fill="auto" w:val="clear"/>
            <w:vAlign w:val="bottom"/>
          </w:tcPr>
          <w:p>
            <w:pPr>
              <w:pStyle w:val="TableContents"/>
              <w:spacing w:before="0" w:after="283"/>
              <w:jc w:val="left"/>
              <w:rPr/>
            </w:pPr>
            <w:r>
              <w:rPr/>
              <w:t> </w:t>
            </w:r>
          </w:p>
        </w:tc>
      </w:tr>
      <w:tr>
        <w:trPr/>
        <w:tc>
          <w:tcPr>
            <w:tcW w:w="43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July 31, 2010</w:t>
            </w:r>
          </w:p>
        </w:tc>
        <w:tc>
          <w:tcPr>
            <w:tcW w:w="107" w:type="dxa"/>
            <w:tcBorders/>
            <w:shd w:fill="CCEEFF" w:val="clear"/>
            <w:vAlign w:val="bottom"/>
          </w:tcPr>
          <w:p>
            <w:pPr>
              <w:pStyle w:val="TableContents"/>
              <w:spacing w:before="0" w:after="283"/>
              <w:jc w:val="right"/>
              <w:rPr/>
            </w:pPr>
            <w:r>
              <w:rPr/>
              <w:t> </w:t>
            </w:r>
          </w:p>
        </w:tc>
        <w:tc>
          <w:tcPr>
            <w:tcW w:w="148"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327</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pPr>
            <w:r>
              <w:rPr/>
              <w:t> </w:t>
            </w:r>
          </w:p>
        </w:tc>
        <w:tc>
          <w:tcPr>
            <w:tcW w:w="11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3,934</w:t>
            </w:r>
          </w:p>
        </w:tc>
        <w:tc>
          <w:tcPr>
            <w:tcW w:w="128" w:type="dxa"/>
            <w:tcBorders/>
            <w:shd w:fill="CCEEFF" w:val="clear"/>
            <w:vAlign w:val="bottom"/>
          </w:tcPr>
          <w:p>
            <w:pPr>
              <w:pStyle w:val="TableContents"/>
              <w:spacing w:before="0" w:after="283"/>
              <w:jc w:val="left"/>
              <w:rPr/>
            </w:pPr>
            <w:r>
              <w:rPr/>
              <w:t> </w:t>
            </w:r>
          </w:p>
        </w:tc>
      </w:tr>
      <w:tr>
        <w:trPr/>
        <w:tc>
          <w:tcPr>
            <w:tcW w:w="43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07" w:type="dxa"/>
            <w:tcBorders/>
            <w:shd w:fill="FFFFFF" w:val="clear"/>
            <w:vAlign w:val="bottom"/>
          </w:tcPr>
          <w:p>
            <w:pPr>
              <w:pStyle w:val="TableContents"/>
              <w:spacing w:before="0" w:after="283"/>
              <w:jc w:val="right"/>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7.92</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1129"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128" w:type="dxa"/>
            <w:tcBorders/>
            <w:shd w:fill="FFFFFF" w:val="clear"/>
            <w:vAlign w:val="bottom"/>
          </w:tcPr>
          <w:p>
            <w:pPr>
              <w:pStyle w:val="TableContents"/>
              <w:spacing w:before="0" w:after="283"/>
              <w:jc w:val="left"/>
              <w:rPr/>
            </w:pPr>
            <w:r>
              <w:rPr/>
              <w:t> </w:t>
            </w:r>
          </w:p>
        </w:tc>
      </w:tr>
      <w:tr>
        <w:trPr/>
        <w:tc>
          <w:tcPr>
            <w:tcW w:w="43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January 31, 2011</w:t>
            </w:r>
          </w:p>
        </w:tc>
        <w:tc>
          <w:tcPr>
            <w:tcW w:w="107" w:type="dxa"/>
            <w:tcBorders/>
            <w:shd w:fill="CCEEFF" w:val="clear"/>
            <w:vAlign w:val="bottom"/>
          </w:tcPr>
          <w:p>
            <w:pPr>
              <w:pStyle w:val="TableContents"/>
              <w:spacing w:before="0" w:after="283"/>
              <w:jc w:val="right"/>
              <w:rPr/>
            </w:pPr>
            <w:r>
              <w:rPr/>
              <w:t> </w:t>
            </w:r>
          </w:p>
        </w:tc>
        <w:tc>
          <w:tcPr>
            <w:tcW w:w="14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258</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10.39</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pPr>
            <w:r>
              <w:rPr/>
              <w:t> </w:t>
            </w:r>
          </w:p>
        </w:tc>
        <w:tc>
          <w:tcPr>
            <w:tcW w:w="11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2,243</w:t>
            </w:r>
          </w:p>
        </w:tc>
        <w:tc>
          <w:tcPr>
            <w:tcW w:w="128" w:type="dxa"/>
            <w:tcBorders/>
            <w:shd w:fill="CCEEFF" w:val="clear"/>
            <w:vAlign w:val="bottom"/>
          </w:tcPr>
          <w:p>
            <w:pPr>
              <w:pStyle w:val="TableContents"/>
              <w:spacing w:before="0" w:after="283"/>
              <w:jc w:val="left"/>
              <w:rPr/>
            </w:pPr>
            <w:r>
              <w:rPr/>
              <w:t> </w:t>
            </w:r>
          </w:p>
        </w:tc>
      </w:tr>
      <w:tr>
        <w:trPr/>
        <w:tc>
          <w:tcPr>
            <w:tcW w:w="43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exercisable, January 31, 2011</w:t>
            </w:r>
          </w:p>
        </w:tc>
        <w:tc>
          <w:tcPr>
            <w:tcW w:w="107" w:type="dxa"/>
            <w:tcBorders/>
            <w:shd w:fill="FFFFFF" w:val="clear"/>
            <w:vAlign w:val="bottom"/>
          </w:tcPr>
          <w:p>
            <w:pPr>
              <w:pStyle w:val="TableContents"/>
              <w:spacing w:before="0" w:after="283"/>
              <w:jc w:val="right"/>
              <w:rPr/>
            </w:pPr>
            <w:r>
              <w:rPr/>
              <w:t> </w:t>
            </w:r>
          </w:p>
        </w:tc>
        <w:tc>
          <w:tcPr>
            <w:tcW w:w="14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7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10.26</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left"/>
              <w:rPr/>
            </w:pPr>
            <w:r>
              <w:rPr/>
              <w:t> </w:t>
            </w:r>
          </w:p>
        </w:tc>
        <w:tc>
          <w:tcPr>
            <w:tcW w:w="11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2,233</w:t>
            </w:r>
          </w:p>
        </w:tc>
        <w:tc>
          <w:tcPr>
            <w:tcW w:w="12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amount of cash received from the exercise of stock options during the second quarter of fiscal 2011 was $255,000 and the related tax benefit was $114,000.  The amount of cash received from the exercise of stock options during the second quarter of fiscal 2010 was $296,000 and the related tax benefit was $93,000.  The amount of cash received from the exercise of stock options during the first six months of fiscal 2011 was $549,000 and the related tax benefit was $268,000.  The amount of cash received from the exercise of stock options during the first six months of fiscal 2010 was $350,000 and the related tax benefit was $99,000.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Restricted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1995 Plan and 2006 Plan both provide for grants of restricted stock.  The vesting schedule under the 1995 Plan has varied, but has generally been three years or less.  Grants issued under the 2006 Plan to date have vesting periods between two and five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the 2006 Plan, no new restricted shares of common stock were granted in the second quarter of either fiscal 2011 or fiscal 2010.  In the first six months of fiscal 2011, 129,933 restricted shares of Class B Stock and 2,000 restricted shares of Common Stock were granted.  In the first six months of fiscal 2010, 5,182 restricted shares of Class B Stock were granted.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Included in our stock-based compensation expense in the second quarter of fiscal years 2011 and 2010 was $187,000 and $79,000, respectively, related to unvested restricted stock.  In the first six months of fiscal years 2011 and 2010, the expense related to the unvested restricted stock was $308,000 and $151,000, respectively.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Changes in our restricted stock outstanding during the first six months of fiscal 2011 were as follows:</w:t>
      </w:r>
    </w:p>
    <w:p>
      <w:pPr>
        <w:pStyle w:val="TextBody"/>
        <w:spacing w:before="0" w:after="0"/>
        <w:ind w:left="0" w:right="0" w:hanging="0"/>
        <w:rPr/>
      </w:pPr>
      <w:r>
        <w:rPr/>
      </w:r>
    </w:p>
    <w:tbl>
      <w:tblPr>
        <w:tblW w:w="2500" w:type="pct"/>
        <w:jc w:val="left"/>
        <w:tblInd w:w="0" w:type="dxa"/>
        <w:tblCellMar>
          <w:top w:w="0" w:type="dxa"/>
          <w:left w:w="0" w:type="dxa"/>
          <w:bottom w:w="0" w:type="dxa"/>
          <w:right w:w="0" w:type="dxa"/>
        </w:tblCellMar>
      </w:tblPr>
      <w:tblGrid>
        <w:gridCol w:w="2472"/>
        <w:gridCol w:w="90"/>
        <w:gridCol w:w="139"/>
        <w:gridCol w:w="991"/>
        <w:gridCol w:w="104"/>
        <w:gridCol w:w="90"/>
        <w:gridCol w:w="167"/>
        <w:gridCol w:w="942"/>
        <w:gridCol w:w="107"/>
      </w:tblGrid>
      <w:tr>
        <w:trPr/>
        <w:tc>
          <w:tcPr>
            <w:tcW w:w="2472"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Restricted Shares</w:t>
            </w:r>
          </w:p>
          <w:p>
            <w:pPr>
              <w:pStyle w:val="TableContents"/>
              <w:spacing w:before="0" w:after="0"/>
              <w:ind w:left="0" w:right="0" w:hanging="0"/>
              <w:jc w:val="center"/>
              <w:rPr>
                <w:rFonts w:ascii="times new roman" w:hAnsi="times new roman"/>
                <w:sz w:val="20"/>
              </w:rPr>
            </w:pPr>
            <w:r>
              <w:rPr>
                <w:rFonts w:ascii="times new roman" w:hAnsi="times new roman"/>
                <w:sz w:val="20"/>
              </w:rPr>
              <w:t>(in thousands)</w:t>
            </w:r>
          </w:p>
        </w:tc>
        <w:tc>
          <w:tcPr>
            <w:tcW w:w="104"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Grant Date Fair Value</w:t>
            </w:r>
          </w:p>
        </w:tc>
        <w:tc>
          <w:tcPr>
            <w:tcW w:w="107" w:type="dxa"/>
            <w:tcBorders/>
            <w:shd w:fill="auto" w:val="clear"/>
            <w:vAlign w:val="bottom"/>
          </w:tcPr>
          <w:p>
            <w:pPr>
              <w:pStyle w:val="TableContents"/>
              <w:spacing w:before="0" w:after="283"/>
              <w:jc w:val="left"/>
              <w:rPr/>
            </w:pPr>
            <w:r>
              <w:rPr/>
              <w:t> </w:t>
            </w:r>
          </w:p>
        </w:tc>
      </w:tr>
      <w:tr>
        <w:trPr/>
        <w:tc>
          <w:tcPr>
            <w:tcW w:w="24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Unvested restricted stock at July 31, 2010</w:t>
            </w:r>
          </w:p>
        </w:tc>
        <w:tc>
          <w:tcPr>
            <w:tcW w:w="9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15.31</w:t>
            </w:r>
          </w:p>
        </w:tc>
        <w:tc>
          <w:tcPr>
            <w:tcW w:w="107" w:type="dxa"/>
            <w:tcBorders/>
            <w:shd w:fill="CCEEFF" w:val="clear"/>
            <w:vAlign w:val="bottom"/>
          </w:tcPr>
          <w:p>
            <w:pPr>
              <w:pStyle w:val="TableContents"/>
              <w:spacing w:before="0" w:after="283"/>
              <w:jc w:val="left"/>
              <w:rPr/>
            </w:pPr>
            <w:r>
              <w:rPr/>
              <w:t> </w:t>
            </w:r>
          </w:p>
        </w:tc>
      </w:tr>
      <w:tr>
        <w:trPr/>
        <w:tc>
          <w:tcPr>
            <w:tcW w:w="24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Vested</w:t>
            </w:r>
          </w:p>
        </w:tc>
        <w:tc>
          <w:tcPr>
            <w:tcW w:w="9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15.37</w:t>
            </w:r>
          </w:p>
        </w:tc>
        <w:tc>
          <w:tcPr>
            <w:tcW w:w="107" w:type="dxa"/>
            <w:tcBorders/>
            <w:shd w:fill="FFFFFF" w:val="clear"/>
            <w:vAlign w:val="bottom"/>
          </w:tcPr>
          <w:p>
            <w:pPr>
              <w:pStyle w:val="TableContents"/>
              <w:spacing w:before="0" w:after="283"/>
              <w:jc w:val="left"/>
              <w:rPr/>
            </w:pPr>
            <w:r>
              <w:rPr/>
              <w:t> </w:t>
            </w:r>
          </w:p>
        </w:tc>
      </w:tr>
      <w:tr>
        <w:trPr/>
        <w:tc>
          <w:tcPr>
            <w:tcW w:w="247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shd w:fill="CCEEFF" w:val="clear"/>
            <w:vAlign w:val="bottom"/>
          </w:tcPr>
          <w:p>
            <w:pPr>
              <w:pStyle w:val="TableContents"/>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21.81</w:t>
            </w:r>
          </w:p>
        </w:tc>
        <w:tc>
          <w:tcPr>
            <w:tcW w:w="107" w:type="dxa"/>
            <w:tcBorders/>
            <w:shd w:fill="CCEEFF" w:val="clear"/>
            <w:vAlign w:val="bottom"/>
          </w:tcPr>
          <w:p>
            <w:pPr>
              <w:pStyle w:val="TableContents"/>
              <w:spacing w:before="0" w:after="283"/>
              <w:jc w:val="left"/>
              <w:rPr/>
            </w:pPr>
            <w:r>
              <w:rPr/>
              <w:t> </w:t>
            </w:r>
          </w:p>
        </w:tc>
      </w:tr>
      <w:tr>
        <w:trPr/>
        <w:tc>
          <w:tcPr>
            <w:tcW w:w="247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Unvested restricted stock at January 31, 2011</w:t>
            </w:r>
          </w:p>
        </w:tc>
        <w:tc>
          <w:tcPr>
            <w:tcW w:w="90"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21.55</w:t>
            </w:r>
          </w:p>
        </w:tc>
        <w:tc>
          <w:tcPr>
            <w:tcW w:w="107"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6" w:name="PGBRK13"/>
      <w:bookmarkStart w:id="337" w:name="PGBRK13"/>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8" w:name="FTR13"/>
      <w:bookmarkStart w:id="339" w:name="FTR13"/>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0" w:name="GLFTR13"/>
      <w:bookmarkEnd w:id="3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1" w:name="PN13"/>
      <w:bookmarkEnd w:id="341"/>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2" w:name="HDR13"/>
      <w:bookmarkStart w:id="343" w:name="HDR13"/>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4" w:name="GLHDR13"/>
      <w:bookmarkEnd w:id="3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both"/>
        <w:rPr/>
      </w:pPr>
      <w:r>
        <w:rPr>
          <w:rFonts w:ascii="Times New Roman" w:hAnsi="Times New Roman"/>
          <w:b/>
          <w:sz w:val="20"/>
        </w:rPr>
        <w:t>ITEM 2.     MANAGEMENT’S DISCUSSION AND ANAL</w:t>
      </w:r>
      <w:bookmarkStart w:id="345" w:name="16"/>
      <w:bookmarkEnd w:id="345"/>
      <w:r>
        <w:rPr>
          <w:rFonts w:ascii="Times New Roman" w:hAnsi="Times New Roman"/>
          <w:b/>
          <w:sz w:val="20"/>
        </w:rPr>
        <w:t>YSIS OF FINANCIAL CONDITION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2010.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develop, manufacture and market sorbent products principally produced from clay minerals and, to a lesser extent, other sorbent materials.  Our principal products include cat litter, industrial and automotive absorbents, bleaching clay and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6 of the unaudited condensed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the result of a change in management organization in fiscal 2011, our sports field products are now included in the Retail and Wholesale Products Group.  Prior year segment net sales and operating income have been restated to reflect this change.  The organization change was intended to better serve our customers and the segment information presented reflects the information regularly reviewed by our chief operating decision maker.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SIX MONTHS ENDED JANUARY 31, 2011 COMPARED TO</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SIX MONTHS ENDED JANUARY 31,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Consolidated net sales for the six months ended January 31, 2011 were $113,486,000, an increase of 5% from net sales of $108,138,000 in the first six months of fiscal 2010.  Net income for the first six months of fiscal 2011 was $4,296,000, a decrease of 4% from net income of $4,456,000 in the first six months of fiscal 2010.  Diluted net income per share for the first six months of fiscal 2011 was $0.60 compared to $0.61 for the first six months of fiscal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income for the first six months of fiscal 2011 was negatively impacted by higher costs for freight, materials and packaging and selling, general and administrative expenses; however, the unfavorable impact was lessened by an increased proportion of sales from products with a higher net selling price and a lower cost for fuel used in our manufacturing processes.  The change in selling, general and administrative expenses is described in the operating segments and consolidated results discussions below.  Freight costs increased due to higher diesel fuel prices.  Materials costs increased due to higher non-fuel manufacturing costs, as discussed in the consolidated results below, which were partially offset by lower fuel costs in our manufacturing processes.  Packaging costs increased due to fluctuations in the resin and paper markets.  The Business to Business Products Group’s segment operating income improved slightly due to a higher average net selling price and a greater proportion of sales from higher priced products, which was mostly offset by the negative impact of higher costs.  The Retail and Wholesale Products Group’s segment operating income decreased due to higher costs and weak performance of our foreign subsidiaries, which outweighed the benefit of a greater proportion of sales from higher priced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BUSINESS TO BUSINESS PRODUCTS GROUP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of the Business to Business Products Group for the first six months of fiscal 2011 were $37,026,000, an increase of $2,357,000, or 7%, from net sales of $34,669,000 in the first six months of fiscal 2010.  The Group benefited from a higher average net selling price and an increased proportion of sales from higher priced products, which more than offset a 1% decline in tons sold.  Net sales and tons sold were up for fluid purification products and agricultural chemical carriers, but were down for animal health and nutrition products and co-packaged cat litter.  Net sales of fluid purification products increased 13% with 12% more tons sold in the first six months of fiscal 2011 compared to the first six months of fiscal 2010.  Export sales improved for fluid purification products used in palm oil and other edible oil processing.  Net sales of agricultural chemical carrier products increased 13% with 2% more tons sold.  Agricultural chemical carrier sales benefited from a greater proportion of sales from higher priced products.  The higher net sales in the first six months of fiscal 2011 also reflected a return to more historical levels of tons sold.  Sales were comparably lower in the first six months of fiscal 2010 as high customer inventory levels contributed to lower demand for our products.  Our co-packaged traditional coarse cat litter net sales decreased 5% due to the continued decline of the coarse cat litter market as a whole.  Animal health and nutrition products net sales and tons sold declined slightly compared to the first six months of fiscal 2010.</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6" w:name="PGBRK14"/>
      <w:bookmarkStart w:id="347" w:name="PGBRK14"/>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8" w:name="FTR14"/>
      <w:bookmarkStart w:id="349" w:name="FTR14"/>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0" w:name="GLFTR14"/>
      <w:bookmarkEnd w:id="3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1" w:name="PN14"/>
      <w:bookmarkEnd w:id="351"/>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 w:name="HDR14"/>
      <w:bookmarkStart w:id="353" w:name="HDR14"/>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4" w:name="GLHDR14"/>
      <w:bookmarkEnd w:id="3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The Business to Business Products Group’s segment operating income for the first six months of fiscal 2011 was $9,801,000, an increase of $44,000 from operating income of $9,757,000 in the first six months of fiscal 2010.  This increase was driven by the higher sales described above, which were partially offset by higher costs.  The Group’s combined freight, materials and packaging costs increased approximately 13% compared to the first six months of fiscal 2010.  Freight costs increased approximately 20% due primarily to higher diesel fuel prices and increased export sales.  Material costs increased approximately 10% as higher non-fuel manufacturing costs more than offset the lower cost of fuel used in our manufacturing processes.  See the discussion of manufacturing costs under Consolidated Results below.  Packaging costs also increased 15% due to fluctuations in the price of paper and resin.  Selling, general and administrative expenses for the Group were up 6% compared to the first six months of fiscal 2010 due primarily to increased advertising and travel to promote our animal health and nutrition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RETAIL AND WHOLESALE PRODUCTS GROUP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of the Retail and Wholesale Products Group for the first six months of fiscal 2011were $76,460,000, an increase of $2,991,000, or 4%, from net sales of $73,469,000 reported in the first six months of fiscal 2010.  The increase in net sales was driven by higher sales of cat litter and industrial absorbents.  These increases outweighed a decrease in sales by our foreign subsidiaries, which is described under Foreign Operations below.  Cat litter net sales increased approximately 6% due to a greater proportion of sales from products with a higher net selling price and lower trade spending for product promotion, which is deducted from net sales.  Net sales of branded cat litter increased approximately 16% due to 13% more tons sold and lower trade spending.  Our branded cat litter net sales increased at Wal-Mart Stores, Inc. (“Wal-Mart”) and at other customers due to increased distribution.  Wal-Mart began to carry a reduced number of cat litter brands, including ours, in the first quarter of fiscal 2010.  During the third quarter of fiscal 2010, Wal-Mart began reinstating our branded scoopable litter in certain stores; however, the new store count currently remains materially reduced from the store count at the end of fiscal 2009.  Sales to Wal-Mart for the first six months of fiscal 2011 were higher than for the first six months of fiscal 2010, but remain lower than historical periods.  Net sales of private label cat litter in the first six months of fiscal 2011 were similar to those in same period in the prior year.   Industrial absorbents net sales increased 7% in the first six months of fiscal 2011 compared to the first six months of fiscal 2010.  The increase in sales was due primarily to increased demand from industrial distributors and a higher proportion of sales from higher priced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Retail and Wholesale Products Group’s segment operating income for the first six months of fiscal 2011 was $5,666,000, a decrease of $335,000, or 6%, from operating income of $6,001,000 in the first six months of fiscal 2010.  This decrease was driven by higher costs, which more than offset the increased net sales described above.  The Group’s combined freight, materials and packaging costs increased approximately 8% compared to the first six months of fiscal 2010.  Freight costs increased approximately 6% due primarily to higher diesel fuel prices.  Material costs increased approximately 8% as higher non-fuel manufacturing costs more than offset the lower cost of fuel used in manufacturing.  See the discussion of manufacturing costs under Consolidated Results below.  Packaging costs also increased 10% due to fluctuations in the price of paper and resin.  Selling, general and administrative expenses for the Group were up 11% compared to the first six months of fiscal 2010 due primarily to increased spending for new product market research and advertising.  In addition, fiscal 2010 experienced a reduction of bad debt expense due to lower reserve requirements associated with lower sales.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CONSOLIDATED RESULTS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consolidated gross profit as a percentage of net sales for the first six months of fiscal 2011 was 23%, the same as for the first six months of fiscal 2010.  Gross profit was positively impacted by an increased proportion of sales from products with a higher net selling price and by the lower cost of fuel used in our manufacturing processes, which offset higher costs for packaging, freight and materials.  The cost of fuel was 15% lower in the first six months of fiscal 2011 compared to the first six months of fiscal 2010.  We use natural gas, fuel oil and coal in the manufacturing process to operate kilns that dry our clay.  As described in Item 3. Quantitative and Qualitative Disclosures About Market Risk below, we have contracted for a portion of our planned fuel needs for fiscal 2011.  Gross profit for the first six months of fiscal 2011 was negatively impacted by a 9% increase in non-fuel manufacturing cost per ton produced, which includes depreciation and amortization.  This cost increase was driven primarily by increased manufacturing of products that required purchased additives, fragrances and other materials.  Labor and benefits costs also increased compared to the prior year.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5" w:name="PGBRK15"/>
      <w:bookmarkStart w:id="356" w:name="PGBRK15"/>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7" w:name="FTR15"/>
      <w:bookmarkStart w:id="358" w:name="FTR15"/>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9" w:name="GLFTR15"/>
      <w:bookmarkEnd w:id="3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0" w:name="PN15"/>
      <w:bookmarkEnd w:id="360"/>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 w:name="HDR15"/>
      <w:bookmarkStart w:id="362" w:name="HDR15"/>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3" w:name="GLHDR15"/>
      <w:bookmarkEnd w:id="3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Selling, general and administrative expenses as a percentage of net sales for the first six months of fiscal 2011 were 17%, the same as for the first six months of fiscal 2010.  The discussions of the Groups’ operating income above describe the fluctuation in the selling, general and administrative expenses that were allocated to the operating segments.  The remaining unallocated corporate expenses in the first six months of fiscal 2010 included a lower estimated annual incentive plan bonus accrual.  The incentive bonus expense was based on performance targets that are established for each fiscal year.  The lower bonus expense was partially offset by increased spending for research and development, higher depreciation expense for computer software and equipment and additional compensation expense related to restricted stock awards.  In addition, selling, general and administrative expenses at both the operating segment and corporate levels included higher health care costs.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Interest expense was $230,000 higher for the first six months of fiscal 2011 compared to the same period in fiscal 2010.  Interest expense increased due primarily to the discontinued capitalization of interest for a product-related capital project and additional interest on new debt issued in the second quarter of fiscal 2011.  See Liquidity and Capital Resources below for more information on the new debt.  Interest income was $36,000 lower in the first six months of fiscal 2011 due to less interest earned on a lease receivable, which exceeded the additional interest received on higher average investment balances.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effective tax rate was 29% of pre-tax income for the first six months of fiscal 2011 compared to the 26% effective tax rate for the full year of fiscal 2010.  The effective tax rate for fiscal 2011 is based on the projected composition and level of our taxable income for the year.  The tax rate in fiscal 2010 reflected the utilization of prior period Alternative Minimum Tax credits.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assets increased $18,079,000, or 12%, during the first six months of fiscal 2011.  Current assets increased $17,463,000, or 23%, from fiscal 2010 year end balances due primarily to higher investments in short-term securities, inventories, other prepaid expenses and cash and cash equivalents.  These increases were partially offset by decreases in prepaid repair expense and accounts receivable.  The changes in current assets are described below in Liquidity and Capital Resources.  Property, plant and equipment, net of accumulated depreciation, increased $543,000 during the first six months of fiscal 2011 due to additions in excess of depreciation expense.  Additions were primarily for replacement of machinery, land purchases and other capital projects at our manufacturing facilities.  Other noncurrent assets increased $73,000 from fiscal 2010 year end balances due to capitalization of costs related to the issuance of new debt and increased cash surrender value of life insurance on key employees.  These increases were partially offset by amortization of certain other assets and lower deferred 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liabilities increased $16,794,000, or 27%, during the first six months of fiscal 2011.  Current liabilities decreased $442,000, or 2%, from fiscal 2010 year end balances due primarily to lower accrued salaries that was partially offset by increased accounts payable, current maturities of notes payable, accrued trade promotions and accrued freight.  Current maturities of notes payable increased as the amount reclassified from noncurrent liabilities was greater than debt payments.  The changes in current liabilities are described below in Liquidity and Capital Resources.  Noncurrent liabilities increased $17,236,000, or 48%, from fiscal 2010 year end balances due primarily to the issuance of new debt and higher accruals for pension and postretirement benefits, which are based on the most recent actuarial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THREE MONTHS ENDED JANUARY 31, 2011 COMPARED TO</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THREE MONTHS ENDED JANUARY 31,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Consolidated net sales for the three months ended January 31, 2011 were $57,201,000, an increase of 5% from net sales of $54,734,000 for the three months ended January 31, 2010.  Net income for the second quarter of fiscal 2011 was $1,777,000, a decrease of 21% from net income of $2,262,000 in the second quarter of fiscal 2010.  Diluted net income per share for the second quarter of fiscal 2011 was $0.25 compared to $0.31 for the second quarter of fiscal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Consolidated net income for the second quarter of fiscal 2011 was negatively impacted by higher costs for freight, materials and packaging and selling, general and administrative expenses; however, the unfavorable impact was lessened by an increased proportion of sales from products with a higher net selling price and the lower cost for fuel used in our manufacturing processes.  The change in selling, general and administrative expenses is described in the operating segments and consolidated results discussions below.  Freight costs increased due to higher diesel fuel prices.  Materials costs increased due to higher non-fuel manufacturing costs, as discussed in the consolidated results below, which were partially offset by lower fuel costs in our manufacturing processes.  Packaging costs increased due to fluctuations in the resin and paper markets.  Segment operating income declined for both the Business to Business Products Group and the Retail and Wholesale Products Group due to higher costs.  The Retail and Wholesale Products Group was also affected by weak performance of our foreign subsidiaries and increased spending on new product market research and advertising.</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4" w:name="PGBRK16"/>
      <w:bookmarkStart w:id="365" w:name="PGBRK16"/>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6" w:name="FTR16"/>
      <w:bookmarkStart w:id="367" w:name="FTR16"/>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8" w:name="GLFTR16"/>
      <w:bookmarkEnd w:id="3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9" w:name="PN16"/>
      <w:bookmarkEnd w:id="369"/>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0" w:name="HDR16"/>
      <w:bookmarkStart w:id="371" w:name="HDR16"/>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2" w:name="GLHDR16"/>
      <w:bookmarkEnd w:id="3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BUSINESS TO BUSINESS PRODUCTS GROUP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of the Business to Business Products Group for the second quarter of fiscal 2011 were $17,981,000, an increase of $89,000 from net sales of $17,892,000 in the second quarter of fiscal 2010.  The Group benefited from a higher average net selling price that offset a 6% decrease in tons sold and a lower proportion of sales of higher priced products.  Net sales of fluid purification and animal health and nutrition products increased, while net sales of co-packaged cat litter and agricultural chemical carrier products decreased.  Net sales of fluid purification products increased 7% with 8% more tons sold in the second quarter of fiscal 2011 compared to the second quarter of fiscal 2010.  Export sales improved for fluid purification products used in palm oil and other edible oil processing, which outweighed a decline in sales for products used for biodiesel processing.  Animal health and nutrition products net sales increased 10% compared to the second quarter of fiscal 2010.  Sales increased to new and existing customers for both our traditional and enterosorbent animal health products.  Sales for traditional products benefited from increased poultry production in Asia.  Net sales of agricultural chemical carrier products decreased 7% with 7% fewer tons sold due to timing of customer orders placed earlier in the year compared to fiscal 2010, which resulted in higher sales in the first quarter of fiscal 2011.  Our co-packaged traditional coarse cat litter net sales decreased 9% due to the continued decline of the coarse cat litter market as a whole.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Business to Business Products Group’s segment operating income for the second quarter of fiscal 2011 was $4,513,000, a decrease of $623,000, or 12%, from operating income of $5,136,000 in the second quarter of fiscal 2010.  This decrease in segment operating income was driven by an increase of approximately 12% for combined freight, materials and packaging costs.  Freight costs increased approximately 16% due primarily to higher diesel fuel prices and increased export sales.  Material costs increased approximately 10% as higher non-fuel manufacturing costs more than offset the lower cost of fuel used in manufacturing.  See the discussion of manufacturing costs under Consolidated Results below.  Packaging costs also increased 26% due to fluctuations in the price of paper and resin.  Selling, general and administrative expenses for the Group were up 4% compared to the second quarter of fiscal 2010 due primarily to increased advertising and travel to promote our animal health and nutrition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RETAIL AND WHOLESALE PRODUCTS GROUP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of the Retail and Wholesale Products Group for the second quarter of fiscal 2011 were $39,220,000, an increase of $2,378,000, or 7%, from net sales of $36,842,000 in the second quarter of fiscal 2010.  The increase in net sales was driven by higher sales of cat litter and industrial absorbents.  These increases outweighed a decrease in sales by our foreign subsidiaries as described under Foreign Operations below.  Cat litter net sales were up approximately 8% due to a greater proportion of sales from products with a higher net selling price and a 2% increase in tons sold.  Net sales of branded cat litter increased approximately 19% due to 20% more tons sold.  Our branded cat litter net sales increased at Wal-Mart and at other customers due to increased distribution.  Wal-Mart began to carry a reduced number of cat litter brands, including ours, in the first quarter of fiscal 2010.  During the third quarter of fiscal 2010, Wal-Mart began reinstating our branded scoopable litter in certain stores; however, the new store count currently remains materially reduced from the store count at the end of fiscal 2009.  Sales to Wal-Mart for the second quarter of fiscal 2011 were higher than for the second quarter of fiscal 2010, but remain lower than historical periods.  Net sales of private label cat litter in the second quarter of fiscal 2011 were similar to the same period in the prior year.  Industrial absorbents net sales increased 12% compared to the second quarter of fiscal 2010 due primarily to a 4% increase in tons sold and a higher average net selling price.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Retail and Wholesale Products Group’s segment operating income for the second quarter of fiscal 2011 was $2,600,000, a decrease of $297,000, or 10%, from operating income of $2,897,000 in the second quarter of fiscal 2010.  The decrease was primarily due to higher costs, which more than offset the increased net sales described above.  The Group’s combined freight, materials and packaging costs increased approximately 7% compared to the second quarter of fiscal 2010.  Freight costs increased approximately 6% due primarily to higher diesel fuel prices.  Material costs increased approximately 8% as higher non-fuel manufacturing costs more than offset the lower cost of fuel used in manufacturing.  See the discussion of manufacturing costs under Consolidated Results below.  Packaging costs also increased 12% due to fluctuations in the price of paper and resin.  Selling, general and administrative expenses for the Group were up 19% compared to the second quarter of fiscal 2010 due primarily to increased spending for new product market research and advertising and increased commissions as the result of the higher sales.  In addition, fiscal 2010 experienced a reduction of bad debt expense due to lower reserve requirements associated with lower sales.</w:t>
      </w:r>
    </w:p>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3" w:name="PGBRK17"/>
      <w:bookmarkStart w:id="374" w:name="PGBRK17"/>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5" w:name="FTR17"/>
      <w:bookmarkStart w:id="376" w:name="FTR17"/>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7" w:name="GLFTR17"/>
      <w:bookmarkEnd w:id="3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8" w:name="PN17"/>
      <w:bookmarkEnd w:id="378"/>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9" w:name="HDR17"/>
      <w:bookmarkStart w:id="380" w:name="HDR17"/>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1" w:name="GLHDR17"/>
      <w:bookmarkEnd w:id="3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CONSOLIDATED RESULTS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consolidated gross profit as a percentage of net sales for the second quarter of fiscal 2011 was 22%, compared to 23% in the second quarter of fiscal 2010.  Gross profit was negatively impacted by the higher materials, packaging and freight costs described above and by an 11% increase in non-fuel manufacturing cost per ton produced, which includes depreciation and amortization.  The increase in non-fuel manufacturing costs was driven primarily by increased manufacturing of products that required purchased additives, fragrances and other materials.  Labor and benefits costs also increased compared to the prior year.  These increased costs exceeded the benefit from a 19% lower cost for fuel used in our manufacturing processes.  We use natural gas, fuel oil and coal in the manufacturing process to operate kilns that dry our clay.  As described in Item 3. Quantitative and Qualitative Disclosures About Market Risk below, we have contracted for a portion of our planned fuel needs for fiscal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Selling, general and administrative expenses as a percentage of net sales for the second quarter of fiscal 2011 were 17%, the same as for the second quarter of fiscal 2010.  The discussions of the Groups’ operating income above describe the fluctuation in the selling, general and administrative expenses that were allocated to the operating segments.  The remaining unallocated corporate expenses in the second quarter of fiscal 2011 included a lower estimated annual incentive plan bonus accrual.  The incentive bonus expense was based on performance targets that are established for each fiscal year.  The lower bonus expense was partially offset by increased spending for research and development, higher depreciation expense for computer software and equipment and additional compensation expense related to restricted stock awards.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Interest expense was $193,000 higher for the second quarter of fiscal 2011 compared to the same period in fiscal 2010.  Interest expense increased due to the discontinued capitalization of interest for a product-related capital project and additional interest on new debt issued in the second quarter of fiscal 2011.  See Liquidity and Capital Resources below for more information on the new debt.  Interest income was $15,000 lower in the second quarter of fiscal 2011 due to less interest earned on a lease receivable, which exceeded the additional interest received on higher average investment balances at a higher average interest rate.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effective tax rate was 30% of pre-tax income in the second quarter of fiscal 2011 compared to the 26% effective tax rate for the full year of fiscal 2010.  An adjustment was made in the second quarter to bring the fiscal 2011 six month tax rate to 29%.  The effective tax rate for fiscal 2011 is based on the projected composition and level of our taxable income for the year.  The tax rate in fiscal 2010 reflected the utilization of prior period Alternative Minimum Tax credits.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FOREIGN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by our foreign subsidiaries during the first six months of fiscal 2011 were $6,180,000, a decrease of 17% from net sales of $7,462,000 during the first six months of fiscal 2010.  Net sales by our foreign subsidiaries represented 5% of our consolidated net sales during the first six months of fiscal 2011 and 7% of our consolidated net sales during the first six months of fiscal 2010.  Net sales declined 15% for our Canadian subsidiary and 28% for our United Kingdom subsidiary.  Cat litter sales were lower for our Canadian subsidiary due to the loss of a customer and lower sales to existing customers.  The impact of this sales decline was lessened by the relative strength of the Canadian Dollar compared to the U.S. Dollar.  The Canadian Dollar was about 4% stronger on average against the U.S. Dollar for the first six months of fiscal 2011 compared to the first six months of fiscal 2010, which resulted in higher sales values after translation to U.S. Dollars.  Net sales of bleaching earth and industrial absorbents by our United Kingdom subsidiary declined due primarily to continued weakness in industrial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the first six months of fiscal 2011, our foreign subsidiaries reported a net loss of $362,000, compared to net income of $168,000 reported in the first six months of fiscal 2010.  The decrease in the net income was due primarily to the lower sales described above.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Identifiable assets of our foreign subsidiaries as of January 31, 2011 were $9,105,000 compared to $8,997,000 as of January 31, 2010.  The increase is primarily due to higher cash and cash equivalents and accounts receivable partially offset by lower inventories and a reduction in net fixed assets.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by our foreign subsidiaries during the second quarter of fiscal 2011 were $3,132,000, a decrease of 14% from net sales of $3,645,000 during the second quarter of fiscal 2010.  Net sales by our foreign subsidiaries represented 5% of our consolidated net sales during the second quarter of fiscal 2011, compared to 7% during the second quarter of fiscal 2010.  Net sales declined 14% for both our Canadian and United Kingdom subsidiaries.  Cat litter sales were lower for our Canadian subsidiary due to the loss of a customer and lower sales to existing customers.  The impact of this sales decline was lessened by the relative strength of the Canadian Dollar compared to the U.S. Dollar.  The Canadian Dollar was about 4% stronger on average against the U.S. Dollar for the second quarter of fiscal 2011 compared to the second quarter of fiscal 2010, which resulted in higher sales values after translation to U.S. Dollars.  Net sales of bleaching earth and industrial absorbents by our United Kingdom subsidiary declined due primarily to continued weakness in the marketplace.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2" w:name="PGBRK18"/>
      <w:bookmarkStart w:id="383" w:name="PGBRK18"/>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4" w:name="FTR18"/>
      <w:bookmarkStart w:id="385" w:name="FTR18"/>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6" w:name="GLFTR18"/>
      <w:bookmarkEnd w:id="3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7" w:name="PN18"/>
      <w:bookmarkEnd w:id="387"/>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8" w:name="HDR18"/>
      <w:bookmarkStart w:id="389" w:name="HDR18"/>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0" w:name="GLHDR18"/>
      <w:bookmarkEnd w:id="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second quarter of fiscal 2011, our foreign subsidiaries reported a net loss of $158,000, compared to a net loss of $132,000 in the second quarter of fiscal 2010.  The decrease in the net income was due primarily to the lower sales described above.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LIQUIDITY AND CAPITAL RESOURCES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principal capital requirements include funding working capital needs, the purchasing and upgrading of real estate, equipment and facilities, funding new product development and investing in infrastructure and potential acquisitions.  We principally have used cash generated from operations and, to the extent needed, issuance of debt securities and borrowings under our credit facilities to fund these requirements.  Cash and cash equivalents increased $520,000 during the first six months of fiscal 2011 to $19,282,000 at January 31,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certain elements of our unaudited condensed consolidated statements of cash flows (in thousands):</w:t>
      </w:r>
    </w:p>
    <w:p>
      <w:pPr>
        <w:pStyle w:val="TextBody"/>
        <w:spacing w:before="0" w:after="0"/>
        <w:ind w:left="0" w:right="0" w:hanging="0"/>
        <w:rPr/>
      </w:pPr>
      <w:r>
        <w:rPr/>
      </w:r>
    </w:p>
    <w:tbl>
      <w:tblPr>
        <w:tblW w:w="3000" w:type="pct"/>
        <w:jc w:val="center"/>
        <w:tblInd w:w="0" w:type="dxa"/>
        <w:tblCellMar>
          <w:top w:w="0" w:type="dxa"/>
          <w:left w:w="0" w:type="dxa"/>
          <w:bottom w:w="0" w:type="dxa"/>
          <w:right w:w="0" w:type="dxa"/>
        </w:tblCellMar>
      </w:tblPr>
      <w:tblGrid>
        <w:gridCol w:w="3439"/>
        <w:gridCol w:w="99"/>
        <w:gridCol w:w="125"/>
        <w:gridCol w:w="1018"/>
        <w:gridCol w:w="107"/>
        <w:gridCol w:w="99"/>
        <w:gridCol w:w="125"/>
        <w:gridCol w:w="994"/>
        <w:gridCol w:w="117"/>
      </w:tblGrid>
      <w:tr>
        <w:trPr/>
        <w:tc>
          <w:tcPr>
            <w:tcW w:w="3439"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w:t>
            </w:r>
          </w:p>
        </w:tc>
        <w:tc>
          <w:tcPr>
            <w:tcW w:w="246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tc>
        <w:tc>
          <w:tcPr>
            <w:tcW w:w="117" w:type="dxa"/>
            <w:tcBorders/>
            <w:shd w:fill="auto" w:val="clear"/>
            <w:vAlign w:val="bottom"/>
          </w:tcPr>
          <w:p>
            <w:pPr>
              <w:pStyle w:val="TableContents"/>
              <w:spacing w:before="0" w:after="283"/>
              <w:jc w:val="left"/>
              <w:rPr/>
            </w:pPr>
            <w:r>
              <w:rPr/>
              <w:t> </w:t>
            </w:r>
          </w:p>
        </w:tc>
      </w:tr>
      <w:tr>
        <w:trPr/>
        <w:tc>
          <w:tcPr>
            <w:tcW w:w="3439" w:type="dxa"/>
            <w:tcBorders/>
            <w:shd w:fill="auto" w:val="clear"/>
            <w:vAlign w:val="bottom"/>
          </w:tcPr>
          <w:p>
            <w:pPr>
              <w:pStyle w:val="TableContents"/>
              <w:spacing w:before="0" w:after="283"/>
              <w:rPr/>
            </w:pPr>
            <w:r>
              <w:rPr/>
              <w:t xml:space="preserve">  </w:t>
            </w:r>
          </w:p>
        </w:tc>
        <w:tc>
          <w:tcPr>
            <w:tcW w:w="99" w:type="dxa"/>
            <w:tcBorders/>
            <w:shd w:fill="auto" w:val="clear"/>
            <w:vAlign w:val="bottom"/>
          </w:tcPr>
          <w:p>
            <w:pPr>
              <w:pStyle w:val="TableContents"/>
              <w:spacing w:before="0" w:after="283"/>
              <w:rPr/>
            </w:pPr>
            <w:r>
              <w:rPr/>
              <w:t> </w:t>
            </w:r>
          </w:p>
        </w:tc>
        <w:tc>
          <w:tcPr>
            <w:tcW w:w="11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January 31, </w:t>
            </w:r>
          </w:p>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07" w:type="dxa"/>
            <w:tcBorders/>
            <w:shd w:fill="auto" w:val="clear"/>
            <w:vAlign w:val="bottom"/>
          </w:tcPr>
          <w:p>
            <w:pPr>
              <w:pStyle w:val="TableContents"/>
              <w:spacing w:before="0" w:after="283"/>
              <w:jc w:val="left"/>
              <w:rPr/>
            </w:pPr>
            <w:r>
              <w:rPr/>
              <w:t> </w:t>
            </w:r>
          </w:p>
        </w:tc>
        <w:tc>
          <w:tcPr>
            <w:tcW w:w="99" w:type="dxa"/>
            <w:tcBorders/>
            <w:shd w:fill="auto" w:val="clear"/>
            <w:vAlign w:val="bottom"/>
          </w:tcPr>
          <w:p>
            <w:pPr>
              <w:pStyle w:val="TableContents"/>
              <w:spacing w:before="0" w:after="283"/>
              <w:rPr/>
            </w:pPr>
            <w:r>
              <w:rPr/>
              <w:t> </w:t>
            </w:r>
          </w:p>
        </w:tc>
        <w:tc>
          <w:tcPr>
            <w:tcW w:w="11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January 31, </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7" w:type="dxa"/>
            <w:tcBorders/>
            <w:shd w:fill="auto" w:val="clear"/>
            <w:vAlign w:val="bottom"/>
          </w:tcPr>
          <w:p>
            <w:pPr>
              <w:pStyle w:val="TableContents"/>
              <w:spacing w:before="0" w:after="283"/>
              <w:jc w:val="left"/>
              <w:rPr/>
            </w:pPr>
            <w:r>
              <w:rPr/>
              <w:t> </w:t>
            </w:r>
          </w:p>
        </w:tc>
      </w:tr>
      <w:tr>
        <w:trPr/>
        <w:tc>
          <w:tcPr>
            <w:tcW w:w="343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provided by operating activities</w:t>
            </w:r>
          </w:p>
        </w:tc>
        <w:tc>
          <w:tcPr>
            <w:tcW w:w="99"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7,256</w:t>
            </w:r>
          </w:p>
        </w:tc>
        <w:tc>
          <w:tcPr>
            <w:tcW w:w="107"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13,763</w:t>
            </w:r>
          </w:p>
        </w:tc>
        <w:tc>
          <w:tcPr>
            <w:tcW w:w="117" w:type="dxa"/>
            <w:tcBorders/>
            <w:shd w:fill="CCEEFF" w:val="clear"/>
            <w:vAlign w:val="bottom"/>
          </w:tcPr>
          <w:p>
            <w:pPr>
              <w:pStyle w:val="TableContents"/>
              <w:spacing w:before="0" w:after="283"/>
              <w:jc w:val="left"/>
              <w:rPr/>
            </w:pPr>
            <w:r>
              <w:rPr/>
              <w:t> </w:t>
            </w:r>
          </w:p>
        </w:tc>
      </w:tr>
      <w:tr>
        <w:trPr/>
        <w:tc>
          <w:tcPr>
            <w:tcW w:w="343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used in investing activities</w:t>
            </w:r>
          </w:p>
        </w:tc>
        <w:tc>
          <w:tcPr>
            <w:tcW w:w="99"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(20,167</w:t>
            </w:r>
          </w:p>
        </w:tc>
        <w:tc>
          <w:tcPr>
            <w:tcW w:w="1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(2,476</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3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provided by (used in) financing activities</w:t>
            </w:r>
          </w:p>
        </w:tc>
        <w:tc>
          <w:tcPr>
            <w:tcW w:w="99"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13,517</w:t>
            </w:r>
          </w:p>
        </w:tc>
        <w:tc>
          <w:tcPr>
            <w:tcW w:w="107"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(2,266</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3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Effect of exchange rate changes on cash and cash equivalents</w:t>
            </w:r>
          </w:p>
        </w:tc>
        <w:tc>
          <w:tcPr>
            <w:tcW w:w="99"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7" w:type="dxa"/>
            <w:tcBorders/>
            <w:shd w:fill="FFFFFF" w:val="clear"/>
            <w:vAlign w:val="bottom"/>
          </w:tcPr>
          <w:p>
            <w:pPr>
              <w:pStyle w:val="TableContents"/>
              <w:spacing w:before="0" w:after="283"/>
              <w:jc w:val="left"/>
              <w:rPr/>
            </w:pPr>
            <w:r>
              <w:rPr/>
              <w:t> </w:t>
            </w:r>
          </w:p>
        </w:tc>
      </w:tr>
      <w:tr>
        <w:trPr/>
        <w:tc>
          <w:tcPr>
            <w:tcW w:w="343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increase in cash and cash equivalents</w:t>
            </w:r>
          </w:p>
        </w:tc>
        <w:tc>
          <w:tcPr>
            <w:tcW w:w="99"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520</w:t>
            </w:r>
          </w:p>
        </w:tc>
        <w:tc>
          <w:tcPr>
            <w:tcW w:w="107"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9,025</w:t>
            </w:r>
          </w:p>
        </w:tc>
        <w:tc>
          <w:tcPr>
            <w:tcW w:w="11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cash provided by operating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cash provided by operations was $7,256,000 for the first six months of fiscal 2011, compared to $13,763,000 for the first six months of fiscal 2010.  The change was due primarily to working capital fluctuations.  For the first six months of fiscal years 2011 and 2010, the primary components of working capital that impacted operating cash flows were as follows: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receivable, less allowance for doubtful accounts, decreased $202,000 in the first six months of fiscal 2011.  Net sales in the last month of the second quarter of fiscal 2011 were less than net sales in the last month of the fourth quarter of fiscal 2010.  Accounts receivable, less allowance for doubtful accounts, decreased $1,790,000 in the first six months of fiscal 2010 due to lower sales in the second quarter of fiscal 2010 compared to sales in the fourth quarter of fiscal 2009. The change in both periods is also subject to timing of sales and collections and the payment terms provided to various customers.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Inventories increased $1,231,000 in the first six months of fiscal 2011 compared to a decrease of $810,000 in the same period in fiscal 2010.  Inventories increased in the first six months of fiscal 2011 due to higher costs.  In the first six months of fiscal 2010, packaging inventories decreased primarily due to lower sales requirements and lower costs.  Supplies inventories decreased in the first six months of fiscal 2010 due to the adjustment of an overstatement that had accumulated over a number of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Prepaid expenses increased $398,000 in the first six months of fiscal 2011 and decreased $109,000 in the first six months of fiscal 2010.  The increase in prepaid insurance outweighed the decrease in prepaid repair expense in the first six months of fiscal 2011, while the opposite occurred over the same period in fiscal 2010.  Prepaid repair expense decreased in both periods due to the timing of repairs and the ongoing efforts to improve spare parts inventory management.  The timing of insurance premium payments resulted in an increase in prepaid expenses in both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assets increased $231,000 in the first six months of fiscal 2011 and decreased $329,000 in the first six months of fiscal 2010.  The increase in the first six months of fiscal 2011 included capitalized costs related to the issuance of new debt.  The decrease in the first six months of fiscal 2010 included the reclassification of the current portion of a lease receivable.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payable increased $1,468,000 in the first six months of fiscal 2011 compared to an increase of $285,000 in the first six months of fiscal 2010.  Trade payables increased in fiscal 2011 due to higher costs for goods and services used in the manufacture of our products.  Both years were subject to normal fluctuations in the timing of payments.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1" w:name="PGBRK19"/>
      <w:bookmarkStart w:id="392" w:name="PGBRK19"/>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3" w:name="FTR19"/>
      <w:bookmarkStart w:id="394" w:name="FTR19"/>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5" w:name="GLFTR19"/>
      <w:bookmarkEnd w:id="3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6" w:name="PN19"/>
      <w:bookmarkEnd w:id="396"/>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7" w:name="HDR19"/>
      <w:bookmarkStart w:id="398" w:name="HDR19"/>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9" w:name="GLHDR19"/>
      <w:bookmarkEnd w:id="3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Accrued expenses decreased $2,263,000 in the first six months of fiscal 2011 compared to an increase of $783,000 in the first six months of fiscal 2010.  Accrued salaries included the discretionary bonus accrual, which in both years decreased by the payout of the prior fiscal year’s bonus accrual and increased by the current fiscal year’s first six month bonus accrual.  The prior year bonus paid out in fiscal 2011 was greater than the bonus paid out in fiscal 2010.  In addition, the amount accrued for the first six months of fiscal 2011 was less than the amount accrued for the same period in fiscal 2010.  Accrued freight varied in both years due to the timing of payments and shipments at quarter-end, which resulted in a larger increase for the first six months of fiscal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Deferred compensation decreased $29,000 in the first six months of fiscal 2011 compared to an increase of $388,000 in the first six months of fiscal 2010.  The first payout of an executive deferred bonus award under our annual incentive plan occurred during the first six months of fiscal 2011.  In the first six months of fiscal 2010, employee deferrals and interest on accumulated deferred compensation balances exceeded payouts.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liabilities increased $935,000 in the first six months of fiscal 2011 compared to an increase of $893,000 in the first six months of fiscal 2010.  Both years’ increases were due primarily to additional accruals for employee postretirement benefits.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investing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used in investing activities was $20,167,000 in the first six months of fiscal 2011 compared to $2,476,000 in the first six months of fiscal 2010.  Purchases of investment securities were $15,525,0000 greater than dispositions in the first six months of fiscal 2011 due to the investment of cash received from the issuance of new debt.  In the first six months of fiscal 2010, dispositions of investment securities exceeded purchases by $2,005,000.  Purchases and dispositions of investment securities in both periods are subject to variations in the timing of investment maturities.  Cash used for capital expenditures of $4,773,000 in the first six months of fiscal 2011 included replacement of machinery, land purchases and other capital projects at our manufacturing facilities. Capital expenditures for the same period in fiscal 2010 of $4,818,000 included approximately $2,300,000 to purchase approximately 800 acres of land near our Georgia production plant, which we believe contain deposits of high quality mineral reserves.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cash provided by (used in) financing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provided by financing activities was $13,517,000 in the first six months of fiscal 2011 compared to cash used in financing activities of $2,266,000 in the first six months of fiscal 2010.  Issuance of new debt during the first six months of fiscal 2011 provided $18,500,000 in additional cash.  Payments on long-term debt in the first six months of fiscal 2011 were $1,500,000 compared to $200,000 in the first six months of fiscal 2010.  Dividend payments in the first six months of fiscal 2011 of $2,103,000 were higher than the $1,991,000 paid during the same period of fiscal 2010 due to a dividend rate increase.  In addition, cash used to purchase treasury stock was $2,194,000 and $538,000 in the first six months of fiscal 2011 and 2010, respectively.  Proceeds from issuance of Common Stock and treasury stock in connection with stock option exercises were $548,000 and $349,000 in the first six months of fiscal 2011 and 2010,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Other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cash and investment balances held by our foreign subsidiaries of $1,718,000 at January 31, 2011 were higher than the January 31, 2010 balances of $1,490,000 due to a reduction in working capital.  Current assets, excluding cash and investments, were flat and current liabilities were higher at January 31, 2011 compared to January 31,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part of our normal course of business, we guarantee certain debts and trade payables of our wholly owned subsidiaries.  These arrangements are made at the request of the subsidiaries’ creditors because separate financial statements are not distributed for the wholly owned subsidiaries.  There were no such guarantees as of January 31, 2010, although we had guarantees in prior quarters and expect to have them in the future.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a $15,000,000 unsecured revolving credit agreement with Harris N.A. (“Harris”) which will expire December 31, 2011.  The credit agreement provides that we may select a variable rate based on either Harris’ prime rate or a LIBOR-based rate, plus a margin which varies depending on our debt to earnings ratio, or a fixed rate as agreed between us and Harris.  At January 31, 2011, the variable rates would have been 3.25% for Harris’ prime-based rate or 1.16% for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coverage ratio and a minimum consolidated net worth.  As of January 31, 2011 and 2010, no borrowings were outstanding under this credit facility and we were in compliance with its covenants.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0" w:name="PGBRK20"/>
      <w:bookmarkStart w:id="401" w:name="PGBRK20"/>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2" w:name="FTR20"/>
      <w:bookmarkStart w:id="403" w:name="FTR20"/>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4" w:name="GLFTR20"/>
      <w:bookmarkEnd w:id="4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5" w:name="PN20"/>
      <w:bookmarkEnd w:id="405"/>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6" w:name="HDR20"/>
      <w:bookmarkStart w:id="407" w:name="HDR20"/>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8" w:name="GLHDR20"/>
      <w:bookmarkEnd w:id="4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highlight w:val="white"/>
        </w:rPr>
      </w:pPr>
      <w:r>
        <w:rPr>
          <w:rFonts w:ascii="Times New Roman" w:hAnsi="Times New Roman"/>
          <w:sz w:val="20"/>
          <w:highlight w:val="white"/>
        </w:rPr>
        <w:t>On November 12, 2010, we sold at aggregate face value $18,500,000 in senior promissory notes to The Prudential Insurance Company of America, Prudential Retirement Insurance and Annuity Company, Forethought Life Insurance Company, Physicians Mutual Insurance Company and BCBSM, Inc. dba Blue Cross and Blue Shield of Minnesota pursuant to a Note Agreement dated November 12, 2010 (the “Note Agreement”).  The Notes bear interest at 3.96% per annum and mature on August 1, 2020.  The proceeds of the sale may be used to fund future principal payments of our debt, acquisitions, stock repurchases, capital expenditures and for working capital purposes.  The Note Agreement contains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January 31, 2011, we had remaining authority to repurchase 131,095 shares of common stock under a repurchase plan approved by the Board of Directors.  These repurchases may be made on the open market (pursuant to Rule 10b5-1 plans or otherwise) or in negotiated transactions and the timing and amount of shares repurchased will be determined by our management.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that cash flow from operations, availability under our revolving credit facility, proceeds from our sale of senior promissory notes and current cash and investment balances will provide adequate cash funds for foreseeable working capital needs, capital expenditures and debt service obligations for at least the next 12 months.  We currently expect cash requirements for capital expenditures in fiscal 2011 to be higher than for capital expenditures in fiscal 2010.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tables in the following subsection summarize our contractual obligations and commercial commitments at January 31, 2011 for the time frames indicated.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CONTRACTUAL OBLIGATIONS AND COMMERCIAL COMMITMENTS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122"/>
        <w:gridCol w:w="264"/>
        <w:gridCol w:w="1326"/>
        <w:gridCol w:w="264"/>
        <w:gridCol w:w="1459"/>
        <w:gridCol w:w="264"/>
        <w:gridCol w:w="1326"/>
        <w:gridCol w:w="264"/>
        <w:gridCol w:w="1326"/>
        <w:gridCol w:w="264"/>
        <w:gridCol w:w="1326"/>
      </w:tblGrid>
      <w:tr>
        <w:trPr/>
        <w:tc>
          <w:tcPr>
            <w:tcW w:w="2122" w:type="dxa"/>
            <w:tcBorders/>
            <w:shd w:fill="auto" w:val="clear"/>
            <w:vAlign w:val="bottom"/>
          </w:tcPr>
          <w:p>
            <w:pPr>
              <w:pStyle w:val="TableContents"/>
              <w:spacing w:before="0" w:after="283"/>
              <w:rPr/>
            </w:pPr>
            <w:r>
              <w:rPr/>
              <w:t xml:space="preserve">  </w:t>
            </w:r>
          </w:p>
        </w:tc>
        <w:tc>
          <w:tcPr>
            <w:tcW w:w="264" w:type="dxa"/>
            <w:tcBorders/>
            <w:shd w:fill="auto" w:val="clear"/>
            <w:vAlign w:val="bottom"/>
          </w:tcPr>
          <w:p>
            <w:pPr>
              <w:pStyle w:val="TableContents"/>
              <w:spacing w:before="0" w:after="283"/>
              <w:rPr/>
            </w:pPr>
            <w:r>
              <w:rPr/>
              <w:t xml:space="preserve">  </w:t>
            </w:r>
          </w:p>
        </w:tc>
        <w:tc>
          <w:tcPr>
            <w:tcW w:w="7819" w:type="dxa"/>
            <w:gridSpan w:val="9"/>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Payments Due by Period</w:t>
            </w:r>
          </w:p>
        </w:tc>
      </w:tr>
      <w:tr>
        <w:trPr/>
        <w:tc>
          <w:tcPr>
            <w:tcW w:w="212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Contractual Obligations</w:t>
            </w:r>
          </w:p>
        </w:tc>
        <w:tc>
          <w:tcPr>
            <w:tcW w:w="264" w:type="dxa"/>
            <w:tcBorders/>
            <w:shd w:fill="auto" w:val="clear"/>
            <w:vAlign w:val="bottom"/>
          </w:tcPr>
          <w:p>
            <w:pPr>
              <w:pStyle w:val="TableContents"/>
              <w:spacing w:before="0" w:after="283"/>
              <w:rPr/>
            </w:pPr>
            <w:r>
              <w:rPr/>
              <w:t xml:space="preserve">  </w:t>
            </w:r>
          </w:p>
        </w:tc>
        <w:tc>
          <w:tcPr>
            <w:tcW w:w="132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264" w:type="dxa"/>
            <w:tcBorders/>
            <w:shd w:fill="auto" w:val="clear"/>
            <w:vAlign w:val="bottom"/>
          </w:tcPr>
          <w:p>
            <w:pPr>
              <w:pStyle w:val="TableContents"/>
              <w:spacing w:before="0" w:after="283"/>
              <w:rPr/>
            </w:pPr>
            <w:r>
              <w:rPr/>
              <w:t xml:space="preserve">  </w:t>
            </w:r>
          </w:p>
        </w:tc>
        <w:tc>
          <w:tcPr>
            <w:tcW w:w="1459"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Less Than 1 Year</w:t>
            </w:r>
          </w:p>
        </w:tc>
        <w:tc>
          <w:tcPr>
            <w:tcW w:w="264" w:type="dxa"/>
            <w:tcBorders/>
            <w:shd w:fill="auto" w:val="clear"/>
            <w:vAlign w:val="bottom"/>
          </w:tcPr>
          <w:p>
            <w:pPr>
              <w:pStyle w:val="TableContents"/>
              <w:spacing w:before="0" w:after="283"/>
              <w:rPr/>
            </w:pPr>
            <w:r>
              <w:rPr/>
              <w:t xml:space="preserve">  </w:t>
            </w:r>
          </w:p>
        </w:tc>
        <w:tc>
          <w:tcPr>
            <w:tcW w:w="132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 3 Years</w:t>
            </w:r>
          </w:p>
        </w:tc>
        <w:tc>
          <w:tcPr>
            <w:tcW w:w="264" w:type="dxa"/>
            <w:tcBorders/>
            <w:shd w:fill="auto" w:val="clear"/>
            <w:vAlign w:val="bottom"/>
          </w:tcPr>
          <w:p>
            <w:pPr>
              <w:pStyle w:val="TableContents"/>
              <w:spacing w:before="0" w:after="283"/>
              <w:rPr/>
            </w:pPr>
            <w:r>
              <w:rPr/>
              <w:t xml:space="preserve">  </w:t>
            </w:r>
          </w:p>
        </w:tc>
        <w:tc>
          <w:tcPr>
            <w:tcW w:w="132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4 – 5 Years</w:t>
            </w:r>
          </w:p>
        </w:tc>
        <w:tc>
          <w:tcPr>
            <w:tcW w:w="264" w:type="dxa"/>
            <w:tcBorders/>
            <w:shd w:fill="auto" w:val="clear"/>
            <w:vAlign w:val="bottom"/>
          </w:tcPr>
          <w:p>
            <w:pPr>
              <w:pStyle w:val="TableContents"/>
              <w:spacing w:before="0" w:after="283"/>
              <w:rPr/>
            </w:pPr>
            <w:r>
              <w:rPr/>
              <w:t xml:space="preserve">  </w:t>
            </w:r>
          </w:p>
        </w:tc>
        <w:tc>
          <w:tcPr>
            <w:tcW w:w="132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After 5 Years</w:t>
            </w:r>
          </w:p>
        </w:tc>
      </w:tr>
      <w:tr>
        <w:trPr/>
        <w:tc>
          <w:tcPr>
            <w:tcW w:w="212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Long-Term Debt</w:t>
            </w:r>
          </w:p>
        </w:tc>
        <w:tc>
          <w:tcPr>
            <w:tcW w:w="264" w:type="dxa"/>
            <w:tcBorders/>
            <w:shd w:fill="CCEEFF" w:val="clear"/>
          </w:tcPr>
          <w:p>
            <w:pPr>
              <w:pStyle w:val="TableContents"/>
              <w:spacing w:before="0" w:after="283"/>
              <w:rPr/>
            </w:pPr>
            <w:r>
              <w:rPr/>
              <w:t xml:space="preserve">  </w:t>
            </w:r>
          </w:p>
        </w:tc>
        <w:tc>
          <w:tcPr>
            <w:tcW w:w="132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$35,300,000</w:t>
            </w:r>
          </w:p>
        </w:tc>
        <w:tc>
          <w:tcPr>
            <w:tcW w:w="264" w:type="dxa"/>
            <w:tcBorders/>
            <w:shd w:fill="CCEEFF" w:val="clear"/>
            <w:vAlign w:val="bottom"/>
          </w:tcPr>
          <w:p>
            <w:pPr>
              <w:pStyle w:val="TableContents"/>
              <w:spacing w:before="0" w:after="283"/>
              <w:rPr/>
            </w:pPr>
            <w:r>
              <w:rPr/>
              <w:t xml:space="preserve">  </w:t>
            </w:r>
          </w:p>
        </w:tc>
        <w:tc>
          <w:tcPr>
            <w:tcW w:w="1459" w:type="dxa"/>
            <w:tcBorders/>
            <w:shd w:fill="CCEEFF" w:val="clear"/>
            <w:vAlign w:val="bottom"/>
          </w:tcPr>
          <w:p>
            <w:pPr>
              <w:pStyle w:val="TableContents"/>
              <w:spacing w:before="0" w:after="0"/>
              <w:ind w:left="117" w:right="0" w:hanging="0"/>
              <w:jc w:val="right"/>
              <w:rPr>
                <w:rFonts w:ascii="times new roman" w:hAnsi="times new roman"/>
                <w:sz w:val="20"/>
              </w:rPr>
            </w:pPr>
            <w:bookmarkStart w:id="409" w:name="TAB1203"/>
            <w:bookmarkEnd w:id="409"/>
            <w:r>
              <w:rPr>
                <w:rFonts w:ascii="times new roman" w:hAnsi="times new roman"/>
                <w:sz w:val="20"/>
              </w:rPr>
              <w:t>$ 4,100,000</w:t>
            </w:r>
          </w:p>
        </w:tc>
        <w:tc>
          <w:tcPr>
            <w:tcW w:w="264" w:type="dxa"/>
            <w:tcBorders/>
            <w:shd w:fill="CCEEFF" w:val="clear"/>
            <w:vAlign w:val="bottom"/>
          </w:tcPr>
          <w:p>
            <w:pPr>
              <w:pStyle w:val="TableContents"/>
              <w:spacing w:before="0" w:after="283"/>
              <w:rPr/>
            </w:pPr>
            <w:r>
              <w:rPr/>
              <w:t xml:space="preserve">  </w:t>
            </w:r>
          </w:p>
        </w:tc>
        <w:tc>
          <w:tcPr>
            <w:tcW w:w="132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8,800,000</w:t>
            </w:r>
          </w:p>
        </w:tc>
        <w:tc>
          <w:tcPr>
            <w:tcW w:w="264" w:type="dxa"/>
            <w:tcBorders/>
            <w:shd w:fill="CCEEFF" w:val="clear"/>
            <w:vAlign w:val="bottom"/>
          </w:tcPr>
          <w:p>
            <w:pPr>
              <w:pStyle w:val="TableContents"/>
              <w:spacing w:before="0" w:after="283"/>
              <w:rPr/>
            </w:pPr>
            <w:r>
              <w:rPr/>
              <w:t xml:space="preserve">  </w:t>
            </w:r>
          </w:p>
        </w:tc>
        <w:tc>
          <w:tcPr>
            <w:tcW w:w="132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$ 6,980,000</w:t>
            </w:r>
          </w:p>
        </w:tc>
        <w:tc>
          <w:tcPr>
            <w:tcW w:w="264" w:type="dxa"/>
            <w:tcBorders/>
            <w:shd w:fill="CCEEFF" w:val="clear"/>
            <w:vAlign w:val="bottom"/>
          </w:tcPr>
          <w:p>
            <w:pPr>
              <w:pStyle w:val="TableContents"/>
              <w:spacing w:before="0" w:after="283"/>
              <w:rPr/>
            </w:pPr>
            <w:r>
              <w:rPr/>
              <w:t xml:space="preserve">  </w:t>
            </w:r>
          </w:p>
        </w:tc>
        <w:tc>
          <w:tcPr>
            <w:tcW w:w="132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$15,420,000</w:t>
            </w:r>
          </w:p>
        </w:tc>
      </w:tr>
      <w:tr>
        <w:trPr/>
        <w:tc>
          <w:tcPr>
            <w:tcW w:w="212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Interest on Long-Term Debt</w:t>
            </w:r>
          </w:p>
        </w:tc>
        <w:tc>
          <w:tcPr>
            <w:tcW w:w="264" w:type="dxa"/>
            <w:tcBorders/>
            <w:shd w:fill="FFFFFF" w:val="clear"/>
          </w:tcPr>
          <w:p>
            <w:pPr>
              <w:pStyle w:val="TableContents"/>
              <w:spacing w:before="0" w:after="283"/>
              <w:rPr/>
            </w:pPr>
            <w:r>
              <w:rPr/>
              <w:t xml:space="preserve">  </w:t>
            </w:r>
          </w:p>
        </w:tc>
        <w:tc>
          <w:tcPr>
            <w:tcW w:w="1326" w:type="dxa"/>
            <w:tcBorders/>
            <w:shd w:fill="FFFFFF" w:val="clear"/>
            <w:vAlign w:val="bottom"/>
          </w:tcPr>
          <w:p>
            <w:pPr>
              <w:pStyle w:val="TableContents"/>
              <w:spacing w:before="0" w:after="0"/>
              <w:ind w:left="124" w:right="0" w:hanging="0"/>
              <w:jc w:val="right"/>
              <w:rPr>
                <w:rFonts w:ascii="times new roman" w:hAnsi="times new roman"/>
                <w:sz w:val="20"/>
              </w:rPr>
            </w:pPr>
            <w:bookmarkStart w:id="410" w:name="TAB1204"/>
            <w:bookmarkEnd w:id="410"/>
            <w:r>
              <w:rPr>
                <w:rFonts w:ascii="times new roman" w:hAnsi="times new roman"/>
                <w:sz w:val="20"/>
              </w:rPr>
              <w:t>7,774,000</w:t>
            </w:r>
          </w:p>
        </w:tc>
        <w:tc>
          <w:tcPr>
            <w:tcW w:w="264" w:type="dxa"/>
            <w:tcBorders/>
            <w:shd w:fill="FFFFFF" w:val="clear"/>
            <w:vAlign w:val="bottom"/>
          </w:tcPr>
          <w:p>
            <w:pPr>
              <w:pStyle w:val="TableContents"/>
              <w:spacing w:before="0" w:after="283"/>
              <w:rPr/>
            </w:pPr>
            <w:r>
              <w:rPr/>
              <w:t xml:space="preserve">  </w:t>
            </w:r>
          </w:p>
        </w:tc>
        <w:tc>
          <w:tcPr>
            <w:tcW w:w="1459" w:type="dxa"/>
            <w:tcBorders/>
            <w:shd w:fill="FFFFFF" w:val="clear"/>
            <w:vAlign w:val="bottom"/>
          </w:tcPr>
          <w:p>
            <w:pPr>
              <w:pStyle w:val="TableContents"/>
              <w:spacing w:before="0" w:after="0"/>
              <w:ind w:left="117" w:right="0" w:hanging="0"/>
              <w:jc w:val="right"/>
              <w:rPr>
                <w:rFonts w:ascii="times new roman" w:hAnsi="times new roman"/>
                <w:sz w:val="20"/>
              </w:rPr>
            </w:pPr>
            <w:bookmarkStart w:id="411" w:name="TAB1205"/>
            <w:bookmarkEnd w:id="411"/>
            <w:r>
              <w:rPr>
                <w:rFonts w:ascii="times new roman" w:hAnsi="times new roman"/>
                <w:sz w:val="20"/>
              </w:rPr>
              <w:t>1,484,000</w:t>
            </w:r>
          </w:p>
        </w:tc>
        <w:tc>
          <w:tcPr>
            <w:tcW w:w="264" w:type="dxa"/>
            <w:tcBorders/>
            <w:shd w:fill="FFFFFF" w:val="clear"/>
            <w:vAlign w:val="bottom"/>
          </w:tcPr>
          <w:p>
            <w:pPr>
              <w:pStyle w:val="TableContents"/>
              <w:spacing w:before="0" w:after="283"/>
              <w:rPr/>
            </w:pPr>
            <w:r>
              <w:rPr/>
              <w:t xml:space="preserve">  </w:t>
            </w:r>
          </w:p>
        </w:tc>
        <w:tc>
          <w:tcPr>
            <w:tcW w:w="1326" w:type="dxa"/>
            <w:tcBorders/>
            <w:shd w:fill="FFFFFF" w:val="clear"/>
            <w:vAlign w:val="bottom"/>
          </w:tcPr>
          <w:p>
            <w:pPr>
              <w:pStyle w:val="TableContents"/>
              <w:spacing w:before="0" w:after="0"/>
              <w:ind w:left="72" w:right="0" w:hanging="0"/>
              <w:jc w:val="right"/>
              <w:rPr>
                <w:rFonts w:ascii="times new roman" w:hAnsi="times new roman"/>
                <w:sz w:val="20"/>
              </w:rPr>
            </w:pPr>
            <w:bookmarkStart w:id="412" w:name="TAB1206"/>
            <w:bookmarkEnd w:id="412"/>
            <w:r>
              <w:rPr>
                <w:rFonts w:ascii="times new roman" w:hAnsi="times new roman"/>
                <w:sz w:val="20"/>
              </w:rPr>
              <w:t>2,669,000</w:t>
            </w:r>
          </w:p>
        </w:tc>
        <w:tc>
          <w:tcPr>
            <w:tcW w:w="264" w:type="dxa"/>
            <w:tcBorders/>
            <w:shd w:fill="FFFFFF" w:val="clear"/>
            <w:vAlign w:val="bottom"/>
          </w:tcPr>
          <w:p>
            <w:pPr>
              <w:pStyle w:val="TableContents"/>
              <w:spacing w:before="0" w:after="283"/>
              <w:rPr/>
            </w:pPr>
            <w:r>
              <w:rPr/>
              <w:t xml:space="preserve">  </w:t>
            </w:r>
          </w:p>
        </w:tc>
        <w:tc>
          <w:tcPr>
            <w:tcW w:w="1326" w:type="dxa"/>
            <w:tcBorders/>
            <w:shd w:fill="FFFFFF" w:val="clear"/>
            <w:vAlign w:val="bottom"/>
          </w:tcPr>
          <w:p>
            <w:pPr>
              <w:pStyle w:val="TableContents"/>
              <w:spacing w:before="0" w:after="0"/>
              <w:ind w:left="720" w:right="0" w:hanging="0"/>
              <w:jc w:val="right"/>
              <w:rPr/>
            </w:pPr>
            <w:bookmarkStart w:id="413" w:name="TAB1207"/>
            <w:bookmarkEnd w:id="413"/>
            <w:r>
              <w:rPr/>
              <w:t>  </w:t>
            </w:r>
            <w:r>
              <w:rPr>
                <w:rFonts w:ascii="times new roman" w:hAnsi="times new roman"/>
                <w:sz w:val="20"/>
              </w:rPr>
              <w:t>1,718,000</w:t>
            </w:r>
          </w:p>
        </w:tc>
        <w:tc>
          <w:tcPr>
            <w:tcW w:w="264" w:type="dxa"/>
            <w:tcBorders/>
            <w:shd w:fill="FFFFFF" w:val="clear"/>
            <w:vAlign w:val="bottom"/>
          </w:tcPr>
          <w:p>
            <w:pPr>
              <w:pStyle w:val="TableContents"/>
              <w:spacing w:before="0" w:after="283"/>
              <w:rPr/>
            </w:pPr>
            <w:r>
              <w:rPr/>
              <w:t xml:space="preserve">  </w:t>
            </w:r>
          </w:p>
        </w:tc>
        <w:tc>
          <w:tcPr>
            <w:tcW w:w="132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1,903,000</w:t>
            </w:r>
          </w:p>
        </w:tc>
      </w:tr>
      <w:tr>
        <w:trPr/>
        <w:tc>
          <w:tcPr>
            <w:tcW w:w="212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Capital Leases</w:t>
            </w:r>
          </w:p>
        </w:tc>
        <w:tc>
          <w:tcPr>
            <w:tcW w:w="264" w:type="dxa"/>
            <w:tcBorders/>
            <w:shd w:fill="CCEEFF" w:val="clear"/>
          </w:tcPr>
          <w:p>
            <w:pPr>
              <w:pStyle w:val="TableContents"/>
              <w:spacing w:before="0" w:after="283"/>
              <w:rPr/>
            </w:pPr>
            <w:r>
              <w:rPr/>
              <w:t xml:space="preserve">  </w:t>
            </w:r>
          </w:p>
        </w:tc>
        <w:tc>
          <w:tcPr>
            <w:tcW w:w="132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56,000</w:t>
            </w:r>
          </w:p>
        </w:tc>
        <w:tc>
          <w:tcPr>
            <w:tcW w:w="264" w:type="dxa"/>
            <w:tcBorders/>
            <w:shd w:fill="CCEEFF" w:val="clear"/>
            <w:vAlign w:val="bottom"/>
          </w:tcPr>
          <w:p>
            <w:pPr>
              <w:pStyle w:val="TableContents"/>
              <w:spacing w:before="0" w:after="283"/>
              <w:rPr/>
            </w:pPr>
            <w:r>
              <w:rPr/>
              <w:t xml:space="preserve">  </w:t>
            </w:r>
          </w:p>
        </w:tc>
        <w:tc>
          <w:tcPr>
            <w:tcW w:w="1459"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49,000</w:t>
            </w:r>
          </w:p>
        </w:tc>
        <w:tc>
          <w:tcPr>
            <w:tcW w:w="264" w:type="dxa"/>
            <w:tcBorders/>
            <w:shd w:fill="CCEEFF" w:val="clear"/>
            <w:vAlign w:val="bottom"/>
          </w:tcPr>
          <w:p>
            <w:pPr>
              <w:pStyle w:val="TableContents"/>
              <w:spacing w:before="0" w:after="283"/>
              <w:rPr/>
            </w:pPr>
            <w:r>
              <w:rPr/>
              <w:t xml:space="preserve">  </w:t>
            </w:r>
          </w:p>
        </w:tc>
        <w:tc>
          <w:tcPr>
            <w:tcW w:w="132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7,000</w:t>
            </w:r>
          </w:p>
        </w:tc>
        <w:tc>
          <w:tcPr>
            <w:tcW w:w="264" w:type="dxa"/>
            <w:tcBorders/>
            <w:shd w:fill="CCEEFF" w:val="clear"/>
            <w:vAlign w:val="bottom"/>
          </w:tcPr>
          <w:p>
            <w:pPr>
              <w:pStyle w:val="TableContents"/>
              <w:spacing w:before="0" w:after="283"/>
              <w:rPr/>
            </w:pPr>
            <w:r>
              <w:rPr/>
              <w:t xml:space="preserve">  </w:t>
            </w:r>
          </w:p>
        </w:tc>
        <w:tc>
          <w:tcPr>
            <w:tcW w:w="132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4" w:type="dxa"/>
            <w:tcBorders/>
            <w:shd w:fill="CCEEFF" w:val="clear"/>
            <w:vAlign w:val="bottom"/>
          </w:tcPr>
          <w:p>
            <w:pPr>
              <w:pStyle w:val="TableContents"/>
              <w:spacing w:before="0" w:after="283"/>
              <w:rPr/>
            </w:pPr>
            <w:r>
              <w:rPr/>
              <w:t xml:space="preserve">  </w:t>
            </w:r>
          </w:p>
        </w:tc>
        <w:tc>
          <w:tcPr>
            <w:tcW w:w="132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12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Operating Leases</w:t>
            </w:r>
          </w:p>
        </w:tc>
        <w:tc>
          <w:tcPr>
            <w:tcW w:w="264" w:type="dxa"/>
            <w:tcBorders/>
            <w:shd w:fill="FFFFFF" w:val="clear"/>
          </w:tcPr>
          <w:p>
            <w:pPr>
              <w:pStyle w:val="TableContents"/>
              <w:spacing w:before="0" w:after="283"/>
              <w:rPr/>
            </w:pPr>
            <w:r>
              <w:rPr/>
              <w:t xml:space="preserve">  </w:t>
            </w:r>
          </w:p>
        </w:tc>
        <w:tc>
          <w:tcPr>
            <w:tcW w:w="132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10,429,000</w:t>
            </w:r>
          </w:p>
        </w:tc>
        <w:tc>
          <w:tcPr>
            <w:tcW w:w="264" w:type="dxa"/>
            <w:tcBorders/>
            <w:shd w:fill="FFFFFF" w:val="clear"/>
            <w:vAlign w:val="bottom"/>
          </w:tcPr>
          <w:p>
            <w:pPr>
              <w:pStyle w:val="TableContents"/>
              <w:spacing w:before="0" w:after="283"/>
              <w:rPr/>
            </w:pPr>
            <w:r>
              <w:rPr/>
              <w:t xml:space="preserve">  </w:t>
            </w:r>
          </w:p>
        </w:tc>
        <w:tc>
          <w:tcPr>
            <w:tcW w:w="1459"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2,540,000</w:t>
            </w:r>
          </w:p>
        </w:tc>
        <w:tc>
          <w:tcPr>
            <w:tcW w:w="264" w:type="dxa"/>
            <w:tcBorders/>
            <w:shd w:fill="FFFFFF" w:val="clear"/>
            <w:vAlign w:val="bottom"/>
          </w:tcPr>
          <w:p>
            <w:pPr>
              <w:pStyle w:val="TableContents"/>
              <w:spacing w:before="0" w:after="283"/>
              <w:rPr/>
            </w:pPr>
            <w:r>
              <w:rPr/>
              <w:t xml:space="preserve">  </w:t>
            </w:r>
          </w:p>
        </w:tc>
        <w:tc>
          <w:tcPr>
            <w:tcW w:w="132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2,884,000</w:t>
            </w:r>
          </w:p>
        </w:tc>
        <w:tc>
          <w:tcPr>
            <w:tcW w:w="264" w:type="dxa"/>
            <w:tcBorders/>
            <w:shd w:fill="FFFFFF" w:val="clear"/>
            <w:vAlign w:val="bottom"/>
          </w:tcPr>
          <w:p>
            <w:pPr>
              <w:pStyle w:val="TableContents"/>
              <w:spacing w:before="0" w:after="283"/>
              <w:rPr/>
            </w:pPr>
            <w:r>
              <w:rPr/>
              <w:t xml:space="preserve">  </w:t>
            </w:r>
          </w:p>
        </w:tc>
        <w:tc>
          <w:tcPr>
            <w:tcW w:w="1326" w:type="dxa"/>
            <w:tcBorders/>
            <w:shd w:fill="FFFFFF" w:val="clear"/>
            <w:vAlign w:val="bottom"/>
          </w:tcPr>
          <w:p>
            <w:pPr>
              <w:pStyle w:val="TableContents"/>
              <w:spacing w:before="0" w:after="0"/>
              <w:ind w:left="72" w:right="0" w:hanging="0"/>
              <w:jc w:val="right"/>
              <w:rPr/>
            </w:pPr>
            <w:bookmarkStart w:id="414" w:name="TAB1208"/>
            <w:bookmarkEnd w:id="414"/>
            <w:r>
              <w:rPr/>
              <w:t> </w:t>
            </w:r>
            <w:r>
              <w:rPr>
                <w:rFonts w:ascii="times new roman" w:hAnsi="times new roman"/>
                <w:sz w:val="20"/>
              </w:rPr>
              <w:t>2,036,000</w:t>
            </w:r>
          </w:p>
        </w:tc>
        <w:tc>
          <w:tcPr>
            <w:tcW w:w="264" w:type="dxa"/>
            <w:tcBorders/>
            <w:shd w:fill="FFFFFF" w:val="clear"/>
            <w:vAlign w:val="bottom"/>
          </w:tcPr>
          <w:p>
            <w:pPr>
              <w:pStyle w:val="TableContents"/>
              <w:spacing w:before="0" w:after="283"/>
              <w:rPr/>
            </w:pPr>
            <w:r>
              <w:rPr/>
              <w:t xml:space="preserve">  </w:t>
            </w:r>
          </w:p>
        </w:tc>
        <w:tc>
          <w:tcPr>
            <w:tcW w:w="132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2,969,000</w:t>
            </w:r>
          </w:p>
        </w:tc>
      </w:tr>
      <w:tr>
        <w:trPr/>
        <w:tc>
          <w:tcPr>
            <w:tcW w:w="212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Unconditional Purchase Obligations</w:t>
            </w:r>
          </w:p>
        </w:tc>
        <w:tc>
          <w:tcPr>
            <w:tcW w:w="264" w:type="dxa"/>
            <w:tcBorders/>
            <w:shd w:fill="CCEEFF" w:val="clear"/>
          </w:tcPr>
          <w:p>
            <w:pPr>
              <w:pStyle w:val="TableContents"/>
              <w:spacing w:before="0" w:after="283"/>
              <w:rPr/>
            </w:pPr>
            <w:r>
              <w:rPr/>
              <w:t xml:space="preserve">  </w:t>
            </w:r>
          </w:p>
        </w:tc>
        <w:tc>
          <w:tcPr>
            <w:tcW w:w="1326" w:type="dxa"/>
            <w:tcBorders>
              <w:bottom w:val="single" w:sz="12"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679,000</w:t>
            </w:r>
          </w:p>
        </w:tc>
        <w:tc>
          <w:tcPr>
            <w:tcW w:w="264" w:type="dxa"/>
            <w:tcBorders/>
            <w:shd w:fill="CCEEFF" w:val="clear"/>
            <w:vAlign w:val="bottom"/>
          </w:tcPr>
          <w:p>
            <w:pPr>
              <w:pStyle w:val="TableContents"/>
              <w:spacing w:before="0" w:after="283"/>
              <w:rPr/>
            </w:pPr>
            <w:r>
              <w:rPr/>
              <w:t xml:space="preserve">  </w:t>
            </w:r>
          </w:p>
        </w:tc>
        <w:tc>
          <w:tcPr>
            <w:tcW w:w="1459" w:type="dxa"/>
            <w:tcBorders>
              <w:bottom w:val="single" w:sz="12"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679,000</w:t>
            </w:r>
          </w:p>
        </w:tc>
        <w:tc>
          <w:tcPr>
            <w:tcW w:w="264" w:type="dxa"/>
            <w:tcBorders/>
            <w:shd w:fill="CCEEFF" w:val="clear"/>
            <w:vAlign w:val="bottom"/>
          </w:tcPr>
          <w:p>
            <w:pPr>
              <w:pStyle w:val="TableContents"/>
              <w:spacing w:before="0" w:after="283"/>
              <w:rPr/>
            </w:pPr>
            <w:r>
              <w:rPr/>
              <w:t xml:space="preserve">  </w:t>
            </w:r>
          </w:p>
        </w:tc>
        <w:tc>
          <w:tcPr>
            <w:tcW w:w="1326" w:type="dxa"/>
            <w:tcBorders>
              <w:bottom w:val="single" w:sz="12"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4" w:type="dxa"/>
            <w:tcBorders/>
            <w:shd w:fill="CCEEFF" w:val="clear"/>
            <w:vAlign w:val="bottom"/>
          </w:tcPr>
          <w:p>
            <w:pPr>
              <w:pStyle w:val="TableContents"/>
              <w:spacing w:before="0" w:after="283"/>
              <w:rPr/>
            </w:pPr>
            <w:r>
              <w:rPr/>
              <w:t xml:space="preserve">  </w:t>
            </w:r>
          </w:p>
        </w:tc>
        <w:tc>
          <w:tcPr>
            <w:tcW w:w="1326" w:type="dxa"/>
            <w:tcBorders>
              <w:bottom w:val="single" w:sz="12"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4" w:type="dxa"/>
            <w:tcBorders/>
            <w:shd w:fill="CCEEFF" w:val="clear"/>
            <w:vAlign w:val="bottom"/>
          </w:tcPr>
          <w:p>
            <w:pPr>
              <w:pStyle w:val="TableContents"/>
              <w:spacing w:before="0" w:after="283"/>
              <w:rPr/>
            </w:pPr>
            <w:r>
              <w:rPr/>
              <w:t xml:space="preserve">  </w:t>
            </w:r>
          </w:p>
        </w:tc>
        <w:tc>
          <w:tcPr>
            <w:tcW w:w="1326" w:type="dxa"/>
            <w:tcBorders>
              <w:bottom w:val="single" w:sz="12"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12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Total Contractual Cash Obligations</w:t>
            </w:r>
          </w:p>
        </w:tc>
        <w:tc>
          <w:tcPr>
            <w:tcW w:w="264" w:type="dxa"/>
            <w:tcBorders/>
            <w:shd w:fill="FFFFFF" w:val="clear"/>
          </w:tcPr>
          <w:p>
            <w:pPr>
              <w:pStyle w:val="TableContents"/>
              <w:spacing w:before="0" w:after="283"/>
              <w:rPr/>
            </w:pPr>
            <w:r>
              <w:rPr/>
              <w:t xml:space="preserve">  </w:t>
            </w:r>
          </w:p>
        </w:tc>
        <w:tc>
          <w:tcPr>
            <w:tcW w:w="1326" w:type="dxa"/>
            <w:tcBorders>
              <w:bottom w:val="double" w:sz="8"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$54,238,000</w:t>
            </w:r>
          </w:p>
        </w:tc>
        <w:tc>
          <w:tcPr>
            <w:tcW w:w="264" w:type="dxa"/>
            <w:tcBorders/>
            <w:shd w:fill="FFFFFF" w:val="clear"/>
            <w:vAlign w:val="bottom"/>
          </w:tcPr>
          <w:p>
            <w:pPr>
              <w:pStyle w:val="TableContents"/>
              <w:spacing w:before="0" w:after="283"/>
              <w:rPr/>
            </w:pPr>
            <w:r>
              <w:rPr/>
              <w:t xml:space="preserve">  </w:t>
            </w:r>
          </w:p>
        </w:tc>
        <w:tc>
          <w:tcPr>
            <w:tcW w:w="1459" w:type="dxa"/>
            <w:tcBorders>
              <w:bottom w:val="double" w:sz="8" w:space="0" w:color="000000"/>
            </w:tcBorders>
            <w:shd w:fill="FFFFFF" w:val="clear"/>
            <w:tcMar>
              <w:bottom w:w="28" w:type="dxa"/>
            </w:tcMar>
            <w:vAlign w:val="bottom"/>
          </w:tcPr>
          <w:p>
            <w:pPr>
              <w:pStyle w:val="TableContents"/>
              <w:spacing w:before="0" w:after="0"/>
              <w:ind w:left="117" w:right="0" w:hanging="0"/>
              <w:jc w:val="right"/>
              <w:rPr>
                <w:rFonts w:ascii="times new roman" w:hAnsi="times new roman"/>
                <w:sz w:val="20"/>
              </w:rPr>
            </w:pPr>
            <w:bookmarkStart w:id="415" w:name="TAB1209"/>
            <w:bookmarkEnd w:id="415"/>
            <w:r>
              <w:rPr>
                <w:rFonts w:ascii="times new roman" w:hAnsi="times new roman"/>
                <w:sz w:val="20"/>
              </w:rPr>
              <w:t>$ 8,852,000</w:t>
            </w:r>
          </w:p>
        </w:tc>
        <w:tc>
          <w:tcPr>
            <w:tcW w:w="264" w:type="dxa"/>
            <w:tcBorders/>
            <w:shd w:fill="FFFFFF" w:val="clear"/>
            <w:vAlign w:val="bottom"/>
          </w:tcPr>
          <w:p>
            <w:pPr>
              <w:pStyle w:val="TableContents"/>
              <w:spacing w:before="0" w:after="283"/>
              <w:rPr/>
            </w:pPr>
            <w:r>
              <w:rPr/>
              <w:t xml:space="preserve">  </w:t>
            </w:r>
          </w:p>
        </w:tc>
        <w:tc>
          <w:tcPr>
            <w:tcW w:w="1326" w:type="dxa"/>
            <w:tcBorders>
              <w:bottom w:val="double" w:sz="8"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$14,360,000</w:t>
            </w:r>
          </w:p>
        </w:tc>
        <w:tc>
          <w:tcPr>
            <w:tcW w:w="264" w:type="dxa"/>
            <w:tcBorders/>
            <w:shd w:fill="FFFFFF" w:val="clear"/>
            <w:vAlign w:val="bottom"/>
          </w:tcPr>
          <w:p>
            <w:pPr>
              <w:pStyle w:val="TableContents"/>
              <w:spacing w:before="0" w:after="283"/>
              <w:rPr/>
            </w:pPr>
            <w:r>
              <w:rPr/>
              <w:t xml:space="preserve">  </w:t>
            </w:r>
          </w:p>
        </w:tc>
        <w:tc>
          <w:tcPr>
            <w:tcW w:w="1326" w:type="dxa"/>
            <w:tcBorders>
              <w:bottom w:val="double" w:sz="8"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$ 10,734,000</w:t>
            </w:r>
          </w:p>
        </w:tc>
        <w:tc>
          <w:tcPr>
            <w:tcW w:w="264" w:type="dxa"/>
            <w:tcBorders/>
            <w:shd w:fill="FFFFFF" w:val="clear"/>
            <w:vAlign w:val="bottom"/>
          </w:tcPr>
          <w:p>
            <w:pPr>
              <w:pStyle w:val="TableContents"/>
              <w:spacing w:before="0" w:after="283"/>
              <w:rPr/>
            </w:pPr>
            <w:r>
              <w:rPr/>
              <w:t xml:space="preserve">  </w:t>
            </w:r>
          </w:p>
        </w:tc>
        <w:tc>
          <w:tcPr>
            <w:tcW w:w="1326" w:type="dxa"/>
            <w:tcBorders>
              <w:bottom w:val="double" w:sz="8"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$20,292,000</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plan to make a contribution to our defined benefit pension plan in fiscal 2011 of approximately $1,200,000.  We have not presented this obligation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unconditional purchase obligations in the table above include forward purchase contracts we have entered into for a portion of our natural gas fuel needs for fiscal 2011.  As of January 31, 2011, the remaining purchase obligation for fiscal 2011 was $679,000 for 80,000 MMBtu.  These contracts were entered into in the normal course of business and no contracts were entered into for speculative purposes.</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6" w:name="PGBRK21"/>
      <w:bookmarkStart w:id="417" w:name="PGBRK21"/>
      <w:bookmarkEnd w:id="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 w:name="FTR21"/>
      <w:bookmarkStart w:id="419" w:name="FTR21"/>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0" w:name="GLFTR21"/>
      <w:bookmarkEnd w:id="4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1" w:name="PN21"/>
      <w:bookmarkEnd w:id="421"/>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2" w:name="HDR21"/>
      <w:bookmarkStart w:id="423" w:name="HDR21"/>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4" w:name="GLHDR21"/>
      <w:bookmarkEnd w:id="4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tbl>
      <w:tblPr>
        <w:tblW w:w="5000" w:type="pct"/>
        <w:jc w:val="left"/>
        <w:tblInd w:w="0" w:type="dxa"/>
        <w:tblCellMar>
          <w:top w:w="0" w:type="dxa"/>
          <w:left w:w="0" w:type="dxa"/>
          <w:bottom w:w="0" w:type="dxa"/>
          <w:right w:w="0" w:type="dxa"/>
        </w:tblCellMar>
      </w:tblPr>
      <w:tblGrid>
        <w:gridCol w:w="3069"/>
        <w:gridCol w:w="102"/>
        <w:gridCol w:w="157"/>
        <w:gridCol w:w="1268"/>
        <w:gridCol w:w="102"/>
        <w:gridCol w:w="102"/>
        <w:gridCol w:w="157"/>
        <w:gridCol w:w="1268"/>
        <w:gridCol w:w="102"/>
        <w:gridCol w:w="102"/>
        <w:gridCol w:w="157"/>
        <w:gridCol w:w="1179"/>
        <w:gridCol w:w="102"/>
        <w:gridCol w:w="102"/>
        <w:gridCol w:w="316"/>
        <w:gridCol w:w="637"/>
        <w:gridCol w:w="102"/>
        <w:gridCol w:w="102"/>
        <w:gridCol w:w="316"/>
        <w:gridCol w:w="637"/>
        <w:gridCol w:w="126"/>
      </w:tblGrid>
      <w:tr>
        <w:trPr/>
        <w:tc>
          <w:tcPr>
            <w:tcW w:w="30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6908"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of Commitment Expiration Per Period</w:t>
            </w:r>
          </w:p>
        </w:tc>
        <w:tc>
          <w:tcPr>
            <w:tcW w:w="126" w:type="dxa"/>
            <w:tcBorders/>
            <w:shd w:fill="auto" w:val="clear"/>
            <w:vAlign w:val="bottom"/>
          </w:tcPr>
          <w:p>
            <w:pPr>
              <w:pStyle w:val="TableContents"/>
              <w:spacing w:before="0" w:after="283"/>
              <w:jc w:val="left"/>
              <w:rPr/>
            </w:pPr>
            <w:r>
              <w:rPr/>
              <w:t> </w:t>
            </w:r>
          </w:p>
        </w:tc>
      </w:tr>
      <w:tr>
        <w:trPr/>
        <w:tc>
          <w:tcPr>
            <w:tcW w:w="30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4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4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Less Than 1 Year</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 3 Years</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9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4 – 5 Years</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9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After 5 Years</w:t>
            </w:r>
          </w:p>
        </w:tc>
        <w:tc>
          <w:tcPr>
            <w:tcW w:w="126" w:type="dxa"/>
            <w:tcBorders/>
            <w:shd w:fill="auto" w:val="clear"/>
            <w:vAlign w:val="bottom"/>
          </w:tcPr>
          <w:p>
            <w:pPr>
              <w:pStyle w:val="TableContents"/>
              <w:spacing w:before="0" w:after="283"/>
              <w:jc w:val="left"/>
              <w:rPr/>
            </w:pPr>
            <w:r>
              <w:rPr/>
              <w:t> </w:t>
            </w:r>
          </w:p>
        </w:tc>
      </w:tr>
      <w:tr>
        <w:trPr/>
        <w:tc>
          <w:tcPr>
            <w:tcW w:w="306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Commercial Commitments</w:t>
            </w:r>
          </w:p>
        </w:tc>
        <w:tc>
          <w:tcPr>
            <w:tcW w:w="102" w:type="dxa"/>
            <w:tcBorders/>
            <w:shd w:fill="CCEEFF" w:val="clear"/>
            <w:vAlign w:val="bottom"/>
          </w:tcPr>
          <w:p>
            <w:pPr>
              <w:pStyle w:val="TableContents"/>
              <w:spacing w:before="0" w:after="283"/>
              <w:jc w:val="right"/>
              <w:rPr/>
            </w:pPr>
            <w:r>
              <w:rPr/>
              <w:t> </w:t>
            </w:r>
          </w:p>
        </w:tc>
        <w:tc>
          <w:tcPr>
            <w:tcW w:w="15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8" w:type="dxa"/>
            <w:tcBorders>
              <w:bottom w:val="double" w:sz="8" w:space="0" w:color="000000"/>
            </w:tcBorders>
            <w:shd w:fill="CCEEFF" w:val="clear"/>
            <w:tcMar>
              <w:bottom w:w="28" w:type="dxa"/>
            </w:tcMar>
            <w:vAlign w:val="bottom"/>
          </w:tcPr>
          <w:p>
            <w:pPr>
              <w:pStyle w:val="TableContents"/>
              <w:spacing w:before="0" w:after="283"/>
              <w:ind w:left="124" w:right="0" w:hanging="0"/>
              <w:jc w:val="right"/>
              <w:rPr>
                <w:rFonts w:ascii="times new roman" w:hAnsi="times new roman"/>
                <w:sz w:val="20"/>
              </w:rPr>
            </w:pPr>
            <w:bookmarkStart w:id="425" w:name="TAB1210"/>
            <w:bookmarkEnd w:id="425"/>
            <w:r>
              <w:rPr>
                <w:rFonts w:ascii="times new roman" w:hAnsi="times new roman"/>
                <w:sz w:val="20"/>
              </w:rPr>
              <w:t>32,700,000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5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29,993,000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5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2,707,000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31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31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other commercial commitments in the table above represent open purc</w:t>
      </w:r>
      <w:bookmarkStart w:id="426" w:name="24"/>
      <w:bookmarkEnd w:id="426"/>
      <w:r>
        <w:rPr>
          <w:rFonts w:ascii="Times New Roman" w:hAnsi="Times New Roman"/>
          <w:sz w:val="20"/>
        </w:rPr>
        <w:t>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CRITICAL ACCOUNTING POLICIES AND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discussion and analysis of financial condition and results of operations is based on our unaudited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See the information concerning our critical accounting policies included under Management’s Discussion of Financial Condition and Results of Operations in our Annual Report on Form 10-K for the fiscal year ended July 31, 2010 filed with the Securities and Exchange Commission, which is incorporated by reference in this Form 10-Q.</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Recently Adopted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adopted the required portions of FASB guidance issued in July 2010 under Accounting Standards Codification (“ASC”) 310-10, </w:t>
      </w:r>
      <w:r>
        <w:rPr>
          <w:rFonts w:ascii="Times New Roman" w:hAnsi="Times New Roman"/>
          <w:i/>
          <w:sz w:val="20"/>
        </w:rPr>
        <w:t>Disclosures about the Credit Quality of Financing Receivables and the Allowance for Credit Losses.  </w:t>
      </w:r>
      <w:r>
        <w:rPr>
          <w:rFonts w:ascii="Times New Roman" w:hAnsi="Times New Roman"/>
          <w:sz w:val="20"/>
        </w:rPr>
        <w:t>The guidance effective for this Quarterly Report on Form 10-Q for the quarter ending January 31, 2011 required new disclosures to provide a greater level of disaggregated information about the credit quality of financing receivables, including credit quality indicators, past due information and modifications of financing receivables.  We had no material financing receivables as of January 31, 2011; therefore, the adoption of this guidance did not result in any new disclosures in the notes to the unaudited consolidated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Recently Issued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January 2010, the FASB issued guidance under ASC 820-10, </w:t>
      </w:r>
      <w:r>
        <w:rPr>
          <w:rFonts w:ascii="Times New Roman" w:hAnsi="Times New Roman"/>
          <w:i/>
          <w:sz w:val="20"/>
        </w:rPr>
        <w:t xml:space="preserve">Fair Value Measurements and Disclosures: Improving Disclosures about Fair Value Measurements, </w:t>
      </w:r>
      <w:r>
        <w:rPr>
          <w:rFonts w:ascii="Times New Roman" w:hAnsi="Times New Roman"/>
          <w:sz w:val="20"/>
        </w:rPr>
        <w:t>that requires new disclosures related to Level 3 fair value measurements.  Adoption of this guidance may result in enhanced disclosures beginning with our Quarterly Report on Form 10-Q for the quarter ending October 31, 2011 and will not have a material impact on the Consolidated Financial Statements.</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7" w:name="PGBRK22"/>
      <w:bookmarkStart w:id="428" w:name="PGBRK22"/>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9" w:name="FTR22"/>
      <w:bookmarkStart w:id="430" w:name="FTR22"/>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1" w:name="GLFTR22"/>
      <w:bookmarkEnd w:id="4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2" w:name="PN22"/>
      <w:bookmarkEnd w:id="432"/>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3" w:name="HDR22"/>
      <w:bookmarkStart w:id="434" w:name="HDR22"/>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5" w:name="GLHDR22"/>
      <w:bookmarkEnd w:id="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ITEM 3.  QUANTITATIVE AND QUALITATIVE DISCLOSURES ABOUT MAR</w:t>
      </w:r>
      <w:bookmarkStart w:id="436" w:name="25"/>
      <w:bookmarkEnd w:id="436"/>
      <w:r>
        <w:rPr>
          <w:rFonts w:ascii="Times New Roman" w:hAnsi="Times New Roman"/>
          <w:b/>
          <w:sz w:val="20"/>
        </w:rPr>
        <w:t>KET RISK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sales or net income.  We do not enter into any hedge contracts in an attempt to offset any adverse effect of changes in currency exchange rates.  We believe that the foreign currency fluctuation risk is not material to our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market risk as it relates to the investments that make up our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commodity price risk with respect to fuel.  We have contracted for a portion of our anticipated fuel needs using forward purchase contracts to mitigate the volatility of our kiln fuel prices.  As of January 31, 2011, we have purchased natural gas contracts representing approximately 23% of our planned kiln fuel needs for fiscal 2011.  We estimate the weighted average cost of these natural gas contracts in fiscal 2011 to be approximately 4% lower than the contracts in fiscal 2010; however, this average will change if we continue to buy natural gas contracts.  All contracts are related to the normal course of business and no contracts are entered into for speculative purposes.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tables below provide information about our natural gas purchase contracts, which are sensitive to changes in commodity prices, specifically natural gas prices.  For the purchase contracts outstanding at January 31, 2011, the table presents the notional amounts in MMBtu’s, the weighted average contract prices, and the total dollar contract amount, which will mature by July 31, 2011.  The Fair Value was determined using the “Most Recent Settle” price for the “Henry Hub Natural Gas” option contract prices as listed by the New York Mercantile Exchange on March 7, 2011.</w:t>
      </w:r>
    </w:p>
    <w:p>
      <w:pPr>
        <w:pStyle w:val="TextBody"/>
        <w:spacing w:before="0" w:after="0"/>
        <w:ind w:left="0" w:right="0" w:hanging="0"/>
        <w:jc w:val="both"/>
        <w:rPr/>
      </w:pPr>
      <w:r>
        <w:rPr/>
        <w:t> </w:t>
      </w:r>
      <w:r>
        <w:rPr/>
        <w:br/>
        <w:t> </w:t>
      </w:r>
    </w:p>
    <w:tbl>
      <w:tblPr>
        <w:tblW w:w="2500" w:type="pct"/>
        <w:jc w:val="center"/>
        <w:tblInd w:w="0" w:type="dxa"/>
        <w:tblCellMar>
          <w:top w:w="28" w:type="dxa"/>
          <w:left w:w="0" w:type="dxa"/>
          <w:bottom w:w="28" w:type="dxa"/>
          <w:right w:w="0" w:type="dxa"/>
        </w:tblCellMar>
      </w:tblPr>
      <w:tblGrid>
        <w:gridCol w:w="2686"/>
        <w:gridCol w:w="90"/>
        <w:gridCol w:w="137"/>
        <w:gridCol w:w="937"/>
        <w:gridCol w:w="90"/>
        <w:gridCol w:w="90"/>
        <w:gridCol w:w="130"/>
        <w:gridCol w:w="837"/>
        <w:gridCol w:w="105"/>
      </w:tblGrid>
      <w:tr>
        <w:trPr/>
        <w:tc>
          <w:tcPr>
            <w:tcW w:w="4997" w:type="dxa"/>
            <w:gridSpan w:val="8"/>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Commodity Price Sensitivity</w:t>
            </w:r>
          </w:p>
          <w:p>
            <w:pPr>
              <w:pStyle w:val="TableContents"/>
              <w:spacing w:before="0" w:after="0"/>
              <w:ind w:left="0" w:right="0" w:hanging="0"/>
              <w:jc w:val="center"/>
              <w:rPr>
                <w:rFonts w:ascii="times new roman" w:hAnsi="times new roman"/>
                <w:sz w:val="20"/>
              </w:rPr>
            </w:pPr>
            <w:r>
              <w:rPr>
                <w:rFonts w:ascii="times new roman" w:hAnsi="times new roman"/>
                <w:sz w:val="20"/>
              </w:rPr>
              <w:t>Natural Gas Future Contracts</w:t>
            </w:r>
          </w:p>
          <w:p>
            <w:pPr>
              <w:pStyle w:val="TableContents"/>
              <w:spacing w:before="0" w:after="0"/>
              <w:ind w:left="0" w:right="0" w:hanging="0"/>
              <w:jc w:val="center"/>
              <w:rPr>
                <w:rFonts w:ascii="times new roman" w:hAnsi="times new roman"/>
                <w:sz w:val="20"/>
              </w:rPr>
            </w:pPr>
            <w:r>
              <w:rPr>
                <w:rFonts w:ascii="times new roman" w:hAnsi="times new roman"/>
                <w:sz w:val="20"/>
              </w:rPr>
              <w:t>For the Six Months Ending July 31, 2011</w:t>
            </w:r>
          </w:p>
        </w:tc>
        <w:tc>
          <w:tcPr>
            <w:tcW w:w="105"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2686" w:type="dxa"/>
            <w:tcBorders/>
            <w:shd w:fill="auto" w:val="clear"/>
            <w:tcMar>
              <w:top w:w="0" w:type="dxa"/>
              <w:bottom w:w="0" w:type="dxa"/>
            </w:tcMar>
            <w:vAlign w:val="bottom"/>
          </w:tcPr>
          <w:p>
            <w:pPr>
              <w:pStyle w:val="TableContents"/>
              <w:spacing w:before="0" w:after="283"/>
              <w:rPr/>
            </w:pPr>
            <w:r>
              <w:rPr/>
              <w:t xml:space="preserve">  </w:t>
            </w:r>
          </w:p>
        </w:tc>
        <w:tc>
          <w:tcPr>
            <w:tcW w:w="90" w:type="dxa"/>
            <w:tcBorders/>
            <w:shd w:fill="auto" w:val="clear"/>
            <w:tcMar>
              <w:top w:w="0" w:type="dxa"/>
              <w:bottom w:w="0" w:type="dxa"/>
            </w:tcMar>
            <w:vAlign w:val="bottom"/>
          </w:tcPr>
          <w:p>
            <w:pPr>
              <w:pStyle w:val="TableContents"/>
              <w:spacing w:before="0" w:after="283"/>
              <w:rPr/>
            </w:pPr>
            <w:r>
              <w:rPr/>
              <w:t> </w:t>
            </w:r>
          </w:p>
        </w:tc>
        <w:tc>
          <w:tcPr>
            <w:tcW w:w="1074" w:type="dxa"/>
            <w:gridSpan w:val="2"/>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2011 Maturity</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967" w:type="dxa"/>
            <w:gridSpan w:val="2"/>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05" w:type="dxa"/>
            <w:tcBorders/>
            <w:shd w:fill="auto" w:val="clear"/>
            <w:tcMar>
              <w:top w:w="0" w:type="dxa"/>
              <w:bottom w:w="0" w:type="dxa"/>
            </w:tcMar>
            <w:vAlign w:val="bottom"/>
          </w:tcPr>
          <w:p>
            <w:pPr>
              <w:pStyle w:val="TableContents"/>
              <w:spacing w:before="0" w:after="283"/>
              <w:jc w:val="left"/>
              <w:rPr/>
            </w:pPr>
            <w:r>
              <w:rPr/>
              <w:t> </w:t>
            </w:r>
          </w:p>
        </w:tc>
      </w:tr>
      <w:tr>
        <w:trPr/>
        <w:tc>
          <w:tcPr>
            <w:tcW w:w="2686" w:type="dxa"/>
            <w:tcBorders/>
            <w:shd w:fill="CCEE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Natural Gas Future Volumes (MMBtu)</w:t>
            </w:r>
          </w:p>
        </w:tc>
        <w:tc>
          <w:tcPr>
            <w:tcW w:w="90" w:type="dxa"/>
            <w:tcBorders/>
            <w:shd w:fill="CCEEFF" w:val="clear"/>
            <w:tcMar>
              <w:top w:w="0" w:type="dxa"/>
              <w:bottom w:w="0" w:type="dxa"/>
            </w:tcMar>
            <w:vAlign w:val="bottom"/>
          </w:tcPr>
          <w:p>
            <w:pPr>
              <w:pStyle w:val="TableContents"/>
              <w:spacing w:before="0" w:after="283"/>
              <w:jc w:val="right"/>
              <w:rPr/>
            </w:pPr>
            <w:r>
              <w:rPr/>
              <w:t> </w:t>
            </w:r>
          </w:p>
        </w:tc>
        <w:tc>
          <w:tcPr>
            <w:tcW w:w="137" w:type="dxa"/>
            <w:tcBorders/>
            <w:shd w:fill="CCEEFF" w:val="clear"/>
            <w:tcMar>
              <w:top w:w="0" w:type="dxa"/>
              <w:bottom w:w="0" w:type="dxa"/>
            </w:tcMar>
            <w:vAlign w:val="bottom"/>
          </w:tcPr>
          <w:p>
            <w:pPr>
              <w:pStyle w:val="TableContents"/>
              <w:spacing w:before="0" w:after="283"/>
              <w:jc w:val="left"/>
              <w:rPr/>
            </w:pPr>
            <w:r>
              <w:rPr/>
              <w:t> </w:t>
            </w:r>
          </w:p>
        </w:tc>
        <w:tc>
          <w:tcPr>
            <w:tcW w:w="937" w:type="dxa"/>
            <w:tcBorders/>
            <w:shd w:fill="CCEE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90" w:type="dxa"/>
            <w:tcBorders/>
            <w:shd w:fill="CCEEFF" w:val="clear"/>
            <w:tcMar>
              <w:top w:w="0" w:type="dxa"/>
              <w:bottom w:w="0" w:type="dxa"/>
            </w:tcMar>
            <w:vAlign w:val="bottom"/>
          </w:tcPr>
          <w:p>
            <w:pPr>
              <w:pStyle w:val="TableContents"/>
              <w:spacing w:before="0" w:after="283"/>
              <w:jc w:val="left"/>
              <w:rPr/>
            </w:pPr>
            <w:r>
              <w:rPr/>
              <w:t> </w:t>
            </w:r>
          </w:p>
        </w:tc>
        <w:tc>
          <w:tcPr>
            <w:tcW w:w="90" w:type="dxa"/>
            <w:tcBorders/>
            <w:shd w:fill="CCEEFF" w:val="clear"/>
            <w:tcMar>
              <w:top w:w="0" w:type="dxa"/>
              <w:bottom w:w="0" w:type="dxa"/>
            </w:tcMar>
            <w:vAlign w:val="bottom"/>
          </w:tcPr>
          <w:p>
            <w:pPr>
              <w:pStyle w:val="TableContents"/>
              <w:spacing w:before="0" w:after="283"/>
              <w:jc w:val="left"/>
              <w:rPr/>
            </w:pPr>
            <w:r>
              <w:rPr/>
              <w:t> </w:t>
            </w:r>
          </w:p>
        </w:tc>
        <w:tc>
          <w:tcPr>
            <w:tcW w:w="130" w:type="dxa"/>
            <w:tcBorders/>
            <w:shd w:fill="CCEEFF" w:val="clear"/>
            <w:tcMar>
              <w:top w:w="0" w:type="dxa"/>
              <w:bottom w:w="0" w:type="dxa"/>
            </w:tcMar>
            <w:vAlign w:val="bottom"/>
          </w:tcPr>
          <w:p>
            <w:pPr>
              <w:pStyle w:val="TableContents"/>
              <w:spacing w:before="0" w:after="283"/>
              <w:jc w:val="left"/>
              <w:rPr/>
            </w:pPr>
            <w:r>
              <w:rPr/>
              <w:t> </w:t>
            </w:r>
          </w:p>
        </w:tc>
        <w:tc>
          <w:tcPr>
            <w:tcW w:w="837" w:type="dxa"/>
            <w:tcBorders/>
            <w:shd w:fill="CCEE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tcMar>
              <w:top w:w="0" w:type="dxa"/>
              <w:bottom w:w="0" w:type="dxa"/>
            </w:tcMar>
            <w:vAlign w:val="bottom"/>
          </w:tcPr>
          <w:p>
            <w:pPr>
              <w:pStyle w:val="TableContents"/>
              <w:spacing w:before="0" w:after="283"/>
              <w:jc w:val="left"/>
              <w:rPr/>
            </w:pPr>
            <w:r>
              <w:rPr/>
              <w:t> </w:t>
            </w:r>
          </w:p>
        </w:tc>
      </w:tr>
      <w:tr>
        <w:trPr/>
        <w:tc>
          <w:tcPr>
            <w:tcW w:w="2686" w:type="dxa"/>
            <w:tcBorders/>
            <w:shd w:fill="FFFF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Price (Per MMBtu)</w:t>
            </w:r>
          </w:p>
        </w:tc>
        <w:tc>
          <w:tcPr>
            <w:tcW w:w="90" w:type="dxa"/>
            <w:tcBorders/>
            <w:shd w:fill="FFFFFF" w:val="clear"/>
            <w:tcMar>
              <w:top w:w="0" w:type="dxa"/>
              <w:bottom w:w="0" w:type="dxa"/>
            </w:tcMar>
            <w:vAlign w:val="bottom"/>
          </w:tcPr>
          <w:p>
            <w:pPr>
              <w:pStyle w:val="TableContents"/>
              <w:spacing w:before="0" w:after="283"/>
              <w:jc w:val="right"/>
              <w:rPr/>
            </w:pPr>
            <w:r>
              <w:rPr/>
              <w:t> </w:t>
            </w:r>
          </w:p>
        </w:tc>
        <w:tc>
          <w:tcPr>
            <w:tcW w:w="137"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7"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8.49</w:t>
            </w:r>
          </w:p>
        </w:tc>
        <w:tc>
          <w:tcPr>
            <w:tcW w:w="90" w:type="dxa"/>
            <w:tcBorders/>
            <w:shd w:fill="FFFFFF" w:val="clear"/>
            <w:tcMar>
              <w:top w:w="0" w:type="dxa"/>
              <w:bottom w:w="0" w:type="dxa"/>
            </w:tcMar>
            <w:vAlign w:val="bottom"/>
          </w:tcPr>
          <w:p>
            <w:pPr>
              <w:pStyle w:val="TableContents"/>
              <w:spacing w:before="0" w:after="283"/>
              <w:jc w:val="left"/>
              <w:rPr/>
            </w:pPr>
            <w:r>
              <w:rPr/>
              <w:t> </w:t>
            </w:r>
          </w:p>
        </w:tc>
        <w:tc>
          <w:tcPr>
            <w:tcW w:w="90" w:type="dxa"/>
            <w:tcBorders/>
            <w:shd w:fill="FFFFFF" w:val="clear"/>
            <w:tcMar>
              <w:top w:w="0" w:type="dxa"/>
              <w:bottom w:w="0" w:type="dxa"/>
            </w:tcMar>
            <w:vAlign w:val="bottom"/>
          </w:tcPr>
          <w:p>
            <w:pPr>
              <w:pStyle w:val="TableContents"/>
              <w:spacing w:before="0" w:after="283"/>
              <w:jc w:val="left"/>
              <w:rPr/>
            </w:pPr>
            <w:r>
              <w:rPr/>
              <w:t> </w:t>
            </w:r>
          </w:p>
        </w:tc>
        <w:tc>
          <w:tcPr>
            <w:tcW w:w="130" w:type="dxa"/>
            <w:tcBorders/>
            <w:shd w:fill="FFFFFF" w:val="clear"/>
            <w:tcMar>
              <w:top w:w="0" w:type="dxa"/>
              <w:bottom w:w="0" w:type="dxa"/>
            </w:tcMar>
            <w:vAlign w:val="bottom"/>
          </w:tcPr>
          <w:p>
            <w:pPr>
              <w:pStyle w:val="TableContents"/>
              <w:spacing w:before="0" w:after="283"/>
              <w:jc w:val="left"/>
              <w:rPr/>
            </w:pPr>
            <w:r>
              <w:rPr/>
              <w:t> </w:t>
            </w:r>
          </w:p>
        </w:tc>
        <w:tc>
          <w:tcPr>
            <w:tcW w:w="837"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tcMar>
              <w:top w:w="0" w:type="dxa"/>
              <w:bottom w:w="0" w:type="dxa"/>
            </w:tcMar>
            <w:vAlign w:val="bottom"/>
          </w:tcPr>
          <w:p>
            <w:pPr>
              <w:pStyle w:val="TableContents"/>
              <w:spacing w:before="0" w:after="283"/>
              <w:jc w:val="left"/>
              <w:rPr/>
            </w:pPr>
            <w:r>
              <w:rPr/>
              <w:t> </w:t>
            </w:r>
          </w:p>
        </w:tc>
      </w:tr>
      <w:tr>
        <w:trPr/>
        <w:tc>
          <w:tcPr>
            <w:tcW w:w="2686" w:type="dxa"/>
            <w:tcBorders>
              <w:bottom w:val="double" w:sz="8"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 Amount ($ U.S., in thousands)</w:t>
            </w:r>
          </w:p>
        </w:tc>
        <w:tc>
          <w:tcPr>
            <w:tcW w:w="90" w:type="dxa"/>
            <w:tcBorders/>
            <w:shd w:fill="CCEEFF" w:val="clear"/>
            <w:tcMar>
              <w:top w:w="0" w:type="dxa"/>
              <w:bottom w:w="0" w:type="dxa"/>
            </w:tcMar>
            <w:vAlign w:val="bottom"/>
          </w:tcPr>
          <w:p>
            <w:pPr>
              <w:pStyle w:val="TableContents"/>
              <w:spacing w:before="0" w:after="283"/>
              <w:jc w:val="right"/>
              <w:rPr/>
            </w:pPr>
            <w:r>
              <w:rPr/>
              <w:t> </w:t>
            </w:r>
          </w:p>
        </w:tc>
        <w:tc>
          <w:tcPr>
            <w:tcW w:w="137"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7"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678.9</w:t>
            </w:r>
          </w:p>
        </w:tc>
        <w:tc>
          <w:tcPr>
            <w:tcW w:w="90" w:type="dxa"/>
            <w:tcBorders/>
            <w:shd w:fill="CCEEFF" w:val="clear"/>
            <w:tcMar>
              <w:top w:w="0" w:type="dxa"/>
              <w:bottom w:w="0" w:type="dxa"/>
            </w:tcMar>
            <w:vAlign w:val="bottom"/>
          </w:tcPr>
          <w:p>
            <w:pPr>
              <w:pStyle w:val="TableContents"/>
              <w:spacing w:before="0" w:after="283"/>
              <w:jc w:val="left"/>
              <w:rPr/>
            </w:pPr>
            <w:r>
              <w:rPr/>
              <w:t> </w:t>
            </w:r>
          </w:p>
        </w:tc>
        <w:tc>
          <w:tcPr>
            <w:tcW w:w="90" w:type="dxa"/>
            <w:tcBorders/>
            <w:shd w:fill="CCEEFF" w:val="clear"/>
            <w:tcMar>
              <w:top w:w="0" w:type="dxa"/>
              <w:bottom w:w="0" w:type="dxa"/>
            </w:tcMar>
            <w:vAlign w:val="bottom"/>
          </w:tcPr>
          <w:p>
            <w:pPr>
              <w:pStyle w:val="TableContents"/>
              <w:spacing w:before="0" w:after="283"/>
              <w:jc w:val="left"/>
              <w:rPr/>
            </w:pPr>
            <w:r>
              <w:rPr/>
              <w:t> </w:t>
            </w:r>
          </w:p>
        </w:tc>
        <w:tc>
          <w:tcPr>
            <w:tcW w:w="130"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7"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323.3</w:t>
            </w:r>
          </w:p>
        </w:tc>
        <w:tc>
          <w:tcPr>
            <w:tcW w:w="105" w:type="dxa"/>
            <w:tcBorders/>
            <w:shd w:fill="CCEEFF"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financial results are difficult to make due to the inherent uncertainty of future fluctuations in option contract prices in the natural gas options market.</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7" w:name="PGBRK23"/>
      <w:bookmarkStart w:id="438" w:name="PGBRK23"/>
      <w:bookmarkEnd w:id="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9" w:name="FTR23"/>
      <w:bookmarkStart w:id="440" w:name="FTR23"/>
      <w:bookmarkEnd w:id="4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1" w:name="GLFTR23"/>
      <w:bookmarkEnd w:id="4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2" w:name="PN23"/>
      <w:bookmarkEnd w:id="442"/>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3" w:name="HDR23"/>
      <w:bookmarkStart w:id="444" w:name="HDR23"/>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5" w:name="GLHDR23"/>
      <w:bookmarkEnd w:id="4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ITEM 4.  CONTROLS AND PROCEDUR</w:t>
      </w:r>
      <w:bookmarkStart w:id="446" w:name="26"/>
      <w:bookmarkEnd w:id="446"/>
      <w:r>
        <w:rPr>
          <w:rFonts w:ascii="Times New Roman" w:hAnsi="Times New Roman"/>
          <w:b/>
          <w:sz w:val="20"/>
        </w:rPr>
        <w: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conducted an evaluation of the effectiveness of the design and operation of our disclosure controls and procedures (as defined in Rule 13a-15(e) under the Securities Exchange Act of 1934)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were no changes in our internal control over financial reporting (as defined in Rule 13a-15(f) under the Exchange Act) that occurred during the fiscal quarter ended January 31 that have materially affected, or are reasonably likely to materially affect, our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Inherent Limitations on Effectiveness of Controls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7" w:name="PGBRK24"/>
      <w:bookmarkStart w:id="448" w:name="PGBRK24"/>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9" w:name="FTR24"/>
      <w:bookmarkStart w:id="450" w:name="FTR24"/>
      <w:bookmarkEnd w:id="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1" w:name="GLFTR24"/>
      <w:bookmarkEnd w:id="4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2" w:name="PN24"/>
      <w:bookmarkEnd w:id="452"/>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3" w:name="HDR24"/>
      <w:bookmarkStart w:id="454" w:name="HDR24"/>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5" w:name="GLHDR24"/>
      <w:bookmarkEnd w:id="4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PART II – OTHER INFORMATI</w:t>
      </w:r>
      <w:bookmarkStart w:id="456" w:name="27"/>
      <w:bookmarkEnd w:id="456"/>
      <w:r>
        <w:rPr>
          <w:rFonts w:ascii="Times New Roman" w:hAnsi="Times New Roman"/>
          <w:b/>
          <w:sz w:val="20"/>
        </w:rPr>
        <w:t>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Items 1, 1A, and 3 of this Part II are either inapplicable or are answered in the negative and are omitted pursuant to the instructions to Part II.</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2.  UNREGISTERED SALES OF EQUITY SECURITIES AND USE OF PROCEEDS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During the three months ended January 31, 2011, we did not sell any securities which were not registered under the Securities Act.  The following chart summarizes Common Stock repurchases during this period.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551"/>
        <w:gridCol w:w="1500"/>
        <w:gridCol w:w="1501"/>
        <w:gridCol w:w="2251"/>
        <w:gridCol w:w="2402"/>
      </w:tblGrid>
      <w:tr>
        <w:trPr/>
        <w:tc>
          <w:tcPr>
            <w:tcW w:w="10205" w:type="dxa"/>
            <w:gridSpan w:val="5"/>
            <w:tcBorders/>
            <w:shd w:fill="auto" w:val="clear"/>
            <w:vAlign w:val="bottom"/>
          </w:tcPr>
          <w:p>
            <w:pPr>
              <w:pStyle w:val="TableContents"/>
              <w:spacing w:before="0" w:after="283"/>
              <w:jc w:val="center"/>
              <w:rPr/>
            </w:pPr>
            <w:r>
              <w:rPr/>
              <w:t xml:space="preserve">  </w:t>
            </w:r>
            <w:r>
              <w:rPr>
                <w:rFonts w:ascii="times new roman" w:hAnsi="times new roman"/>
                <w:b/>
                <w:sz w:val="20"/>
                <w:u w:val="single"/>
              </w:rPr>
              <w:t>ISSUER PURCHASES OF EQUITY SECURITIES1</w:t>
            </w:r>
          </w:p>
        </w:tc>
      </w:tr>
      <w:tr>
        <w:trPr/>
        <w:tc>
          <w:tcPr>
            <w:tcW w:w="2551" w:type="dxa"/>
            <w:tcBorders/>
            <w:shd w:fill="auto" w:val="clear"/>
            <w:vAlign w:val="bottom"/>
          </w:tcPr>
          <w:p>
            <w:pPr>
              <w:pStyle w:val="TableContents"/>
              <w:spacing w:before="0" w:after="283"/>
              <w:rPr/>
            </w:pPr>
            <w:r>
              <w:rPr/>
              <w:t xml:space="preserve">  </w:t>
            </w:r>
          </w:p>
        </w:tc>
        <w:tc>
          <w:tcPr>
            <w:tcW w:w="1500" w:type="dxa"/>
            <w:tcBorders/>
            <w:shd w:fill="auto" w:val="clear"/>
            <w:vAlign w:val="bottom"/>
          </w:tcPr>
          <w:p>
            <w:pPr>
              <w:pStyle w:val="TableContents"/>
              <w:spacing w:before="0" w:after="283"/>
              <w:rPr/>
            </w:pPr>
            <w:r>
              <w:rPr/>
              <w:t xml:space="preserve">  </w:t>
            </w:r>
          </w:p>
        </w:tc>
        <w:tc>
          <w:tcPr>
            <w:tcW w:w="1501" w:type="dxa"/>
            <w:tcBorders/>
            <w:shd w:fill="auto" w:val="clear"/>
            <w:vAlign w:val="bottom"/>
          </w:tcPr>
          <w:p>
            <w:pPr>
              <w:pStyle w:val="TableContents"/>
              <w:spacing w:before="0" w:after="283"/>
              <w:rPr/>
            </w:pPr>
            <w:r>
              <w:rPr/>
              <w:t xml:space="preserve">  </w:t>
            </w:r>
          </w:p>
        </w:tc>
        <w:tc>
          <w:tcPr>
            <w:tcW w:w="2251" w:type="dxa"/>
            <w:tcBorders/>
            <w:shd w:fill="auto" w:val="clear"/>
            <w:vAlign w:val="bottom"/>
          </w:tcPr>
          <w:p>
            <w:pPr>
              <w:pStyle w:val="TableContents"/>
              <w:spacing w:before="0" w:after="283"/>
              <w:rPr/>
            </w:pPr>
            <w:r>
              <w:rPr/>
              <w:t xml:space="preserve">  </w:t>
            </w:r>
          </w:p>
        </w:tc>
        <w:tc>
          <w:tcPr>
            <w:tcW w:w="2402" w:type="dxa"/>
            <w:tcBorders/>
            <w:shd w:fill="auto" w:val="clear"/>
            <w:vAlign w:val="bottom"/>
          </w:tcPr>
          <w:p>
            <w:pPr>
              <w:pStyle w:val="TableContents"/>
              <w:spacing w:before="0" w:after="283"/>
              <w:rPr/>
            </w:pPr>
            <w:r>
              <w:rPr/>
              <w:t xml:space="preserve">  </w:t>
            </w:r>
          </w:p>
        </w:tc>
      </w:tr>
      <w:tr>
        <w:trPr/>
        <w:tc>
          <w:tcPr>
            <w:tcW w:w="255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Three Months Ended  January 31, 2011</w:t>
            </w:r>
          </w:p>
        </w:tc>
        <w:tc>
          <w:tcPr>
            <w:tcW w:w="1500"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Total Number of Shares Purchased</w:t>
            </w:r>
          </w:p>
        </w:tc>
        <w:tc>
          <w:tcPr>
            <w:tcW w:w="150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 Average Price Paid</w:t>
            </w:r>
          </w:p>
          <w:p>
            <w:pPr>
              <w:pStyle w:val="TableContents"/>
              <w:spacing w:before="0" w:after="0"/>
              <w:ind w:left="0" w:right="0" w:hanging="0"/>
              <w:jc w:val="center"/>
              <w:rPr/>
            </w:pPr>
            <w:r>
              <w:rPr/>
              <w:t> </w:t>
            </w:r>
            <w:r>
              <w:rPr>
                <w:rFonts w:ascii="times new roman" w:hAnsi="times new roman"/>
                <w:b/>
                <w:sz w:val="20"/>
              </w:rPr>
              <w:t>per Share</w:t>
            </w:r>
          </w:p>
        </w:tc>
        <w:tc>
          <w:tcPr>
            <w:tcW w:w="225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 Total Number of Shares Purchased as Part of Publicly Announced Plans or Programs</w:t>
            </w:r>
          </w:p>
        </w:tc>
        <w:tc>
          <w:tcPr>
            <w:tcW w:w="240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 Maximum Number of Shares that may yet be Purchased Under Plans or Programs2</w:t>
            </w:r>
          </w:p>
        </w:tc>
      </w:tr>
      <w:tr>
        <w:trPr/>
        <w:tc>
          <w:tcPr>
            <w:tcW w:w="2551" w:type="dxa"/>
            <w:tcBorders/>
            <w:shd w:fill="auto" w:val="clear"/>
            <w:vAlign w:val="bottom"/>
          </w:tcPr>
          <w:p>
            <w:pPr>
              <w:pStyle w:val="TableContents"/>
              <w:spacing w:before="0" w:after="283"/>
              <w:jc w:val="left"/>
              <w:rPr/>
            </w:pPr>
            <w:r>
              <w:rPr/>
              <w:t xml:space="preserve">  </w:t>
            </w:r>
          </w:p>
        </w:tc>
        <w:tc>
          <w:tcPr>
            <w:tcW w:w="1500" w:type="dxa"/>
            <w:tcBorders/>
            <w:shd w:fill="auto" w:val="clear"/>
            <w:vAlign w:val="bottom"/>
          </w:tcPr>
          <w:p>
            <w:pPr>
              <w:pStyle w:val="TableContents"/>
              <w:spacing w:before="0" w:after="283"/>
              <w:jc w:val="left"/>
              <w:rPr/>
            </w:pPr>
            <w:r>
              <w:rPr/>
              <w:t xml:space="preserve">  </w:t>
            </w:r>
          </w:p>
        </w:tc>
        <w:tc>
          <w:tcPr>
            <w:tcW w:w="1501" w:type="dxa"/>
            <w:tcBorders/>
            <w:shd w:fill="auto" w:val="clear"/>
            <w:vAlign w:val="bottom"/>
          </w:tcPr>
          <w:p>
            <w:pPr>
              <w:pStyle w:val="TableContents"/>
              <w:spacing w:before="0" w:after="283"/>
              <w:jc w:val="left"/>
              <w:rPr/>
            </w:pPr>
            <w:r>
              <w:rPr/>
              <w:t xml:space="preserve">  </w:t>
            </w:r>
          </w:p>
        </w:tc>
        <w:tc>
          <w:tcPr>
            <w:tcW w:w="2251" w:type="dxa"/>
            <w:tcBorders/>
            <w:shd w:fill="auto" w:val="clear"/>
            <w:vAlign w:val="bottom"/>
          </w:tcPr>
          <w:p>
            <w:pPr>
              <w:pStyle w:val="TableContents"/>
              <w:spacing w:before="0" w:after="283"/>
              <w:jc w:val="left"/>
              <w:rPr/>
            </w:pPr>
            <w:r>
              <w:rPr/>
              <w:t xml:space="preserve">  </w:t>
            </w:r>
          </w:p>
        </w:tc>
        <w:tc>
          <w:tcPr>
            <w:tcW w:w="2402" w:type="dxa"/>
            <w:tcBorders/>
            <w:shd w:fill="auto" w:val="clear"/>
            <w:vAlign w:val="bottom"/>
          </w:tcPr>
          <w:p>
            <w:pPr>
              <w:pStyle w:val="TableContents"/>
              <w:spacing w:before="0" w:after="283"/>
              <w:jc w:val="left"/>
              <w:rPr/>
            </w:pPr>
            <w:r>
              <w:rPr/>
              <w:t xml:space="preserve">  </w:t>
            </w:r>
          </w:p>
        </w:tc>
      </w:tr>
      <w:tr>
        <w:trPr/>
        <w:tc>
          <w:tcPr>
            <w:tcW w:w="255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November 1, 2010 to</w:t>
            </w:r>
          </w:p>
        </w:tc>
        <w:tc>
          <w:tcPr>
            <w:tcW w:w="1500" w:type="dxa"/>
            <w:tcBorders/>
            <w:shd w:fill="auto" w:val="clear"/>
            <w:vAlign w:val="bottom"/>
          </w:tcPr>
          <w:p>
            <w:pPr>
              <w:pStyle w:val="TableContents"/>
              <w:spacing w:before="0" w:after="283"/>
              <w:jc w:val="left"/>
              <w:rPr/>
            </w:pPr>
            <w:r>
              <w:rPr/>
              <w:t xml:space="preserve">  </w:t>
            </w:r>
          </w:p>
        </w:tc>
        <w:tc>
          <w:tcPr>
            <w:tcW w:w="1501" w:type="dxa"/>
            <w:tcBorders/>
            <w:shd w:fill="auto" w:val="clear"/>
            <w:vAlign w:val="bottom"/>
          </w:tcPr>
          <w:p>
            <w:pPr>
              <w:pStyle w:val="TableContents"/>
              <w:spacing w:before="0" w:after="283"/>
              <w:jc w:val="left"/>
              <w:rPr/>
            </w:pPr>
            <w:r>
              <w:rPr/>
              <w:t xml:space="preserve">  </w:t>
            </w:r>
          </w:p>
        </w:tc>
        <w:tc>
          <w:tcPr>
            <w:tcW w:w="2251" w:type="dxa"/>
            <w:tcBorders/>
            <w:shd w:fill="auto" w:val="clear"/>
            <w:vAlign w:val="bottom"/>
          </w:tcPr>
          <w:p>
            <w:pPr>
              <w:pStyle w:val="TableContents"/>
              <w:spacing w:before="0" w:after="283"/>
              <w:jc w:val="left"/>
              <w:rPr/>
            </w:pPr>
            <w:r>
              <w:rPr/>
              <w:t xml:space="preserve">  </w:t>
            </w:r>
          </w:p>
        </w:tc>
        <w:tc>
          <w:tcPr>
            <w:tcW w:w="2402" w:type="dxa"/>
            <w:tcBorders/>
            <w:shd w:fill="auto" w:val="clear"/>
            <w:vAlign w:val="bottom"/>
          </w:tcPr>
          <w:p>
            <w:pPr>
              <w:pStyle w:val="TableContents"/>
              <w:spacing w:before="0" w:after="283"/>
              <w:jc w:val="left"/>
              <w:rPr/>
            </w:pPr>
            <w:r>
              <w:rPr/>
              <w:t xml:space="preserve">  </w:t>
            </w:r>
          </w:p>
        </w:tc>
      </w:tr>
      <w:tr>
        <w:trPr/>
        <w:tc>
          <w:tcPr>
            <w:tcW w:w="25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November 30, 2010</w:t>
            </w:r>
          </w:p>
        </w:tc>
        <w:tc>
          <w:tcPr>
            <w:tcW w:w="1500"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28,637</w:t>
            </w:r>
          </w:p>
        </w:tc>
        <w:tc>
          <w:tcPr>
            <w:tcW w:w="150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$ 21.77</w:t>
            </w:r>
          </w:p>
        </w:tc>
        <w:tc>
          <w:tcPr>
            <w:tcW w:w="225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28,637</w:t>
            </w:r>
          </w:p>
        </w:tc>
        <w:tc>
          <w:tcPr>
            <w:tcW w:w="24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181,306</w:t>
            </w:r>
          </w:p>
        </w:tc>
      </w:tr>
      <w:tr>
        <w:trPr/>
        <w:tc>
          <w:tcPr>
            <w:tcW w:w="255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25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402"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r>
      <w:tr>
        <w:trPr/>
        <w:tc>
          <w:tcPr>
            <w:tcW w:w="2551" w:type="dxa"/>
            <w:tcBorders/>
            <w:shd w:fill="CCEEFF" w:val="clear"/>
            <w:vAlign w:val="bottom"/>
          </w:tcPr>
          <w:p>
            <w:pPr>
              <w:pStyle w:val="TableContents"/>
              <w:spacing w:before="0" w:after="283"/>
              <w:jc w:val="left"/>
              <w:rPr/>
            </w:pPr>
            <w:r>
              <w:rPr/>
              <w:t xml:space="preserve">  </w:t>
            </w:r>
          </w:p>
        </w:tc>
        <w:tc>
          <w:tcPr>
            <w:tcW w:w="1500" w:type="dxa"/>
            <w:tcBorders/>
            <w:shd w:fill="CCEEFF" w:val="clear"/>
            <w:vAlign w:val="bottom"/>
          </w:tcPr>
          <w:p>
            <w:pPr>
              <w:pStyle w:val="TableContents"/>
              <w:spacing w:before="0" w:after="283"/>
              <w:jc w:val="left"/>
              <w:rPr/>
            </w:pPr>
            <w:r>
              <w:rPr/>
              <w:t xml:space="preserve">  </w:t>
            </w:r>
          </w:p>
        </w:tc>
        <w:tc>
          <w:tcPr>
            <w:tcW w:w="1501" w:type="dxa"/>
            <w:tcBorders/>
            <w:shd w:fill="CCEEFF" w:val="clear"/>
            <w:vAlign w:val="bottom"/>
          </w:tcPr>
          <w:p>
            <w:pPr>
              <w:pStyle w:val="TableContents"/>
              <w:spacing w:before="0" w:after="283"/>
              <w:jc w:val="left"/>
              <w:rPr/>
            </w:pPr>
            <w:r>
              <w:rPr/>
              <w:t xml:space="preserve">  </w:t>
            </w:r>
          </w:p>
        </w:tc>
        <w:tc>
          <w:tcPr>
            <w:tcW w:w="2251" w:type="dxa"/>
            <w:tcBorders/>
            <w:shd w:fill="CCEEFF" w:val="clear"/>
            <w:vAlign w:val="bottom"/>
          </w:tcPr>
          <w:p>
            <w:pPr>
              <w:pStyle w:val="TableContents"/>
              <w:spacing w:before="0" w:after="283"/>
              <w:jc w:val="left"/>
              <w:rPr/>
            </w:pPr>
            <w:r>
              <w:rPr/>
              <w:t xml:space="preserve">  </w:t>
            </w:r>
          </w:p>
        </w:tc>
        <w:tc>
          <w:tcPr>
            <w:tcW w:w="2402" w:type="dxa"/>
            <w:tcBorders/>
            <w:shd w:fill="CCEEFF" w:val="clear"/>
            <w:vAlign w:val="bottom"/>
          </w:tcPr>
          <w:p>
            <w:pPr>
              <w:pStyle w:val="TableContents"/>
              <w:spacing w:before="0" w:after="283"/>
              <w:rPr/>
            </w:pPr>
            <w:r>
              <w:rPr/>
              <w:t xml:space="preserve">  </w:t>
            </w:r>
          </w:p>
        </w:tc>
      </w:tr>
      <w:tr>
        <w:trPr/>
        <w:tc>
          <w:tcPr>
            <w:tcW w:w="25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December 1, 2010 to</w:t>
            </w:r>
          </w:p>
        </w:tc>
        <w:tc>
          <w:tcPr>
            <w:tcW w:w="1500" w:type="dxa"/>
            <w:tcBorders/>
            <w:shd w:fill="FFFFFF" w:val="clear"/>
            <w:vAlign w:val="bottom"/>
          </w:tcPr>
          <w:p>
            <w:pPr>
              <w:pStyle w:val="TableContents"/>
              <w:spacing w:before="0" w:after="283"/>
              <w:jc w:val="left"/>
              <w:rPr/>
            </w:pPr>
            <w:r>
              <w:rPr/>
              <w:t xml:space="preserve">  </w:t>
            </w:r>
          </w:p>
        </w:tc>
        <w:tc>
          <w:tcPr>
            <w:tcW w:w="1501" w:type="dxa"/>
            <w:tcBorders/>
            <w:shd w:fill="FFFFFF" w:val="clear"/>
            <w:vAlign w:val="bottom"/>
          </w:tcPr>
          <w:p>
            <w:pPr>
              <w:pStyle w:val="TableContents"/>
              <w:spacing w:before="0" w:after="283"/>
              <w:jc w:val="left"/>
              <w:rPr/>
            </w:pPr>
            <w:r>
              <w:rPr/>
              <w:t xml:space="preserve">  </w:t>
            </w:r>
          </w:p>
        </w:tc>
        <w:tc>
          <w:tcPr>
            <w:tcW w:w="2251" w:type="dxa"/>
            <w:tcBorders/>
            <w:shd w:fill="FFFFFF" w:val="clear"/>
            <w:vAlign w:val="bottom"/>
          </w:tcPr>
          <w:p>
            <w:pPr>
              <w:pStyle w:val="TableContents"/>
              <w:spacing w:before="0" w:after="283"/>
              <w:jc w:val="left"/>
              <w:rPr/>
            </w:pPr>
            <w:r>
              <w:rPr/>
              <w:t xml:space="preserve">  </w:t>
            </w:r>
          </w:p>
        </w:tc>
        <w:tc>
          <w:tcPr>
            <w:tcW w:w="2402" w:type="dxa"/>
            <w:tcBorders/>
            <w:shd w:fill="FFFFFF" w:val="clear"/>
            <w:vAlign w:val="bottom"/>
          </w:tcPr>
          <w:p>
            <w:pPr>
              <w:pStyle w:val="TableContents"/>
              <w:spacing w:before="0" w:after="283"/>
              <w:rPr/>
            </w:pPr>
            <w:r>
              <w:rPr/>
              <w:t xml:space="preserve">  </w:t>
            </w:r>
          </w:p>
        </w:tc>
      </w:tr>
      <w:tr>
        <w:trPr/>
        <w:tc>
          <w:tcPr>
            <w:tcW w:w="25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December 31, 2010</w:t>
            </w:r>
          </w:p>
        </w:tc>
        <w:tc>
          <w:tcPr>
            <w:tcW w:w="1500"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18,127</w:t>
            </w:r>
          </w:p>
        </w:tc>
        <w:tc>
          <w:tcPr>
            <w:tcW w:w="150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$ 21.75</w:t>
            </w:r>
          </w:p>
        </w:tc>
        <w:tc>
          <w:tcPr>
            <w:tcW w:w="225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18,127</w:t>
            </w:r>
          </w:p>
        </w:tc>
        <w:tc>
          <w:tcPr>
            <w:tcW w:w="24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163,179</w:t>
            </w:r>
          </w:p>
        </w:tc>
      </w:tr>
      <w:tr>
        <w:trPr/>
        <w:tc>
          <w:tcPr>
            <w:tcW w:w="255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25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402"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r>
      <w:tr>
        <w:trPr/>
        <w:tc>
          <w:tcPr>
            <w:tcW w:w="2551" w:type="dxa"/>
            <w:tcBorders/>
            <w:shd w:fill="CCEEFF" w:val="clear"/>
            <w:vAlign w:val="bottom"/>
          </w:tcPr>
          <w:p>
            <w:pPr>
              <w:pStyle w:val="TableContents"/>
              <w:spacing w:before="0" w:after="283"/>
              <w:jc w:val="left"/>
              <w:rPr/>
            </w:pPr>
            <w:r>
              <w:rPr/>
              <w:t xml:space="preserve">  </w:t>
            </w:r>
          </w:p>
        </w:tc>
        <w:tc>
          <w:tcPr>
            <w:tcW w:w="1500" w:type="dxa"/>
            <w:tcBorders/>
            <w:shd w:fill="CCEEFF" w:val="clear"/>
            <w:vAlign w:val="bottom"/>
          </w:tcPr>
          <w:p>
            <w:pPr>
              <w:pStyle w:val="TableContents"/>
              <w:spacing w:before="0" w:after="283"/>
              <w:jc w:val="left"/>
              <w:rPr/>
            </w:pPr>
            <w:r>
              <w:rPr/>
              <w:t xml:space="preserve">  </w:t>
            </w:r>
          </w:p>
        </w:tc>
        <w:tc>
          <w:tcPr>
            <w:tcW w:w="1501" w:type="dxa"/>
            <w:tcBorders/>
            <w:shd w:fill="CCEEFF" w:val="clear"/>
            <w:vAlign w:val="bottom"/>
          </w:tcPr>
          <w:p>
            <w:pPr>
              <w:pStyle w:val="TableContents"/>
              <w:spacing w:before="0" w:after="283"/>
              <w:jc w:val="left"/>
              <w:rPr/>
            </w:pPr>
            <w:r>
              <w:rPr/>
              <w:t xml:space="preserve">  </w:t>
            </w:r>
          </w:p>
        </w:tc>
        <w:tc>
          <w:tcPr>
            <w:tcW w:w="2251" w:type="dxa"/>
            <w:tcBorders/>
            <w:shd w:fill="CCEEFF" w:val="clear"/>
            <w:vAlign w:val="bottom"/>
          </w:tcPr>
          <w:p>
            <w:pPr>
              <w:pStyle w:val="TableContents"/>
              <w:spacing w:before="0" w:after="283"/>
              <w:jc w:val="left"/>
              <w:rPr/>
            </w:pPr>
            <w:r>
              <w:rPr/>
              <w:t xml:space="preserve">  </w:t>
            </w:r>
          </w:p>
        </w:tc>
        <w:tc>
          <w:tcPr>
            <w:tcW w:w="2402" w:type="dxa"/>
            <w:tcBorders/>
            <w:shd w:fill="CCEEFF" w:val="clear"/>
            <w:vAlign w:val="bottom"/>
          </w:tcPr>
          <w:p>
            <w:pPr>
              <w:pStyle w:val="TableContents"/>
              <w:spacing w:before="0" w:after="283"/>
              <w:rPr/>
            </w:pPr>
            <w:r>
              <w:rPr/>
              <w:t xml:space="preserve">  </w:t>
            </w:r>
          </w:p>
        </w:tc>
      </w:tr>
      <w:tr>
        <w:trPr/>
        <w:tc>
          <w:tcPr>
            <w:tcW w:w="255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January1, 2011 to</w:t>
            </w:r>
          </w:p>
        </w:tc>
        <w:tc>
          <w:tcPr>
            <w:tcW w:w="1500" w:type="dxa"/>
            <w:tcBorders/>
            <w:shd w:fill="FFFFFF" w:val="clear"/>
            <w:vAlign w:val="bottom"/>
          </w:tcPr>
          <w:p>
            <w:pPr>
              <w:pStyle w:val="TableContents"/>
              <w:spacing w:before="0" w:after="283"/>
              <w:jc w:val="left"/>
              <w:rPr/>
            </w:pPr>
            <w:r>
              <w:rPr/>
              <w:t xml:space="preserve">  </w:t>
            </w:r>
          </w:p>
        </w:tc>
        <w:tc>
          <w:tcPr>
            <w:tcW w:w="1501" w:type="dxa"/>
            <w:tcBorders/>
            <w:shd w:fill="FFFFFF" w:val="clear"/>
            <w:vAlign w:val="bottom"/>
          </w:tcPr>
          <w:p>
            <w:pPr>
              <w:pStyle w:val="TableContents"/>
              <w:spacing w:before="0" w:after="283"/>
              <w:jc w:val="left"/>
              <w:rPr/>
            </w:pPr>
            <w:r>
              <w:rPr/>
              <w:t xml:space="preserve">  </w:t>
            </w:r>
          </w:p>
        </w:tc>
        <w:tc>
          <w:tcPr>
            <w:tcW w:w="2251" w:type="dxa"/>
            <w:tcBorders/>
            <w:shd w:fill="FFFFFF" w:val="clear"/>
            <w:vAlign w:val="bottom"/>
          </w:tcPr>
          <w:p>
            <w:pPr>
              <w:pStyle w:val="TableContents"/>
              <w:spacing w:before="0" w:after="283"/>
              <w:jc w:val="left"/>
              <w:rPr/>
            </w:pPr>
            <w:r>
              <w:rPr/>
              <w:t xml:space="preserve">  </w:t>
            </w:r>
          </w:p>
        </w:tc>
        <w:tc>
          <w:tcPr>
            <w:tcW w:w="2402" w:type="dxa"/>
            <w:tcBorders/>
            <w:shd w:fill="FFFFFF" w:val="clear"/>
            <w:vAlign w:val="bottom"/>
          </w:tcPr>
          <w:p>
            <w:pPr>
              <w:pStyle w:val="TableContents"/>
              <w:spacing w:before="0" w:after="283"/>
              <w:rPr/>
            </w:pPr>
            <w:r>
              <w:rPr/>
              <w:t xml:space="preserve">  </w:t>
            </w:r>
          </w:p>
        </w:tc>
      </w:tr>
      <w:tr>
        <w:trPr/>
        <w:tc>
          <w:tcPr>
            <w:tcW w:w="255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January 31, 2011</w:t>
            </w:r>
          </w:p>
        </w:tc>
        <w:tc>
          <w:tcPr>
            <w:tcW w:w="1500"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32,084</w:t>
            </w:r>
          </w:p>
        </w:tc>
        <w:tc>
          <w:tcPr>
            <w:tcW w:w="150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$ 20.75</w:t>
            </w:r>
          </w:p>
        </w:tc>
        <w:tc>
          <w:tcPr>
            <w:tcW w:w="225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32,084</w:t>
            </w:r>
          </w:p>
        </w:tc>
        <w:tc>
          <w:tcPr>
            <w:tcW w:w="240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131,095</w:t>
            </w:r>
          </w:p>
        </w:tc>
      </w:tr>
      <w:tr>
        <w:trPr/>
        <w:tc>
          <w:tcPr>
            <w:tcW w:w="255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50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25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2402"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consolidated financial statements included in our Annual Report on Form 10-K for the fiscal year ended July 31, 2010 filed with the SEC.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On October 10, 2005, our Board of Directors authorized the repurchase of up to 500,000 shares of Common Stock, with repurchases to be made from time to time in the discretion of our management and in accordance with applicable laws, rules and regulations.  On March 11, 2010, our Board of Directors authorized the repurchase of an additional 250,000 shares of Common Stock.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 and no shares of Class A Common Stock are currently outstanding.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4.  MINE SAFETY DISCLOSURE</w:t>
      </w:r>
    </w:p>
    <w:p>
      <w:pPr>
        <w:pStyle w:val="TextBody"/>
        <w:spacing w:before="0" w:after="0"/>
        <w:ind w:left="0" w:right="0" w:hanging="0"/>
        <w:rPr/>
      </w:pPr>
      <w:r>
        <w:rPr/>
      </w:r>
    </w:p>
    <w:p>
      <w:pPr>
        <w:pStyle w:val="TextBody"/>
        <w:spacing w:before="0" w:after="0"/>
        <w:ind w:left="739" w:right="0" w:hanging="0"/>
        <w:jc w:val="both"/>
        <w:rPr>
          <w:rFonts w:ascii="Times New Roman" w:hAnsi="Times New Roman"/>
          <w:sz w:val="20"/>
        </w:rPr>
      </w:pPr>
      <w:bookmarkStart w:id="457" w:name="TAB1211"/>
      <w:bookmarkEnd w:id="457"/>
      <w:r>
        <w:rPr>
          <w:rFonts w:ascii="Times New Roman" w:hAnsi="Times New Roman"/>
          <w:sz w:val="20"/>
        </w:rPr>
        <w:t>Our mining operations are subject to regulation by the Mine Safety and Health Administration (“MSHA”) under authority of the Federal Mine Safety and Health Act of 1977, as amended (the “Mine Act”).  Information concerning mine safety violations or other regulatory matters required by section 1503(a) of the Dodd-Frank Wall Street Reform and Consumer Protection Act (the “Dodd-Frank Act”) and the recently proposed Item 106 of Regulation S-K is included in Exhibit 99.1 to this quarterly report.</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8" w:name="PGBRK25"/>
      <w:bookmarkStart w:id="459" w:name="PGBRK25"/>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0" w:name="FTR25"/>
      <w:bookmarkStart w:id="461" w:name="FTR25"/>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2" w:name="GLFTR25"/>
      <w:bookmarkEnd w:id="4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3" w:name="PN25"/>
      <w:bookmarkEnd w:id="463"/>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4" w:name="HDR25"/>
      <w:bookmarkStart w:id="465" w:name="HDR25"/>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6" w:name="GLHDR25"/>
      <w:bookmarkEnd w:id="4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 xml:space="preserve">ITEM </w:t>
      </w:r>
      <w:bookmarkStart w:id="467" w:name="28a"/>
      <w:bookmarkEnd w:id="467"/>
      <w:r>
        <w:rPr>
          <w:rFonts w:ascii="Times New Roman" w:hAnsi="Times New Roman"/>
          <w:b/>
          <w:sz w:val="20"/>
        </w:rPr>
        <w:t>6.  EXHIBI</w:t>
      </w:r>
      <w:bookmarkStart w:id="468" w:name="29"/>
      <w:bookmarkEnd w:id="468"/>
      <w:r>
        <w:rPr>
          <w:rFonts w:ascii="Times New Roman" w:hAnsi="Times New Roman"/>
          <w:b/>
          <w:sz w:val="20"/>
        </w:rPr>
        <w:t>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81"/>
        <w:gridCol w:w="4536"/>
        <w:gridCol w:w="252"/>
        <w:gridCol w:w="4536"/>
      </w:tblGrid>
      <w:tr>
        <w:trPr/>
        <w:tc>
          <w:tcPr>
            <w:tcW w:w="881"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Exhibit No.</w:t>
            </w:r>
          </w:p>
        </w:tc>
        <w:tc>
          <w:tcPr>
            <w:tcW w:w="4536"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Description</w:t>
            </w:r>
          </w:p>
        </w:tc>
        <w:tc>
          <w:tcPr>
            <w:tcW w:w="252" w:type="dxa"/>
            <w:tcBorders/>
            <w:shd w:fill="auto" w:val="clear"/>
          </w:tcPr>
          <w:p>
            <w:pPr>
              <w:pStyle w:val="TableContents"/>
              <w:spacing w:before="0" w:after="283"/>
              <w:rPr/>
            </w:pPr>
            <w:r>
              <w:rPr/>
              <w:t xml:space="preserve">  </w:t>
            </w:r>
          </w:p>
        </w:tc>
        <w:tc>
          <w:tcPr>
            <w:tcW w:w="4536"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SEC Document Reference</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10.1</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Incorporated by reference to Exhibit 10.1 to Oil-Dri’s (File No. 001-12622) Current Report on Form 8-K filed on November 16, 2010.</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pPr>
            <w:hyperlink w:anchor="exh11.htm">
              <w:r>
                <w:rPr>
                  <w:rStyle w:val="InternetLink"/>
                  <w:rFonts w:ascii="times new roman" w:hAnsi="times new roman"/>
                  <w:sz w:val="20"/>
                </w:rPr>
                <w:t>11</w:t>
              </w:r>
            </w:hyperlink>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Statement re: Computation of Earnings per Share.</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Filed herewith.</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pPr>
            <w:hyperlink w:anchor="exh31.htm">
              <w:r>
                <w:rPr>
                  <w:rStyle w:val="InternetLink"/>
                  <w:rFonts w:ascii="times new roman" w:hAnsi="times new roman"/>
                  <w:sz w:val="20"/>
                </w:rPr>
                <w:t>31</w:t>
              </w:r>
            </w:hyperlink>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Rule 13a – 14(a).</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Filed herewith.</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pPr>
            <w:hyperlink w:anchor="exh32.htm">
              <w:r>
                <w:rPr>
                  <w:rStyle w:val="InternetLink"/>
                  <w:rFonts w:ascii="times new roman" w:hAnsi="times new roman"/>
                  <w:sz w:val="20"/>
                </w:rPr>
                <w:t>32</w:t>
              </w:r>
            </w:hyperlink>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Section 1350 of the Sarbanes-Oxley Act of 2002.</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Furnished herewith.</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2"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283"/>
              <w:jc w:val="center"/>
              <w:rPr/>
            </w:pPr>
            <w:r>
              <w:rPr/>
              <w:t xml:space="preserve">  </w:t>
            </w:r>
            <w:hyperlink w:anchor="exh99_1.htm">
              <w:r>
                <w:rPr>
                  <w:rStyle w:val="InternetLink"/>
                  <w:rFonts w:ascii="times new roman" w:hAnsi="times new roman"/>
                  <w:sz w:val="20"/>
                </w:rPr>
                <w:t>99.1</w:t>
              </w:r>
            </w:hyperlink>
          </w:p>
        </w:tc>
        <w:tc>
          <w:tcPr>
            <w:tcW w:w="4536" w:type="dxa"/>
            <w:tcBorders/>
            <w:shd w:fill="auto" w:val="clear"/>
          </w:tcPr>
          <w:p>
            <w:pPr>
              <w:pStyle w:val="TableContents"/>
              <w:spacing w:before="0" w:after="283"/>
              <w:rPr/>
            </w:pPr>
            <w:r>
              <w:rPr/>
              <w:t> </w:t>
            </w:r>
            <w:r>
              <w:rPr>
                <w:rFonts w:ascii="times new roman" w:hAnsi="times new roman"/>
                <w:sz w:val="20"/>
              </w:rPr>
              <w:t>Mine Safety Disclosure</w:t>
            </w:r>
          </w:p>
        </w:tc>
        <w:tc>
          <w:tcPr>
            <w:tcW w:w="252" w:type="dxa"/>
            <w:tcBorders/>
            <w:shd w:fill="auto" w:val="clear"/>
          </w:tcPr>
          <w:p>
            <w:pPr>
              <w:pStyle w:val="TableContents"/>
              <w:spacing w:before="0" w:after="283"/>
              <w:rPr/>
            </w:pPr>
            <w:r>
              <w:rPr/>
              <w:t> </w:t>
            </w:r>
          </w:p>
        </w:tc>
        <w:tc>
          <w:tcPr>
            <w:tcW w:w="4536" w:type="dxa"/>
            <w:tcBorders/>
            <w:shd w:fill="auto" w:val="clear"/>
          </w:tcPr>
          <w:p>
            <w:pPr>
              <w:pStyle w:val="TableContents"/>
              <w:spacing w:before="0" w:after="283"/>
              <w:rPr>
                <w:rFonts w:ascii="times new roman" w:hAnsi="times new roman"/>
                <w:sz w:val="20"/>
              </w:rPr>
            </w:pPr>
            <w:r>
              <w:rPr>
                <w:rFonts w:ascii="times new roman" w:hAnsi="times new roman"/>
                <w:sz w:val="20"/>
              </w:rPr>
              <w:t>Filed herewith.</w:t>
            </w:r>
          </w:p>
        </w:tc>
      </w:tr>
    </w:tbl>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9" w:name="PGBRK26"/>
      <w:bookmarkStart w:id="470" w:name="PGBRK26"/>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1" w:name="FTR26"/>
      <w:bookmarkStart w:id="472" w:name="FTR26"/>
      <w:bookmarkEnd w:id="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3" w:name="GLFTR26"/>
      <w:bookmarkEnd w:id="4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4" w:name="PN26"/>
      <w:bookmarkEnd w:id="474"/>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5" w:name="HDR26"/>
      <w:bookmarkStart w:id="476" w:name="HDR26"/>
      <w:bookmarkEnd w:id="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7" w:name="GLHDR26"/>
      <w:bookmarkEnd w:id="4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360" w:right="0" w:hanging="0"/>
        <w:jc w:val="left"/>
        <w:rPr>
          <w:rFonts w:ascii="Times New Roman" w:hAnsi="Times New Roman"/>
          <w:sz w:val="20"/>
          <w:u w:val="single"/>
        </w:rPr>
      </w:pPr>
      <w:r>
        <w:rPr>
          <w:rFonts w:ascii="Times New Roman" w:hAnsi="Times New Roman"/>
          <w:sz w:val="20"/>
          <w:u w:val="single"/>
        </w:rPr>
        <w:t>SIGNATURES</w:t>
      </w:r>
    </w:p>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OIL-DRI CORPORATION OF AMERICA</w:t>
      </w:r>
    </w:p>
    <w:p>
      <w:pPr>
        <w:pStyle w:val="TextBody"/>
        <w:spacing w:before="0" w:after="0"/>
        <w:ind w:left="360" w:right="0" w:firstLine="360"/>
        <w:jc w:val="left"/>
        <w:rPr>
          <w:rFonts w:ascii="Times New Roman" w:hAnsi="Times New Roman"/>
          <w:sz w:val="20"/>
        </w:rPr>
      </w:pPr>
      <w:r>
        <w:rPr>
          <w:rFonts w:ascii="Times New Roman" w:hAnsi="Times New Roman"/>
          <w:sz w:val="20"/>
        </w:rPr>
        <w:t>(Registrant)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u w:val="single"/>
        </w:rPr>
        <w:t xml:space="preserve">BY /s/ Daniel S. Jaffee                           </w:t>
      </w:r>
      <w:r>
        <w:rPr>
          <w:rFonts w:ascii="Times New Roman" w:hAnsi="Times New Roman"/>
          <w:sz w:val="20"/>
        </w:rPr>
        <w:t>                                                           </w:t>
      </w:r>
    </w:p>
    <w:p>
      <w:pPr>
        <w:pStyle w:val="TextBody"/>
        <w:spacing w:before="0" w:after="0"/>
        <w:ind w:left="360" w:right="0" w:firstLine="360"/>
        <w:jc w:val="left"/>
        <w:rPr>
          <w:rFonts w:ascii="Times New Roman" w:hAnsi="Times New Roman"/>
          <w:sz w:val="20"/>
        </w:rPr>
      </w:pPr>
      <w:r>
        <w:rPr>
          <w:rFonts w:ascii="Times New Roman" w:hAnsi="Times New Roman"/>
          <w:sz w:val="20"/>
        </w:rPr>
        <w:t>Daniel S. Jaffee</w:t>
      </w:r>
    </w:p>
    <w:p>
      <w:pPr>
        <w:pStyle w:val="TextBody"/>
        <w:spacing w:before="0" w:after="0"/>
        <w:ind w:left="360" w:right="0" w:firstLine="360"/>
        <w:jc w:val="left"/>
        <w:rPr>
          <w:rFonts w:ascii="Times New Roman" w:hAnsi="Times New Roman"/>
          <w:sz w:val="20"/>
        </w:rPr>
      </w:pPr>
      <w:r>
        <w:rPr>
          <w:rFonts w:ascii="Times New Roman" w:hAnsi="Times New Roman"/>
          <w:sz w:val="20"/>
        </w:rPr>
        <w:t>President and Chief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u w:val="single"/>
        </w:rPr>
        <w:t xml:space="preserve">BY /s/ Jeffrey M. Libert                         </w:t>
      </w:r>
      <w:r>
        <w:rPr>
          <w:rFonts w:ascii="Times New Roman" w:hAnsi="Times New Roman"/>
          <w:sz w:val="20"/>
        </w:rPr>
        <w:t>                                                           </w:t>
      </w:r>
    </w:p>
    <w:p>
      <w:pPr>
        <w:pStyle w:val="TextBody"/>
        <w:spacing w:before="0" w:after="0"/>
        <w:ind w:left="360" w:right="0" w:firstLine="360"/>
        <w:jc w:val="left"/>
        <w:rPr>
          <w:rFonts w:ascii="Times New Roman" w:hAnsi="Times New Roman"/>
          <w:sz w:val="20"/>
        </w:rPr>
      </w:pPr>
      <w:r>
        <w:rPr>
          <w:rFonts w:ascii="Times New Roman" w:hAnsi="Times New Roman"/>
          <w:sz w:val="20"/>
        </w:rPr>
        <w:t>Jeffrey M. Libert</w:t>
      </w:r>
    </w:p>
    <w:p>
      <w:pPr>
        <w:pStyle w:val="TextBody"/>
        <w:spacing w:before="0" w:after="0"/>
        <w:ind w:left="360" w:right="0" w:firstLine="360"/>
        <w:jc w:val="left"/>
        <w:rPr>
          <w:rFonts w:ascii="Times New Roman" w:hAnsi="Times New Roman"/>
          <w:sz w:val="20"/>
        </w:rPr>
      </w:pPr>
      <w:r>
        <w:rPr>
          <w:rFonts w:ascii="Times New Roman" w:hAnsi="Times New Roman"/>
          <w:sz w:val="20"/>
        </w:rPr>
        <w:t>Vice President and Chief Financial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u w:val="single"/>
        </w:rPr>
        <w:t xml:space="preserve">BY /s/ Daniel T. Smith                          </w:t>
      </w:r>
      <w:r>
        <w:rPr>
          <w:rFonts w:ascii="Times New Roman" w:hAnsi="Times New Roman"/>
          <w:sz w:val="20"/>
        </w:rPr>
        <w:t>                                                           </w:t>
      </w:r>
    </w:p>
    <w:p>
      <w:pPr>
        <w:pStyle w:val="TextBody"/>
        <w:spacing w:before="0" w:after="0"/>
        <w:ind w:left="360" w:right="0" w:firstLine="360"/>
        <w:jc w:val="left"/>
        <w:rPr>
          <w:rFonts w:ascii="Times New Roman" w:hAnsi="Times New Roman"/>
          <w:sz w:val="20"/>
        </w:rPr>
      </w:pPr>
      <w:r>
        <w:rPr>
          <w:rFonts w:ascii="Times New Roman" w:hAnsi="Times New Roman"/>
          <w:sz w:val="20"/>
        </w:rPr>
        <w:t>Daniel T. Smith</w:t>
      </w:r>
    </w:p>
    <w:p>
      <w:pPr>
        <w:pStyle w:val="TextBody"/>
        <w:spacing w:before="0" w:after="0"/>
        <w:ind w:left="360" w:right="0" w:firstLine="360"/>
        <w:jc w:val="left"/>
        <w:rPr>
          <w:rFonts w:ascii="Times New Roman" w:hAnsi="Times New Roman"/>
          <w:sz w:val="20"/>
        </w:rPr>
      </w:pPr>
      <w:r>
        <w:rPr>
          <w:rFonts w:ascii="Times New Roman" w:hAnsi="Times New Roman"/>
          <w:sz w:val="20"/>
        </w:rPr>
        <w:t>Vice President, Chief Accounting Officer and Controller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Dated:  March 10, 2011</w:t>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8" w:name="PGBRK27"/>
      <w:bookmarkStart w:id="479" w:name="PGBRK27"/>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0" w:name="FTR27"/>
      <w:bookmarkStart w:id="481" w:name="FTR27"/>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2" w:name="GLFTR27"/>
      <w:bookmarkEnd w:id="4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3" w:name="PN27"/>
      <w:bookmarkEnd w:id="483"/>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4" w:name="HDR27"/>
      <w:bookmarkStart w:id="485" w:name="HDR27"/>
      <w:bookmarkEnd w:id="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6" w:name="GLHDR27"/>
      <w:bookmarkEnd w:id="4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w:t>
      </w:r>
      <w:bookmarkStart w:id="487" w:name="30"/>
      <w:bookmarkEnd w:id="487"/>
      <w:r>
        <w:rPr>
          <w:rFonts w:ascii="Times New Roman" w:hAnsi="Times New Roman"/>
          <w:b/>
          <w:sz w:val="20"/>
        </w:rPr>
        <w:t>ITS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70"/>
        <w:gridCol w:w="9335"/>
      </w:tblGrid>
      <w:tr>
        <w:trPr/>
        <w:tc>
          <w:tcPr>
            <w:tcW w:w="870"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Exhibit No.</w:t>
            </w:r>
          </w:p>
        </w:tc>
        <w:tc>
          <w:tcPr>
            <w:tcW w:w="933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Description</w:t>
            </w:r>
          </w:p>
        </w:tc>
      </w:tr>
      <w:tr>
        <w:trPr/>
        <w:tc>
          <w:tcPr>
            <w:tcW w:w="870" w:type="dxa"/>
            <w:tcBorders/>
            <w:shd w:fill="auto" w:val="clear"/>
            <w:tcMar>
              <w:bottom w:w="0" w:type="dxa"/>
            </w:tcMar>
          </w:tcPr>
          <w:p>
            <w:pPr>
              <w:pStyle w:val="TableContents"/>
              <w:spacing w:before="0" w:after="283"/>
              <w:rPr/>
            </w:pPr>
            <w:r>
              <w:rPr/>
              <w:t xml:space="preserve">  </w:t>
            </w:r>
          </w:p>
        </w:tc>
        <w:tc>
          <w:tcPr>
            <w:tcW w:w="9335" w:type="dxa"/>
            <w:tcBorders/>
            <w:shd w:fill="auto" w:val="clear"/>
            <w:tcMar>
              <w:bottom w:w="0" w:type="dxa"/>
            </w:tcMar>
          </w:tcPr>
          <w:p>
            <w:pPr>
              <w:pStyle w:val="TableContents"/>
              <w:spacing w:before="0" w:after="283"/>
              <w:rPr/>
            </w:pPr>
            <w:r>
              <w:rPr/>
              <w:t xml:space="preserve">  </w:t>
            </w:r>
          </w:p>
        </w:tc>
      </w:tr>
      <w:tr>
        <w:trPr/>
        <w:tc>
          <w:tcPr>
            <w:tcW w:w="870"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10.11</w:t>
            </w:r>
          </w:p>
        </w:tc>
        <w:tc>
          <w:tcPr>
            <w:tcW w:w="9335"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tc>
      </w:tr>
      <w:tr>
        <w:trPr/>
        <w:tc>
          <w:tcPr>
            <w:tcW w:w="870" w:type="dxa"/>
            <w:tcBorders/>
            <w:shd w:fill="auto" w:val="clear"/>
            <w:tcMar>
              <w:bottom w:w="0" w:type="dxa"/>
            </w:tcMar>
          </w:tcPr>
          <w:p>
            <w:pPr>
              <w:pStyle w:val="TableContents"/>
              <w:spacing w:before="0" w:after="283"/>
              <w:rPr/>
            </w:pPr>
            <w:r>
              <w:rPr/>
              <w:t xml:space="preserve">  </w:t>
            </w:r>
          </w:p>
        </w:tc>
        <w:tc>
          <w:tcPr>
            <w:tcW w:w="9335" w:type="dxa"/>
            <w:tcBorders/>
            <w:shd w:fill="auto" w:val="clear"/>
            <w:tcMar>
              <w:bottom w:w="0" w:type="dxa"/>
            </w:tcMar>
          </w:tcPr>
          <w:p>
            <w:pPr>
              <w:pStyle w:val="TableContents"/>
              <w:spacing w:before="0" w:after="283"/>
              <w:rPr/>
            </w:pPr>
            <w:r>
              <w:rPr/>
              <w:t xml:space="preserve">  </w:t>
            </w:r>
          </w:p>
        </w:tc>
      </w:tr>
      <w:tr>
        <w:trPr/>
        <w:tc>
          <w:tcPr>
            <w:tcW w:w="870" w:type="dxa"/>
            <w:tcBorders/>
            <w:shd w:fill="auto" w:val="clear"/>
            <w:tcMar>
              <w:bottom w:w="0" w:type="dxa"/>
            </w:tcMar>
          </w:tcPr>
          <w:p>
            <w:pPr>
              <w:pStyle w:val="TableContents"/>
              <w:spacing w:before="0" w:after="0"/>
              <w:ind w:left="0" w:right="0" w:hanging="0"/>
              <w:jc w:val="center"/>
              <w:rPr/>
            </w:pPr>
            <w:hyperlink w:anchor="exh11.htm">
              <w:r>
                <w:rPr>
                  <w:rStyle w:val="InternetLink"/>
                  <w:rFonts w:ascii="times new roman" w:hAnsi="times new roman"/>
                  <w:sz w:val="20"/>
                </w:rPr>
                <w:t>11</w:t>
              </w:r>
            </w:hyperlink>
          </w:p>
        </w:tc>
        <w:tc>
          <w:tcPr>
            <w:tcW w:w="9335"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Statement re: Computation of Earnings per Share.</w:t>
            </w:r>
          </w:p>
        </w:tc>
      </w:tr>
      <w:tr>
        <w:trPr/>
        <w:tc>
          <w:tcPr>
            <w:tcW w:w="870" w:type="dxa"/>
            <w:tcBorders/>
            <w:shd w:fill="auto" w:val="clear"/>
            <w:tcMar>
              <w:bottom w:w="0" w:type="dxa"/>
            </w:tcMar>
          </w:tcPr>
          <w:p>
            <w:pPr>
              <w:pStyle w:val="TableContents"/>
              <w:spacing w:before="0" w:after="283"/>
              <w:rPr/>
            </w:pPr>
            <w:r>
              <w:rPr/>
              <w:t xml:space="preserve">  </w:t>
            </w:r>
          </w:p>
        </w:tc>
        <w:tc>
          <w:tcPr>
            <w:tcW w:w="9335" w:type="dxa"/>
            <w:tcBorders/>
            <w:shd w:fill="auto" w:val="clear"/>
            <w:tcMar>
              <w:bottom w:w="0" w:type="dxa"/>
            </w:tcMar>
          </w:tcPr>
          <w:p>
            <w:pPr>
              <w:pStyle w:val="TableContents"/>
              <w:spacing w:before="0" w:after="283"/>
              <w:rPr/>
            </w:pPr>
            <w:r>
              <w:rPr/>
              <w:t xml:space="preserve">  </w:t>
            </w:r>
          </w:p>
        </w:tc>
      </w:tr>
      <w:tr>
        <w:trPr/>
        <w:tc>
          <w:tcPr>
            <w:tcW w:w="870" w:type="dxa"/>
            <w:tcBorders/>
            <w:shd w:fill="auto" w:val="clear"/>
            <w:tcMar>
              <w:bottom w:w="0" w:type="dxa"/>
            </w:tcMar>
          </w:tcPr>
          <w:p>
            <w:pPr>
              <w:pStyle w:val="TableContents"/>
              <w:spacing w:before="0" w:after="0"/>
              <w:ind w:left="0" w:right="0" w:hanging="0"/>
              <w:jc w:val="center"/>
              <w:rPr/>
            </w:pPr>
            <w:hyperlink w:anchor="exh31.htm">
              <w:r>
                <w:rPr>
                  <w:rStyle w:val="InternetLink"/>
                  <w:rFonts w:ascii="times new roman" w:hAnsi="times new roman"/>
                  <w:sz w:val="20"/>
                </w:rPr>
                <w:t>31</w:t>
              </w:r>
            </w:hyperlink>
          </w:p>
        </w:tc>
        <w:tc>
          <w:tcPr>
            <w:tcW w:w="9335"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Rule 13a – 14(a).</w:t>
            </w:r>
          </w:p>
        </w:tc>
      </w:tr>
      <w:tr>
        <w:trPr/>
        <w:tc>
          <w:tcPr>
            <w:tcW w:w="870" w:type="dxa"/>
            <w:tcBorders/>
            <w:shd w:fill="auto" w:val="clear"/>
            <w:tcMar>
              <w:bottom w:w="0" w:type="dxa"/>
            </w:tcMar>
          </w:tcPr>
          <w:p>
            <w:pPr>
              <w:pStyle w:val="TableContents"/>
              <w:spacing w:before="0" w:after="283"/>
              <w:rPr/>
            </w:pPr>
            <w:r>
              <w:rPr/>
              <w:t xml:space="preserve">  </w:t>
            </w:r>
          </w:p>
        </w:tc>
        <w:tc>
          <w:tcPr>
            <w:tcW w:w="9335" w:type="dxa"/>
            <w:tcBorders/>
            <w:shd w:fill="auto" w:val="clear"/>
            <w:tcMar>
              <w:bottom w:w="0" w:type="dxa"/>
            </w:tcMar>
          </w:tcPr>
          <w:p>
            <w:pPr>
              <w:pStyle w:val="TableContents"/>
              <w:spacing w:before="0" w:after="283"/>
              <w:rPr/>
            </w:pPr>
            <w:r>
              <w:rPr/>
              <w:t xml:space="preserve">  </w:t>
            </w:r>
          </w:p>
        </w:tc>
      </w:tr>
      <w:tr>
        <w:trPr/>
        <w:tc>
          <w:tcPr>
            <w:tcW w:w="870" w:type="dxa"/>
            <w:tcBorders/>
            <w:shd w:fill="auto" w:val="clear"/>
            <w:tcMar>
              <w:bottom w:w="0" w:type="dxa"/>
            </w:tcMar>
          </w:tcPr>
          <w:p>
            <w:pPr>
              <w:pStyle w:val="TableContents"/>
              <w:spacing w:before="0" w:after="0"/>
              <w:ind w:left="0" w:right="0" w:hanging="0"/>
              <w:jc w:val="center"/>
              <w:rPr/>
            </w:pPr>
            <w:hyperlink w:anchor="exh32.htm">
              <w:r>
                <w:rPr>
                  <w:rStyle w:val="InternetLink"/>
                  <w:rFonts w:ascii="times new roman" w:hAnsi="times new roman"/>
                  <w:sz w:val="20"/>
                </w:rPr>
                <w:t>32</w:t>
              </w:r>
            </w:hyperlink>
          </w:p>
        </w:tc>
        <w:tc>
          <w:tcPr>
            <w:tcW w:w="9335"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Section 1350 of the Sarbanes-Oxley Act of 2002.</w:t>
            </w:r>
          </w:p>
        </w:tc>
      </w:tr>
      <w:tr>
        <w:trPr/>
        <w:tc>
          <w:tcPr>
            <w:tcW w:w="870" w:type="dxa"/>
            <w:tcBorders/>
            <w:shd w:fill="auto" w:val="clear"/>
            <w:tcMar>
              <w:bottom w:w="0" w:type="dxa"/>
            </w:tcMar>
          </w:tcPr>
          <w:p>
            <w:pPr>
              <w:pStyle w:val="TableContents"/>
              <w:spacing w:before="0" w:after="283"/>
              <w:rPr/>
            </w:pPr>
            <w:r>
              <w:rPr/>
              <w:t xml:space="preserve">  </w:t>
            </w:r>
          </w:p>
        </w:tc>
        <w:tc>
          <w:tcPr>
            <w:tcW w:w="9335" w:type="dxa"/>
            <w:tcBorders/>
            <w:shd w:fill="auto" w:val="clear"/>
            <w:tcMar>
              <w:bottom w:w="0" w:type="dxa"/>
            </w:tcMar>
          </w:tcPr>
          <w:p>
            <w:pPr>
              <w:pStyle w:val="TableContents"/>
              <w:spacing w:before="0" w:after="283"/>
              <w:rPr/>
            </w:pPr>
            <w:r>
              <w:rPr/>
              <w:t xml:space="preserve">  </w:t>
            </w:r>
          </w:p>
        </w:tc>
      </w:tr>
      <w:tr>
        <w:trPr/>
        <w:tc>
          <w:tcPr>
            <w:tcW w:w="870" w:type="dxa"/>
            <w:tcBorders/>
            <w:shd w:fill="auto" w:val="clear"/>
            <w:tcMar>
              <w:bottom w:w="0" w:type="dxa"/>
            </w:tcMar>
          </w:tcPr>
          <w:p>
            <w:pPr>
              <w:pStyle w:val="TableContents"/>
              <w:spacing w:before="0" w:after="0"/>
              <w:ind w:left="0" w:right="0" w:hanging="0"/>
              <w:jc w:val="center"/>
              <w:rPr/>
            </w:pPr>
            <w:hyperlink w:anchor="exh99_1.htm">
              <w:r>
                <w:rPr>
                  <w:rStyle w:val="InternetLink"/>
                  <w:rFonts w:ascii="times new roman" w:hAnsi="times new roman"/>
                  <w:sz w:val="20"/>
                </w:rPr>
                <w:t>99.1</w:t>
              </w:r>
            </w:hyperlink>
          </w:p>
        </w:tc>
        <w:tc>
          <w:tcPr>
            <w:tcW w:w="9335"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Mine Safety Disclosure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Incorporated by reference to Exhibit 10.1 to Oil-Dri’s (File No. 001-12622) Current Report on Form 8-K filed on November 16, 2010.</w:t>
      </w:r>
    </w:p>
    <w:p>
      <w:pPr>
        <w:pStyle w:val="TextBody"/>
        <w:spacing w:before="0" w:after="0"/>
        <w:ind w:left="0" w:right="0" w:hanging="0"/>
        <w:rPr/>
      </w:pPr>
      <w:r>
        <w:rPr/>
      </w:r>
    </w:p>
    <w:p>
      <w:pPr>
        <w:pStyle w:val="Normal"/>
        <w:spacing w:before="0" w:after="0"/>
        <w:rPr>
          <w:sz w:val="4"/>
          <w:szCs w:val="4"/>
        </w:rPr>
      </w:pPr>
      <w:r>
        <w:rPr>
          <w:sz w:val="4"/>
          <w:szCs w:val="4"/>
        </w:rPr>
      </w:r>
      <w:bookmarkStart w:id="488" w:name="hangingindent"/>
      <w:bookmarkStart w:id="489" w:name="hangingindent"/>
      <w:bookmarkEnd w:id="489"/>
    </w:p>
    <w:tbl>
      <w:tblPr>
        <w:tblW w:w="5000" w:type="pct"/>
        <w:jc w:val="center"/>
        <w:tblInd w:w="0" w:type="dxa"/>
        <w:tblCellMar>
          <w:top w:w="0" w:type="dxa"/>
          <w:left w:w="0" w:type="dxa"/>
          <w:bottom w:w="0" w:type="dxa"/>
          <w:right w:w="0" w:type="dxa"/>
        </w:tblCellMar>
      </w:tblPr>
      <w:tblGrid>
        <w:gridCol w:w="432"/>
        <w:gridCol w:w="9773"/>
      </w:tblGrid>
      <w:tr>
        <w:trPr/>
        <w:tc>
          <w:tcPr>
            <w:tcW w:w="4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Note:</w:t>
            </w:r>
          </w:p>
        </w:tc>
        <w:tc>
          <w:tcPr>
            <w:tcW w:w="97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Stockholders may receive copies of the above listed exhibits, without fee, by written request to Investor Relations, Oil-Dri Corporation of America, 410 North Michigan Avenue, Suite 400, Chicago, Illinois  60611-4213, by telephone (312) 321-1515 or by e-mail to info@oildri.com.</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t>30</w:t>
      </w:r>
    </w:p>
    <w:p>
      <w:pPr>
        <w:pStyle w:val="TextBody"/>
        <w:spacing w:before="0" w:after="0"/>
        <w:jc w:val="center"/>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rPr/>
      </w:pPr>
      <w:r>
        <w:rPr/>
        <w:t> </w:t>
      </w:r>
      <w:r>
        <w:br w:type="page"/>
      </w:r>
    </w:p>
    <w:p>
      <w:pPr>
        <w:pStyle w:val="TextBody"/>
        <w:spacing w:before="0" w:after="0"/>
        <w:rPr/>
      </w:pPr>
      <w:bookmarkStart w:id="490" w:name="exh11.htm"/>
      <w:bookmarkStart w:id="491" w:name="ksexh11"/>
      <w:bookmarkEnd w:id="490"/>
      <w:bookmarkEnd w:id="491"/>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Exhibit 11: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OIL-DRI CORPORATION OF AMERICA AND SUBSIDIARIES</w:t>
      </w:r>
    </w:p>
    <w:p>
      <w:pPr>
        <w:pStyle w:val="TextBody"/>
        <w:spacing w:before="0" w:after="0"/>
        <w:ind w:left="0" w:right="0" w:hanging="0"/>
        <w:jc w:val="center"/>
        <w:rPr>
          <w:rFonts w:ascii="Times New Roman" w:hAnsi="Times New Roman"/>
          <w:b/>
          <w:sz w:val="20"/>
        </w:rPr>
      </w:pPr>
      <w:r>
        <w:rPr>
          <w:rFonts w:ascii="Times New Roman" w:hAnsi="Times New Roman"/>
          <w:b/>
          <w:sz w:val="20"/>
        </w:rPr>
        <w:t>Computation of Earnings Per Share</w:t>
      </w:r>
    </w:p>
    <w:p>
      <w:pPr>
        <w:pStyle w:val="TextBody"/>
        <w:spacing w:before="0" w:after="0"/>
        <w:ind w:left="0" w:right="0" w:hanging="0"/>
        <w:jc w:val="center"/>
        <w:rPr>
          <w:rFonts w:ascii="Times New Roman" w:hAnsi="Times New Roman"/>
          <w:b/>
          <w:sz w:val="20"/>
        </w:rPr>
      </w:pPr>
      <w:r>
        <w:rPr>
          <w:rFonts w:ascii="Times New Roman" w:hAnsi="Times New Roman"/>
          <w:b/>
          <w:sz w:val="20"/>
        </w:rPr>
        <w:t>(in thousands except for per share amounts)</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22"/>
        <w:gridCol w:w="107"/>
        <w:gridCol w:w="127"/>
        <w:gridCol w:w="946"/>
        <w:gridCol w:w="113"/>
        <w:gridCol w:w="107"/>
        <w:gridCol w:w="127"/>
        <w:gridCol w:w="946"/>
        <w:gridCol w:w="113"/>
        <w:gridCol w:w="107"/>
        <w:gridCol w:w="127"/>
        <w:gridCol w:w="946"/>
        <w:gridCol w:w="113"/>
        <w:gridCol w:w="107"/>
        <w:gridCol w:w="127"/>
        <w:gridCol w:w="946"/>
        <w:gridCol w:w="124"/>
      </w:tblGrid>
      <w:tr>
        <w:trPr/>
        <w:tc>
          <w:tcPr>
            <w:tcW w:w="5022"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2366"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January 31,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2366" w:type="dxa"/>
            <w:gridSpan w:val="6"/>
            <w:tcBorders/>
            <w:shd w:fill="auto" w:val="clear"/>
            <w:vAlign w:val="bottom"/>
          </w:tcPr>
          <w:p>
            <w:pPr>
              <w:pStyle w:val="TableContents"/>
              <w:spacing w:before="0" w:after="0"/>
              <w:jc w:val="center"/>
              <w:rPr/>
            </w:pPr>
            <w:r>
              <w:rPr>
                <w:rFonts w:ascii="times new roman" w:hAnsi="times new roman"/>
                <w:b/>
                <w:sz w:val="20"/>
              </w:rPr>
              <w:t>Six months Ended</w:t>
            </w:r>
            <w:r>
              <w:rPr/>
              <w:t xml:space="preserve"> </w:t>
            </w:r>
          </w:p>
          <w:p>
            <w:pPr>
              <w:pStyle w:val="TableContents"/>
              <w:spacing w:before="0" w:after="0"/>
              <w:jc w:val="center"/>
              <w:rPr>
                <w:rFonts w:ascii="times new roman" w:hAnsi="times new roman"/>
                <w:b/>
                <w:sz w:val="20"/>
              </w:rPr>
            </w:pPr>
            <w:r>
              <w:rPr>
                <w:rFonts w:ascii="times new roman" w:hAnsi="times new roman"/>
                <w:b/>
                <w:sz w:val="20"/>
              </w:rPr>
              <w:t>January 31,</w:t>
            </w:r>
          </w:p>
        </w:tc>
        <w:tc>
          <w:tcPr>
            <w:tcW w:w="124" w:type="dxa"/>
            <w:tcBorders/>
            <w:shd w:fill="auto" w:val="clear"/>
            <w:vAlign w:val="bottom"/>
          </w:tcPr>
          <w:p>
            <w:pPr>
              <w:pStyle w:val="TableContents"/>
              <w:spacing w:before="0" w:after="283"/>
              <w:jc w:val="left"/>
              <w:rPr/>
            </w:pPr>
            <w:r>
              <w:rPr/>
              <w:t> </w:t>
            </w:r>
          </w:p>
        </w:tc>
      </w:tr>
      <w:tr>
        <w:trPr/>
        <w:tc>
          <w:tcPr>
            <w:tcW w:w="5022"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0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4" w:type="dxa"/>
            <w:tcBorders/>
            <w:shd w:fill="auto" w:val="clear"/>
            <w:vAlign w:val="bottom"/>
          </w:tcPr>
          <w:p>
            <w:pPr>
              <w:pStyle w:val="TableContents"/>
              <w:spacing w:before="0" w:after="283"/>
              <w:jc w:val="left"/>
              <w:rPr/>
            </w:pPr>
            <w:r>
              <w:rPr/>
              <w:t> </w:t>
            </w:r>
          </w:p>
        </w:tc>
      </w:tr>
      <w:tr>
        <w:trPr/>
        <w:tc>
          <w:tcPr>
            <w:tcW w:w="5022" w:type="dxa"/>
            <w:tcBorders/>
            <w:shd w:fill="CCEEFF" w:val="clear"/>
            <w:vAlign w:val="bottom"/>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Net income available to stockholders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1,777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2,262</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4,296</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4,456</w:t>
            </w:r>
          </w:p>
        </w:tc>
        <w:tc>
          <w:tcPr>
            <w:tcW w:w="124" w:type="dxa"/>
            <w:tcBorders/>
            <w:shd w:fill="CCEEFF" w:val="clear"/>
            <w:vAlign w:val="bottom"/>
          </w:tcPr>
          <w:p>
            <w:pPr>
              <w:pStyle w:val="TableContents"/>
              <w:spacing w:before="0" w:after="283"/>
              <w:jc w:val="left"/>
              <w:rPr/>
            </w:pPr>
            <w:r>
              <w:rPr/>
              <w:t> </w:t>
            </w:r>
          </w:p>
        </w:tc>
      </w:tr>
      <w:tr>
        <w:trPr/>
        <w:tc>
          <w:tcPr>
            <w:tcW w:w="502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Less: Distributed and undistributed earnings allocated to nonvested stock</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(29</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(50</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02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Earnings available to common shareholders</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1,748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4,246</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4,440</w:t>
            </w:r>
          </w:p>
        </w:tc>
        <w:tc>
          <w:tcPr>
            <w:tcW w:w="124" w:type="dxa"/>
            <w:tcBorders/>
            <w:shd w:fill="CCEEFF" w:val="clear"/>
            <w:vAlign w:val="bottom"/>
          </w:tcPr>
          <w:p>
            <w:pPr>
              <w:pStyle w:val="TableContents"/>
              <w:spacing w:before="0" w:after="283"/>
              <w:jc w:val="left"/>
              <w:rPr/>
            </w:pPr>
            <w:r>
              <w:rPr/>
              <w:t> </w:t>
            </w:r>
          </w:p>
        </w:tc>
      </w:tr>
      <w:tr>
        <w:trPr/>
        <w:tc>
          <w:tcPr>
            <w:tcW w:w="5022" w:type="dxa"/>
            <w:tcBorders/>
            <w:shd w:fill="FFFFFF" w:val="clear"/>
            <w:vAlign w:val="bottom"/>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Shares Calculation</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02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Average shares outstanding –    Basic Common</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5,079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5,206</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5,082</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124" w:type="dxa"/>
            <w:tcBorders/>
            <w:shd w:fill="CCEEFF" w:val="clear"/>
            <w:vAlign w:val="bottom"/>
          </w:tcPr>
          <w:p>
            <w:pPr>
              <w:pStyle w:val="TableContents"/>
              <w:spacing w:before="0" w:after="283"/>
              <w:jc w:val="left"/>
              <w:rPr/>
            </w:pPr>
            <w:r>
              <w:rPr/>
              <w:t> </w:t>
            </w:r>
          </w:p>
        </w:tc>
      </w:tr>
      <w:tr>
        <w:trPr/>
        <w:tc>
          <w:tcPr>
            <w:tcW w:w="502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Average shares outstanding –    Basic Class B Common</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1,908</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1,902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1,885</w:t>
            </w:r>
          </w:p>
        </w:tc>
        <w:tc>
          <w:tcPr>
            <w:tcW w:w="124" w:type="dxa"/>
            <w:tcBorders/>
            <w:shd w:fill="FFFFFF" w:val="clear"/>
            <w:vAlign w:val="bottom"/>
          </w:tcPr>
          <w:p>
            <w:pPr>
              <w:pStyle w:val="TableContents"/>
              <w:spacing w:before="0" w:after="283"/>
              <w:jc w:val="left"/>
              <w:rPr/>
            </w:pPr>
            <w:r>
              <w:rPr/>
              <w:t> </w:t>
            </w:r>
          </w:p>
        </w:tc>
      </w:tr>
      <w:tr>
        <w:trPr/>
        <w:tc>
          <w:tcPr>
            <w:tcW w:w="502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Potential Common Stock relating   to stock options</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173</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128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24" w:type="dxa"/>
            <w:tcBorders/>
            <w:shd w:fill="CCEEFF" w:val="clear"/>
            <w:vAlign w:val="bottom"/>
          </w:tcPr>
          <w:p>
            <w:pPr>
              <w:pStyle w:val="TableContents"/>
              <w:spacing w:before="0" w:after="283"/>
              <w:jc w:val="left"/>
              <w:rPr/>
            </w:pPr>
            <w:r>
              <w:rPr/>
              <w:t> </w:t>
            </w:r>
          </w:p>
        </w:tc>
      </w:tr>
      <w:tr>
        <w:trPr/>
        <w:tc>
          <w:tcPr>
            <w:tcW w:w="502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Average shares outstanding – Assuming dilution</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7,097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7,269</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7,112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7,259</w:t>
            </w:r>
          </w:p>
        </w:tc>
        <w:tc>
          <w:tcPr>
            <w:tcW w:w="124" w:type="dxa"/>
            <w:tcBorders/>
            <w:shd w:fill="FFFFFF" w:val="clear"/>
            <w:vAlign w:val="bottom"/>
          </w:tcPr>
          <w:p>
            <w:pPr>
              <w:pStyle w:val="TableContents"/>
              <w:spacing w:before="0" w:after="283"/>
              <w:jc w:val="left"/>
              <w:rPr/>
            </w:pPr>
            <w:r>
              <w:rPr/>
              <w:t> </w:t>
            </w:r>
          </w:p>
        </w:tc>
      </w:tr>
      <w:tr>
        <w:trPr/>
        <w:tc>
          <w:tcPr>
            <w:tcW w:w="502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Per Share:    Basic Common</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0.27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0.65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0.67</w:t>
            </w:r>
          </w:p>
        </w:tc>
        <w:tc>
          <w:tcPr>
            <w:tcW w:w="124" w:type="dxa"/>
            <w:tcBorders/>
            <w:shd w:fill="CCEEFF" w:val="clear"/>
            <w:vAlign w:val="bottom"/>
          </w:tcPr>
          <w:p>
            <w:pPr>
              <w:pStyle w:val="TableContents"/>
              <w:spacing w:before="0" w:after="283"/>
              <w:jc w:val="left"/>
              <w:rPr/>
            </w:pPr>
            <w:r>
              <w:rPr/>
              <w:t> </w:t>
            </w:r>
          </w:p>
        </w:tc>
      </w:tr>
      <w:tr>
        <w:trPr/>
        <w:tc>
          <w:tcPr>
            <w:tcW w:w="502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Per Share:    Basic Class B Common</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0.20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0.49</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124" w:type="dxa"/>
            <w:tcBorders/>
            <w:shd w:fill="FFFFFF" w:val="clear"/>
            <w:vAlign w:val="bottom"/>
          </w:tcPr>
          <w:p>
            <w:pPr>
              <w:pStyle w:val="TableContents"/>
              <w:spacing w:before="0" w:after="283"/>
              <w:jc w:val="left"/>
              <w:rPr/>
            </w:pPr>
            <w:r>
              <w:rPr/>
              <w:t> </w:t>
            </w:r>
          </w:p>
        </w:tc>
      </w:tr>
      <w:tr>
        <w:trPr/>
        <w:tc>
          <w:tcPr>
            <w:tcW w:w="502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Per Share:    Diluted</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0.25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0.60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0.61</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pPr>
      <w:r>
        <w:rPr/>
        <w:br/>
        <w:t>1</w:t>
      </w:r>
    </w:p>
    <w:p>
      <w:pPr>
        <w:pStyle w:val="TextBody"/>
        <w:spacing w:before="0" w:after="0"/>
        <w:ind w:left="0" w:right="0" w:hanging="0"/>
        <w:jc w:val="center"/>
        <w:rPr/>
      </w:pPr>
      <w:r>
        <w:rPr/>
        <w:t> </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492" w:name="exh31.htm"/>
      <w:bookmarkStart w:id="493" w:name="ksexh31"/>
      <w:bookmarkEnd w:id="492"/>
      <w:bookmarkEnd w:id="493"/>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Exhibit 31: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 PURSUANT TO RULE 13A -14(A) UNDER THE SECURITIES EXCHANGE ACT OF 1934, AS AMENDED</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Executive Officer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 of 2002)</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         I, Daniel S. Jaffee, certify that:</w:t>
      </w:r>
    </w:p>
    <w:p>
      <w:pPr>
        <w:pStyle w:val="TextBody"/>
        <w:spacing w:before="0" w:after="0"/>
        <w:ind w:left="0" w:right="0" w:hanging="0"/>
        <w:rPr/>
      </w:pPr>
      <w:r>
        <w:rPr/>
      </w:r>
    </w:p>
    <w:p>
      <w:pPr>
        <w:pStyle w:val="Normal"/>
        <w:spacing w:before="0" w:after="0"/>
        <w:rPr>
          <w:sz w:val="4"/>
          <w:szCs w:val="4"/>
        </w:rPr>
      </w:pPr>
      <w:r>
        <w:rPr>
          <w:sz w:val="4"/>
          <w:szCs w:val="4"/>
        </w:rPr>
      </w:r>
      <w:bookmarkStart w:id="494" w:name="hangingindent1"/>
      <w:bookmarkStart w:id="495" w:name="hangingindent1"/>
      <w:bookmarkEnd w:id="495"/>
    </w:p>
    <w:tbl>
      <w:tblPr>
        <w:tblW w:w="5000" w:type="pct"/>
        <w:jc w:val="center"/>
        <w:tblInd w:w="0" w:type="dxa"/>
        <w:tblCellMar>
          <w:top w:w="0" w:type="dxa"/>
          <w:left w:w="0" w:type="dxa"/>
          <w:bottom w:w="0" w:type="dxa"/>
          <w:right w:w="0" w:type="dxa"/>
        </w:tblCellMar>
      </w:tblPr>
      <w:tblGrid>
        <w:gridCol w:w="141"/>
        <w:gridCol w:w="200"/>
        <w:gridCol w:w="9864"/>
      </w:tblGrid>
      <w:tr>
        <w:trPr/>
        <w:tc>
          <w:tcPr>
            <w:tcW w:w="141"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before="0" w:after="0"/>
        <w:ind w:left="0" w:right="0" w:hanging="0"/>
        <w:rPr/>
      </w:pPr>
      <w:r>
        <w:rPr/>
      </w:r>
    </w:p>
    <w:p>
      <w:pPr>
        <w:pStyle w:val="Normal"/>
        <w:spacing w:before="0" w:after="0"/>
        <w:rPr>
          <w:sz w:val="4"/>
          <w:szCs w:val="4"/>
        </w:rPr>
      </w:pPr>
      <w:r>
        <w:rPr>
          <w:sz w:val="4"/>
          <w:szCs w:val="4"/>
        </w:rPr>
      </w:r>
      <w:bookmarkStart w:id="496" w:name="hangingindent2"/>
      <w:bookmarkStart w:id="497" w:name="hangingindent2"/>
      <w:bookmarkEnd w:id="497"/>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98" w:name="hangingindent3"/>
      <w:bookmarkStart w:id="499" w:name="hangingindent3"/>
      <w:bookmarkEnd w:id="499"/>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500" w:name="hangingindent4"/>
      <w:bookmarkStart w:id="501" w:name="hangingindent4"/>
      <w:bookmarkEnd w:id="501"/>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502" w:name="list1"/>
      <w:bookmarkStart w:id="503" w:name="list1"/>
      <w:bookmarkEnd w:id="503"/>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504" w:name="list2"/>
      <w:bookmarkStart w:id="505" w:name="list2"/>
      <w:bookmarkEnd w:id="505"/>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506" w:name="list3"/>
      <w:bookmarkStart w:id="507" w:name="list3"/>
      <w:bookmarkEnd w:id="507"/>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08" w:name="list4"/>
      <w:bookmarkStart w:id="509" w:name="list4"/>
      <w:bookmarkEnd w:id="509"/>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10" w:name="hangingindent5"/>
      <w:bookmarkStart w:id="511" w:name="hangingindent5"/>
      <w:bookmarkEnd w:id="511"/>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512" w:name="hangingindent6"/>
      <w:bookmarkStart w:id="513" w:name="hangingindent6"/>
      <w:bookmarkEnd w:id="513"/>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14" w:name="hangingindent7"/>
      <w:bookmarkStart w:id="515" w:name="hangingindent7"/>
      <w:bookmarkEnd w:id="515"/>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47"/>
        <w:gridCol w:w="224"/>
        <w:gridCol w:w="2804"/>
        <w:gridCol w:w="6730"/>
      </w:tblGrid>
      <w:tr>
        <w:trPr/>
        <w:tc>
          <w:tcPr>
            <w:tcW w:w="4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224" w:type="dxa"/>
            <w:tcBorders/>
            <w:shd w:fill="auto" w:val="clear"/>
          </w:tcPr>
          <w:p>
            <w:pPr>
              <w:pStyle w:val="TableContents"/>
              <w:spacing w:before="0" w:after="283"/>
              <w:rPr/>
            </w:pPr>
            <w:r>
              <w:rPr/>
              <w:t xml:space="preserve">  </w:t>
            </w:r>
          </w:p>
        </w:tc>
        <w:tc>
          <w:tcPr>
            <w:tcW w:w="280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March 10, 2011</w:t>
            </w:r>
          </w:p>
        </w:tc>
        <w:tc>
          <w:tcPr>
            <w:tcW w:w="6730" w:type="dxa"/>
            <w:tcBorders/>
            <w:shd w:fill="auto" w:val="clear"/>
          </w:tcPr>
          <w:p>
            <w:pPr>
              <w:pStyle w:val="TableContents"/>
              <w:spacing w:before="0" w:after="283"/>
              <w:rPr/>
            </w:pPr>
            <w:r>
              <w:rPr/>
              <w:t> </w:t>
            </w:r>
          </w:p>
        </w:tc>
      </w:tr>
      <w:tr>
        <w:trPr/>
        <w:tc>
          <w:tcPr>
            <w:tcW w:w="447"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224" w:type="dxa"/>
            <w:tcBorders/>
            <w:shd w:fill="auto" w:val="clear"/>
            <w:vAlign w:val="bottom"/>
          </w:tcPr>
          <w:p>
            <w:pPr>
              <w:pStyle w:val="TableContents"/>
              <w:spacing w:before="0" w:after="283"/>
              <w:rPr/>
            </w:pPr>
            <w:r>
              <w:rPr/>
              <w:t xml:space="preserve">  </w:t>
            </w:r>
          </w:p>
        </w:tc>
        <w:tc>
          <w:tcPr>
            <w:tcW w:w="2804" w:type="dxa"/>
            <w:tcBorders>
              <w:bottom w:val="single" w:sz="12"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 Daniel S. Jaffee</w:t>
            </w:r>
          </w:p>
        </w:tc>
        <w:tc>
          <w:tcPr>
            <w:tcW w:w="6730" w:type="dxa"/>
            <w:tcBorders/>
            <w:shd w:fill="auto" w:val="clear"/>
            <w:vAlign w:val="bottom"/>
          </w:tcPr>
          <w:p>
            <w:pPr>
              <w:pStyle w:val="TableContents"/>
              <w:spacing w:before="0" w:after="283"/>
              <w:rPr/>
            </w:pPr>
            <w:r>
              <w:rPr/>
              <w:t> </w:t>
            </w:r>
          </w:p>
        </w:tc>
      </w:tr>
      <w:tr>
        <w:trPr/>
        <w:tc>
          <w:tcPr>
            <w:tcW w:w="447" w:type="dxa"/>
            <w:tcBorders/>
            <w:shd w:fill="auto" w:val="clear"/>
          </w:tcPr>
          <w:p>
            <w:pPr>
              <w:pStyle w:val="TableContents"/>
              <w:spacing w:before="0" w:after="283"/>
              <w:rPr/>
            </w:pPr>
            <w:r>
              <w:rPr/>
              <w:t xml:space="preserve">  </w:t>
            </w:r>
          </w:p>
        </w:tc>
        <w:tc>
          <w:tcPr>
            <w:tcW w:w="224" w:type="dxa"/>
            <w:tcBorders/>
            <w:shd w:fill="auto" w:val="clear"/>
          </w:tcPr>
          <w:p>
            <w:pPr>
              <w:pStyle w:val="TableContents"/>
              <w:spacing w:before="0" w:after="283"/>
              <w:rPr/>
            </w:pPr>
            <w:r>
              <w:rPr/>
              <w:t xml:space="preserve">  </w:t>
            </w:r>
          </w:p>
        </w:tc>
        <w:tc>
          <w:tcPr>
            <w:tcW w:w="28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Daniel S. Jaffee</w:t>
            </w:r>
          </w:p>
          <w:p>
            <w:pPr>
              <w:pStyle w:val="TableContents"/>
              <w:spacing w:before="0" w:after="0"/>
              <w:ind w:left="0" w:right="0" w:hanging="0"/>
              <w:jc w:val="both"/>
              <w:rPr>
                <w:rFonts w:ascii="times new roman" w:hAnsi="times new roman"/>
                <w:sz w:val="20"/>
              </w:rPr>
            </w:pPr>
            <w:r>
              <w:rPr>
                <w:rFonts w:ascii="times new roman" w:hAnsi="times new roman"/>
                <w:sz w:val="20"/>
              </w:rPr>
              <w:t>President and Chief Executive Officer</w:t>
            </w:r>
          </w:p>
        </w:tc>
        <w:tc>
          <w:tcPr>
            <w:tcW w:w="6730"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6" w:name="PGBRK28"/>
      <w:bookmarkStart w:id="517" w:name="PGBRK28"/>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8" w:name="FTR28"/>
      <w:bookmarkStart w:id="519" w:name="FTR28"/>
      <w:bookmarkEnd w:id="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0" w:name="GLFTR28"/>
      <w:bookmarkEnd w:id="5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1" w:name="PN28"/>
      <w:bookmarkEnd w:id="52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2" w:name="HDR28"/>
      <w:bookmarkStart w:id="523" w:name="HDR28"/>
      <w:bookmarkEnd w:id="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4" w:name="GLHDR28"/>
      <w:bookmarkEnd w:id="5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Exhibit 31 (continued):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a Principal Financial Officer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 of 2002)</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         I, Jeffrey M. Libert, certify that:</w:t>
      </w:r>
    </w:p>
    <w:p>
      <w:pPr>
        <w:pStyle w:val="TextBody"/>
        <w:spacing w:before="0" w:after="0"/>
        <w:ind w:left="0" w:right="0" w:hanging="0"/>
        <w:rPr/>
      </w:pPr>
      <w:r>
        <w:rPr/>
      </w:r>
    </w:p>
    <w:p>
      <w:pPr>
        <w:pStyle w:val="Normal"/>
        <w:spacing w:before="0" w:after="0"/>
        <w:rPr>
          <w:sz w:val="4"/>
          <w:szCs w:val="4"/>
        </w:rPr>
      </w:pPr>
      <w:r>
        <w:rPr>
          <w:sz w:val="4"/>
          <w:szCs w:val="4"/>
        </w:rPr>
      </w:r>
      <w:bookmarkStart w:id="525" w:name="hangingindent8"/>
      <w:bookmarkStart w:id="526" w:name="hangingindent8"/>
      <w:bookmarkEnd w:id="526"/>
    </w:p>
    <w:tbl>
      <w:tblPr>
        <w:tblW w:w="5000" w:type="pct"/>
        <w:jc w:val="center"/>
        <w:tblInd w:w="0" w:type="dxa"/>
        <w:tblCellMar>
          <w:top w:w="0" w:type="dxa"/>
          <w:left w:w="0" w:type="dxa"/>
          <w:bottom w:w="0" w:type="dxa"/>
          <w:right w:w="0" w:type="dxa"/>
        </w:tblCellMar>
      </w:tblPr>
      <w:tblGrid>
        <w:gridCol w:w="141"/>
        <w:gridCol w:w="200"/>
        <w:gridCol w:w="9864"/>
      </w:tblGrid>
      <w:tr>
        <w:trPr/>
        <w:tc>
          <w:tcPr>
            <w:tcW w:w="141"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before="0" w:after="0"/>
        <w:ind w:left="0" w:right="0" w:hanging="0"/>
        <w:rPr/>
      </w:pPr>
      <w:r>
        <w:rPr/>
      </w:r>
    </w:p>
    <w:p>
      <w:pPr>
        <w:pStyle w:val="Normal"/>
        <w:spacing w:before="0" w:after="0"/>
        <w:rPr>
          <w:sz w:val="4"/>
          <w:szCs w:val="4"/>
        </w:rPr>
      </w:pPr>
      <w:r>
        <w:rPr>
          <w:sz w:val="4"/>
          <w:szCs w:val="4"/>
        </w:rPr>
      </w:r>
      <w:bookmarkStart w:id="527" w:name="hangingindent9"/>
      <w:bookmarkStart w:id="528" w:name="hangingindent9"/>
      <w:bookmarkEnd w:id="528"/>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529" w:name="hangingindent10"/>
      <w:bookmarkStart w:id="530" w:name="hangingindent10"/>
      <w:bookmarkEnd w:id="530"/>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531" w:name="hangingindent11"/>
      <w:bookmarkStart w:id="532" w:name="hangingindent11"/>
      <w:bookmarkEnd w:id="532"/>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533" w:name="list5"/>
      <w:bookmarkStart w:id="534" w:name="list5"/>
      <w:bookmarkEnd w:id="534"/>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535" w:name="list6"/>
      <w:bookmarkStart w:id="536" w:name="list6"/>
      <w:bookmarkEnd w:id="536"/>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537" w:name="list7"/>
      <w:bookmarkStart w:id="538" w:name="list7"/>
      <w:bookmarkEnd w:id="538"/>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39" w:name="list8"/>
      <w:bookmarkStart w:id="540" w:name="list8"/>
      <w:bookmarkEnd w:id="540"/>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41" w:name="hangingindent12"/>
      <w:bookmarkStart w:id="542" w:name="hangingindent12"/>
      <w:bookmarkEnd w:id="542"/>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543" w:name="hangingindent13"/>
      <w:bookmarkStart w:id="544" w:name="hangingindent13"/>
      <w:bookmarkEnd w:id="544"/>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45" w:name="hangingindent14"/>
      <w:bookmarkStart w:id="546" w:name="hangingindent14"/>
      <w:bookmarkEnd w:id="546"/>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9"/>
        <w:gridCol w:w="310"/>
        <w:gridCol w:w="2714"/>
        <w:gridCol w:w="6742"/>
      </w:tblGrid>
      <w:tr>
        <w:trPr/>
        <w:tc>
          <w:tcPr>
            <w:tcW w:w="4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310" w:type="dxa"/>
            <w:tcBorders/>
            <w:shd w:fill="auto" w:val="clear"/>
          </w:tcPr>
          <w:p>
            <w:pPr>
              <w:pStyle w:val="TableContents"/>
              <w:spacing w:before="0" w:after="283"/>
              <w:rPr/>
            </w:pPr>
            <w:r>
              <w:rPr/>
              <w:t xml:space="preserve">  </w:t>
            </w:r>
          </w:p>
        </w:tc>
        <w:tc>
          <w:tcPr>
            <w:tcW w:w="271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March 10, 2011</w:t>
            </w:r>
          </w:p>
        </w:tc>
        <w:tc>
          <w:tcPr>
            <w:tcW w:w="6742" w:type="dxa"/>
            <w:tcBorders/>
            <w:shd w:fill="auto" w:val="clear"/>
          </w:tcPr>
          <w:p>
            <w:pPr>
              <w:pStyle w:val="TableContents"/>
              <w:spacing w:before="0" w:after="283"/>
              <w:rPr/>
            </w:pPr>
            <w:r>
              <w:rPr/>
              <w:t> </w:t>
            </w:r>
          </w:p>
        </w:tc>
      </w:tr>
      <w:tr>
        <w:trPr/>
        <w:tc>
          <w:tcPr>
            <w:tcW w:w="439"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310" w:type="dxa"/>
            <w:tcBorders/>
            <w:shd w:fill="auto" w:val="clear"/>
          </w:tcPr>
          <w:p>
            <w:pPr>
              <w:pStyle w:val="TableContents"/>
              <w:spacing w:before="0" w:after="283"/>
              <w:rPr/>
            </w:pPr>
            <w:r>
              <w:rPr/>
              <w:t xml:space="preserve">  </w:t>
            </w:r>
          </w:p>
        </w:tc>
        <w:tc>
          <w:tcPr>
            <w:tcW w:w="2714" w:type="dxa"/>
            <w:tcBorders>
              <w:bottom w:val="single" w:sz="12"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 Jeffrey M. Libert</w:t>
            </w:r>
          </w:p>
        </w:tc>
        <w:tc>
          <w:tcPr>
            <w:tcW w:w="6742" w:type="dxa"/>
            <w:tcBorders/>
            <w:shd w:fill="auto" w:val="clear"/>
            <w:vAlign w:val="bottom"/>
          </w:tcPr>
          <w:p>
            <w:pPr>
              <w:pStyle w:val="TableContents"/>
              <w:spacing w:before="0" w:after="283"/>
              <w:rPr/>
            </w:pPr>
            <w:r>
              <w:rPr/>
              <w:t> </w:t>
            </w:r>
          </w:p>
        </w:tc>
      </w:tr>
      <w:tr>
        <w:trPr/>
        <w:tc>
          <w:tcPr>
            <w:tcW w:w="439" w:type="dxa"/>
            <w:tcBorders/>
            <w:shd w:fill="auto" w:val="clear"/>
          </w:tcPr>
          <w:p>
            <w:pPr>
              <w:pStyle w:val="TableContents"/>
              <w:spacing w:before="0" w:after="283"/>
              <w:rPr/>
            </w:pPr>
            <w:r>
              <w:rPr/>
              <w:t xml:space="preserve">  </w:t>
            </w:r>
          </w:p>
        </w:tc>
        <w:tc>
          <w:tcPr>
            <w:tcW w:w="310" w:type="dxa"/>
            <w:tcBorders/>
            <w:shd w:fill="auto" w:val="clear"/>
          </w:tcPr>
          <w:p>
            <w:pPr>
              <w:pStyle w:val="TableContents"/>
              <w:spacing w:before="0" w:after="283"/>
              <w:rPr/>
            </w:pPr>
            <w:r>
              <w:rPr/>
              <w:t xml:space="preserve">  </w:t>
            </w:r>
          </w:p>
        </w:tc>
        <w:tc>
          <w:tcPr>
            <w:tcW w:w="27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Jeffrey M. Libert</w:t>
            </w:r>
          </w:p>
          <w:p>
            <w:pPr>
              <w:pStyle w:val="TableContents"/>
              <w:spacing w:before="0" w:after="0"/>
              <w:ind w:left="0" w:right="0" w:hanging="0"/>
              <w:jc w:val="both"/>
              <w:rPr>
                <w:rFonts w:ascii="times new roman" w:hAnsi="times new roman"/>
                <w:sz w:val="20"/>
              </w:rPr>
            </w:pPr>
            <w:r>
              <w:rPr>
                <w:rFonts w:ascii="times new roman" w:hAnsi="times new roman"/>
                <w:sz w:val="20"/>
              </w:rPr>
              <w:t>Vice President and Chief Financial Officer</w:t>
            </w:r>
          </w:p>
        </w:tc>
        <w:tc>
          <w:tcPr>
            <w:tcW w:w="6742" w:type="dxa"/>
            <w:tcBorders/>
            <w:shd w:fill="auto" w:val="clear"/>
          </w:tcPr>
          <w:p>
            <w:pPr>
              <w:pStyle w:val="TableContents"/>
              <w:spacing w:before="0" w:after="283"/>
              <w:rPr/>
            </w:pPr>
            <w:r>
              <w:rPr/>
              <w:t> </w:t>
            </w:r>
          </w:p>
        </w:tc>
      </w:tr>
    </w:tbl>
    <w:p>
      <w:pPr>
        <w:pStyle w:val="TextBody"/>
        <w:spacing w:before="0" w:after="0"/>
        <w:ind w:left="0" w:right="0" w:hanging="0"/>
        <w:rPr/>
      </w:pPr>
      <w:r>
        <w:rPr/>
      </w:r>
    </w:p>
    <w:p>
      <w:pPr>
        <w:pStyle w:val="TextBody"/>
        <w:spacing w:before="0" w:after="0"/>
        <w:rPr/>
      </w:pPr>
      <w:r>
        <w:rPr/>
        <w:t> </w:t>
      </w:r>
    </w:p>
    <w:p>
      <w:pPr>
        <w:pStyle w:val="TextBody"/>
        <w:spacing w:before="0" w:after="0"/>
        <w:jc w:val="center"/>
        <w:rPr/>
      </w:pPr>
      <w:r>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7" w:name="PGBRK29"/>
      <w:bookmarkStart w:id="548" w:name="PGBRK29"/>
      <w:bookmarkEnd w:id="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9" w:name="FTR29"/>
      <w:bookmarkStart w:id="550" w:name="FTR29"/>
      <w:bookmarkEnd w:id="5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1" w:name="GLFTR29"/>
      <w:bookmarkEnd w:id="5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2" w:name="PN29"/>
      <w:bookmarkEnd w:id="55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3" w:name="HDR29"/>
      <w:bookmarkStart w:id="554" w:name="HDR29"/>
      <w:bookmarkEnd w:id="5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5" w:name="GLHDR29"/>
      <w:bookmarkEnd w:id="5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Exhibit 31 (continued):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a Principal Financial Officer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 of 2002)</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         I, Daniel T. Smith, certify that:</w:t>
      </w:r>
    </w:p>
    <w:p>
      <w:pPr>
        <w:pStyle w:val="TextBody"/>
        <w:spacing w:before="0" w:after="0"/>
        <w:ind w:left="0" w:right="0" w:hanging="0"/>
        <w:rPr/>
      </w:pPr>
      <w:r>
        <w:rPr/>
      </w:r>
    </w:p>
    <w:p>
      <w:pPr>
        <w:pStyle w:val="Normal"/>
        <w:spacing w:before="0" w:after="0"/>
        <w:rPr>
          <w:sz w:val="4"/>
          <w:szCs w:val="4"/>
        </w:rPr>
      </w:pPr>
      <w:r>
        <w:rPr>
          <w:sz w:val="4"/>
          <w:szCs w:val="4"/>
        </w:rPr>
      </w:r>
      <w:bookmarkStart w:id="556" w:name="hangingindent15"/>
      <w:bookmarkStart w:id="557" w:name="hangingindent15"/>
      <w:bookmarkEnd w:id="557"/>
    </w:p>
    <w:tbl>
      <w:tblPr>
        <w:tblW w:w="5000" w:type="pct"/>
        <w:jc w:val="center"/>
        <w:tblInd w:w="0" w:type="dxa"/>
        <w:tblCellMar>
          <w:top w:w="0" w:type="dxa"/>
          <w:left w:w="0" w:type="dxa"/>
          <w:bottom w:w="0" w:type="dxa"/>
          <w:right w:w="0" w:type="dxa"/>
        </w:tblCellMar>
      </w:tblPr>
      <w:tblGrid>
        <w:gridCol w:w="141"/>
        <w:gridCol w:w="200"/>
        <w:gridCol w:w="9864"/>
      </w:tblGrid>
      <w:tr>
        <w:trPr/>
        <w:tc>
          <w:tcPr>
            <w:tcW w:w="141"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before="0" w:after="0"/>
        <w:ind w:left="0" w:right="0" w:hanging="0"/>
        <w:rPr/>
      </w:pPr>
      <w:r>
        <w:rPr/>
      </w:r>
    </w:p>
    <w:p>
      <w:pPr>
        <w:pStyle w:val="Normal"/>
        <w:spacing w:before="0" w:after="0"/>
        <w:rPr>
          <w:sz w:val="4"/>
          <w:szCs w:val="4"/>
        </w:rPr>
      </w:pPr>
      <w:r>
        <w:rPr>
          <w:sz w:val="4"/>
          <w:szCs w:val="4"/>
        </w:rPr>
      </w:r>
      <w:bookmarkStart w:id="558" w:name="hangingindent16"/>
      <w:bookmarkStart w:id="559" w:name="hangingindent16"/>
      <w:bookmarkEnd w:id="559"/>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560" w:name="hangingindent17"/>
      <w:bookmarkStart w:id="561" w:name="hangingindent17"/>
      <w:bookmarkEnd w:id="561"/>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562" w:name="hangingindent18"/>
      <w:bookmarkStart w:id="563" w:name="hangingindent18"/>
      <w:bookmarkEnd w:id="563"/>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564" w:name="list9"/>
      <w:bookmarkStart w:id="565" w:name="list9"/>
      <w:bookmarkEnd w:id="565"/>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566" w:name="list10"/>
      <w:bookmarkStart w:id="567" w:name="list10"/>
      <w:bookmarkEnd w:id="567"/>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568" w:name="list11"/>
      <w:bookmarkStart w:id="569" w:name="list11"/>
      <w:bookmarkEnd w:id="569"/>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70" w:name="list12"/>
      <w:bookmarkStart w:id="571" w:name="list12"/>
      <w:bookmarkEnd w:id="571"/>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72" w:name="hangingindent19"/>
      <w:bookmarkStart w:id="573" w:name="hangingindent19"/>
      <w:bookmarkEnd w:id="573"/>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574" w:name="hangingindent20"/>
      <w:bookmarkStart w:id="575" w:name="hangingindent20"/>
      <w:bookmarkEnd w:id="575"/>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76" w:name="hangingindent21"/>
      <w:bookmarkStart w:id="577" w:name="hangingindent21"/>
      <w:bookmarkEnd w:id="577"/>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2"/>
        <w:gridCol w:w="306"/>
        <w:gridCol w:w="2595"/>
        <w:gridCol w:w="6872"/>
      </w:tblGrid>
      <w:tr>
        <w:trPr/>
        <w:tc>
          <w:tcPr>
            <w:tcW w:w="4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306" w:type="dxa"/>
            <w:tcBorders/>
            <w:shd w:fill="auto" w:val="clear"/>
          </w:tcPr>
          <w:p>
            <w:pPr>
              <w:pStyle w:val="TableContents"/>
              <w:spacing w:before="0" w:after="283"/>
              <w:rPr/>
            </w:pPr>
            <w:r>
              <w:rPr/>
              <w:t xml:space="preserve">  </w:t>
            </w:r>
          </w:p>
        </w:tc>
        <w:tc>
          <w:tcPr>
            <w:tcW w:w="259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March 10, 2011</w:t>
            </w:r>
          </w:p>
        </w:tc>
        <w:tc>
          <w:tcPr>
            <w:tcW w:w="6872" w:type="dxa"/>
            <w:tcBorders/>
            <w:shd w:fill="auto" w:val="clear"/>
          </w:tcPr>
          <w:p>
            <w:pPr>
              <w:pStyle w:val="TableContents"/>
              <w:spacing w:before="0" w:after="283"/>
              <w:rPr/>
            </w:pPr>
            <w:r>
              <w:rPr/>
              <w:t> </w:t>
            </w:r>
          </w:p>
        </w:tc>
      </w:tr>
      <w:tr>
        <w:trPr/>
        <w:tc>
          <w:tcPr>
            <w:tcW w:w="432"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306" w:type="dxa"/>
            <w:tcBorders/>
            <w:shd w:fill="auto" w:val="clear"/>
          </w:tcPr>
          <w:p>
            <w:pPr>
              <w:pStyle w:val="TableContents"/>
              <w:spacing w:before="0" w:after="283"/>
              <w:rPr/>
            </w:pPr>
            <w:r>
              <w:rPr/>
              <w:t xml:space="preserve">  </w:t>
            </w:r>
          </w:p>
        </w:tc>
        <w:tc>
          <w:tcPr>
            <w:tcW w:w="2595" w:type="dxa"/>
            <w:tcBorders>
              <w:bottom w:val="single" w:sz="12"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 Daniel T. Smith</w:t>
            </w:r>
          </w:p>
        </w:tc>
        <w:tc>
          <w:tcPr>
            <w:tcW w:w="6872" w:type="dxa"/>
            <w:tcBorders/>
            <w:shd w:fill="auto" w:val="clear"/>
            <w:vAlign w:val="bottom"/>
          </w:tcPr>
          <w:p>
            <w:pPr>
              <w:pStyle w:val="TableContents"/>
              <w:spacing w:before="0" w:after="283"/>
              <w:rPr/>
            </w:pPr>
            <w:r>
              <w:rPr/>
              <w:t> </w:t>
            </w:r>
          </w:p>
        </w:tc>
      </w:tr>
      <w:tr>
        <w:trPr/>
        <w:tc>
          <w:tcPr>
            <w:tcW w:w="432"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283"/>
              <w:rPr/>
            </w:pPr>
            <w:r>
              <w:rPr/>
              <w:t xml:space="preserve">  </w:t>
            </w:r>
          </w:p>
        </w:tc>
        <w:tc>
          <w:tcPr>
            <w:tcW w:w="25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Daniel T. Smith</w:t>
            </w:r>
          </w:p>
          <w:p>
            <w:pPr>
              <w:pStyle w:val="TableContents"/>
              <w:spacing w:before="0" w:after="0"/>
              <w:ind w:left="0" w:right="0" w:hanging="0"/>
              <w:jc w:val="both"/>
              <w:rPr>
                <w:rFonts w:ascii="times new roman" w:hAnsi="times new roman"/>
                <w:sz w:val="20"/>
              </w:rPr>
            </w:pPr>
            <w:r>
              <w:rPr>
                <w:rFonts w:ascii="times new roman" w:hAnsi="times new roman"/>
                <w:sz w:val="20"/>
              </w:rPr>
              <w:t>Vice President, Chief Accounting Officer and Controller</w:t>
            </w:r>
          </w:p>
        </w:tc>
        <w:tc>
          <w:tcPr>
            <w:tcW w:w="6872"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p>
      <w:pPr>
        <w:pStyle w:val="TextBody"/>
        <w:spacing w:before="0" w:after="0"/>
        <w:jc w:val="center"/>
        <w:rPr/>
      </w:pPr>
      <w:r>
        <w:rPr/>
        <w:t>3</w:t>
      </w:r>
    </w:p>
    <w:p>
      <w:pPr>
        <w:pStyle w:val="TextBody"/>
        <w:spacing w:before="0" w:after="0"/>
        <w:jc w:val="center"/>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rPr/>
      </w:pPr>
      <w:r>
        <w:rPr/>
        <w:t> </w:t>
      </w:r>
      <w:r>
        <w:br w:type="page"/>
      </w:r>
    </w:p>
    <w:p>
      <w:pPr>
        <w:pStyle w:val="TextBody"/>
        <w:spacing w:before="0" w:after="0"/>
        <w:rPr/>
      </w:pPr>
      <w:bookmarkStart w:id="578" w:name="exh32.htm"/>
      <w:bookmarkStart w:id="579" w:name="ksexh32"/>
      <w:bookmarkEnd w:id="578"/>
      <w:bookmarkEnd w:id="579"/>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Exhibit 32: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 PURSUANT TO 18 U.S.C. SECTION 1350 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THE SARBANES-OXLEY ACT OF 2002 CERTIFICATION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January 31, 2011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March 10,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Daniel S. Jaffee</w:t>
      </w:r>
    </w:p>
    <w:p>
      <w:pPr>
        <w:pStyle w:val="TextBody"/>
        <w:spacing w:before="0" w:after="0"/>
        <w:ind w:left="0" w:right="0" w:hanging="0"/>
        <w:jc w:val="left"/>
        <w:rPr>
          <w:rFonts w:ascii="Times New Roman" w:hAnsi="Times New Roman"/>
          <w:sz w:val="20"/>
        </w:rPr>
      </w:pP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Name: Daniel S. Jaffee</w:t>
      </w:r>
    </w:p>
    <w:p>
      <w:pPr>
        <w:pStyle w:val="TextBody"/>
        <w:spacing w:before="0" w:after="0"/>
        <w:ind w:left="0" w:right="0" w:hanging="0"/>
        <w:jc w:val="left"/>
        <w:rPr>
          <w:rFonts w:ascii="Times New Roman" w:hAnsi="Times New Roman"/>
          <w:sz w:val="20"/>
        </w:rPr>
      </w:pPr>
      <w:r>
        <w:rPr>
          <w:rFonts w:ascii="Times New Roman" w:hAnsi="Times New Roman"/>
          <w:sz w:val="20"/>
        </w:rPr>
        <w:t>Title: President and Chief Executive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January 31, 2011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March 10,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Jeffrey M. Libert</w:t>
      </w:r>
    </w:p>
    <w:p>
      <w:pPr>
        <w:pStyle w:val="TextBody"/>
        <w:spacing w:before="0" w:after="0"/>
        <w:ind w:left="0" w:right="0" w:hanging="0"/>
        <w:jc w:val="left"/>
        <w:rPr>
          <w:rFonts w:ascii="Times New Roman" w:hAnsi="Times New Roman"/>
          <w:sz w:val="20"/>
        </w:rPr>
      </w:pP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Name: Jeffrey M. Libert</w:t>
      </w:r>
    </w:p>
    <w:p>
      <w:pPr>
        <w:pStyle w:val="TextBody"/>
        <w:spacing w:before="0" w:after="0"/>
        <w:ind w:left="0" w:right="0" w:hanging="0"/>
        <w:jc w:val="left"/>
        <w:rPr>
          <w:rFonts w:ascii="Times New Roman" w:hAnsi="Times New Roman"/>
          <w:sz w:val="20"/>
        </w:rPr>
      </w:pPr>
      <w:r>
        <w:rPr>
          <w:rFonts w:ascii="Times New Roman" w:hAnsi="Times New Roman"/>
          <w:sz w:val="20"/>
        </w:rPr>
        <w:t>Title: Vice President and Chief Financial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pPr>
      <w:r>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0" w:name="PGBRK30"/>
      <w:bookmarkStart w:id="581" w:name="PGBRK30"/>
      <w:bookmarkEnd w:id="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2" w:name="FTR30"/>
      <w:bookmarkStart w:id="583" w:name="FTR30"/>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4" w:name="GLFTR30"/>
      <w:bookmarkEnd w:id="5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85" w:name="PN30"/>
      <w:bookmarkEnd w:id="58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6" w:name="HDR30"/>
      <w:bookmarkStart w:id="587" w:name="HDR30"/>
      <w:bookmarkEnd w:id="5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8" w:name="GLHDR30"/>
      <w:bookmarkEnd w:id="5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Exhibit 32 (continued):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January 31, 2011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March 10,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Daniel T. Smith</w:t>
      </w:r>
    </w:p>
    <w:p>
      <w:pPr>
        <w:pStyle w:val="TextBody"/>
        <w:spacing w:before="0" w:after="0"/>
        <w:ind w:left="0" w:right="0" w:hanging="0"/>
        <w:jc w:val="left"/>
        <w:rPr>
          <w:rFonts w:ascii="Times New Roman" w:hAnsi="Times New Roman"/>
          <w:sz w:val="20"/>
        </w:rPr>
      </w:pP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Name: Daniel T. Smith</w:t>
      </w:r>
    </w:p>
    <w:p>
      <w:pPr>
        <w:pStyle w:val="TextBody"/>
        <w:spacing w:before="0" w:after="0"/>
        <w:ind w:left="0" w:right="0" w:hanging="0"/>
        <w:jc w:val="left"/>
        <w:rPr>
          <w:rFonts w:ascii="Times New Roman" w:hAnsi="Times New Roman"/>
          <w:sz w:val="20"/>
        </w:rPr>
      </w:pPr>
      <w:r>
        <w:rPr>
          <w:rFonts w:ascii="Times New Roman" w:hAnsi="Times New Roman"/>
          <w:sz w:val="20"/>
        </w:rPr>
        <w:t>Title: Vice President, Chief Accounting Officer and Controller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pPr>
      <w:r>
        <w:rPr/>
        <w:t>2</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ind w:left="0" w:right="0" w:hanging="0"/>
        <w:jc w:val="both"/>
        <w:rPr/>
      </w:pPr>
      <w:r>
        <w:rPr/>
        <w:t> </w:t>
      </w:r>
      <w:r>
        <w:br w:type="page"/>
      </w:r>
    </w:p>
    <w:p>
      <w:pPr>
        <w:pStyle w:val="TextBody"/>
        <w:spacing w:before="0" w:after="0"/>
        <w:rPr/>
      </w:pPr>
      <w:bookmarkStart w:id="589" w:name="exh99_1.htm"/>
      <w:bookmarkStart w:id="590" w:name="ksexh99_1"/>
      <w:bookmarkEnd w:id="589"/>
      <w:bookmarkEnd w:id="590"/>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Exhibit 99.1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MINE SAFETY DISCLOSURE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section 1503(a) of the Dodd-Frank Act,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quarter ended January 31, 2011.  The columns in the table represent the total number of, and the proposed dollar assessment for, violations, citations and orders issued by MSHA upon periodic inspection of our mine facilities in accordance with the referenced sections of the Mine Act, described as follows:</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sz w:val="20"/>
        </w:rPr>
        <w:t>Section 104 Significant and Substantial Violations:  Total number of violations of mandatory health or safety standards that could significantly and substantially contribute to the cause and effect of a coal or other mine safety or health hazard.</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sz w:val="20"/>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sz w:val="20"/>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sz w:val="20"/>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sz w:val="20"/>
        </w:rPr>
        <w:t>Section 107(a) Imminent Danger Orders:  Total number of orders issued when an imminent danger is identified which requires all persons to be withdrawn from area(s) in the mine until the imminent danger and the conditions that caused it cease to exist.</w:t>
      </w:r>
    </w:p>
    <w:p>
      <w:pPr>
        <w:pStyle w:val="TextBody"/>
        <w:spacing w:before="0" w:after="0"/>
        <w:ind w:left="0" w:right="0" w:hanging="0"/>
        <w:rPr/>
      </w:pPr>
      <w:r>
        <w:rPr/>
      </w:r>
    </w:p>
    <w:p>
      <w:pPr>
        <w:pStyle w:val="TextBody"/>
        <w:spacing w:before="0" w:after="0"/>
        <w:ind w:left="180" w:right="0" w:hanging="0"/>
        <w:jc w:val="both"/>
        <w:rPr>
          <w:rFonts w:ascii="Times New Roman" w:hAnsi="Times New Roman"/>
          <w:sz w:val="20"/>
        </w:rPr>
      </w:pPr>
      <w:r>
        <w:rPr>
          <w:rFonts w:ascii="Times New Roman" w:hAnsi="Times New Roman"/>
          <w:sz w:val="20"/>
        </w:rPr>
        <w:t>Total Dollar Value of Proposed MSHA Assessments:  Each issuance of a citation or order by MSHA results in the assessment of a monetary penalty.  The total dollar value presented includes any contested penalties.  At January 31, 2011, we were contesting 187 citations, representing $166,637 in proposed MSHA assessments in the aggregate, before the Federal Mine Safety and Health Review Commission.</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921"/>
        <w:gridCol w:w="1200"/>
        <w:gridCol w:w="840"/>
        <w:gridCol w:w="961"/>
        <w:gridCol w:w="1080"/>
        <w:gridCol w:w="1081"/>
        <w:gridCol w:w="1921"/>
        <w:gridCol w:w="1201"/>
      </w:tblGrid>
      <w:tr>
        <w:trPr/>
        <w:tc>
          <w:tcPr>
            <w:tcW w:w="1921" w:type="dxa"/>
            <w:vMerge w:val="restart"/>
            <w:tcBorders/>
            <w:shd w:fill="auto" w:val="clear"/>
            <w:vAlign w:val="center"/>
          </w:tcPr>
          <w:p>
            <w:pPr>
              <w:pStyle w:val="TableContents"/>
              <w:spacing w:before="0" w:after="283"/>
              <w:rPr/>
            </w:pPr>
            <w:r>
              <w:rPr/>
              <w:t xml:space="preserve">  </w:t>
            </w:r>
          </w:p>
        </w:tc>
        <w:tc>
          <w:tcPr>
            <w:tcW w:w="1200" w:type="dxa"/>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Section 104 “Significant and Substantial” Violations</w:t>
            </w:r>
          </w:p>
        </w:tc>
        <w:tc>
          <w:tcPr>
            <w:tcW w:w="840" w:type="dxa"/>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Section 104(b)</w:t>
            </w:r>
          </w:p>
          <w:p>
            <w:pPr>
              <w:pStyle w:val="TableContents"/>
              <w:spacing w:before="0" w:after="0"/>
              <w:ind w:left="0" w:right="0" w:hanging="0"/>
              <w:jc w:val="center"/>
              <w:rPr>
                <w:rFonts w:ascii="times new roman" w:hAnsi="times new roman"/>
                <w:sz w:val="20"/>
              </w:rPr>
            </w:pPr>
            <w:r>
              <w:rPr>
                <w:rFonts w:ascii="times new roman" w:hAnsi="times new roman"/>
                <w:sz w:val="20"/>
              </w:rPr>
              <w:t>Orders</w:t>
            </w:r>
          </w:p>
        </w:tc>
        <w:tc>
          <w:tcPr>
            <w:tcW w:w="961" w:type="dxa"/>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Section 104(d)</w:t>
            </w:r>
          </w:p>
          <w:p>
            <w:pPr>
              <w:pStyle w:val="TableContents"/>
              <w:spacing w:before="0" w:after="0"/>
              <w:ind w:left="0" w:right="0" w:hanging="0"/>
              <w:jc w:val="center"/>
              <w:rPr>
                <w:rFonts w:ascii="times new roman" w:hAnsi="times new roman"/>
                <w:sz w:val="20"/>
              </w:rPr>
            </w:pPr>
            <w:r>
              <w:rPr>
                <w:rFonts w:ascii="times new roman" w:hAnsi="times new roman"/>
                <w:sz w:val="20"/>
              </w:rPr>
              <w:t>Citations and Orders</w:t>
            </w:r>
          </w:p>
        </w:tc>
        <w:tc>
          <w:tcPr>
            <w:tcW w:w="1080" w:type="dxa"/>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Section 110(b)(2)Flagrant Violations</w:t>
            </w:r>
          </w:p>
        </w:tc>
        <w:tc>
          <w:tcPr>
            <w:tcW w:w="1081" w:type="dxa"/>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Section 107(a) Imminent Danger Orders</w:t>
            </w:r>
          </w:p>
        </w:tc>
        <w:tc>
          <w:tcPr>
            <w:tcW w:w="31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Total Dollar Value of Proposed MSHA Assessments</w:t>
            </w:r>
          </w:p>
        </w:tc>
      </w:tr>
      <w:tr>
        <w:trPr/>
        <w:tc>
          <w:tcPr>
            <w:tcW w:w="1921" w:type="dxa"/>
            <w:vMerge w:val="continue"/>
            <w:tcBorders/>
            <w:shd w:fill="auto" w:val="clear"/>
            <w:vAlign w:val="center"/>
          </w:tcPr>
          <w:p>
            <w:pPr>
              <w:pStyle w:val="Normal"/>
              <w:rPr/>
            </w:pPr>
            <w:r>
              <w:rPr/>
            </w:r>
          </w:p>
        </w:tc>
        <w:tc>
          <w:tcPr>
            <w:tcW w:w="1200" w:type="dxa"/>
            <w:vMerge w:val="continue"/>
            <w:tcBorders>
              <w:bottom w:val="single" w:sz="12" w:space="0" w:color="000000"/>
            </w:tcBorders>
            <w:shd w:fill="auto" w:val="clear"/>
            <w:tcMar>
              <w:bottom w:w="28" w:type="dxa"/>
            </w:tcMar>
            <w:vAlign w:val="bottom"/>
          </w:tcPr>
          <w:p>
            <w:pPr>
              <w:pStyle w:val="Normal"/>
              <w:rPr/>
            </w:pPr>
            <w:r>
              <w:rPr/>
            </w:r>
          </w:p>
        </w:tc>
        <w:tc>
          <w:tcPr>
            <w:tcW w:w="840" w:type="dxa"/>
            <w:vMerge w:val="continue"/>
            <w:tcBorders>
              <w:bottom w:val="single" w:sz="12" w:space="0" w:color="000000"/>
            </w:tcBorders>
            <w:shd w:fill="auto" w:val="clear"/>
            <w:tcMar>
              <w:bottom w:w="28" w:type="dxa"/>
            </w:tcMar>
            <w:vAlign w:val="bottom"/>
          </w:tcPr>
          <w:p>
            <w:pPr>
              <w:pStyle w:val="Normal"/>
              <w:rPr/>
            </w:pPr>
            <w:r>
              <w:rPr/>
            </w:r>
          </w:p>
        </w:tc>
        <w:tc>
          <w:tcPr>
            <w:tcW w:w="961" w:type="dxa"/>
            <w:vMerge w:val="continue"/>
            <w:tcBorders>
              <w:bottom w:val="single" w:sz="12" w:space="0" w:color="000000"/>
            </w:tcBorders>
            <w:shd w:fill="auto" w:val="clear"/>
            <w:tcMar>
              <w:bottom w:w="28" w:type="dxa"/>
            </w:tcMar>
            <w:vAlign w:val="bottom"/>
          </w:tcPr>
          <w:p>
            <w:pPr>
              <w:pStyle w:val="Normal"/>
              <w:rPr/>
            </w:pPr>
            <w:r>
              <w:rPr/>
            </w:r>
          </w:p>
        </w:tc>
        <w:tc>
          <w:tcPr>
            <w:tcW w:w="1080" w:type="dxa"/>
            <w:vMerge w:val="continue"/>
            <w:tcBorders>
              <w:bottom w:val="single" w:sz="12" w:space="0" w:color="000000"/>
            </w:tcBorders>
            <w:shd w:fill="auto" w:val="clear"/>
            <w:tcMar>
              <w:bottom w:w="28" w:type="dxa"/>
            </w:tcMar>
            <w:vAlign w:val="bottom"/>
          </w:tcPr>
          <w:p>
            <w:pPr>
              <w:pStyle w:val="Normal"/>
              <w:rPr/>
            </w:pPr>
            <w:r>
              <w:rPr/>
            </w:r>
          </w:p>
        </w:tc>
        <w:tc>
          <w:tcPr>
            <w:tcW w:w="1081" w:type="dxa"/>
            <w:vMerge w:val="continue"/>
            <w:tcBorders>
              <w:bottom w:val="single" w:sz="12" w:space="0" w:color="000000"/>
            </w:tcBorders>
            <w:shd w:fill="auto" w:val="clear"/>
            <w:tcMar>
              <w:bottom w:w="28" w:type="dxa"/>
            </w:tcMar>
            <w:vAlign w:val="bottom"/>
          </w:tcPr>
          <w:p>
            <w:pPr>
              <w:pStyle w:val="Normal"/>
              <w:rPr/>
            </w:pPr>
            <w:r>
              <w:rPr/>
            </w:r>
          </w:p>
        </w:tc>
        <w:tc>
          <w:tcPr>
            <w:tcW w:w="192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During the three months</w:t>
            </w:r>
          </w:p>
          <w:p>
            <w:pPr>
              <w:pStyle w:val="TableContents"/>
              <w:spacing w:before="0" w:after="0"/>
              <w:ind w:left="0" w:right="0" w:hanging="0"/>
              <w:jc w:val="center"/>
              <w:rPr/>
            </w:pPr>
            <w:r>
              <w:rPr/>
              <w:t> </w:t>
            </w:r>
            <w:r>
              <w:rPr>
                <w:rFonts w:ascii="times new roman" w:hAnsi="times new roman"/>
                <w:sz w:val="20"/>
              </w:rPr>
              <w:t>ended January 31, 2011</w:t>
            </w:r>
          </w:p>
        </w:tc>
        <w:tc>
          <w:tcPr>
            <w:tcW w:w="120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Outstanding as of </w:t>
            </w:r>
          </w:p>
          <w:p>
            <w:pPr>
              <w:pStyle w:val="TableContents"/>
              <w:spacing w:before="0" w:after="0"/>
              <w:ind w:left="0" w:right="0" w:hanging="0"/>
              <w:jc w:val="center"/>
              <w:rPr>
                <w:rFonts w:ascii="times new roman" w:hAnsi="times new roman"/>
                <w:sz w:val="20"/>
              </w:rPr>
            </w:pPr>
            <w:r>
              <w:rPr>
                <w:rFonts w:ascii="times new roman" w:hAnsi="times new roman"/>
                <w:sz w:val="20"/>
              </w:rPr>
              <w:t>January 31, 2011</w:t>
            </w:r>
          </w:p>
        </w:tc>
      </w:tr>
      <w:tr>
        <w:trPr/>
        <w:tc>
          <w:tcPr>
            <w:tcW w:w="1921"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Ochlocknee, Georgia</w:t>
            </w:r>
          </w:p>
        </w:tc>
        <w:tc>
          <w:tcPr>
            <w:tcW w:w="12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84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6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2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64,277</w:t>
            </w:r>
          </w:p>
        </w:tc>
        <w:tc>
          <w:tcPr>
            <w:tcW w:w="120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131,905</w:t>
            </w:r>
          </w:p>
        </w:tc>
      </w:tr>
      <w:tr>
        <w:trPr/>
        <w:tc>
          <w:tcPr>
            <w:tcW w:w="1921"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Ripley, Mississippi</w:t>
            </w:r>
          </w:p>
        </w:tc>
        <w:tc>
          <w:tcPr>
            <w:tcW w:w="12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84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61"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1"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21"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           451</w:t>
            </w:r>
          </w:p>
        </w:tc>
        <w:tc>
          <w:tcPr>
            <w:tcW w:w="1201"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12,338</w:t>
            </w:r>
          </w:p>
        </w:tc>
      </w:tr>
      <w:tr>
        <w:trPr/>
        <w:tc>
          <w:tcPr>
            <w:tcW w:w="1921"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Mounds, Illinois</w:t>
            </w:r>
          </w:p>
        </w:tc>
        <w:tc>
          <w:tcPr>
            <w:tcW w:w="12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84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6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21"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              --</w:t>
            </w:r>
          </w:p>
        </w:tc>
        <w:tc>
          <w:tcPr>
            <w:tcW w:w="120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1,638</w:t>
            </w:r>
          </w:p>
        </w:tc>
      </w:tr>
      <w:tr>
        <w:trPr/>
        <w:tc>
          <w:tcPr>
            <w:tcW w:w="1921"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Blue Mountain, Mississippi</w:t>
            </w:r>
          </w:p>
        </w:tc>
        <w:tc>
          <w:tcPr>
            <w:tcW w:w="12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84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61"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1"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21"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w:t>
            </w:r>
          </w:p>
        </w:tc>
        <w:tc>
          <w:tcPr>
            <w:tcW w:w="1201"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3,078</w:t>
            </w:r>
          </w:p>
        </w:tc>
      </w:tr>
      <w:tr>
        <w:trPr/>
        <w:tc>
          <w:tcPr>
            <w:tcW w:w="1921"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Taft, California</w:t>
            </w:r>
          </w:p>
        </w:tc>
        <w:tc>
          <w:tcPr>
            <w:tcW w:w="12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84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6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8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92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w:t>
            </w:r>
          </w:p>
        </w:tc>
        <w:tc>
          <w:tcPr>
            <w:tcW w:w="1201"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17,678</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had no mining-related fatalities at any of our facilities during the three months ended January 31, 2011.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SEC recently proposed Item 106 of Regulation S-K to implement the mine safety reporting requirements of the Dodd-Frank Act.  It is possible that the final rule adopted by the SEC will require disclosures that differ from the above presentation.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pPr>
      <w:r>
        <w:rPr/>
        <w:t>1</w:t>
      </w:r>
    </w:p>
    <w:p>
      <w:pPr>
        <w:pStyle w:val="TextBody"/>
        <w:spacing w:before="0" w:after="0"/>
        <w:ind w:left="0" w:right="0" w:hanging="0"/>
        <w:jc w:val="both"/>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17321</Words>
  <CharactersWithSpaces>113658</CharactersWithSpaces>
  <Paragraphs>4426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