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pPr>
      <w:bookmarkStart w:id="0" w:name="oildri10q.htm"/>
      <w:bookmarkStart w:id="1" w:name="ksoildri10q"/>
      <w:bookmarkEnd w:id="0"/>
      <w:bookmarkEnd w:id="1"/>
      <w:r>
        <w:rPr/>
        <w:t> </w:t>
      </w:r>
    </w:p>
    <w:p>
      <w:pPr>
        <w:pStyle w:val="HorizontalLine"/>
        <w:pBdr>
          <w:bottom w:val="single" w:sz="24" w:space="0" w:color="808080"/>
        </w:pBdr>
        <w:jc w:val="center"/>
        <w:rPr/>
      </w:pPr>
      <w:r>
        <w:rPr/>
      </w:r>
    </w:p>
    <w:p>
      <w:pPr>
        <w:pStyle w:val="HorizontalLine"/>
        <w:pBdr>
          <w:bottom w:val="single" w:sz="6" w:space="0" w:color="808080"/>
        </w:pBdr>
        <w:jc w:val="center"/>
        <w:rPr/>
      </w:pPr>
      <w:r>
        <w:rPr/>
      </w:r>
    </w:p>
    <w:p>
      <w:pPr>
        <w:pStyle w:val="TextBody"/>
        <w:spacing w:before="0" w:after="0"/>
        <w:jc w:val="center"/>
        <w:rPr/>
      </w:pPr>
      <w:r>
        <w:rPr/>
        <w:t> </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UNITED STATES</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SECURITIES AND EXCHANGE COMMISSION</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Washington, D. C. 20549</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FORM 10-Q</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(Mark One)</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508"/>
        <w:gridCol w:w="9697"/>
      </w:tblGrid>
      <w:tr>
        <w:trPr/>
        <w:tc>
          <w:tcPr>
            <w:tcW w:w="508" w:type="dxa"/>
            <w:tcBorders/>
            <w:shd w:fill="FFFFFF" w:val="clear"/>
            <w:vAlign w:val="center"/>
          </w:tcPr>
          <w:p>
            <w:pPr>
              <w:pStyle w:val="TableContents"/>
              <w:spacing w:before="0" w:after="283"/>
              <w:jc w:val="center"/>
              <w:rPr>
                <w:rFonts w:ascii="times new roman" w:hAnsi="times new roman"/>
                <w:sz w:val="20"/>
              </w:rPr>
            </w:pPr>
            <w:r>
              <w:rPr>
                <w:rFonts w:ascii="times new roman" w:hAnsi="times new roman"/>
                <w:sz w:val="20"/>
              </w:rPr>
              <w:t>[x]</w:t>
            </w:r>
          </w:p>
        </w:tc>
        <w:tc>
          <w:tcPr>
            <w:tcW w:w="9697" w:type="dxa"/>
            <w:tcBorders/>
            <w:shd w:fill="FFFFFF" w:val="clear"/>
            <w:vAlign w:val="center"/>
          </w:tcPr>
          <w:p>
            <w:pPr>
              <w:pStyle w:val="TableContents"/>
              <w:spacing w:before="0" w:after="283"/>
              <w:jc w:val="center"/>
              <w:rPr/>
            </w:pPr>
            <w:r>
              <w:rPr/>
              <w:t> </w:t>
            </w:r>
            <w:r>
              <w:rPr>
                <w:rFonts w:ascii="times new roman" w:hAnsi="times new roman"/>
                <w:sz w:val="20"/>
              </w:rPr>
              <w:t xml:space="preserve">Quarterly Report Pursuant to Section 13 or 15(d) of the          </w:t>
            </w:r>
          </w:p>
        </w:tc>
      </w:tr>
      <w:tr>
        <w:trPr/>
        <w:tc>
          <w:tcPr>
            <w:tcW w:w="508" w:type="dxa"/>
            <w:tcBorders/>
            <w:shd w:fill="FFFFFF" w:val="clear"/>
            <w:vAlign w:val="center"/>
          </w:tcPr>
          <w:p>
            <w:pPr>
              <w:pStyle w:val="TableContents"/>
              <w:spacing w:before="0" w:after="283"/>
              <w:jc w:val="center"/>
              <w:rPr/>
            </w:pPr>
            <w:r>
              <w:rPr/>
              <w:t> </w:t>
            </w:r>
          </w:p>
        </w:tc>
        <w:tc>
          <w:tcPr>
            <w:tcW w:w="9697" w:type="dxa"/>
            <w:tcBorders/>
            <w:shd w:fill="FFFFFF" w:val="clear"/>
            <w:vAlign w:val="center"/>
          </w:tcPr>
          <w:p>
            <w:pPr>
              <w:pStyle w:val="TableContents"/>
              <w:spacing w:before="0" w:after="283"/>
              <w:jc w:val="center"/>
              <w:rPr/>
            </w:pPr>
            <w:r>
              <w:rPr/>
              <w:t> </w:t>
            </w:r>
            <w:r>
              <w:rPr>
                <w:rFonts w:ascii="times new roman" w:hAnsi="times new roman"/>
                <w:sz w:val="20"/>
              </w:rPr>
              <w:t xml:space="preserve">Securities Exchange Act of 1934          </w:t>
            </w:r>
          </w:p>
        </w:tc>
      </w:tr>
      <w:tr>
        <w:trPr/>
        <w:tc>
          <w:tcPr>
            <w:tcW w:w="508" w:type="dxa"/>
            <w:tcBorders/>
            <w:shd w:fill="FFFFFF" w:val="clear"/>
            <w:vAlign w:val="center"/>
          </w:tcPr>
          <w:p>
            <w:pPr>
              <w:pStyle w:val="TableContents"/>
              <w:spacing w:before="0" w:after="283"/>
              <w:jc w:val="center"/>
              <w:rPr/>
            </w:pPr>
            <w:r>
              <w:rPr/>
              <w:t> </w:t>
            </w:r>
          </w:p>
        </w:tc>
        <w:tc>
          <w:tcPr>
            <w:tcW w:w="9697" w:type="dxa"/>
            <w:tcBorders/>
            <w:shd w:fill="FFFFFF" w:val="clear"/>
            <w:vAlign w:val="center"/>
          </w:tcPr>
          <w:p>
            <w:pPr>
              <w:pStyle w:val="TableContents"/>
              <w:spacing w:before="0" w:after="283"/>
              <w:jc w:val="center"/>
              <w:rPr/>
            </w:pPr>
            <w:r>
              <w:rPr/>
              <w:t> </w:t>
            </w:r>
            <w:r>
              <w:rPr>
                <w:rFonts w:ascii="times new roman" w:hAnsi="times new roman"/>
                <w:sz w:val="20"/>
              </w:rPr>
              <w:t xml:space="preserve">For the Quarterly Period Ended October 31, 2009          </w:t>
            </w:r>
          </w:p>
        </w:tc>
      </w:tr>
    </w:tbl>
    <w:p>
      <w:pPr>
        <w:pStyle w:val="TextBody"/>
        <w:spacing w:before="0" w:after="0"/>
        <w:jc w:val="center"/>
        <w:rPr/>
      </w:pPr>
      <w:r>
        <w:rPr/>
        <w:t> </w:t>
      </w:r>
    </w:p>
    <w:p>
      <w:pPr>
        <w:pStyle w:val="TextBody"/>
        <w:spacing w:before="0" w:after="0"/>
        <w:jc w:val="center"/>
        <w:rPr/>
      </w:pPr>
      <w:r>
        <w:rPr/>
        <w:t> </w:t>
      </w:r>
      <w:r>
        <w:rPr/>
        <w:t xml:space="preserve">or </w:t>
      </w:r>
    </w:p>
    <w:p>
      <w:pPr>
        <w:pStyle w:val="TextBody"/>
        <w:spacing w:before="0" w:after="0"/>
        <w:ind w:left="0" w:right="0"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509"/>
        <w:gridCol w:w="9696"/>
      </w:tblGrid>
      <w:tr>
        <w:trPr/>
        <w:tc>
          <w:tcPr>
            <w:tcW w:w="509" w:type="dxa"/>
            <w:tcBorders/>
            <w:shd w:fill="FFFFFF" w:val="clear"/>
            <w:vAlign w:val="center"/>
          </w:tcPr>
          <w:p>
            <w:pPr>
              <w:pStyle w:val="TableContents"/>
              <w:spacing w:before="0" w:after="283"/>
              <w:rPr/>
            </w:pPr>
            <w:r>
              <w:rPr/>
              <w:t> </w:t>
            </w:r>
          </w:p>
        </w:tc>
        <w:tc>
          <w:tcPr>
            <w:tcW w:w="9696" w:type="dxa"/>
            <w:tcBorders/>
            <w:shd w:fill="FFFFFF" w:val="clear"/>
            <w:vAlign w:val="center"/>
          </w:tcPr>
          <w:p>
            <w:pPr>
              <w:pStyle w:val="TableContents"/>
              <w:spacing w:before="0" w:after="283"/>
              <w:jc w:val="center"/>
              <w:rPr/>
            </w:pPr>
            <w:r>
              <w:rPr/>
              <w:t xml:space="preserve">        </w:t>
            </w:r>
          </w:p>
        </w:tc>
      </w:tr>
      <w:tr>
        <w:trPr/>
        <w:tc>
          <w:tcPr>
            <w:tcW w:w="509" w:type="dxa"/>
            <w:tcBorders/>
            <w:shd w:fill="FFFFFF" w:val="clear"/>
            <w:vAlign w:val="center"/>
          </w:tcPr>
          <w:p>
            <w:pPr>
              <w:pStyle w:val="TableContents"/>
              <w:spacing w:before="0" w:after="0"/>
              <w:jc w:val="center"/>
              <w:rPr/>
            </w:pPr>
            <w:r>
              <w:rPr>
                <w:rFonts w:ascii="times new roman" w:hAnsi="times new roman"/>
                <w:sz w:val="20"/>
              </w:rPr>
              <w:t>[</w:t>
            </w:r>
            <w:r>
              <w:rPr/>
              <w:t> </w:t>
            </w:r>
            <w:r>
              <w:rPr>
                <w:rFonts w:ascii="times new roman" w:hAnsi="times new roman"/>
                <w:sz w:val="20"/>
              </w:rPr>
              <w:t>]</w:t>
            </w:r>
          </w:p>
        </w:tc>
        <w:tc>
          <w:tcPr>
            <w:tcW w:w="9696" w:type="dxa"/>
            <w:tcBorders/>
            <w:shd w:fill="FFFFFF" w:val="clear"/>
            <w:vAlign w:val="center"/>
          </w:tcPr>
          <w:p>
            <w:pPr>
              <w:pStyle w:val="TableContents"/>
              <w:spacing w:before="0" w:after="283"/>
              <w:jc w:val="center"/>
              <w:rPr/>
            </w:pPr>
            <w:r>
              <w:rPr/>
              <w:t> </w:t>
            </w:r>
            <w:r>
              <w:rPr>
                <w:rFonts w:ascii="times new roman" w:hAnsi="times new roman"/>
                <w:sz w:val="20"/>
              </w:rPr>
              <w:t xml:space="preserve">Transition Report Pursuant to Section 13 or 15(d) of the          </w:t>
            </w:r>
          </w:p>
        </w:tc>
      </w:tr>
      <w:tr>
        <w:trPr/>
        <w:tc>
          <w:tcPr>
            <w:tcW w:w="509" w:type="dxa"/>
            <w:tcBorders/>
            <w:shd w:fill="FFFFFF" w:val="clear"/>
            <w:vAlign w:val="center"/>
          </w:tcPr>
          <w:p>
            <w:pPr>
              <w:pStyle w:val="TableContents"/>
              <w:spacing w:before="0" w:after="283"/>
              <w:jc w:val="center"/>
              <w:rPr/>
            </w:pPr>
            <w:r>
              <w:rPr/>
              <w:t> </w:t>
            </w:r>
          </w:p>
        </w:tc>
        <w:tc>
          <w:tcPr>
            <w:tcW w:w="9696" w:type="dxa"/>
            <w:tcBorders/>
            <w:shd w:fill="FFFFFF" w:val="clear"/>
            <w:vAlign w:val="center"/>
          </w:tcPr>
          <w:p>
            <w:pPr>
              <w:pStyle w:val="TableContents"/>
              <w:spacing w:before="0" w:after="283"/>
              <w:jc w:val="center"/>
              <w:rPr/>
            </w:pPr>
            <w:r>
              <w:rPr/>
              <w:t> </w:t>
            </w:r>
            <w:r>
              <w:rPr>
                <w:rFonts w:ascii="times new roman" w:hAnsi="times new roman"/>
                <w:sz w:val="20"/>
              </w:rPr>
              <w:t xml:space="preserve">Securities Exchange Act of 1934          </w:t>
            </w:r>
          </w:p>
        </w:tc>
      </w:tr>
      <w:tr>
        <w:trPr/>
        <w:tc>
          <w:tcPr>
            <w:tcW w:w="509" w:type="dxa"/>
            <w:tcBorders/>
            <w:shd w:fill="FFFFFF" w:val="clear"/>
            <w:vAlign w:val="center"/>
          </w:tcPr>
          <w:p>
            <w:pPr>
              <w:pStyle w:val="TableContents"/>
              <w:spacing w:before="0" w:after="283"/>
              <w:jc w:val="center"/>
              <w:rPr/>
            </w:pPr>
            <w:r>
              <w:rPr/>
              <w:t> </w:t>
            </w:r>
          </w:p>
        </w:tc>
        <w:tc>
          <w:tcPr>
            <w:tcW w:w="9696" w:type="dxa"/>
            <w:tcBorders/>
            <w:shd w:fill="FFFFFF" w:val="clear"/>
            <w:vAlign w:val="center"/>
          </w:tcPr>
          <w:p>
            <w:pPr>
              <w:pStyle w:val="TableContents"/>
              <w:spacing w:before="0" w:after="283"/>
              <w:jc w:val="center"/>
              <w:rPr/>
            </w:pPr>
            <w:r>
              <w:rPr/>
              <w:t> </w:t>
            </w:r>
            <w:r>
              <w:rPr>
                <w:rFonts w:ascii="times new roman" w:hAnsi="times new roman"/>
                <w:sz w:val="20"/>
              </w:rPr>
              <w:t xml:space="preserve">For the transition period from _____________ to ______________          </w:t>
            </w:r>
          </w:p>
        </w:tc>
      </w:tr>
    </w:tbl>
    <w:p>
      <w:pPr>
        <w:pStyle w:val="TextBody"/>
        <w:spacing w:before="0" w:after="0"/>
        <w:jc w:val="center"/>
        <w:rPr/>
      </w:pPr>
      <w:r>
        <w:rPr/>
        <w:t> </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Commission File Number 001-12622</w:t>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sz w:val="20"/>
          <w:u w:val="single"/>
        </w:rPr>
      </w:pPr>
      <w:r>
        <w:rPr>
          <w:rFonts w:ascii="Times New Roman" w:hAnsi="Times New Roman"/>
          <w:sz w:val="20"/>
          <w:u w:val="single"/>
        </w:rPr>
        <w:t>OIL-DRI CORPORATION OF AMERICA</w:t>
      </w:r>
    </w:p>
    <w:p>
      <w:pPr>
        <w:pStyle w:val="TextBody"/>
        <w:spacing w:before="0" w:after="0"/>
        <w:ind w:left="0" w:right="0" w:hanging="0"/>
        <w:jc w:val="center"/>
        <w:rPr>
          <w:rFonts w:ascii="Times New Roman" w:hAnsi="Times New Roman"/>
          <w:sz w:val="20"/>
        </w:rPr>
      </w:pPr>
      <w:r>
        <w:rPr>
          <w:rFonts w:ascii="Times New Roman" w:hAnsi="Times New Roman"/>
          <w:sz w:val="20"/>
        </w:rPr>
        <w:t>(Exact name of the registrant as specified in its charter)</w:t>
      </w:r>
    </w:p>
    <w:p>
      <w:pPr>
        <w:pStyle w:val="TextBody"/>
        <w:spacing w:before="0" w:after="0"/>
        <w:ind w:left="0" w:right="0" w:hanging="0"/>
        <w:jc w:val="center"/>
        <w:rPr/>
      </w:pPr>
      <w:r>
        <w:rPr/>
        <w:t> </w:t>
      </w:r>
    </w:p>
    <w:p>
      <w:pPr>
        <w:pStyle w:val="TextBody"/>
        <w:spacing w:before="0" w:after="0"/>
        <w:ind w:left="0" w:right="0"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5102"/>
        <w:gridCol w:w="5103"/>
      </w:tblGrid>
      <w:tr>
        <w:trPr/>
        <w:tc>
          <w:tcPr>
            <w:tcW w:w="5102" w:type="dxa"/>
            <w:tcBorders/>
            <w:shd w:fill="FFFFFF" w:val="clear"/>
            <w:vAlign w:val="center"/>
          </w:tcPr>
          <w:p>
            <w:pPr>
              <w:pStyle w:val="TableContents"/>
              <w:spacing w:before="0" w:after="283"/>
              <w:jc w:val="center"/>
              <w:rPr/>
            </w:pPr>
            <w:r>
              <w:rPr/>
              <w:t> </w:t>
            </w:r>
            <w:r>
              <w:rPr>
                <w:rFonts w:ascii="times new roman" w:hAnsi="times new roman"/>
                <w:sz w:val="20"/>
                <w:u w:val="single"/>
              </w:rPr>
              <w:t>Delaware</w:t>
            </w:r>
          </w:p>
        </w:tc>
        <w:tc>
          <w:tcPr>
            <w:tcW w:w="5103" w:type="dxa"/>
            <w:tcBorders/>
            <w:shd w:fill="FFFFFF" w:val="clear"/>
            <w:vAlign w:val="center"/>
          </w:tcPr>
          <w:p>
            <w:pPr>
              <w:pStyle w:val="TableContents"/>
              <w:spacing w:before="0" w:after="283"/>
              <w:jc w:val="center"/>
              <w:rPr/>
            </w:pPr>
            <w:r>
              <w:rPr/>
              <w:t> </w:t>
            </w:r>
            <w:r>
              <w:rPr>
                <w:rFonts w:ascii="times new roman" w:hAnsi="times new roman"/>
                <w:sz w:val="20"/>
                <w:u w:val="single"/>
              </w:rPr>
              <w:t>36-2048898</w:t>
            </w:r>
          </w:p>
        </w:tc>
      </w:tr>
      <w:tr>
        <w:trPr/>
        <w:tc>
          <w:tcPr>
            <w:tcW w:w="5102" w:type="dxa"/>
            <w:tcBorders/>
            <w:shd w:fill="FFFFFF" w:val="clear"/>
            <w:vAlign w:val="center"/>
          </w:tcPr>
          <w:p>
            <w:pPr>
              <w:pStyle w:val="TableContents"/>
              <w:spacing w:before="0" w:after="283"/>
              <w:jc w:val="center"/>
              <w:rPr/>
            </w:pPr>
            <w:r>
              <w:rPr/>
              <w:t> </w:t>
            </w:r>
            <w:r>
              <w:rPr>
                <w:rFonts w:ascii="times new roman" w:hAnsi="times new roman"/>
                <w:sz w:val="20"/>
              </w:rPr>
              <w:t xml:space="preserve">(State or other jurisdiction of incorporation or </w:t>
            </w:r>
          </w:p>
        </w:tc>
        <w:tc>
          <w:tcPr>
            <w:tcW w:w="5103" w:type="dxa"/>
            <w:tcBorders/>
            <w:shd w:fill="FFFFFF" w:val="clear"/>
            <w:vAlign w:val="center"/>
          </w:tcPr>
          <w:p>
            <w:pPr>
              <w:pStyle w:val="TableContents"/>
              <w:spacing w:before="0" w:after="283"/>
              <w:jc w:val="center"/>
              <w:rPr/>
            </w:pPr>
            <w:r>
              <w:rPr/>
              <w:t> </w:t>
            </w:r>
            <w:r>
              <w:rPr>
                <w:rFonts w:ascii="times new roman" w:hAnsi="times new roman"/>
                <w:sz w:val="20"/>
              </w:rPr>
              <w:t>(I.R.S. Employer</w:t>
            </w:r>
          </w:p>
        </w:tc>
      </w:tr>
      <w:tr>
        <w:trPr/>
        <w:tc>
          <w:tcPr>
            <w:tcW w:w="5102" w:type="dxa"/>
            <w:tcBorders/>
            <w:shd w:fill="FFFFFF" w:val="clear"/>
            <w:vAlign w:val="center"/>
          </w:tcPr>
          <w:p>
            <w:pPr>
              <w:pStyle w:val="TableContents"/>
              <w:spacing w:before="0" w:after="283"/>
              <w:jc w:val="center"/>
              <w:rPr/>
            </w:pPr>
            <w:r>
              <w:rPr/>
              <w:t> </w:t>
            </w:r>
            <w:r>
              <w:rPr>
                <w:rFonts w:ascii="times new roman" w:hAnsi="times new roman"/>
                <w:sz w:val="20"/>
              </w:rPr>
              <w:t>organization)</w:t>
            </w:r>
          </w:p>
        </w:tc>
        <w:tc>
          <w:tcPr>
            <w:tcW w:w="5103" w:type="dxa"/>
            <w:tcBorders/>
            <w:shd w:fill="FFFFFF" w:val="clear"/>
            <w:vAlign w:val="center"/>
          </w:tcPr>
          <w:p>
            <w:pPr>
              <w:pStyle w:val="TableContents"/>
              <w:spacing w:before="0" w:after="283"/>
              <w:jc w:val="center"/>
              <w:rPr/>
            </w:pPr>
            <w:r>
              <w:rPr/>
              <w:t> </w:t>
            </w:r>
            <w:r>
              <w:rPr>
                <w:rFonts w:ascii="times new roman" w:hAnsi="times new roman"/>
                <w:sz w:val="20"/>
              </w:rPr>
              <w:t>Identification No.)</w:t>
            </w:r>
          </w:p>
        </w:tc>
      </w:tr>
      <w:tr>
        <w:trPr/>
        <w:tc>
          <w:tcPr>
            <w:tcW w:w="5102" w:type="dxa"/>
            <w:tcBorders/>
            <w:shd w:fill="FFFFFF" w:val="clear"/>
            <w:vAlign w:val="center"/>
          </w:tcPr>
          <w:p>
            <w:pPr>
              <w:pStyle w:val="TableContents"/>
              <w:spacing w:before="0" w:after="283"/>
              <w:jc w:val="center"/>
              <w:rPr/>
            </w:pPr>
            <w:r>
              <w:rPr/>
              <w:t> </w:t>
            </w:r>
          </w:p>
        </w:tc>
        <w:tc>
          <w:tcPr>
            <w:tcW w:w="5103" w:type="dxa"/>
            <w:tcBorders/>
            <w:shd w:fill="FFFFFF" w:val="clear"/>
            <w:vAlign w:val="center"/>
          </w:tcPr>
          <w:p>
            <w:pPr>
              <w:pStyle w:val="TableContents"/>
              <w:spacing w:before="0" w:after="283"/>
              <w:jc w:val="center"/>
              <w:rPr/>
            </w:pPr>
            <w:r>
              <w:rPr/>
              <w:t> </w:t>
            </w:r>
          </w:p>
        </w:tc>
      </w:tr>
      <w:tr>
        <w:trPr/>
        <w:tc>
          <w:tcPr>
            <w:tcW w:w="5102" w:type="dxa"/>
            <w:tcBorders/>
            <w:shd w:fill="FFFFFF" w:val="clear"/>
            <w:vAlign w:val="center"/>
          </w:tcPr>
          <w:p>
            <w:pPr>
              <w:pStyle w:val="TableContents"/>
              <w:spacing w:before="0" w:after="283"/>
              <w:jc w:val="center"/>
              <w:rPr/>
            </w:pPr>
            <w:r>
              <w:rPr/>
              <w:t> </w:t>
            </w:r>
            <w:r>
              <w:rPr>
                <w:rFonts w:ascii="times new roman" w:hAnsi="times new roman"/>
                <w:sz w:val="20"/>
              </w:rPr>
              <w:t>410 North Michigan Avenue, Suite 400</w:t>
            </w:r>
          </w:p>
        </w:tc>
        <w:tc>
          <w:tcPr>
            <w:tcW w:w="5103" w:type="dxa"/>
            <w:tcBorders/>
            <w:shd w:fill="FFFFFF" w:val="clear"/>
            <w:vAlign w:val="center"/>
          </w:tcPr>
          <w:p>
            <w:pPr>
              <w:pStyle w:val="TableContents"/>
              <w:spacing w:before="0" w:after="283"/>
              <w:jc w:val="center"/>
              <w:rPr/>
            </w:pPr>
            <w:r>
              <w:rPr/>
              <w:t> </w:t>
            </w:r>
            <w:r>
              <w:rPr>
                <w:rFonts w:ascii="times new roman" w:hAnsi="times new roman"/>
                <w:sz w:val="20"/>
                <w:u w:val="single"/>
              </w:rPr>
              <w:t>60611-4213</w:t>
            </w:r>
          </w:p>
        </w:tc>
      </w:tr>
      <w:tr>
        <w:trPr/>
        <w:tc>
          <w:tcPr>
            <w:tcW w:w="5102" w:type="dxa"/>
            <w:tcBorders/>
            <w:shd w:fill="FFFFFF" w:val="clear"/>
            <w:vAlign w:val="center"/>
          </w:tcPr>
          <w:p>
            <w:pPr>
              <w:pStyle w:val="TableContents"/>
              <w:spacing w:before="0" w:after="283"/>
              <w:jc w:val="center"/>
              <w:rPr/>
            </w:pPr>
            <w:r>
              <w:rPr/>
              <w:t> </w:t>
            </w:r>
            <w:r>
              <w:rPr>
                <w:rFonts w:ascii="times new roman" w:hAnsi="times new roman"/>
                <w:sz w:val="20"/>
                <w:u w:val="single"/>
              </w:rPr>
              <w:t>Chicago, Illinois</w:t>
            </w:r>
          </w:p>
        </w:tc>
        <w:tc>
          <w:tcPr>
            <w:tcW w:w="5103" w:type="dxa"/>
            <w:tcBorders/>
            <w:shd w:fill="FFFFFF" w:val="clear"/>
            <w:vAlign w:val="center"/>
          </w:tcPr>
          <w:p>
            <w:pPr>
              <w:pStyle w:val="TableContents"/>
              <w:spacing w:before="0" w:after="283"/>
              <w:jc w:val="center"/>
              <w:rPr/>
            </w:pPr>
            <w:r>
              <w:rPr/>
              <w:t> </w:t>
            </w:r>
            <w:r>
              <w:rPr>
                <w:rFonts w:ascii="times new roman" w:hAnsi="times new roman"/>
                <w:sz w:val="20"/>
              </w:rPr>
              <w:t>(Zip Code)</w:t>
            </w:r>
          </w:p>
        </w:tc>
      </w:tr>
      <w:tr>
        <w:trPr/>
        <w:tc>
          <w:tcPr>
            <w:tcW w:w="5102" w:type="dxa"/>
            <w:tcBorders/>
            <w:shd w:fill="FFFFFF" w:val="clear"/>
            <w:vAlign w:val="center"/>
          </w:tcPr>
          <w:p>
            <w:pPr>
              <w:pStyle w:val="TableContents"/>
              <w:spacing w:before="0" w:after="283"/>
              <w:jc w:val="center"/>
              <w:rPr/>
            </w:pPr>
            <w:r>
              <w:rPr/>
              <w:t> </w:t>
            </w:r>
            <w:r>
              <w:rPr>
                <w:rFonts w:ascii="times new roman" w:hAnsi="times new roman"/>
                <w:sz w:val="20"/>
              </w:rPr>
              <w:t>(Address of principal executive offices)</w:t>
            </w:r>
          </w:p>
        </w:tc>
        <w:tc>
          <w:tcPr>
            <w:tcW w:w="5103" w:type="dxa"/>
            <w:tcBorders/>
            <w:shd w:fill="FFFFFF" w:val="clear"/>
            <w:vAlign w:val="center"/>
          </w:tcPr>
          <w:p>
            <w:pPr>
              <w:pStyle w:val="TableContents"/>
              <w:spacing w:before="0" w:after="283"/>
              <w:rPr/>
            </w:pPr>
            <w:r>
              <w:rPr/>
              <w:t> </w:t>
            </w:r>
          </w:p>
        </w:tc>
      </w:tr>
    </w:tbl>
    <w:p>
      <w:pPr>
        <w:pStyle w:val="TextBody"/>
        <w:spacing w:before="0" w:after="0"/>
        <w:jc w:val="left"/>
        <w:rPr>
          <w:rFonts w:ascii="Times New Roman" w:hAnsi="Times New Roman"/>
          <w:sz w:val="20"/>
        </w:rPr>
      </w:pPr>
      <w:r>
        <w:rPr>
          <w:rFonts w:ascii="Times New Roman" w:hAnsi="Times New Roman"/>
          <w:sz w:val="20"/>
        </w:rPr>
        <w:t>The registrant's telephone number, including area code: (312) 321-1515</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and (2) has been subject to such filing requirements for at least the past 90 days.                                                      Yes </w:t>
      </w:r>
      <w:r>
        <w:rPr>
          <w:rFonts w:ascii="Wingdings" w:hAnsi="Wingdings"/>
          <w:sz w:val="20"/>
        </w:rPr>
        <w:t>x</w:t>
      </w:r>
      <w:r>
        <w:rPr>
          <w:rFonts w:ascii="Times New Roman" w:hAnsi="Times New Roman"/>
          <w:sz w:val="20"/>
        </w:rPr>
        <w:t xml:space="preserve">   No </w:t>
      </w:r>
      <w:r>
        <w:rPr>
          <w:rFonts w:ascii="Wingdings" w:hAnsi="Wingdings"/>
          <w:sz w:val="20"/>
        </w:rPr>
        <w:t>o</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Yes </w:t>
      </w:r>
      <w:r>
        <w:rPr>
          <w:rFonts w:ascii="Wingdings" w:hAnsi="Wingdings"/>
          <w:sz w:val="20"/>
        </w:rPr>
        <w:t>o</w:t>
      </w:r>
      <w:r>
        <w:rPr>
          <w:rFonts w:ascii="Times New Roman" w:hAnsi="Times New Roman"/>
          <w:sz w:val="20"/>
        </w:rPr>
        <w:t xml:space="preserve">   No </w:t>
      </w:r>
      <w:r>
        <w:rPr>
          <w:rFonts w:ascii="Wingdings" w:hAnsi="Wingdings"/>
          <w:sz w:val="20"/>
        </w:rPr>
        <w:t>o</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2364"/>
        <w:gridCol w:w="2614"/>
        <w:gridCol w:w="2239"/>
        <w:gridCol w:w="2988"/>
      </w:tblGrid>
      <w:tr>
        <w:trPr/>
        <w:tc>
          <w:tcPr>
            <w:tcW w:w="2364" w:type="dxa"/>
            <w:tcBorders/>
            <w:shd w:fill="auto" w:val="clear"/>
          </w:tcPr>
          <w:p>
            <w:pPr>
              <w:pStyle w:val="TableContents"/>
              <w:spacing w:before="0" w:after="0"/>
              <w:ind w:left="0" w:right="273" w:hanging="0"/>
              <w:jc w:val="left"/>
              <w:rPr>
                <w:rFonts w:ascii="times new roman" w:hAnsi="times new roman"/>
                <w:sz w:val="20"/>
              </w:rPr>
            </w:pPr>
            <w:r>
              <w:rPr>
                <w:rFonts w:ascii="times new roman" w:hAnsi="times new roman"/>
                <w:sz w:val="20"/>
              </w:rPr>
              <w:t>Large accelerated filer </w:t>
            </w:r>
          </w:p>
        </w:tc>
        <w:tc>
          <w:tcPr>
            <w:tcW w:w="2614"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 xml:space="preserve">Accelerated filer  </w:t>
            </w:r>
            <w:r>
              <w:rPr>
                <w:rFonts w:ascii="wingdings" w:hAnsi="wingdings"/>
                <w:sz w:val="20"/>
              </w:rPr>
              <w:t>x</w:t>
            </w:r>
          </w:p>
        </w:tc>
        <w:tc>
          <w:tcPr>
            <w:tcW w:w="2239" w:type="dxa"/>
            <w:tcBorders/>
            <w:shd w:fill="auto" w:val="clear"/>
          </w:tcPr>
          <w:p>
            <w:pPr>
              <w:pStyle w:val="TableContents"/>
              <w:spacing w:before="0" w:after="0"/>
              <w:ind w:left="0" w:right="360" w:firstLine="180"/>
              <w:jc w:val="left"/>
              <w:rPr>
                <w:rFonts w:ascii="times new roman" w:hAnsi="times new roman"/>
                <w:sz w:val="20"/>
              </w:rPr>
            </w:pPr>
            <w:r>
              <w:rPr>
                <w:rFonts w:ascii="times new roman" w:hAnsi="times new roman"/>
                <w:sz w:val="20"/>
              </w:rPr>
              <w:t>Non-accelerated filer </w:t>
            </w:r>
          </w:p>
        </w:tc>
        <w:tc>
          <w:tcPr>
            <w:tcW w:w="2988"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Smaller reporting company </w:t>
            </w:r>
          </w:p>
        </w:tc>
      </w:tr>
    </w:tbl>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shell company (as defined in Rule 12b-2 of the Exchange Act). </w:t>
      </w:r>
    </w:p>
    <w:p>
      <w:pPr>
        <w:pStyle w:val="TextBody"/>
        <w:spacing w:before="0" w:after="0"/>
        <w:ind w:left="0" w:right="0" w:hanging="0"/>
        <w:jc w:val="center"/>
        <w:rPr>
          <w:rFonts w:ascii="Times New Roman" w:hAnsi="Times New Roman"/>
          <w:sz w:val="20"/>
        </w:rPr>
      </w:pPr>
      <w:r>
        <w:rPr>
          <w:rFonts w:ascii="Times New Roman" w:hAnsi="Times New Roman"/>
          <w:sz w:val="20"/>
        </w:rPr>
        <w:t xml:space="preserve">Yes </w:t>
      </w:r>
      <w:r>
        <w:rPr>
          <w:rFonts w:ascii="Wingdings" w:hAnsi="Wingdings"/>
          <w:sz w:val="20"/>
        </w:rPr>
        <w:t>o</w:t>
      </w:r>
      <w:r>
        <w:rPr>
          <w:rFonts w:ascii="Times New Roman" w:hAnsi="Times New Roman"/>
          <w:sz w:val="20"/>
        </w:rPr>
        <w:t xml:space="preserve">   No </w:t>
      </w:r>
      <w:r>
        <w:rPr>
          <w:rFonts w:ascii="Wingdings" w:hAnsi="Wingdings"/>
          <w:sz w:val="20"/>
        </w:rPr>
        <w:t>x</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the number of shares outstanding of each of the issuer’s classes of common stock as of October 31, 2009.</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Common Stock – 5,197,525 Shares and Class B Stock – 1,920,642 Shares</w:t>
      </w:r>
    </w:p>
    <w:p>
      <w:pPr>
        <w:pStyle w:val="TextBody"/>
        <w:spacing w:before="0" w:after="0"/>
        <w:jc w:val="cente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pPr>
      <w:r>
        <w:rPr/>
        <w:t> </w:t>
      </w:r>
    </w:p>
    <w:tbl>
      <w:tblPr>
        <w:tblW w:w="5000" w:type="pct"/>
        <w:jc w:val="center"/>
        <w:tblInd w:w="0" w:type="dxa"/>
        <w:shd w:fill="FFFFFF" w:val="clear"/>
        <w:tblCellMar>
          <w:top w:w="0" w:type="dxa"/>
          <w:left w:w="0" w:type="dxa"/>
          <w:bottom w:w="0" w:type="dxa"/>
          <w:right w:w="0" w:type="dxa"/>
        </w:tblCellMar>
      </w:tblPr>
      <w:tblGrid>
        <w:gridCol w:w="9083"/>
        <w:gridCol w:w="1122"/>
      </w:tblGrid>
      <w:tr>
        <w:trPr/>
        <w:tc>
          <w:tcPr>
            <w:tcW w:w="9083" w:type="dxa"/>
            <w:tcBorders/>
            <w:shd w:fill="FFFFFF" w:val="clear"/>
            <w:vAlign w:val="center"/>
          </w:tcPr>
          <w:p>
            <w:pPr>
              <w:pStyle w:val="TableContents"/>
              <w:spacing w:before="0" w:after="0"/>
              <w:jc w:val="center"/>
              <w:rPr/>
            </w:pPr>
            <w:r>
              <w:rPr/>
              <w:t> </w:t>
            </w:r>
            <w:r>
              <w:rPr>
                <w:rFonts w:ascii="times new roman" w:hAnsi="times new roman"/>
                <w:b/>
                <w:sz w:val="20"/>
              </w:rPr>
              <w:t>CONTENTS</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r>
              <w:rPr>
                <w:rFonts w:ascii="times new roman" w:hAnsi="times new roman"/>
                <w:b/>
                <w:sz w:val="20"/>
                <w:u w:val="single"/>
              </w:rPr>
              <w:t>Page</w:t>
            </w:r>
          </w:p>
        </w:tc>
      </w:tr>
      <w:tr>
        <w:trPr/>
        <w:tc>
          <w:tcPr>
            <w:tcW w:w="9083" w:type="dxa"/>
            <w:tcBorders/>
            <w:shd w:fill="FFFFFF" w:val="clear"/>
            <w:vAlign w:val="center"/>
          </w:tcPr>
          <w:p>
            <w:pPr>
              <w:pStyle w:val="TableContents"/>
              <w:spacing w:before="0" w:after="0"/>
              <w:jc w:val="center"/>
              <w:rPr/>
            </w:pPr>
            <w:r>
              <w:rPr/>
              <w:t> </w:t>
            </w:r>
            <w:r>
              <w:rPr>
                <w:rFonts w:ascii="times new roman" w:hAnsi="times new roman"/>
                <w:b/>
                <w:sz w:val="20"/>
              </w:rPr>
              <w:t>PART I – FINANCIAL INFORMATION</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r>
              <w:rPr>
                <w:rFonts w:ascii="times new roman" w:hAnsi="times new roman"/>
                <w:b/>
                <w:sz w:val="20"/>
              </w:rPr>
              <w:t>Item 1:</w:t>
            </w:r>
            <w:r>
              <w:rPr>
                <w:rFonts w:ascii="times new roman" w:hAnsi="times new roman"/>
                <w:sz w:val="20"/>
              </w:rPr>
              <w:t>     Financial Statements </w:t>
            </w:r>
          </w:p>
        </w:tc>
        <w:tc>
          <w:tcPr>
            <w:tcW w:w="1122" w:type="dxa"/>
            <w:tcBorders/>
            <w:shd w:fill="FFFFFF" w:val="clear"/>
            <w:vAlign w:val="center"/>
          </w:tcPr>
          <w:p>
            <w:pPr>
              <w:pStyle w:val="TableContents"/>
              <w:spacing w:before="0" w:after="283"/>
              <w:rPr/>
            </w:pPr>
            <w:r>
              <w:rPr/>
              <w:t xml:space="preserve">  </w:t>
            </w:r>
            <w:hyperlink w:anchor="3">
              <w:r>
                <w:rPr>
                  <w:rStyle w:val="InternetLink"/>
                  <w:rFonts w:ascii="times new roman" w:hAnsi="times new roman"/>
                  <w:sz w:val="20"/>
                </w:rPr>
                <w:t>3</w:t>
              </w:r>
            </w:hyperlink>
            <w:r>
              <w:rPr>
                <w:rFonts w:ascii="times new roman" w:hAnsi="times new roman"/>
                <w:sz w:val="20"/>
              </w:rPr>
              <w:t xml:space="preserve"> - </w:t>
            </w:r>
            <w:hyperlink w:anchor="14">
              <w:r>
                <w:rPr>
                  <w:rStyle w:val="InternetLink"/>
                  <w:rFonts w:ascii="times new roman" w:hAnsi="times new roman"/>
                  <w:sz w:val="20"/>
                </w:rPr>
                <w:t>14</w:t>
              </w:r>
            </w:hyperlink>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r>
              <w:rPr>
                <w:rFonts w:ascii="times new roman" w:hAnsi="times new roman"/>
                <w:b/>
                <w:sz w:val="20"/>
              </w:rPr>
              <w:t xml:space="preserve">Item 2:     </w:t>
            </w:r>
            <w:r>
              <w:rPr>
                <w:rFonts w:ascii="times new roman" w:hAnsi="times new roman"/>
                <w:sz w:val="20"/>
              </w:rPr>
              <w:t>Management’s Discussion and Analysis of Financial Condition and Results Of Operations </w:t>
            </w:r>
          </w:p>
        </w:tc>
        <w:tc>
          <w:tcPr>
            <w:tcW w:w="1122" w:type="dxa"/>
            <w:tcBorders/>
            <w:shd w:fill="FFFFFF" w:val="clear"/>
            <w:vAlign w:val="center"/>
          </w:tcPr>
          <w:p>
            <w:pPr>
              <w:pStyle w:val="TableContents"/>
              <w:spacing w:before="0" w:after="283"/>
              <w:rPr/>
            </w:pPr>
            <w:r>
              <w:rPr/>
              <w:t> </w:t>
            </w:r>
            <w:hyperlink w:anchor="15">
              <w:r>
                <w:rPr>
                  <w:rStyle w:val="InternetLink"/>
                  <w:rFonts w:ascii="times new roman" w:hAnsi="times new roman"/>
                  <w:sz w:val="20"/>
                </w:rPr>
                <w:t>15</w:t>
              </w:r>
            </w:hyperlink>
            <w:r>
              <w:rPr>
                <w:rFonts w:ascii="times new roman" w:hAnsi="times new roman"/>
                <w:sz w:val="20"/>
              </w:rPr>
              <w:t xml:space="preserve"> - </w:t>
            </w:r>
            <w:hyperlink w:anchor="21">
              <w:r>
                <w:rPr>
                  <w:rStyle w:val="InternetLink"/>
                  <w:rFonts w:ascii="times new roman" w:hAnsi="times new roman"/>
                  <w:sz w:val="20"/>
                </w:rPr>
                <w:t>21</w:t>
              </w:r>
            </w:hyperlink>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r>
              <w:rPr>
                <w:rFonts w:ascii="times new roman" w:hAnsi="times new roman"/>
                <w:b/>
                <w:sz w:val="20"/>
              </w:rPr>
              <w:t>Item 3:</w:t>
            </w:r>
            <w:r>
              <w:rPr>
                <w:rFonts w:ascii="times new roman" w:hAnsi="times new roman"/>
                <w:sz w:val="20"/>
              </w:rPr>
              <w:t>     Quantitative and Qualitative Disclosures About Market Risk </w:t>
            </w:r>
          </w:p>
        </w:tc>
        <w:tc>
          <w:tcPr>
            <w:tcW w:w="1122" w:type="dxa"/>
            <w:tcBorders/>
            <w:shd w:fill="FFFFFF" w:val="clear"/>
            <w:vAlign w:val="center"/>
          </w:tcPr>
          <w:p>
            <w:pPr>
              <w:pStyle w:val="TableContents"/>
              <w:spacing w:before="0" w:after="283"/>
              <w:rPr/>
            </w:pPr>
            <w:r>
              <w:rPr/>
              <w:t> </w:t>
            </w:r>
            <w:hyperlink w:anchor="21">
              <w:r>
                <w:rPr>
                  <w:rStyle w:val="InternetLink"/>
                  <w:rFonts w:ascii="times new roman" w:hAnsi="times new roman"/>
                  <w:sz w:val="20"/>
                </w:rPr>
                <w:t>21</w:t>
              </w:r>
            </w:hyperlink>
            <w:r>
              <w:rPr>
                <w:rFonts w:ascii="times new roman" w:hAnsi="times new roman"/>
                <w:sz w:val="20"/>
              </w:rPr>
              <w:t xml:space="preserve"> - </w:t>
            </w:r>
            <w:hyperlink w:anchor="22">
              <w:r>
                <w:rPr>
                  <w:rStyle w:val="InternetLink"/>
                  <w:rFonts w:ascii="times new roman" w:hAnsi="times new roman"/>
                  <w:sz w:val="20"/>
                </w:rPr>
                <w:t>22</w:t>
              </w:r>
            </w:hyperlink>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r>
              <w:rPr>
                <w:rFonts w:ascii="times new roman" w:hAnsi="times new roman"/>
                <w:b/>
                <w:sz w:val="20"/>
              </w:rPr>
              <w:t>Item 4:</w:t>
            </w:r>
            <w:r>
              <w:rPr>
                <w:rFonts w:ascii="times new roman" w:hAnsi="times new roman"/>
                <w:sz w:val="20"/>
              </w:rPr>
              <w:t>     Controls and Procedures </w:t>
            </w:r>
          </w:p>
        </w:tc>
        <w:tc>
          <w:tcPr>
            <w:tcW w:w="1122" w:type="dxa"/>
            <w:tcBorders/>
            <w:shd w:fill="FFFFFF" w:val="clear"/>
            <w:vAlign w:val="center"/>
          </w:tcPr>
          <w:p>
            <w:pPr>
              <w:pStyle w:val="TableContents"/>
              <w:spacing w:before="0" w:after="283"/>
              <w:rPr/>
            </w:pPr>
            <w:r>
              <w:rPr/>
              <w:t xml:space="preserve">        </w:t>
            </w:r>
            <w:hyperlink w:anchor="23">
              <w:r>
                <w:rPr>
                  <w:rStyle w:val="InternetLink"/>
                  <w:rFonts w:ascii="times new roman" w:hAnsi="times new roman"/>
                  <w:sz w:val="20"/>
                </w:rPr>
                <w:t>23</w:t>
              </w:r>
            </w:hyperlink>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0"/>
              <w:jc w:val="center"/>
              <w:rPr/>
            </w:pPr>
            <w:r>
              <w:rPr/>
              <w:t> </w:t>
            </w:r>
            <w:r>
              <w:rPr>
                <w:rFonts w:ascii="times new roman" w:hAnsi="times new roman"/>
                <w:b/>
                <w:sz w:val="20"/>
              </w:rPr>
              <w:t>PART II – OTHER INFORMATION</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r>
              <w:rPr>
                <w:rFonts w:ascii="times new roman" w:hAnsi="times new roman"/>
                <w:b/>
                <w:sz w:val="20"/>
              </w:rPr>
              <w:t xml:space="preserve">Item 6:     </w:t>
            </w:r>
            <w:r>
              <w:rPr>
                <w:rFonts w:ascii="times new roman" w:hAnsi="times new roman"/>
                <w:sz w:val="20"/>
              </w:rPr>
              <w:t>Exhibits </w:t>
            </w:r>
          </w:p>
        </w:tc>
        <w:tc>
          <w:tcPr>
            <w:tcW w:w="1122" w:type="dxa"/>
            <w:tcBorders/>
            <w:shd w:fill="FFFFFF" w:val="clear"/>
            <w:vAlign w:val="center"/>
          </w:tcPr>
          <w:p>
            <w:pPr>
              <w:pStyle w:val="TableContents"/>
              <w:spacing w:before="0" w:after="283"/>
              <w:rPr/>
            </w:pPr>
            <w:r>
              <w:rPr/>
              <w:t xml:space="preserve">        </w:t>
            </w:r>
            <w:hyperlink w:anchor="24">
              <w:r>
                <w:rPr>
                  <w:rStyle w:val="InternetLink"/>
                  <w:rFonts w:ascii="times new roman" w:hAnsi="times new roman"/>
                  <w:sz w:val="20"/>
                </w:rPr>
                <w:t>24</w:t>
              </w:r>
            </w:hyperlink>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r>
              <w:rPr>
                <w:rFonts w:ascii="times new roman" w:hAnsi="times new roman"/>
                <w:b/>
                <w:sz w:val="20"/>
              </w:rPr>
              <w:t>Signatures</w:t>
            </w:r>
          </w:p>
        </w:tc>
        <w:tc>
          <w:tcPr>
            <w:tcW w:w="1122" w:type="dxa"/>
            <w:tcBorders/>
            <w:shd w:fill="FFFFFF" w:val="clear"/>
            <w:vAlign w:val="center"/>
          </w:tcPr>
          <w:p>
            <w:pPr>
              <w:pStyle w:val="TableContents"/>
              <w:spacing w:before="0" w:after="283"/>
              <w:rPr/>
            </w:pPr>
            <w:r>
              <w:rPr/>
              <w:t xml:space="preserve">        </w:t>
            </w:r>
            <w:hyperlink w:anchor="25">
              <w:r>
                <w:rPr>
                  <w:rStyle w:val="InternetLink"/>
                  <w:rFonts w:ascii="times new roman" w:hAnsi="times new roman"/>
                  <w:sz w:val="20"/>
                </w:rPr>
                <w:t>25</w:t>
              </w:r>
            </w:hyperlink>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r>
              <w:rPr>
                <w:rFonts w:ascii="times new roman" w:hAnsi="times new roman"/>
                <w:b/>
                <w:sz w:val="20"/>
              </w:rPr>
              <w:t>Exhibits</w:t>
            </w:r>
          </w:p>
        </w:tc>
        <w:tc>
          <w:tcPr>
            <w:tcW w:w="1122" w:type="dxa"/>
            <w:tcBorders/>
            <w:shd w:fill="FFFFFF" w:val="clear"/>
            <w:vAlign w:val="center"/>
          </w:tcPr>
          <w:p>
            <w:pPr>
              <w:pStyle w:val="TableContents"/>
              <w:spacing w:before="0" w:after="283"/>
              <w:rPr/>
            </w:pPr>
            <w:r>
              <w:rPr/>
              <w:t xml:space="preserve">        </w:t>
            </w:r>
            <w:hyperlink w:anchor="26">
              <w:r>
                <w:rPr>
                  <w:rStyle w:val="InternetLink"/>
                  <w:rFonts w:ascii="times new roman" w:hAnsi="times new roman"/>
                  <w:sz w:val="20"/>
                </w:rPr>
                <w:t>26</w:t>
              </w:r>
            </w:hyperlink>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r>
        <w:trPr/>
        <w:tc>
          <w:tcPr>
            <w:tcW w:w="9083" w:type="dxa"/>
            <w:tcBorders/>
            <w:shd w:fill="FFFFFF" w:val="clear"/>
            <w:vAlign w:val="center"/>
          </w:tcPr>
          <w:p>
            <w:pPr>
              <w:pStyle w:val="TableContents"/>
              <w:spacing w:before="0" w:after="283"/>
              <w:rPr/>
            </w:pPr>
            <w:r>
              <w:rPr/>
              <w:t> </w:t>
            </w:r>
          </w:p>
        </w:tc>
        <w:tc>
          <w:tcPr>
            <w:tcW w:w="1122" w:type="dxa"/>
            <w:tcBorders/>
            <w:shd w:fill="FFFFFF" w:val="clear"/>
            <w:vAlign w:val="center"/>
          </w:tcPr>
          <w:p>
            <w:pPr>
              <w:pStyle w:val="TableContents"/>
              <w:spacing w:before="0" w:after="283"/>
              <w:rPr/>
            </w:pPr>
            <w:r>
              <w:rPr/>
              <w:t> </w:t>
            </w:r>
          </w:p>
        </w:tc>
      </w:tr>
    </w:tbl>
    <w:p>
      <w:pPr>
        <w:pStyle w:val="TextBody"/>
        <w:spacing w:before="0" w:after="0"/>
        <w:jc w:val="center"/>
        <w:rPr/>
      </w:pPr>
      <w:r>
        <w:rPr/>
        <w:t> </w:t>
      </w:r>
    </w:p>
    <w:p>
      <w:pPr>
        <w:pStyle w:val="TextBody"/>
        <w:spacing w:before="0" w:after="0"/>
        <w:ind w:left="0" w:right="0" w:hanging="0"/>
        <w:jc w:val="center"/>
        <w:rPr/>
      </w:pPr>
      <w:r>
        <w:rPr/>
        <w:b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FORWARD-LOOKING STATEMENTS</w:t>
      </w:r>
    </w:p>
    <w:p>
      <w:pPr>
        <w:pStyle w:val="TextBody"/>
        <w:spacing w:before="0" w:after="0"/>
        <w:ind w:left="0" w:right="0" w:hanging="0"/>
        <w:jc w:val="center"/>
        <w:rPr/>
      </w:pPr>
      <w:r>
        <w:rPr/>
      </w:r>
    </w:p>
    <w:p>
      <w:pPr>
        <w:pStyle w:val="TextBody"/>
        <w:spacing w:before="0" w:after="0"/>
        <w:ind w:left="739" w:right="0" w:hanging="0"/>
        <w:jc w:val="both"/>
        <w:rPr>
          <w:rFonts w:ascii="Times New Roman" w:hAnsi="Times New Roman"/>
          <w:sz w:val="20"/>
        </w:rPr>
      </w:pPr>
      <w:bookmarkStart w:id="2" w:name="TAB1"/>
      <w:bookmarkEnd w:id="2"/>
      <w:r>
        <w:rPr>
          <w:rFonts w:ascii="Times New Roman" w:hAnsi="Times New Roman"/>
          <w:sz w:val="20"/>
        </w:rPr>
        <w:t>Certain statements in this report, including, but not limited to, those under the heading “Management’s Discussion and Analysis of Financial Condition and Results of Operations” and those statements elsewhere in this report and other documents we file with the Commission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“believe”, “may,” “assume,” variations of such words and similar expressions are intended to identify such forward-looking statements, which are made pursuant to the safe harbor provisions of the Private Securities Litigation Reform Act of 1995.</w:t>
      </w:r>
    </w:p>
    <w:p>
      <w:pPr>
        <w:pStyle w:val="TextBody"/>
        <w:spacing w:before="0" w:after="0"/>
        <w:ind w:left="0" w:right="0" w:hanging="0"/>
        <w:jc w:val="center"/>
        <w:rPr/>
      </w:pPr>
      <w:r>
        <w:rPr/>
      </w:r>
    </w:p>
    <w:p>
      <w:pPr>
        <w:pStyle w:val="TextBody"/>
        <w:spacing w:before="0" w:after="0"/>
        <w:ind w:left="739" w:right="0" w:hanging="0"/>
        <w:jc w:val="both"/>
        <w:rPr>
          <w:rFonts w:ascii="Times New Roman" w:hAnsi="Times New Roman"/>
          <w:sz w:val="20"/>
        </w:rPr>
      </w:pPr>
      <w:bookmarkStart w:id="3" w:name="TAB11"/>
      <w:bookmarkEnd w:id="3"/>
      <w:r>
        <w:rPr>
          <w:rFonts w:ascii="Times New Roman" w:hAnsi="Times New Roman"/>
          <w:sz w:val="20"/>
        </w:rPr>
        <w:t>Such statements are subject to certain risks, uncertainties and assumptions that could cause actual results to differ materially, including those described in Item 1A, Risk Factors, of our Annual Report on Form 10-K for the fiscal year ended July 31, 2009, which risk factors are incorporated herein by reference.  Should one or more of these or other risks or uncertainties materialize, or should underlying assumptions prove incorrect, actual results may vary materially from those anticipated, intended, expected, believed, estimated, projected or planned.  You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pStyle w:val="TextBody"/>
        <w:spacing w:before="0" w:after="0"/>
        <w:ind w:left="0" w:right="0" w:hanging="0"/>
        <w:jc w:val="both"/>
        <w:rPr/>
      </w:pPr>
      <w:r>
        <w:rPr/>
        <w:br/>
        <w:t> </w:t>
      </w:r>
    </w:p>
    <w:p>
      <w:pPr>
        <w:pStyle w:val="TextBody"/>
        <w:spacing w:before="0" w:after="0"/>
        <w:ind w:left="0" w:right="0" w:firstLine="720"/>
        <w:jc w:val="center"/>
        <w:rPr>
          <w:rFonts w:ascii="Times New Roman" w:hAnsi="Times New Roman"/>
          <w:b/>
          <w:sz w:val="20"/>
        </w:rPr>
      </w:pPr>
      <w:r>
        <w:rPr>
          <w:rFonts w:ascii="Times New Roman" w:hAnsi="Times New Roman"/>
          <w:b/>
          <w:sz w:val="20"/>
        </w:rPr>
        <w:t>TRADEMARK NOTICE</w:t>
      </w:r>
    </w:p>
    <w:p>
      <w:pPr>
        <w:pStyle w:val="TextBody"/>
        <w:spacing w:before="0" w:after="0"/>
        <w:ind w:left="0" w:right="0" w:hanging="0"/>
        <w:jc w:val="center"/>
        <w:rPr/>
      </w:pPr>
      <w:r>
        <w:rPr/>
      </w:r>
    </w:p>
    <w:p>
      <w:pPr>
        <w:pStyle w:val="TextBody"/>
        <w:spacing w:before="0" w:after="0"/>
        <w:ind w:left="739" w:right="0" w:hanging="0"/>
        <w:jc w:val="both"/>
        <w:rPr>
          <w:rFonts w:ascii="Times New Roman" w:hAnsi="Times New Roman"/>
          <w:sz w:val="20"/>
        </w:rPr>
      </w:pPr>
      <w:bookmarkStart w:id="4" w:name="TAB12"/>
      <w:bookmarkEnd w:id="4"/>
      <w:r>
        <w:rPr>
          <w:rFonts w:ascii="Times New Roman" w:hAnsi="Times New Roman"/>
          <w:sz w:val="20"/>
        </w:rPr>
        <w:t>Agsorb, Calibrin, Cat’s Pride, ConditionAde, Flo-Fre, Jonny Cat, KatKit, Oil-Dri, Pel-Unite, Perform, Poultry Guard, Pro Mound, Pure-Flo, Rapid Dry, Select, Terra-Green, and Ultra-Clear are all registered trademarks of Oil-Dri Corporation of America or of its subsidiaries.  Pro’s Choice, Saular and Verge are trademarks of Oil-Dri Corporation of America.  Fresh Step is a registered trademark of The Clorox Company.</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7" w:name="FTR"/>
      <w:bookmarkStart w:id="8" w:name="FTR"/>
      <w:bookmarkEnd w:id="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9" w:name="GLFTR"/>
      <w:bookmarkEnd w:id="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 w:name="PN"/>
      <w:bookmarkEnd w:id="1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1" w:name="HDR"/>
      <w:bookmarkStart w:id="12" w:name="HDR"/>
      <w:bookmarkEnd w:id="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3" w:name="GLHDR"/>
      <w:bookmarkEnd w:id="1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PART I - FINANCIAL INFOR</w:t>
      </w:r>
      <w:bookmarkStart w:id="14" w:name="3"/>
      <w:bookmarkEnd w:id="14"/>
      <w:r>
        <w:rPr>
          <w:rFonts w:ascii="Times New Roman" w:hAnsi="Times New Roman"/>
          <w:b/>
          <w:sz w:val="20"/>
        </w:rPr>
        <w:t>MATION</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Financial Statements</w:t>
      </w:r>
    </w:p>
    <w:p>
      <w:pPr>
        <w:pStyle w:val="TextBody"/>
        <w:spacing w:before="0" w:after="0"/>
        <w:ind w:left="0" w:right="0" w:hanging="0"/>
        <w:jc w:val="center"/>
        <w:rPr/>
      </w:pPr>
      <w:r>
        <w:rPr/>
        <w:t> </w:t>
      </w:r>
    </w:p>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7419"/>
        <w:gridCol w:w="108"/>
        <w:gridCol w:w="126"/>
        <w:gridCol w:w="1041"/>
        <w:gridCol w:w="113"/>
        <w:gridCol w:w="108"/>
        <w:gridCol w:w="126"/>
        <w:gridCol w:w="1041"/>
        <w:gridCol w:w="123"/>
      </w:tblGrid>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bookmarkStart w:id="15" w:name="range_a5%3Ad38"/>
            <w:bookmarkEnd w:id="15"/>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jc w:val="center"/>
              <w:rPr/>
            </w:pPr>
            <w:r>
              <w:rPr/>
              <w:t> </w:t>
            </w:r>
            <w:r>
              <w:rPr>
                <w:rFonts w:ascii="times new roman" w:hAnsi="times new roman"/>
                <w:b/>
                <w:sz w:val="20"/>
              </w:rPr>
              <w:t>October 31,</w:t>
            </w:r>
          </w:p>
        </w:tc>
        <w:tc>
          <w:tcPr>
            <w:tcW w:w="113" w:type="dxa"/>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jc w:val="center"/>
              <w:rPr/>
            </w:pPr>
            <w:r>
              <w:rPr/>
              <w:t> </w:t>
            </w:r>
          </w:p>
        </w:tc>
        <w:tc>
          <w:tcPr>
            <w:tcW w:w="1167" w:type="dxa"/>
            <w:gridSpan w:val="2"/>
            <w:tcBorders/>
            <w:shd w:fill="auto" w:val="clear"/>
            <w:vAlign w:val="bottom"/>
          </w:tcPr>
          <w:p>
            <w:pPr>
              <w:pStyle w:val="TableContents"/>
              <w:spacing w:before="0" w:after="283"/>
              <w:jc w:val="center"/>
              <w:rPr/>
            </w:pPr>
            <w:r>
              <w:rPr/>
              <w:t> </w:t>
            </w:r>
            <w:r>
              <w:rPr>
                <w:rFonts w:ascii="times new roman" w:hAnsi="times new roman"/>
                <w:b/>
                <w:sz w:val="20"/>
              </w:rPr>
              <w:t>July 31,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0"/>
              <w:jc w:val="center"/>
              <w:rPr/>
            </w:pPr>
            <w:r>
              <w:rPr/>
              <w:t> </w:t>
            </w:r>
            <w:r>
              <w:rPr>
                <w:rFonts w:ascii="times new roman" w:hAnsi="times new roman"/>
                <w:b/>
                <w:sz w:val="20"/>
              </w:rPr>
              <w:t>ASSETS</w:t>
            </w:r>
          </w:p>
        </w:tc>
        <w:tc>
          <w:tcPr>
            <w:tcW w:w="108" w:type="dxa"/>
            <w:tcBorders/>
            <w:shd w:fill="auto" w:val="clear"/>
            <w:vAlign w:val="bottom"/>
          </w:tcPr>
          <w:p>
            <w:pPr>
              <w:pStyle w:val="TableContents"/>
              <w:spacing w:before="0" w:after="283"/>
              <w:rPr/>
            </w:pPr>
            <w:r>
              <w:rPr/>
              <w:t> </w:t>
            </w:r>
          </w:p>
        </w:tc>
        <w:tc>
          <w:tcPr>
            <w:tcW w:w="1167"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2009</w:t>
            </w:r>
          </w:p>
        </w:tc>
        <w:tc>
          <w:tcPr>
            <w:tcW w:w="113" w:type="dxa"/>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jc w:val="center"/>
              <w:rPr/>
            </w:pPr>
            <w:r>
              <w:rPr/>
              <w:t> </w:t>
            </w:r>
          </w:p>
        </w:tc>
        <w:tc>
          <w:tcPr>
            <w:tcW w:w="1167"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2009</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auto" w:val="clear"/>
            <w:vAlign w:val="bottom"/>
          </w:tcPr>
          <w:p>
            <w:pPr>
              <w:pStyle w:val="TableContents"/>
              <w:spacing w:before="0" w:after="283"/>
              <w:rPr>
                <w:rFonts w:ascii="times new roman" w:hAnsi="times new roman"/>
                <w:b/>
                <w:sz w:val="20"/>
                <w:u w:val="single"/>
              </w:rPr>
            </w:pPr>
            <w:r>
              <w:rPr>
                <w:rFonts w:ascii="times new roman" w:hAnsi="times new roman"/>
                <w:b/>
                <w:sz w:val="20"/>
                <w:u w:val="single"/>
              </w:rPr>
              <w:t>Current Assets</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67"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16,028</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11,839</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Investment in securities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8,997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7,998</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receivable, less allowance of $616 and $652 at October 31, 2009 and July 31, 2009, 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25,569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Inventories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16,398</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17,795</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income taxes</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1,080</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1,080</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repairs expense</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4,173</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4,345</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assets</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2,051</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1,660</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Current Assets</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74,296</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73,717</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Property, Plant and Equipment</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170,094</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169,130</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accumulated depreciation and amortization</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(111,099</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(109,645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19"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Property, Plant and Equipment, Net</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58,995</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59,485</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Other Assets</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Goodwill</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5,162</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5,162</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Trademarks and patents, net of accumulated amortization of $359 and $351 at October 31, 2009 and July 31, 2009, 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641</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649</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Debt issuance costs, net of accumulated amortization of $485 and $473 at October 31, 2009 and July 31, 2009, respectively</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294</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306</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180" w:right="0" w:hanging="180"/>
              <w:jc w:val="left"/>
              <w:rPr>
                <w:rFonts w:ascii="times new roman" w:hAnsi="times new roman"/>
                <w:sz w:val="20"/>
              </w:rPr>
            </w:pPr>
            <w:r>
              <w:rPr>
                <w:rFonts w:ascii="times new roman" w:hAnsi="times new roman"/>
                <w:sz w:val="20"/>
              </w:rPr>
              <w:t>Licensing agreements and non-compete agreements, net of accumulated amortization of $3,423 and $3,361 at October 31, 2009 and July 31, 2009, respectively</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1,315</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1,378</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income taxes</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4,142</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04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4,144</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4,281</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4,420</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Other Assets</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15,835</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16,059</w:t>
            </w:r>
          </w:p>
        </w:tc>
        <w:tc>
          <w:tcPr>
            <w:tcW w:w="123" w:type="dxa"/>
            <w:tcBorders/>
            <w:shd w:fill="FFFFFF" w:val="clear"/>
            <w:vAlign w:val="bottom"/>
          </w:tcPr>
          <w:p>
            <w:pPr>
              <w:pStyle w:val="TableContents"/>
              <w:spacing w:before="0" w:after="283"/>
              <w:jc w:val="left"/>
              <w:rPr/>
            </w:pPr>
            <w:r>
              <w:rPr/>
              <w:t> </w:t>
            </w:r>
          </w:p>
        </w:tc>
      </w:tr>
      <w:tr>
        <w:trPr/>
        <w:tc>
          <w:tcPr>
            <w:tcW w:w="7419"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04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1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108"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149,126</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149,261</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before="0" w:after="0"/>
        <w:jc w:val="center"/>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6" w:name="PGBRK1"/>
      <w:bookmarkStart w:id="17" w:name="PGBRK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8" w:name="FTR1"/>
      <w:bookmarkStart w:id="19" w:name="FTR1"/>
      <w:bookmarkEnd w:id="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0" w:name="GLFTR1"/>
      <w:bookmarkEnd w:id="20"/>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 w:name="PN1"/>
      <w:bookmarkEnd w:id="21"/>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2" w:name="HDR1"/>
      <w:bookmarkStart w:id="23" w:name="HDR1"/>
      <w:bookmarkEnd w:id="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4" w:name="GLHDR1"/>
      <w:bookmarkEnd w:id="24"/>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p>
      <w:pPr>
        <w:pStyle w:val="TextBody"/>
        <w:spacing w:before="0" w:after="0"/>
        <w:jc w:val="center"/>
        <w:rPr/>
      </w:pPr>
      <w:r>
        <w:rPr/>
        <w:br/>
        <w:t> </w:t>
      </w:r>
    </w:p>
    <w:p>
      <w:pPr>
        <w:pStyle w:val="TextBody"/>
        <w:spacing w:before="0" w:after="0"/>
        <w:jc w:val="center"/>
        <w:rPr/>
      </w:pPr>
      <w:r>
        <w:rPr/>
        <w:br/>
        <w:t> </w:t>
      </w:r>
    </w:p>
    <w:tbl>
      <w:tblPr>
        <w:tblW w:w="5000" w:type="pct"/>
        <w:jc w:val="center"/>
        <w:tblInd w:w="0" w:type="dxa"/>
        <w:tblCellMar>
          <w:top w:w="0" w:type="dxa"/>
          <w:left w:w="0" w:type="dxa"/>
          <w:bottom w:w="0" w:type="dxa"/>
          <w:right w:w="0" w:type="dxa"/>
        </w:tblCellMar>
      </w:tblPr>
      <w:tblGrid>
        <w:gridCol w:w="7459"/>
        <w:gridCol w:w="107"/>
        <w:gridCol w:w="127"/>
        <w:gridCol w:w="1021"/>
        <w:gridCol w:w="113"/>
        <w:gridCol w:w="107"/>
        <w:gridCol w:w="127"/>
        <w:gridCol w:w="1021"/>
        <w:gridCol w:w="123"/>
      </w:tblGrid>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283"/>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jc w:val="center"/>
              <w:rPr/>
            </w:pPr>
            <w:r>
              <w:rPr/>
              <w:t> </w:t>
            </w:r>
            <w:r>
              <w:rPr>
                <w:rFonts w:ascii="times new roman" w:hAnsi="times new roman"/>
                <w:b/>
                <w:sz w:val="20"/>
              </w:rPr>
              <w:t>October 31,</w:t>
            </w:r>
          </w:p>
        </w:tc>
        <w:tc>
          <w:tcPr>
            <w:tcW w:w="113"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48" w:type="dxa"/>
            <w:gridSpan w:val="2"/>
            <w:tcBorders/>
            <w:shd w:fill="auto" w:val="clear"/>
            <w:vAlign w:val="bottom"/>
          </w:tcPr>
          <w:p>
            <w:pPr>
              <w:pStyle w:val="TableContents"/>
              <w:spacing w:before="0" w:after="283"/>
              <w:jc w:val="center"/>
              <w:rPr/>
            </w:pPr>
            <w:r>
              <w:rPr/>
              <w:t> </w:t>
            </w:r>
            <w:r>
              <w:rPr>
                <w:rFonts w:ascii="times new roman" w:hAnsi="times new roman"/>
                <w:b/>
                <w:sz w:val="20"/>
              </w:rPr>
              <w:t>July 31,</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0"/>
              <w:jc w:val="center"/>
              <w:rPr/>
            </w:pPr>
            <w:r>
              <w:rPr/>
              <w:t> </w:t>
            </w:r>
            <w:r>
              <w:rPr>
                <w:rFonts w:ascii="times new roman" w:hAnsi="times new roman"/>
                <w:b/>
                <w:sz w:val="20"/>
              </w:rPr>
              <w:t>LIABILITIES &amp; STOCKHOLDERS’ EQUITY</w:t>
            </w:r>
          </w:p>
        </w:tc>
        <w:tc>
          <w:tcPr>
            <w:tcW w:w="107" w:type="dxa"/>
            <w:tcBorders/>
            <w:shd w:fill="auto" w:val="clear"/>
            <w:vAlign w:val="bottom"/>
          </w:tcPr>
          <w:p>
            <w:pPr>
              <w:pStyle w:val="TableContents"/>
              <w:spacing w:before="0" w:after="283"/>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2009</w:t>
            </w:r>
          </w:p>
        </w:tc>
        <w:tc>
          <w:tcPr>
            <w:tcW w:w="113"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48" w:type="dxa"/>
            <w:gridSpan w:val="2"/>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2009</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auto"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Current Liabilities</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148"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maturities of notes payable</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1" w:type="dxa"/>
            <w:tcBorders/>
            <w:shd w:fill="CCEEFF" w:val="clear"/>
            <w:vAlign w:val="bottom"/>
          </w:tcPr>
          <w:p>
            <w:pPr>
              <w:pStyle w:val="TableContents"/>
              <w:spacing w:before="0" w:after="283"/>
              <w:ind w:left="238" w:right="0" w:hanging="0"/>
              <w:jc w:val="right"/>
              <w:rPr>
                <w:rFonts w:ascii="times new roman" w:hAnsi="times new roman"/>
                <w:b/>
                <w:sz w:val="20"/>
              </w:rPr>
            </w:pPr>
            <w:bookmarkStart w:id="25" w:name="TAB13"/>
            <w:bookmarkEnd w:id="25"/>
            <w:r>
              <w:rPr>
                <w:rFonts w:ascii="times new roman" w:hAnsi="times new roman"/>
                <w:b/>
                <w:sz w:val="20"/>
              </w:rPr>
              <w:t>4,500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shd w:fill="CCEEFF" w:val="clear"/>
            <w:vAlign w:val="bottom"/>
          </w:tcPr>
          <w:p>
            <w:pPr>
              <w:pStyle w:val="TableContents"/>
              <w:spacing w:before="0" w:after="283"/>
              <w:ind w:left="248" w:right="0" w:hanging="0"/>
              <w:jc w:val="right"/>
              <w:rPr>
                <w:rFonts w:ascii="times new roman" w:hAnsi="times new roman"/>
                <w:sz w:val="20"/>
              </w:rPr>
            </w:pPr>
            <w:bookmarkStart w:id="26" w:name="TAB14"/>
            <w:bookmarkEnd w:id="26"/>
            <w:r>
              <w:rPr>
                <w:rFonts w:ascii="times new roman" w:hAnsi="times new roman"/>
                <w:sz w:val="20"/>
              </w:rPr>
              <w:t>3,200</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77" w:right="0" w:hanging="0"/>
              <w:jc w:val="right"/>
              <w:rPr>
                <w:rFonts w:ascii="times new roman" w:hAnsi="times new roman"/>
                <w:b/>
                <w:sz w:val="20"/>
              </w:rPr>
            </w:pPr>
            <w:bookmarkStart w:id="27" w:name="TAB15"/>
            <w:bookmarkEnd w:id="27"/>
            <w:r>
              <w:rPr>
                <w:rFonts w:ascii="times new roman" w:hAnsi="times new roman"/>
                <w:b/>
                <w:sz w:val="20"/>
              </w:rPr>
              <w:t>4,500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27" w:right="0" w:hanging="0"/>
              <w:jc w:val="right"/>
              <w:rPr>
                <w:rFonts w:ascii="times new roman" w:hAnsi="times new roman"/>
                <w:sz w:val="20"/>
              </w:rPr>
            </w:pPr>
            <w:bookmarkStart w:id="28" w:name="TAB16"/>
            <w:bookmarkEnd w:id="28"/>
            <w:r>
              <w:rPr>
                <w:rFonts w:ascii="times new roman" w:hAnsi="times new roman"/>
                <w:sz w:val="20"/>
              </w:rPr>
              <w:t>5,304</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Dividends payable</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683" w:right="0" w:hanging="0"/>
              <w:jc w:val="right"/>
              <w:rPr>
                <w:rFonts w:ascii="times new roman" w:hAnsi="times new roman"/>
                <w:b/>
                <w:sz w:val="20"/>
              </w:rPr>
            </w:pPr>
            <w:bookmarkStart w:id="29" w:name="TAB17"/>
            <w:bookmarkEnd w:id="29"/>
            <w:r>
              <w:rPr>
                <w:rFonts w:ascii="times new roman" w:hAnsi="times new roman"/>
                <w:b/>
                <w:sz w:val="20"/>
              </w:rPr>
              <w:t>996</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633" w:right="0" w:hanging="0"/>
              <w:jc w:val="right"/>
              <w:rPr>
                <w:rFonts w:ascii="times new roman" w:hAnsi="times new roman"/>
                <w:sz w:val="20"/>
              </w:rPr>
            </w:pPr>
            <w:bookmarkStart w:id="30" w:name="TAB18"/>
            <w:bookmarkEnd w:id="30"/>
            <w:r>
              <w:rPr>
                <w:rFonts w:ascii="times new roman" w:hAnsi="times new roman"/>
                <w:sz w:val="20"/>
              </w:rPr>
              <w:t>994</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Salaries, wages and commissions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77" w:right="0" w:hanging="0"/>
              <w:jc w:val="right"/>
              <w:rPr>
                <w:rFonts w:ascii="times new roman" w:hAnsi="times new roman"/>
                <w:b/>
                <w:sz w:val="20"/>
              </w:rPr>
            </w:pPr>
            <w:bookmarkStart w:id="31" w:name="TAB19"/>
            <w:bookmarkEnd w:id="31"/>
            <w:r>
              <w:rPr>
                <w:rFonts w:ascii="times new roman" w:hAnsi="times new roman"/>
                <w:b/>
                <w:sz w:val="20"/>
              </w:rPr>
              <w:t>4,097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27" w:right="0" w:hanging="0"/>
              <w:jc w:val="right"/>
              <w:rPr>
                <w:rFonts w:ascii="times new roman" w:hAnsi="times new roman"/>
                <w:sz w:val="20"/>
              </w:rPr>
            </w:pPr>
            <w:bookmarkStart w:id="32" w:name="TAB110"/>
            <w:bookmarkEnd w:id="32"/>
            <w:r>
              <w:rPr>
                <w:rFonts w:ascii="times new roman" w:hAnsi="times new roman"/>
                <w:sz w:val="20"/>
              </w:rPr>
              <w:t>5,794</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Trade promotions and advertising</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77" w:right="0" w:hanging="0"/>
              <w:jc w:val="right"/>
              <w:rPr>
                <w:rFonts w:ascii="times new roman" w:hAnsi="times new roman"/>
                <w:b/>
                <w:sz w:val="20"/>
              </w:rPr>
            </w:pPr>
            <w:bookmarkStart w:id="33" w:name="TAB111"/>
            <w:bookmarkEnd w:id="33"/>
            <w:r>
              <w:rPr>
                <w:rFonts w:ascii="times new roman" w:hAnsi="times new roman"/>
                <w:b/>
                <w:sz w:val="20"/>
              </w:rPr>
              <w:t>2,546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427" w:right="0" w:hanging="0"/>
              <w:jc w:val="right"/>
              <w:rPr>
                <w:rFonts w:ascii="times new roman" w:hAnsi="times new roman"/>
                <w:sz w:val="20"/>
              </w:rPr>
            </w:pPr>
            <w:bookmarkStart w:id="34" w:name="TAB112"/>
            <w:bookmarkEnd w:id="34"/>
            <w:r>
              <w:rPr>
                <w:rFonts w:ascii="times new roman" w:hAnsi="times new roman"/>
                <w:sz w:val="20"/>
              </w:rPr>
              <w:t>2,073</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Freight</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77" w:right="0" w:hanging="0"/>
              <w:jc w:val="right"/>
              <w:rPr>
                <w:rFonts w:ascii="times new roman" w:hAnsi="times new roman"/>
                <w:b/>
                <w:sz w:val="20"/>
              </w:rPr>
            </w:pPr>
            <w:bookmarkStart w:id="35" w:name="TAB113"/>
            <w:bookmarkEnd w:id="35"/>
            <w:r>
              <w:rPr>
                <w:rFonts w:ascii="times new roman" w:hAnsi="times new roman"/>
                <w:b/>
                <w:sz w:val="20"/>
              </w:rPr>
              <w:t>1,650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27" w:right="0" w:hanging="0"/>
              <w:jc w:val="right"/>
              <w:rPr>
                <w:rFonts w:ascii="times new roman" w:hAnsi="times new roman"/>
                <w:sz w:val="20"/>
              </w:rPr>
            </w:pPr>
            <w:bookmarkStart w:id="36" w:name="TAB114"/>
            <w:bookmarkEnd w:id="36"/>
            <w:r>
              <w:rPr>
                <w:rFonts w:ascii="times new roman" w:hAnsi="times new roman"/>
                <w:sz w:val="20"/>
              </w:rPr>
              <w:t>1,073</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77" w:right="0" w:hanging="0"/>
              <w:jc w:val="right"/>
              <w:rPr>
                <w:rFonts w:ascii="times new roman" w:hAnsi="times new roman"/>
                <w:b/>
                <w:sz w:val="20"/>
              </w:rPr>
            </w:pPr>
            <w:bookmarkStart w:id="37" w:name="TAB115"/>
            <w:bookmarkEnd w:id="37"/>
            <w:r>
              <w:rPr>
                <w:rFonts w:ascii="times new roman" w:hAnsi="times new roman"/>
                <w:b/>
                <w:sz w:val="20"/>
              </w:rPr>
              <w:t>4,812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427" w:right="0" w:hanging="0"/>
              <w:jc w:val="right"/>
              <w:rPr>
                <w:rFonts w:ascii="times new roman" w:hAnsi="times new roman"/>
                <w:sz w:val="20"/>
              </w:rPr>
            </w:pPr>
            <w:bookmarkStart w:id="38" w:name="TAB116"/>
            <w:bookmarkEnd w:id="38"/>
            <w:r>
              <w:rPr>
                <w:rFonts w:ascii="times new roman" w:hAnsi="times new roman"/>
                <w:sz w:val="20"/>
              </w:rPr>
              <w:t>5,330</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Current Liabilities</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339" w:right="0" w:hanging="0"/>
              <w:jc w:val="right"/>
              <w:rPr>
                <w:rFonts w:ascii="times new roman" w:hAnsi="times new roman"/>
                <w:b/>
                <w:sz w:val="20"/>
              </w:rPr>
            </w:pPr>
            <w:bookmarkStart w:id="39" w:name="TAB117"/>
            <w:bookmarkEnd w:id="39"/>
            <w:r>
              <w:rPr>
                <w:rFonts w:ascii="times new roman" w:hAnsi="times new roman"/>
                <w:b/>
                <w:sz w:val="20"/>
              </w:rPr>
              <w:t>23,101</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289" w:right="0" w:hanging="0"/>
              <w:jc w:val="right"/>
              <w:rPr>
                <w:rFonts w:ascii="times new roman" w:hAnsi="times new roman"/>
                <w:sz w:val="20"/>
              </w:rPr>
            </w:pPr>
            <w:bookmarkStart w:id="40" w:name="TAB118"/>
            <w:bookmarkEnd w:id="40"/>
            <w:r>
              <w:rPr>
                <w:rFonts w:ascii="times new roman" w:hAnsi="times new roman"/>
                <w:sz w:val="20"/>
              </w:rPr>
              <w:t>23,768</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Noncurrent Liabilities</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339" w:right="0" w:hanging="0"/>
              <w:jc w:val="right"/>
              <w:rPr>
                <w:rFonts w:ascii="times new roman" w:hAnsi="times new roman"/>
                <w:b/>
                <w:sz w:val="20"/>
              </w:rPr>
            </w:pPr>
            <w:bookmarkStart w:id="41" w:name="TAB119"/>
            <w:bookmarkEnd w:id="41"/>
            <w:r>
              <w:rPr>
                <w:rFonts w:ascii="times new roman" w:hAnsi="times new roman"/>
                <w:b/>
                <w:sz w:val="20"/>
              </w:rPr>
              <w:t>16,800</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289" w:right="0" w:hanging="0"/>
              <w:jc w:val="right"/>
              <w:rPr>
                <w:rFonts w:ascii="times new roman" w:hAnsi="times new roman"/>
                <w:sz w:val="20"/>
              </w:rPr>
            </w:pPr>
            <w:bookmarkStart w:id="42" w:name="TAB120"/>
            <w:bookmarkEnd w:id="42"/>
            <w:r>
              <w:rPr>
                <w:rFonts w:ascii="times new roman" w:hAnsi="times new roman"/>
                <w:sz w:val="20"/>
              </w:rPr>
              <w:t>18,300</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compensation</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77" w:right="0" w:hanging="0"/>
              <w:jc w:val="right"/>
              <w:rPr>
                <w:rFonts w:ascii="times new roman" w:hAnsi="times new roman"/>
                <w:b/>
                <w:sz w:val="20"/>
              </w:rPr>
            </w:pPr>
            <w:bookmarkStart w:id="43" w:name="TAB121"/>
            <w:bookmarkEnd w:id="43"/>
            <w:r>
              <w:rPr>
                <w:rFonts w:ascii="times new roman" w:hAnsi="times new roman"/>
                <w:b/>
                <w:sz w:val="20"/>
              </w:rPr>
              <w:t>6,102</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427" w:right="0" w:hanging="0"/>
              <w:jc w:val="right"/>
              <w:rPr>
                <w:rFonts w:ascii="times new roman" w:hAnsi="times new roman"/>
                <w:sz w:val="20"/>
              </w:rPr>
            </w:pPr>
            <w:bookmarkStart w:id="44" w:name="TAB122"/>
            <w:bookmarkEnd w:id="44"/>
            <w:r>
              <w:rPr>
                <w:rFonts w:ascii="times new roman" w:hAnsi="times new roman"/>
                <w:sz w:val="20"/>
              </w:rPr>
              <w:t>5,892</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Pension and postretirement benefits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10,901</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10,491</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477" w:right="0" w:hanging="0"/>
              <w:jc w:val="right"/>
              <w:rPr>
                <w:rFonts w:ascii="times new roman" w:hAnsi="times new roman"/>
                <w:b/>
                <w:sz w:val="20"/>
              </w:rPr>
            </w:pPr>
            <w:bookmarkStart w:id="45" w:name="TAB123"/>
            <w:bookmarkEnd w:id="45"/>
            <w:r>
              <w:rPr>
                <w:rFonts w:ascii="times new roman" w:hAnsi="times new roman"/>
                <w:b/>
                <w:sz w:val="20"/>
              </w:rPr>
              <w:t>1,258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427" w:right="0" w:hanging="0"/>
              <w:jc w:val="right"/>
              <w:rPr>
                <w:rFonts w:ascii="times new roman" w:hAnsi="times new roman"/>
                <w:sz w:val="20"/>
              </w:rPr>
            </w:pPr>
            <w:bookmarkStart w:id="46" w:name="TAB124"/>
            <w:bookmarkEnd w:id="46"/>
            <w:r>
              <w:rPr>
                <w:rFonts w:ascii="times new roman" w:hAnsi="times new roman"/>
                <w:sz w:val="20"/>
              </w:rPr>
              <w:t>1,247</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Noncurrent Liabilities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339" w:right="0" w:hanging="0"/>
              <w:jc w:val="right"/>
              <w:rPr>
                <w:rFonts w:ascii="times new roman" w:hAnsi="times new roman"/>
                <w:b/>
                <w:sz w:val="20"/>
              </w:rPr>
            </w:pPr>
            <w:bookmarkStart w:id="47" w:name="TAB125"/>
            <w:bookmarkEnd w:id="47"/>
            <w:r>
              <w:rPr>
                <w:rFonts w:ascii="times new roman" w:hAnsi="times new roman"/>
                <w:b/>
                <w:sz w:val="20"/>
              </w:rPr>
              <w:t>35,061</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289" w:right="0" w:hanging="0"/>
              <w:jc w:val="right"/>
              <w:rPr>
                <w:rFonts w:ascii="times new roman" w:hAnsi="times new roman"/>
                <w:sz w:val="20"/>
              </w:rPr>
            </w:pPr>
            <w:bookmarkStart w:id="48" w:name="TAB126"/>
            <w:bookmarkEnd w:id="48"/>
            <w:r>
              <w:rPr>
                <w:rFonts w:ascii="times new roman" w:hAnsi="times new roman"/>
                <w:sz w:val="20"/>
              </w:rPr>
              <w:t>35,930</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Liabilities</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339" w:right="0" w:hanging="0"/>
              <w:jc w:val="right"/>
              <w:rPr>
                <w:rFonts w:ascii="times new roman" w:hAnsi="times new roman"/>
                <w:b/>
                <w:sz w:val="20"/>
              </w:rPr>
            </w:pPr>
            <w:bookmarkStart w:id="49" w:name="TAB127"/>
            <w:bookmarkEnd w:id="49"/>
            <w:r>
              <w:rPr>
                <w:rFonts w:ascii="times new roman" w:hAnsi="times new roman"/>
                <w:b/>
                <w:sz w:val="20"/>
              </w:rPr>
              <w:t>58,162</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289" w:right="0" w:hanging="0"/>
              <w:jc w:val="right"/>
              <w:rPr>
                <w:rFonts w:ascii="times new roman" w:hAnsi="times new roman"/>
                <w:sz w:val="20"/>
              </w:rPr>
            </w:pPr>
            <w:bookmarkStart w:id="50" w:name="TAB128"/>
            <w:bookmarkEnd w:id="50"/>
            <w:r>
              <w:rPr>
                <w:rFonts w:ascii="times new roman" w:hAnsi="times new roman"/>
                <w:sz w:val="20"/>
              </w:rPr>
              <w:t>59,698</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Stockholders’ Equity</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par value $.10 per share, issued 7,480,046 shares at October 31, 2009 and 7,475,171 shares at July 31, 2009</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683" w:right="0" w:hanging="0"/>
              <w:jc w:val="right"/>
              <w:rPr>
                <w:rFonts w:ascii="times new roman" w:hAnsi="times new roman"/>
                <w:b/>
                <w:sz w:val="20"/>
              </w:rPr>
            </w:pPr>
            <w:bookmarkStart w:id="51" w:name="TAB129"/>
            <w:bookmarkStart w:id="52" w:name="TAB130"/>
            <w:bookmarkEnd w:id="51"/>
            <w:bookmarkEnd w:id="52"/>
            <w:r>
              <w:rPr>
                <w:rFonts w:ascii="times new roman" w:hAnsi="times new roman"/>
                <w:b/>
                <w:sz w:val="20"/>
              </w:rPr>
              <w:t>748</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633" w:right="0" w:hanging="0"/>
              <w:jc w:val="right"/>
              <w:rPr>
                <w:rFonts w:ascii="times new roman" w:hAnsi="times new roman"/>
                <w:sz w:val="20"/>
              </w:rPr>
            </w:pPr>
            <w:bookmarkStart w:id="53" w:name="TAB131"/>
            <w:bookmarkStart w:id="54" w:name="TAB132"/>
            <w:bookmarkEnd w:id="53"/>
            <w:bookmarkEnd w:id="54"/>
            <w:r>
              <w:rPr>
                <w:rFonts w:ascii="times new roman" w:hAnsi="times new roman"/>
                <w:sz w:val="20"/>
              </w:rPr>
              <w:t>747</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Class B Stock, par value $.10 per share, issued 2,245,383 shares at October 31, 2009 and 2,240,201 shares at July 31, 2009</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683" w:right="0" w:hanging="0"/>
              <w:jc w:val="right"/>
              <w:rPr>
                <w:rFonts w:ascii="times new roman" w:hAnsi="times new roman"/>
                <w:b/>
                <w:sz w:val="20"/>
              </w:rPr>
            </w:pPr>
            <w:bookmarkStart w:id="55" w:name="TAB133"/>
            <w:bookmarkEnd w:id="55"/>
            <w:r>
              <w:rPr>
                <w:rFonts w:ascii="times new roman" w:hAnsi="times new roman"/>
                <w:b/>
                <w:sz w:val="20"/>
              </w:rPr>
              <w:t>225</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633" w:right="0" w:hanging="0"/>
              <w:jc w:val="right"/>
              <w:rPr>
                <w:rFonts w:ascii="times new roman" w:hAnsi="times new roman"/>
                <w:sz w:val="20"/>
              </w:rPr>
            </w:pPr>
            <w:bookmarkStart w:id="56" w:name="TAB134"/>
            <w:bookmarkEnd w:id="56"/>
            <w:r>
              <w:rPr>
                <w:rFonts w:ascii="times new roman" w:hAnsi="times new roman"/>
                <w:sz w:val="20"/>
              </w:rPr>
              <w:t>224</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339" w:right="0" w:hanging="0"/>
              <w:jc w:val="right"/>
              <w:rPr>
                <w:rFonts w:ascii="times new roman" w:hAnsi="times new roman"/>
                <w:b/>
                <w:sz w:val="20"/>
              </w:rPr>
            </w:pPr>
            <w:bookmarkStart w:id="57" w:name="TAB135"/>
            <w:bookmarkEnd w:id="57"/>
            <w:r>
              <w:rPr>
                <w:rFonts w:ascii="times new roman" w:hAnsi="times new roman"/>
                <w:b/>
                <w:sz w:val="20"/>
              </w:rPr>
              <w:t>23,516</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23,366</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Restricted unearned stock compensation</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00" w:right="0" w:hanging="0"/>
              <w:jc w:val="right"/>
              <w:rPr>
                <w:rFonts w:ascii="times new roman" w:hAnsi="times new roman"/>
                <w:b/>
                <w:sz w:val="20"/>
              </w:rPr>
            </w:pPr>
            <w:bookmarkStart w:id="58" w:name="TAB136"/>
            <w:bookmarkEnd w:id="58"/>
            <w:r>
              <w:rPr>
                <w:rFonts w:ascii="times new roman" w:hAnsi="times new roman"/>
                <w:b/>
                <w:sz w:val="20"/>
              </w:rPr>
              <w:t>(389</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561" w:right="0" w:hanging="0"/>
              <w:jc w:val="right"/>
              <w:rPr>
                <w:rFonts w:ascii="times new roman" w:hAnsi="times new roman"/>
                <w:sz w:val="20"/>
              </w:rPr>
            </w:pPr>
            <w:bookmarkStart w:id="59" w:name="TAB137"/>
            <w:bookmarkEnd w:id="59"/>
            <w:r>
              <w:rPr>
                <w:rFonts w:ascii="times new roman" w:hAnsi="times new roman"/>
                <w:sz w:val="20"/>
              </w:rPr>
              <w:t>(383</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Retained earnings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202" w:right="0" w:hanging="0"/>
              <w:jc w:val="right"/>
              <w:rPr>
                <w:rFonts w:ascii="times new roman" w:hAnsi="times new roman"/>
                <w:b/>
                <w:sz w:val="20"/>
              </w:rPr>
            </w:pPr>
            <w:bookmarkStart w:id="60" w:name="TAB138"/>
            <w:bookmarkEnd w:id="60"/>
            <w:r>
              <w:rPr>
                <w:rFonts w:ascii="times new roman" w:hAnsi="times new roman"/>
                <w:b/>
                <w:sz w:val="20"/>
              </w:rPr>
              <w:t>112,790</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ind w:left="152" w:right="0" w:hanging="0"/>
              <w:jc w:val="right"/>
              <w:rPr>
                <w:rFonts w:ascii="times new roman" w:hAnsi="times new roman"/>
                <w:sz w:val="20"/>
              </w:rPr>
            </w:pPr>
            <w:bookmarkStart w:id="61" w:name="TAB139"/>
            <w:bookmarkEnd w:id="61"/>
            <w:r>
              <w:rPr>
                <w:rFonts w:ascii="times new roman" w:hAnsi="times new roman"/>
                <w:sz w:val="20"/>
              </w:rPr>
              <w:t>111,593</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Accumulated Other Comprehensive Income</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Unrealized gain on marketable securities</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57</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Pension and postretirement benefits</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(4,530</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(4,584</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Cumulative translation adjustment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238" w:right="0" w:hanging="0"/>
              <w:jc w:val="right"/>
              <w:rPr>
                <w:rFonts w:ascii="times new roman" w:hAnsi="times new roman"/>
                <w:b/>
                <w:sz w:val="20"/>
              </w:rPr>
            </w:pPr>
            <w:bookmarkStart w:id="62" w:name="TAB140"/>
            <w:bookmarkEnd w:id="62"/>
            <w:r>
              <w:rPr>
                <w:rFonts w:ascii="times new roman" w:hAnsi="times new roman"/>
                <w:b/>
                <w:sz w:val="20"/>
              </w:rPr>
              <w:t>269</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248" w:right="0" w:hanging="0"/>
              <w:jc w:val="right"/>
              <w:rPr>
                <w:rFonts w:ascii="times new roman" w:hAnsi="times new roman"/>
                <w:sz w:val="20"/>
              </w:rPr>
            </w:pPr>
            <w:bookmarkStart w:id="63" w:name="TAB141"/>
            <w:bookmarkEnd w:id="63"/>
            <w:r>
              <w:rPr>
                <w:rFonts w:ascii="times new roman" w:hAnsi="times new roman"/>
                <w:sz w:val="20"/>
              </w:rPr>
              <w:t>282</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283"/>
              <w:rPr/>
            </w:pPr>
            <w:r>
              <w:rPr/>
              <w:t xml:space="preserve">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202" w:right="0" w:hanging="0"/>
              <w:jc w:val="right"/>
              <w:rPr>
                <w:rFonts w:ascii="times new roman" w:hAnsi="times new roman"/>
                <w:b/>
                <w:sz w:val="20"/>
              </w:rPr>
            </w:pPr>
            <w:bookmarkStart w:id="64" w:name="TAB142"/>
            <w:bookmarkEnd w:id="64"/>
            <w:r>
              <w:rPr>
                <w:rFonts w:ascii="times new roman" w:hAnsi="times new roman"/>
                <w:b/>
                <w:sz w:val="20"/>
              </w:rPr>
              <w:t>132,686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1" w:type="dxa"/>
            <w:tcBorders/>
            <w:shd w:fill="FFFFFF" w:val="clear"/>
            <w:vAlign w:val="bottom"/>
          </w:tcPr>
          <w:p>
            <w:pPr>
              <w:pStyle w:val="TableContents"/>
              <w:spacing w:before="0" w:after="283"/>
              <w:ind w:left="152" w:right="0" w:hanging="0"/>
              <w:jc w:val="right"/>
              <w:rPr>
                <w:rFonts w:ascii="times new roman" w:hAnsi="times new roman"/>
                <w:sz w:val="20"/>
              </w:rPr>
            </w:pPr>
            <w:bookmarkStart w:id="65" w:name="TAB143"/>
            <w:bookmarkEnd w:id="65"/>
            <w:r>
              <w:rPr>
                <w:rFonts w:ascii="times new roman" w:hAnsi="times new roman"/>
                <w:sz w:val="20"/>
              </w:rPr>
              <w:t>131,285</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Less Treasury Stock, at cost (2,282,521 Common and 324,741 Class B shares at October 31, 2009 and 2,282,521 Common and 324,741 Class B shares at July 31, 2009)</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ind w:left="156" w:right="0" w:hanging="0"/>
              <w:jc w:val="right"/>
              <w:rPr>
                <w:rFonts w:ascii="times new roman" w:hAnsi="times new roman"/>
                <w:b/>
                <w:sz w:val="20"/>
              </w:rPr>
            </w:pPr>
            <w:bookmarkStart w:id="66" w:name="TAB144"/>
            <w:bookmarkEnd w:id="66"/>
            <w:r>
              <w:rPr>
                <w:rFonts w:ascii="times new roman" w:hAnsi="times new roman"/>
                <w:b/>
                <w:sz w:val="20"/>
              </w:rPr>
              <w:t>(41,722</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(41,722</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59"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Total Stockholders’ Equity</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339" w:right="0" w:hanging="0"/>
              <w:jc w:val="right"/>
              <w:rPr>
                <w:rFonts w:ascii="times new roman" w:hAnsi="times new roman"/>
                <w:b/>
                <w:sz w:val="20"/>
              </w:rPr>
            </w:pPr>
            <w:bookmarkStart w:id="67" w:name="TAB145"/>
            <w:bookmarkEnd w:id="67"/>
            <w:r>
              <w:rPr>
                <w:rFonts w:ascii="times new roman" w:hAnsi="times new roman"/>
                <w:b/>
                <w:sz w:val="20"/>
              </w:rPr>
              <w:t>90,964</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1" w:type="dxa"/>
            <w:tcBorders>
              <w:bottom w:val="single" w:sz="12" w:space="0" w:color="000000"/>
            </w:tcBorders>
            <w:shd w:fill="FFFFFF" w:val="clear"/>
            <w:tcMar>
              <w:bottom w:w="28" w:type="dxa"/>
            </w:tcMar>
            <w:vAlign w:val="bottom"/>
          </w:tcPr>
          <w:p>
            <w:pPr>
              <w:pStyle w:val="TableContents"/>
              <w:spacing w:before="0" w:after="283"/>
              <w:ind w:left="289" w:right="0" w:hanging="0"/>
              <w:jc w:val="right"/>
              <w:rPr>
                <w:rFonts w:ascii="times new roman" w:hAnsi="times new roman"/>
                <w:sz w:val="20"/>
              </w:rPr>
            </w:pPr>
            <w:bookmarkStart w:id="68" w:name="TAB146"/>
            <w:bookmarkEnd w:id="68"/>
            <w:r>
              <w:rPr>
                <w:rFonts w:ascii="times new roman" w:hAnsi="times new roman"/>
                <w:sz w:val="20"/>
              </w:rPr>
              <w:t>89,563</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5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Liabilities &amp; Stockholders’ Equity</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1" w:type="dxa"/>
            <w:tcBorders>
              <w:bottom w:val="double" w:sz="8" w:space="0" w:color="000000"/>
            </w:tcBorders>
            <w:shd w:fill="FFFFFF" w:val="clear"/>
            <w:tcMar>
              <w:bottom w:w="28" w:type="dxa"/>
            </w:tcMar>
            <w:vAlign w:val="bottom"/>
          </w:tcPr>
          <w:p>
            <w:pPr>
              <w:pStyle w:val="TableContents"/>
              <w:spacing w:before="0" w:after="283"/>
              <w:ind w:left="238" w:right="0" w:hanging="0"/>
              <w:jc w:val="right"/>
              <w:rPr>
                <w:rFonts w:ascii="times new roman" w:hAnsi="times new roman"/>
                <w:b/>
                <w:sz w:val="20"/>
              </w:rPr>
            </w:pPr>
            <w:bookmarkStart w:id="69" w:name="TAB147"/>
            <w:bookmarkEnd w:id="69"/>
            <w:r>
              <w:rPr>
                <w:rFonts w:ascii="times new roman" w:hAnsi="times new roman"/>
                <w:b/>
                <w:sz w:val="20"/>
              </w:rPr>
              <w:t>149,126</w:t>
            </w:r>
          </w:p>
        </w:tc>
        <w:tc>
          <w:tcPr>
            <w:tcW w:w="113"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1" w:type="dxa"/>
            <w:tcBorders>
              <w:bottom w:val="double" w:sz="8" w:space="0" w:color="000000"/>
            </w:tcBorders>
            <w:shd w:fill="FFFFFF" w:val="clear"/>
            <w:tcMar>
              <w:bottom w:w="28" w:type="dxa"/>
            </w:tcMar>
            <w:vAlign w:val="bottom"/>
          </w:tcPr>
          <w:p>
            <w:pPr>
              <w:pStyle w:val="TableContents"/>
              <w:spacing w:before="0" w:after="283"/>
              <w:ind w:left="248" w:right="0" w:hanging="0"/>
              <w:jc w:val="right"/>
              <w:rPr>
                <w:rFonts w:ascii="times new roman" w:hAnsi="times new roman"/>
                <w:sz w:val="20"/>
              </w:rPr>
            </w:pPr>
            <w:bookmarkStart w:id="70" w:name="TAB148"/>
            <w:bookmarkEnd w:id="70"/>
            <w:r>
              <w:rPr>
                <w:rFonts w:ascii="times new roman" w:hAnsi="times new roman"/>
                <w:sz w:val="20"/>
              </w:rPr>
              <w:t>149,261</w:t>
            </w:r>
          </w:p>
        </w:tc>
        <w:tc>
          <w:tcPr>
            <w:tcW w:w="123" w:type="dxa"/>
            <w:tcBorders/>
            <w:shd w:fill="FFFFFF" w:val="clear"/>
            <w:vAlign w:val="bottom"/>
          </w:tcPr>
          <w:p>
            <w:pPr>
              <w:pStyle w:val="TableContents"/>
              <w:spacing w:before="0" w:after="283"/>
              <w:jc w:val="left"/>
              <w:rPr/>
            </w:pPr>
            <w:r>
              <w:rPr/>
              <w:t> </w:t>
            </w:r>
          </w:p>
        </w:tc>
      </w:tr>
      <w:tr>
        <w:trPr/>
        <w:tc>
          <w:tcPr>
            <w:tcW w:w="7459" w:type="dxa"/>
            <w:tcBorders/>
            <w:shd w:fill="CCEEFF" w:val="clear"/>
            <w:vAlign w:val="bottom"/>
          </w:tcPr>
          <w:p>
            <w:pPr>
              <w:pStyle w:val="TableContents"/>
              <w:spacing w:before="0" w:after="283"/>
              <w:rPr/>
            </w:pPr>
            <w:r>
              <w:rPr/>
              <w:t xml:space="preserve">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1"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10082"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71" w:name="PGBRK2"/>
      <w:bookmarkStart w:id="72" w:name="PGBRK2"/>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73" w:name="FTR2"/>
      <w:bookmarkStart w:id="74" w:name="FTR2"/>
      <w:bookmarkEnd w:id="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75" w:name="GLFTR2"/>
      <w:bookmarkStart w:id="76" w:name="GLFTR2"/>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7" w:name="PN2"/>
      <w:bookmarkEnd w:id="77"/>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78" w:name="HDR2"/>
      <w:bookmarkStart w:id="79" w:name="HDR2"/>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0" w:name="GLHDR2"/>
      <w:bookmarkStart w:id="81" w:name="GLHDR2"/>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br/>
        <w:t> </w:t>
      </w:r>
    </w:p>
    <w:tbl>
      <w:tblPr>
        <w:tblW w:w="5000" w:type="pct"/>
        <w:jc w:val="center"/>
        <w:tblInd w:w="0" w:type="dxa"/>
        <w:tblCellMar>
          <w:top w:w="0" w:type="dxa"/>
          <w:left w:w="0" w:type="dxa"/>
          <w:bottom w:w="0" w:type="dxa"/>
          <w:right w:w="0" w:type="dxa"/>
        </w:tblCellMar>
      </w:tblPr>
      <w:tblGrid>
        <w:gridCol w:w="7442"/>
        <w:gridCol w:w="109"/>
        <w:gridCol w:w="127"/>
        <w:gridCol w:w="1027"/>
        <w:gridCol w:w="114"/>
        <w:gridCol w:w="109"/>
        <w:gridCol w:w="127"/>
        <w:gridCol w:w="1027"/>
        <w:gridCol w:w="123"/>
      </w:tblGrid>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Income and Retained Earnings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except for per share amounts)</w:t>
            </w:r>
          </w:p>
        </w:tc>
        <w:tc>
          <w:tcPr>
            <w:tcW w:w="123" w:type="dxa"/>
            <w:tcBorders/>
            <w:shd w:fill="auto" w:val="clear"/>
            <w:vAlign w:val="bottom"/>
          </w:tcPr>
          <w:p>
            <w:pPr>
              <w:pStyle w:val="TableContents"/>
              <w:spacing w:before="0" w:after="283"/>
              <w:jc w:val="left"/>
              <w:rPr/>
            </w:pPr>
            <w:r>
              <w:rPr/>
              <w:t> </w:t>
            </w:r>
          </w:p>
        </w:tc>
      </w:tr>
      <w:tr>
        <w:trPr/>
        <w:tc>
          <w:tcPr>
            <w:tcW w:w="10082"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53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w:t>
            </w:r>
          </w:p>
          <w:p>
            <w:pPr>
              <w:pStyle w:val="TableContents"/>
              <w:spacing w:before="0" w:after="0"/>
              <w:ind w:left="0" w:right="0" w:hanging="0"/>
              <w:jc w:val="center"/>
              <w:rPr/>
            </w:pPr>
            <w:r>
              <w:rPr/>
              <w:t> </w:t>
            </w:r>
            <w:r>
              <w:rPr>
                <w:rFonts w:ascii="times new roman" w:hAnsi="times new roman"/>
                <w:b/>
                <w:sz w:val="20"/>
              </w:rPr>
              <w:t>October 31,</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3" w:type="dxa"/>
            <w:tcBorders/>
            <w:shd w:fill="auto" w:val="clear"/>
            <w:vAlign w:val="bottom"/>
          </w:tcPr>
          <w:p>
            <w:pPr>
              <w:pStyle w:val="TableContents"/>
              <w:spacing w:before="0" w:after="283"/>
              <w:jc w:val="left"/>
              <w:rPr/>
            </w:pPr>
            <w:r>
              <w:rPr/>
              <w:t> </w:t>
            </w:r>
          </w:p>
        </w:tc>
      </w:tr>
      <w:tr>
        <w:trPr/>
        <w:tc>
          <w:tcPr>
            <w:tcW w:w="7442"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54" w:type="dxa"/>
            <w:gridSpan w:val="2"/>
            <w:tcBorders/>
            <w:shd w:fill="auto" w:val="clear"/>
            <w:vAlign w:val="bottom"/>
          </w:tcPr>
          <w:p>
            <w:pPr>
              <w:pStyle w:val="TableContents"/>
              <w:spacing w:before="0" w:after="283"/>
              <w:rPr/>
            </w:pPr>
            <w:r>
              <w:rPr/>
              <w:t> </w:t>
            </w:r>
          </w:p>
        </w:tc>
        <w:tc>
          <w:tcPr>
            <w:tcW w:w="123" w:type="dxa"/>
            <w:tcBorders/>
            <w:shd w:fill="auto"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Sales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53,404</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63,128</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Cost of Sales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(41,081</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(50,752</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Gross Profit</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12,323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12,376</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 Expenses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(8,971</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(8,738</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from Operations</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3,352</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3,638</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Other Income (Expense)</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(374</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Interest income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net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37</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(221</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Other Income (Expense), Net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(297</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(561</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3,055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3,077</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(861</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(831</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2,194</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2,246</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Retained Earnings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beginning of year</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111,593</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105,966</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dividends declared and treasury stock issuances</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(997</w:t>
            </w:r>
          </w:p>
        </w:tc>
        <w:tc>
          <w:tcPr>
            <w:tcW w:w="114"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(1,013</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Retained Earnings – October 31</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112,790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107,199</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283"/>
              <w:rPr/>
            </w:pPr>
            <w:r>
              <w:rPr/>
              <w:t xml:space="preserve">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 Per Share</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Basic Common</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0.33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0.34</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Basic Class B</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0.25</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0.26</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Diluted</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2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0.30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0.31</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283"/>
              <w:rPr/>
            </w:pPr>
            <w:r>
              <w:rPr/>
              <w:t xml:space="preserve">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27"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Average Shares Outstanding</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27" w:type="dxa"/>
            <w:tcBorders/>
            <w:shd w:fill="CCEEFF" w:val="clear"/>
            <w:vAlign w:val="bottom"/>
          </w:tcPr>
          <w:p>
            <w:pPr>
              <w:pStyle w:val="TableContents"/>
              <w:spacing w:before="0" w:after="283"/>
              <w:jc w:val="right"/>
              <w:rPr/>
            </w:pPr>
            <w:r>
              <w:rPr/>
              <w:t> </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Basic Common</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5,193</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5,128</w:t>
            </w:r>
          </w:p>
        </w:tc>
        <w:tc>
          <w:tcPr>
            <w:tcW w:w="123" w:type="dxa"/>
            <w:tcBorders/>
            <w:shd w:fill="FFFFFF" w:val="clear"/>
            <w:vAlign w:val="bottom"/>
          </w:tcPr>
          <w:p>
            <w:pPr>
              <w:pStyle w:val="TableContents"/>
              <w:spacing w:before="0" w:after="283"/>
              <w:jc w:val="left"/>
              <w:rPr/>
            </w:pPr>
            <w:r>
              <w:rPr/>
              <w:t> </w:t>
            </w:r>
          </w:p>
        </w:tc>
      </w:tr>
      <w:tr>
        <w:trPr/>
        <w:tc>
          <w:tcPr>
            <w:tcW w:w="7442"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Basic Class B</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1,880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1,862</w:t>
            </w:r>
          </w:p>
        </w:tc>
        <w:tc>
          <w:tcPr>
            <w:tcW w:w="123" w:type="dxa"/>
            <w:tcBorders/>
            <w:shd w:fill="CCEEFF" w:val="clear"/>
            <w:vAlign w:val="bottom"/>
          </w:tcPr>
          <w:p>
            <w:pPr>
              <w:pStyle w:val="TableContents"/>
              <w:spacing w:before="0" w:after="283"/>
              <w:jc w:val="left"/>
              <w:rPr/>
            </w:pPr>
            <w:r>
              <w:rPr/>
              <w:t> </w:t>
            </w:r>
          </w:p>
        </w:tc>
      </w:tr>
      <w:tr>
        <w:trPr/>
        <w:tc>
          <w:tcPr>
            <w:tcW w:w="7442"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Diluted</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7,248</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2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7,191</w:t>
            </w:r>
          </w:p>
        </w:tc>
        <w:tc>
          <w:tcPr>
            <w:tcW w:w="123"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82" w:name="PGBRK3"/>
      <w:bookmarkStart w:id="83" w:name="PGBRK3"/>
      <w:bookmarkEnd w:id="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4" w:name="FTR3"/>
      <w:bookmarkStart w:id="85" w:name="FTR3"/>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6" w:name="GLFTR3"/>
      <w:bookmarkStart w:id="87" w:name="GLFTR3"/>
      <w:bookmarkEnd w:id="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8" w:name="PN3"/>
      <w:bookmarkEnd w:id="88"/>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89" w:name="HDR3"/>
      <w:bookmarkStart w:id="90" w:name="HDR3"/>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1" w:name="GLHDR3"/>
      <w:bookmarkStart w:id="92" w:name="GLHDR3"/>
      <w:bookmarkEnd w:id="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center"/>
        <w:rPr/>
      </w:pPr>
      <w:r>
        <w:rPr/>
      </w:r>
    </w:p>
    <w:tbl>
      <w:tblPr>
        <w:tblW w:w="3000" w:type="pct"/>
        <w:jc w:val="left"/>
        <w:tblInd w:w="0" w:type="dxa"/>
        <w:tblCellMar>
          <w:top w:w="0" w:type="dxa"/>
          <w:left w:w="0" w:type="dxa"/>
          <w:bottom w:w="0" w:type="dxa"/>
          <w:right w:w="0" w:type="dxa"/>
        </w:tblCellMar>
      </w:tblPr>
      <w:tblGrid>
        <w:gridCol w:w="3362"/>
        <w:gridCol w:w="96"/>
        <w:gridCol w:w="127"/>
        <w:gridCol w:w="1046"/>
        <w:gridCol w:w="105"/>
        <w:gridCol w:w="96"/>
        <w:gridCol w:w="127"/>
        <w:gridCol w:w="1046"/>
        <w:gridCol w:w="118"/>
      </w:tblGrid>
      <w:tr>
        <w:trPr/>
        <w:tc>
          <w:tcPr>
            <w:tcW w:w="6005"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18" w:type="dxa"/>
            <w:tcBorders/>
            <w:shd w:fill="auto" w:val="clear"/>
            <w:vAlign w:val="bottom"/>
          </w:tcPr>
          <w:p>
            <w:pPr>
              <w:pStyle w:val="TableContents"/>
              <w:spacing w:before="0" w:after="283"/>
              <w:jc w:val="left"/>
              <w:rPr/>
            </w:pPr>
            <w:r>
              <w:rPr/>
              <w:t> </w:t>
            </w:r>
          </w:p>
        </w:tc>
      </w:tr>
      <w:tr>
        <w:trPr/>
        <w:tc>
          <w:tcPr>
            <w:tcW w:w="6005"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Comprehensive Income</w:t>
            </w:r>
          </w:p>
        </w:tc>
        <w:tc>
          <w:tcPr>
            <w:tcW w:w="118" w:type="dxa"/>
            <w:tcBorders/>
            <w:shd w:fill="auto" w:val="clear"/>
            <w:vAlign w:val="bottom"/>
          </w:tcPr>
          <w:p>
            <w:pPr>
              <w:pStyle w:val="TableContents"/>
              <w:spacing w:before="0" w:after="283"/>
              <w:jc w:val="left"/>
              <w:rPr/>
            </w:pPr>
            <w:r>
              <w:rPr/>
              <w:t> </w:t>
            </w:r>
          </w:p>
        </w:tc>
      </w:tr>
      <w:tr>
        <w:trPr/>
        <w:tc>
          <w:tcPr>
            <w:tcW w:w="6005"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18" w:type="dxa"/>
            <w:tcBorders/>
            <w:shd w:fill="auto" w:val="clear"/>
            <w:vAlign w:val="bottom"/>
          </w:tcPr>
          <w:p>
            <w:pPr>
              <w:pStyle w:val="TableContents"/>
              <w:spacing w:before="0" w:after="283"/>
              <w:jc w:val="left"/>
              <w:rPr/>
            </w:pPr>
            <w:r>
              <w:rPr/>
              <w:t> </w:t>
            </w:r>
          </w:p>
        </w:tc>
      </w:tr>
      <w:tr>
        <w:trPr/>
        <w:tc>
          <w:tcPr>
            <w:tcW w:w="6005"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8" w:type="dxa"/>
            <w:tcBorders/>
            <w:shd w:fill="auto" w:val="clear"/>
            <w:vAlign w:val="bottom"/>
          </w:tcPr>
          <w:p>
            <w:pPr>
              <w:pStyle w:val="TableContents"/>
              <w:spacing w:before="0" w:after="283"/>
              <w:jc w:val="left"/>
              <w:rPr/>
            </w:pPr>
            <w:r>
              <w:rPr/>
              <w:t> </w:t>
            </w:r>
          </w:p>
        </w:tc>
      </w:tr>
      <w:tr>
        <w:trPr/>
        <w:tc>
          <w:tcPr>
            <w:tcW w:w="3362"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2547" w:type="dxa"/>
            <w:gridSpan w:val="6"/>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3362"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254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w:t>
            </w:r>
          </w:p>
          <w:p>
            <w:pPr>
              <w:pStyle w:val="TableContents"/>
              <w:spacing w:before="0" w:after="0"/>
              <w:ind w:left="0" w:right="0" w:hanging="0"/>
              <w:jc w:val="center"/>
              <w:rPr/>
            </w:pPr>
            <w:r>
              <w:rPr/>
              <w:t> </w:t>
            </w:r>
            <w:r>
              <w:rPr>
                <w:rFonts w:ascii="times new roman" w:hAnsi="times new roman"/>
                <w:b/>
                <w:sz w:val="20"/>
              </w:rPr>
              <w:t>October 31,</w:t>
            </w:r>
          </w:p>
        </w:tc>
        <w:tc>
          <w:tcPr>
            <w:tcW w:w="118" w:type="dxa"/>
            <w:tcBorders/>
            <w:shd w:fill="auto" w:val="clear"/>
            <w:vAlign w:val="bottom"/>
          </w:tcPr>
          <w:p>
            <w:pPr>
              <w:pStyle w:val="TableContents"/>
              <w:spacing w:before="0" w:after="283"/>
              <w:jc w:val="left"/>
              <w:rPr/>
            </w:pPr>
            <w:r>
              <w:rPr/>
              <w:t> </w:t>
            </w:r>
          </w:p>
        </w:tc>
      </w:tr>
      <w:tr>
        <w:trPr/>
        <w:tc>
          <w:tcPr>
            <w:tcW w:w="3362"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1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18" w:type="dxa"/>
            <w:tcBorders/>
            <w:shd w:fill="auto" w:val="clear"/>
            <w:vAlign w:val="bottom"/>
          </w:tcPr>
          <w:p>
            <w:pPr>
              <w:pStyle w:val="TableContents"/>
              <w:spacing w:before="0" w:after="283"/>
              <w:jc w:val="left"/>
              <w:rPr/>
            </w:pPr>
            <w:r>
              <w:rPr/>
              <w:t> </w:t>
            </w:r>
          </w:p>
        </w:tc>
      </w:tr>
      <w:tr>
        <w:trPr/>
        <w:tc>
          <w:tcPr>
            <w:tcW w:w="3362"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1173" w:type="dxa"/>
            <w:gridSpan w:val="2"/>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73"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3362"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96"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2,194</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2,246</w:t>
            </w:r>
          </w:p>
        </w:tc>
        <w:tc>
          <w:tcPr>
            <w:tcW w:w="118" w:type="dxa"/>
            <w:tcBorders/>
            <w:shd w:fill="CCEEFF" w:val="clear"/>
            <w:vAlign w:val="bottom"/>
          </w:tcPr>
          <w:p>
            <w:pPr>
              <w:pStyle w:val="TableContents"/>
              <w:spacing w:before="0" w:after="283"/>
              <w:jc w:val="left"/>
              <w:rPr/>
            </w:pPr>
            <w:r>
              <w:rPr/>
              <w:t> </w:t>
            </w:r>
          </w:p>
        </w:tc>
      </w:tr>
      <w:tr>
        <w:trPr/>
        <w:tc>
          <w:tcPr>
            <w:tcW w:w="3362" w:type="dxa"/>
            <w:tcBorders/>
            <w:shd w:fill="FFFFFF" w:val="clear"/>
            <w:vAlign w:val="bottom"/>
          </w:tcPr>
          <w:p>
            <w:pPr>
              <w:pStyle w:val="TableContents"/>
              <w:spacing w:before="0" w:after="283"/>
              <w:rPr/>
            </w:pPr>
            <w:r>
              <w:rPr/>
              <w:t xml:space="preserve">  </w:t>
            </w:r>
          </w:p>
        </w:tc>
        <w:tc>
          <w:tcPr>
            <w:tcW w:w="96"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336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Comprehensive Income:</w:t>
            </w:r>
          </w:p>
        </w:tc>
        <w:tc>
          <w:tcPr>
            <w:tcW w:w="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33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Unrealized (loss) gain on marketable securities</w:t>
            </w:r>
          </w:p>
        </w:tc>
        <w:tc>
          <w:tcPr>
            <w:tcW w:w="96"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17</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4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Pension and postretirement benefits</w:t>
            </w:r>
          </w:p>
        </w:tc>
        <w:tc>
          <w:tcPr>
            <w:tcW w:w="96"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54</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18" w:type="dxa"/>
            <w:tcBorders/>
            <w:shd w:fill="CCEEFF" w:val="clear"/>
            <w:vAlign w:val="bottom"/>
          </w:tcPr>
          <w:p>
            <w:pPr>
              <w:pStyle w:val="TableContents"/>
              <w:spacing w:before="0" w:after="283"/>
              <w:jc w:val="left"/>
              <w:rPr/>
            </w:pPr>
            <w:r>
              <w:rPr/>
              <w:t> </w:t>
            </w:r>
          </w:p>
        </w:tc>
      </w:tr>
      <w:tr>
        <w:trPr/>
        <w:tc>
          <w:tcPr>
            <w:tcW w:w="33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Cumulative translation adjustment</w:t>
            </w:r>
          </w:p>
        </w:tc>
        <w:tc>
          <w:tcPr>
            <w:tcW w:w="96"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(13</w:t>
            </w:r>
          </w:p>
        </w:tc>
        <w:tc>
          <w:tcPr>
            <w:tcW w:w="105"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(774</w:t>
            </w:r>
          </w:p>
        </w:tc>
        <w:tc>
          <w:tcPr>
            <w:tcW w:w="11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362" w:type="dxa"/>
            <w:tcBorders/>
            <w:shd w:fill="CCEEFF" w:val="clear"/>
            <w:vAlign w:val="bottom"/>
          </w:tcPr>
          <w:p>
            <w:pPr>
              <w:pStyle w:val="TableContents"/>
              <w:spacing w:before="0" w:after="283"/>
              <w:rPr/>
            </w:pPr>
            <w:r>
              <w:rPr/>
              <w:t xml:space="preserve">  </w:t>
            </w:r>
          </w:p>
        </w:tc>
        <w:tc>
          <w:tcPr>
            <w:tcW w:w="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3362"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Comprehensive Income</w:t>
            </w:r>
          </w:p>
        </w:tc>
        <w:tc>
          <w:tcPr>
            <w:tcW w:w="96"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46" w:type="dxa"/>
            <w:tcBorders>
              <w:bottom w:val="double" w:sz="8" w:space="0" w:color="000000"/>
            </w:tcBorders>
            <w:shd w:fill="FFFFFF" w:val="clear"/>
            <w:tcMar>
              <w:bottom w:w="28" w:type="dxa"/>
            </w:tcMar>
            <w:vAlign w:val="bottom"/>
          </w:tcPr>
          <w:p>
            <w:pPr>
              <w:pStyle w:val="TableContents"/>
              <w:spacing w:before="0" w:after="283"/>
              <w:ind w:left="646" w:right="0" w:hanging="0"/>
              <w:jc w:val="right"/>
              <w:rPr>
                <w:rFonts w:ascii="times new roman" w:hAnsi="times new roman"/>
                <w:b/>
                <w:sz w:val="20"/>
              </w:rPr>
            </w:pPr>
            <w:bookmarkStart w:id="93" w:name="TAB149"/>
            <w:bookmarkEnd w:id="93"/>
            <w:r>
              <w:rPr>
                <w:rFonts w:ascii="times new roman" w:hAnsi="times new roman"/>
                <w:b/>
                <w:sz w:val="20"/>
              </w:rPr>
              <w:t>2,252</w:t>
            </w:r>
          </w:p>
        </w:tc>
        <w:tc>
          <w:tcPr>
            <w:tcW w:w="105"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6" w:type="dxa"/>
            <w:tcBorders>
              <w:bottom w:val="double" w:sz="8" w:space="0" w:color="000000"/>
            </w:tcBorders>
            <w:shd w:fill="FFFFFF" w:val="clear"/>
            <w:tcMar>
              <w:bottom w:w="28" w:type="dxa"/>
            </w:tcMar>
            <w:vAlign w:val="bottom"/>
          </w:tcPr>
          <w:p>
            <w:pPr>
              <w:pStyle w:val="TableContents"/>
              <w:spacing w:before="0" w:after="283"/>
              <w:ind w:left="646" w:right="0" w:hanging="0"/>
              <w:jc w:val="right"/>
              <w:rPr>
                <w:rFonts w:ascii="times new roman" w:hAnsi="times new roman"/>
                <w:sz w:val="20"/>
              </w:rPr>
            </w:pPr>
            <w:bookmarkStart w:id="94" w:name="TAB150"/>
            <w:bookmarkEnd w:id="94"/>
            <w:r>
              <w:rPr>
                <w:rFonts w:ascii="times new roman" w:hAnsi="times new roman"/>
                <w:sz w:val="20"/>
              </w:rPr>
              <w:t>1,468</w:t>
            </w:r>
          </w:p>
        </w:tc>
        <w:tc>
          <w:tcPr>
            <w:tcW w:w="118" w:type="dxa"/>
            <w:tcBorders/>
            <w:shd w:fill="FFFFFF" w:val="clear"/>
            <w:vAlign w:val="bottom"/>
          </w:tcPr>
          <w:p>
            <w:pPr>
              <w:pStyle w:val="TableContents"/>
              <w:spacing w:before="0" w:after="283"/>
              <w:jc w:val="left"/>
              <w:rPr/>
            </w:pPr>
            <w:r>
              <w:rPr/>
              <w:t> </w:t>
            </w:r>
          </w:p>
        </w:tc>
      </w:tr>
      <w:tr>
        <w:trPr/>
        <w:tc>
          <w:tcPr>
            <w:tcW w:w="3362" w:type="dxa"/>
            <w:tcBorders/>
            <w:shd w:fill="CCEEFF" w:val="clear"/>
            <w:vAlign w:val="bottom"/>
          </w:tcPr>
          <w:p>
            <w:pPr>
              <w:pStyle w:val="TableContents"/>
              <w:spacing w:before="0" w:after="283"/>
              <w:rPr/>
            </w:pPr>
            <w:r>
              <w:rPr/>
              <w:t xml:space="preserve">  </w:t>
            </w:r>
          </w:p>
        </w:tc>
        <w:tc>
          <w:tcPr>
            <w:tcW w:w="96"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pPr>
            <w:r>
              <w:rPr/>
              <w:t> </w:t>
            </w:r>
          </w:p>
        </w:tc>
        <w:tc>
          <w:tcPr>
            <w:tcW w:w="1046"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95" w:name="PGBRK4"/>
      <w:bookmarkStart w:id="96" w:name="PGBRK4"/>
      <w:bookmarkEnd w:id="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97" w:name="FTR4"/>
      <w:bookmarkStart w:id="98" w:name="FTR4"/>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99" w:name="GLFTR4"/>
      <w:bookmarkEnd w:id="9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0" w:name="PN4"/>
      <w:bookmarkEnd w:id="100"/>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01" w:name="HDR4"/>
      <w:bookmarkStart w:id="102" w:name="HDR4"/>
      <w:bookmarkEnd w:id="1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103" w:name="GLHDR4"/>
      <w:bookmarkEnd w:id="103"/>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7487"/>
        <w:gridCol w:w="108"/>
        <w:gridCol w:w="125"/>
        <w:gridCol w:w="1009"/>
        <w:gridCol w:w="113"/>
        <w:gridCol w:w="108"/>
        <w:gridCol w:w="125"/>
        <w:gridCol w:w="1009"/>
        <w:gridCol w:w="121"/>
      </w:tblGrid>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Condensed Consolidated Statements of Cash Flows</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 of dollars)</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21" w:type="dxa"/>
            <w:tcBorders/>
            <w:shd w:fill="auto" w:val="clear"/>
            <w:vAlign w:val="bottom"/>
          </w:tcPr>
          <w:p>
            <w:pPr>
              <w:pStyle w:val="TableContents"/>
              <w:spacing w:before="0" w:after="283"/>
              <w:jc w:val="left"/>
              <w:rPr/>
            </w:pPr>
            <w:r>
              <w:rPr/>
              <w:t> </w:t>
            </w:r>
          </w:p>
        </w:tc>
      </w:tr>
      <w:tr>
        <w:trPr/>
        <w:tc>
          <w:tcPr>
            <w:tcW w:w="7487"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248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Three Months Ended October 31,</w:t>
            </w:r>
          </w:p>
        </w:tc>
        <w:tc>
          <w:tcPr>
            <w:tcW w:w="121" w:type="dxa"/>
            <w:tcBorders/>
            <w:shd w:fill="auto" w:val="clear"/>
            <w:vAlign w:val="bottom"/>
          </w:tcPr>
          <w:p>
            <w:pPr>
              <w:pStyle w:val="TableContents"/>
              <w:spacing w:before="0" w:after="283"/>
              <w:jc w:val="left"/>
              <w:rPr/>
            </w:pPr>
            <w:r>
              <w:rPr/>
              <w:t> </w:t>
            </w:r>
          </w:p>
        </w:tc>
      </w:tr>
      <w:tr>
        <w:trPr/>
        <w:tc>
          <w:tcPr>
            <w:tcW w:w="7487" w:type="dxa"/>
            <w:tcBorders/>
            <w:shd w:fill="auto"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FLOWS FROM OPERATING ACTIVITIES</w:t>
            </w:r>
          </w:p>
        </w:tc>
        <w:tc>
          <w:tcPr>
            <w:tcW w:w="108" w:type="dxa"/>
            <w:tcBorders/>
            <w:shd w:fill="auto" w:val="clear"/>
            <w:vAlign w:val="bottom"/>
          </w:tcPr>
          <w:p>
            <w:pPr>
              <w:pStyle w:val="TableContents"/>
              <w:spacing w:before="0" w:after="283"/>
              <w:rPr/>
            </w:pPr>
            <w:r>
              <w:rPr/>
              <w:t>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1" w:type="dxa"/>
            <w:tcBorders/>
            <w:shd w:fill="auto"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09" w:type="dxa"/>
            <w:tcBorders>
              <w:bottom w:val="single" w:sz="12"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b/>
                <w:sz w:val="20"/>
              </w:rPr>
            </w:pPr>
            <w:bookmarkStart w:id="104" w:name="TAB151"/>
            <w:bookmarkEnd w:id="104"/>
            <w:r>
              <w:rPr>
                <w:rFonts w:ascii="times new roman" w:hAnsi="times new roman"/>
                <w:b/>
                <w:sz w:val="20"/>
              </w:rPr>
              <w:t>2,194</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single" w:sz="12"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sz w:val="20"/>
              </w:rPr>
            </w:pPr>
            <w:bookmarkStart w:id="105" w:name="TAB152"/>
            <w:bookmarkEnd w:id="105"/>
            <w:r>
              <w:rPr>
                <w:rFonts w:ascii="times new roman" w:hAnsi="times new roman"/>
                <w:sz w:val="20"/>
              </w:rPr>
              <w:t>2,246</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income to net cash</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provided by operating activities: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 and amortization</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74" w:right="0" w:hanging="0"/>
              <w:jc w:val="right"/>
              <w:rPr>
                <w:rFonts w:ascii="times new roman" w:hAnsi="times new roman"/>
                <w:b/>
                <w:sz w:val="20"/>
              </w:rPr>
            </w:pPr>
            <w:bookmarkStart w:id="106" w:name="TAB153"/>
            <w:bookmarkEnd w:id="106"/>
            <w:r>
              <w:rPr>
                <w:rFonts w:ascii="times new roman" w:hAnsi="times new roman"/>
                <w:b/>
                <w:sz w:val="20"/>
              </w:rPr>
              <w:t>1,889</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74" w:right="0" w:hanging="0"/>
              <w:jc w:val="right"/>
              <w:rPr>
                <w:rFonts w:ascii="times new roman" w:hAnsi="times new roman"/>
                <w:sz w:val="20"/>
              </w:rPr>
            </w:pPr>
            <w:bookmarkStart w:id="107" w:name="TAB154"/>
            <w:bookmarkEnd w:id="107"/>
            <w:r>
              <w:rPr>
                <w:rFonts w:ascii="times new roman" w:hAnsi="times new roman"/>
                <w:sz w:val="20"/>
              </w:rPr>
              <w:t>1,885</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investment discount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71" w:right="0" w:hanging="0"/>
              <w:jc w:val="right"/>
              <w:rPr>
                <w:rFonts w:ascii="times new roman" w:hAnsi="times new roman"/>
                <w:b/>
                <w:sz w:val="20"/>
              </w:rPr>
            </w:pPr>
            <w:bookmarkStart w:id="108" w:name="TAB155"/>
            <w:bookmarkEnd w:id="108"/>
            <w:r>
              <w:rPr>
                <w:rFonts w:ascii="times new roman" w:hAnsi="times new roman"/>
                <w:b/>
                <w:sz w:val="20"/>
              </w:rPr>
              <w:t>(4</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34" w:right="0" w:hanging="0"/>
              <w:jc w:val="right"/>
              <w:rPr>
                <w:rFonts w:ascii="times new roman" w:hAnsi="times new roman"/>
                <w:sz w:val="20"/>
              </w:rPr>
            </w:pPr>
            <w:bookmarkStart w:id="109" w:name="TAB156"/>
            <w:bookmarkEnd w:id="109"/>
            <w:r>
              <w:rPr>
                <w:rFonts w:ascii="times new roman" w:hAnsi="times new roman"/>
                <w:sz w:val="20"/>
              </w:rPr>
              <w:t>(75</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Non-cash stock compensation expense</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717" w:right="0" w:hanging="0"/>
              <w:jc w:val="right"/>
              <w:rPr>
                <w:rFonts w:ascii="times new roman" w:hAnsi="times new roman"/>
                <w:b/>
                <w:sz w:val="20"/>
              </w:rPr>
            </w:pPr>
            <w:bookmarkStart w:id="110" w:name="TAB157"/>
            <w:bookmarkEnd w:id="110"/>
            <w:r>
              <w:rPr>
                <w:rFonts w:ascii="times new roman" w:hAnsi="times new roman"/>
                <w:b/>
                <w:sz w:val="20"/>
              </w:rPr>
              <w:t>86</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580" w:right="0" w:hanging="0"/>
              <w:jc w:val="right"/>
              <w:rPr>
                <w:rFonts w:ascii="times new roman" w:hAnsi="times new roman"/>
                <w:sz w:val="20"/>
              </w:rPr>
            </w:pPr>
            <w:bookmarkStart w:id="111" w:name="TAB158"/>
            <w:bookmarkEnd w:id="111"/>
            <w:r>
              <w:rPr>
                <w:rFonts w:ascii="times new roman" w:hAnsi="times new roman"/>
                <w:sz w:val="20"/>
              </w:rPr>
              <w:t>159</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Excess tax benefits for share-based payments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671" w:right="0" w:hanging="0"/>
              <w:jc w:val="right"/>
              <w:rPr>
                <w:rFonts w:ascii="times new roman" w:hAnsi="times new roman"/>
                <w:b/>
                <w:sz w:val="20"/>
              </w:rPr>
            </w:pPr>
            <w:bookmarkStart w:id="112" w:name="TAB159"/>
            <w:bookmarkEnd w:id="112"/>
            <w:r>
              <w:rPr>
                <w:rFonts w:ascii="times new roman" w:hAnsi="times new roman"/>
                <w:b/>
                <w:sz w:val="20"/>
              </w:rPr>
              <w:t>(5</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34" w:right="0" w:hanging="0"/>
              <w:jc w:val="right"/>
              <w:rPr>
                <w:rFonts w:ascii="times new roman" w:hAnsi="times new roman"/>
                <w:sz w:val="20"/>
              </w:rPr>
            </w:pPr>
            <w:bookmarkStart w:id="113" w:name="TAB160"/>
            <w:bookmarkEnd w:id="113"/>
            <w:r>
              <w:rPr>
                <w:rFonts w:ascii="times new roman" w:hAnsi="times new roman"/>
                <w:sz w:val="20"/>
              </w:rPr>
              <w:t>(61</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Deferred income taxes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717" w:right="0" w:hanging="0"/>
              <w:jc w:val="right"/>
              <w:rPr>
                <w:rFonts w:ascii="times new roman" w:hAnsi="times new roman"/>
                <w:b/>
                <w:sz w:val="20"/>
              </w:rPr>
            </w:pPr>
            <w:bookmarkStart w:id="114" w:name="TAB161"/>
            <w:bookmarkEnd w:id="114"/>
            <w:r>
              <w:rPr>
                <w:rFonts w:ascii="times new roman" w:hAnsi="times new roman"/>
                <w:b/>
                <w:sz w:val="20"/>
              </w:rPr>
              <w:t>33</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534" w:right="0" w:hanging="0"/>
              <w:jc w:val="right"/>
              <w:rPr>
                <w:rFonts w:ascii="times new roman" w:hAnsi="times new roman"/>
                <w:sz w:val="20"/>
              </w:rPr>
            </w:pPr>
            <w:bookmarkStart w:id="115" w:name="TAB162"/>
            <w:bookmarkEnd w:id="115"/>
            <w:r>
              <w:rPr>
                <w:rFonts w:ascii="times new roman" w:hAnsi="times new roman"/>
                <w:sz w:val="20"/>
              </w:rPr>
              <w:t>(11</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Provision for bad debts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34" w:right="0" w:hanging="0"/>
              <w:jc w:val="right"/>
              <w:rPr>
                <w:rFonts w:ascii="times new roman" w:hAnsi="times new roman"/>
                <w:b/>
                <w:sz w:val="20"/>
              </w:rPr>
            </w:pPr>
            <w:bookmarkStart w:id="116" w:name="TAB163"/>
            <w:bookmarkEnd w:id="116"/>
            <w:r>
              <w:rPr>
                <w:rFonts w:ascii="times new roman" w:hAnsi="times new roman"/>
                <w:b/>
                <w:sz w:val="20"/>
              </w:rPr>
              <w:t>(54</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717" w:right="0" w:hanging="0"/>
              <w:jc w:val="right"/>
              <w:rPr>
                <w:rFonts w:ascii="times new roman" w:hAnsi="times new roman"/>
                <w:sz w:val="20"/>
              </w:rPr>
            </w:pPr>
            <w:bookmarkStart w:id="117" w:name="TAB164"/>
            <w:bookmarkEnd w:id="117"/>
            <w:r>
              <w:rPr>
                <w:rFonts w:ascii="times new roman" w:hAnsi="times new roman"/>
                <w:sz w:val="20"/>
              </w:rPr>
              <w:t>37</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the sale of fixed assets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854" w:right="0" w:hanging="0"/>
              <w:jc w:val="right"/>
              <w:rPr>
                <w:rFonts w:ascii="times new roman" w:hAnsi="times new roman"/>
                <w:b/>
                <w:sz w:val="20"/>
              </w:rPr>
            </w:pPr>
            <w:bookmarkStart w:id="118" w:name="TAB165"/>
            <w:bookmarkEnd w:id="118"/>
            <w:r>
              <w:rPr>
                <w:rFonts w:ascii="times new roman" w:hAnsi="times new roman"/>
                <w:b/>
                <w:sz w:val="20"/>
              </w:rPr>
              <w:t>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854" w:right="0" w:hanging="0"/>
              <w:jc w:val="right"/>
              <w:rPr>
                <w:rFonts w:ascii="times new roman" w:hAnsi="times new roman"/>
                <w:sz w:val="20"/>
              </w:rPr>
            </w:pPr>
            <w:bookmarkStart w:id="119" w:name="TAB166"/>
            <w:bookmarkEnd w:id="119"/>
            <w:r>
              <w:rPr>
                <w:rFonts w:ascii="times new roman" w:hAnsi="times new roman"/>
                <w:sz w:val="20"/>
              </w:rPr>
              <w:t>1</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(Increase) Decrease in:</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receivable</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74" w:right="0" w:hanging="0"/>
              <w:jc w:val="right"/>
              <w:rPr>
                <w:rFonts w:ascii="times new roman" w:hAnsi="times new roman"/>
                <w:b/>
                <w:sz w:val="20"/>
              </w:rPr>
            </w:pPr>
            <w:bookmarkStart w:id="120" w:name="TAB167"/>
            <w:bookmarkEnd w:id="120"/>
            <w:r>
              <w:rPr>
                <w:rFonts w:ascii="times new roman" w:hAnsi="times new roman"/>
                <w:b/>
                <w:sz w:val="20"/>
              </w:rPr>
              <w:t>3,486</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191" w:right="0" w:hanging="0"/>
              <w:jc w:val="right"/>
              <w:rPr>
                <w:rFonts w:ascii="times new roman" w:hAnsi="times new roman"/>
                <w:sz w:val="20"/>
              </w:rPr>
            </w:pPr>
            <w:bookmarkStart w:id="121" w:name="TAB168"/>
            <w:bookmarkEnd w:id="121"/>
            <w:r>
              <w:rPr>
                <w:rFonts w:ascii="times new roman" w:hAnsi="times new roman"/>
                <w:sz w:val="20"/>
              </w:rPr>
              <w:t>(1,417</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Inventories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74" w:right="0" w:hanging="0"/>
              <w:jc w:val="right"/>
              <w:rPr>
                <w:rFonts w:ascii="times new roman" w:hAnsi="times new roman"/>
                <w:b/>
                <w:sz w:val="20"/>
              </w:rPr>
            </w:pPr>
            <w:bookmarkStart w:id="122" w:name="TAB169"/>
            <w:bookmarkEnd w:id="122"/>
            <w:r>
              <w:rPr>
                <w:rFonts w:ascii="times new roman" w:hAnsi="times new roman"/>
                <w:b/>
                <w:sz w:val="20"/>
              </w:rPr>
              <w:t>1,397</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91" w:right="0" w:hanging="0"/>
              <w:jc w:val="right"/>
              <w:rPr>
                <w:rFonts w:ascii="times new roman" w:hAnsi="times new roman"/>
                <w:sz w:val="20"/>
              </w:rPr>
            </w:pPr>
            <w:bookmarkStart w:id="123" w:name="TAB170"/>
            <w:bookmarkEnd w:id="123"/>
            <w:r>
              <w:rPr>
                <w:rFonts w:ascii="times new roman" w:hAnsi="times new roman"/>
                <w:sz w:val="20"/>
              </w:rPr>
              <w:t>(2,089</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expenses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97" w:right="0" w:hanging="0"/>
              <w:jc w:val="right"/>
              <w:rPr>
                <w:rFonts w:ascii="times new roman" w:hAnsi="times new roman"/>
                <w:b/>
                <w:sz w:val="20"/>
              </w:rPr>
            </w:pPr>
            <w:bookmarkStart w:id="124" w:name="TAB171"/>
            <w:bookmarkEnd w:id="124"/>
            <w:r>
              <w:rPr>
                <w:rFonts w:ascii="times new roman" w:hAnsi="times new roman"/>
                <w:b/>
                <w:sz w:val="20"/>
              </w:rPr>
              <w:t>(219</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97" w:right="0" w:hanging="0"/>
              <w:jc w:val="right"/>
              <w:rPr>
                <w:rFonts w:ascii="times new roman" w:hAnsi="times new roman"/>
                <w:sz w:val="20"/>
              </w:rPr>
            </w:pPr>
            <w:bookmarkStart w:id="125" w:name="TAB172"/>
            <w:bookmarkEnd w:id="125"/>
            <w:r>
              <w:rPr>
                <w:rFonts w:ascii="times new roman" w:hAnsi="times new roman"/>
                <w:sz w:val="20"/>
              </w:rPr>
              <w:t>(509</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assets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80" w:right="0" w:hanging="0"/>
              <w:jc w:val="right"/>
              <w:rPr>
                <w:rFonts w:ascii="times new roman" w:hAnsi="times new roman"/>
                <w:b/>
                <w:sz w:val="20"/>
              </w:rPr>
            </w:pPr>
            <w:bookmarkStart w:id="126" w:name="TAB173"/>
            <w:bookmarkEnd w:id="126"/>
            <w:r>
              <w:rPr>
                <w:rFonts w:ascii="times new roman" w:hAnsi="times new roman"/>
                <w:b/>
                <w:sz w:val="20"/>
              </w:rPr>
              <w:t>139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91" w:right="0" w:hanging="0"/>
              <w:jc w:val="right"/>
              <w:rPr>
                <w:rFonts w:ascii="times new roman" w:hAnsi="times new roman"/>
                <w:sz w:val="20"/>
              </w:rPr>
            </w:pPr>
            <w:bookmarkStart w:id="127" w:name="TAB174"/>
            <w:bookmarkEnd w:id="127"/>
            <w:r>
              <w:rPr>
                <w:rFonts w:ascii="times new roman" w:hAnsi="times new roman"/>
                <w:sz w:val="20"/>
              </w:rPr>
              <w:t>(1,081</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Increase (Decrease) in:</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97" w:right="0" w:hanging="0"/>
              <w:jc w:val="right"/>
              <w:rPr>
                <w:rFonts w:ascii="times new roman" w:hAnsi="times new roman"/>
                <w:b/>
                <w:sz w:val="20"/>
              </w:rPr>
            </w:pPr>
            <w:bookmarkStart w:id="128" w:name="TAB175"/>
            <w:bookmarkEnd w:id="128"/>
            <w:r>
              <w:rPr>
                <w:rFonts w:ascii="times new roman" w:hAnsi="times new roman"/>
                <w:b/>
                <w:sz w:val="20"/>
              </w:rPr>
              <w:t>(829</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97" w:right="0" w:hanging="0"/>
              <w:jc w:val="right"/>
              <w:rPr>
                <w:rFonts w:ascii="times new roman" w:hAnsi="times new roman"/>
                <w:sz w:val="20"/>
              </w:rPr>
            </w:pPr>
            <w:bookmarkStart w:id="129" w:name="TAB176"/>
            <w:bookmarkEnd w:id="129"/>
            <w:r>
              <w:rPr>
                <w:rFonts w:ascii="times new roman" w:hAnsi="times new roman"/>
                <w:sz w:val="20"/>
              </w:rPr>
              <w:t>(118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expenses</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191" w:right="0" w:hanging="0"/>
              <w:jc w:val="right"/>
              <w:rPr>
                <w:rFonts w:ascii="times new roman" w:hAnsi="times new roman"/>
                <w:b/>
                <w:sz w:val="20"/>
              </w:rPr>
            </w:pPr>
            <w:bookmarkStart w:id="130" w:name="TAB177"/>
            <w:bookmarkEnd w:id="130"/>
            <w:r>
              <w:rPr>
                <w:rFonts w:ascii="times new roman" w:hAnsi="times new roman"/>
                <w:b/>
                <w:sz w:val="20"/>
              </w:rPr>
              <w:t>(1,165</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191" w:right="0" w:hanging="0"/>
              <w:jc w:val="right"/>
              <w:rPr>
                <w:rFonts w:ascii="times new roman" w:hAnsi="times new roman"/>
                <w:sz w:val="20"/>
              </w:rPr>
            </w:pPr>
            <w:bookmarkStart w:id="131" w:name="TAB178"/>
            <w:bookmarkEnd w:id="131"/>
            <w:r>
              <w:rPr>
                <w:rFonts w:ascii="times new roman" w:hAnsi="times new roman"/>
                <w:sz w:val="20"/>
              </w:rPr>
              <w:t>(2,274</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compensation</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80" w:right="0" w:hanging="0"/>
              <w:jc w:val="right"/>
              <w:rPr>
                <w:rFonts w:ascii="times new roman" w:hAnsi="times new roman"/>
                <w:b/>
                <w:sz w:val="20"/>
              </w:rPr>
            </w:pPr>
            <w:bookmarkStart w:id="132" w:name="TAB179"/>
            <w:bookmarkEnd w:id="132"/>
            <w:r>
              <w:rPr>
                <w:rFonts w:ascii="times new roman" w:hAnsi="times new roman"/>
                <w:b/>
                <w:sz w:val="20"/>
              </w:rPr>
              <w:t>209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80" w:right="0" w:hanging="0"/>
              <w:jc w:val="right"/>
              <w:rPr>
                <w:rFonts w:ascii="times new roman" w:hAnsi="times new roman"/>
                <w:sz w:val="20"/>
              </w:rPr>
            </w:pPr>
            <w:bookmarkStart w:id="133" w:name="TAB180"/>
            <w:bookmarkEnd w:id="133"/>
            <w:r>
              <w:rPr>
                <w:rFonts w:ascii="times new roman" w:hAnsi="times new roman"/>
                <w:sz w:val="20"/>
              </w:rPr>
              <w:t>136</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liabilities</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580" w:right="0" w:hanging="0"/>
              <w:jc w:val="right"/>
              <w:rPr>
                <w:rFonts w:ascii="times new roman" w:hAnsi="times new roman"/>
                <w:b/>
                <w:sz w:val="20"/>
              </w:rPr>
            </w:pPr>
            <w:bookmarkStart w:id="134" w:name="TAB181"/>
            <w:bookmarkEnd w:id="134"/>
            <w:r>
              <w:rPr>
                <w:rFonts w:ascii="times new roman" w:hAnsi="times new roman"/>
                <w:b/>
                <w:sz w:val="20"/>
              </w:rPr>
              <w:t>481</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580" w:right="0" w:hanging="0"/>
              <w:jc w:val="right"/>
              <w:rPr>
                <w:rFonts w:ascii="times new roman" w:hAnsi="times new roman"/>
                <w:sz w:val="20"/>
              </w:rPr>
            </w:pPr>
            <w:bookmarkStart w:id="135" w:name="TAB182"/>
            <w:bookmarkEnd w:id="135"/>
            <w:r>
              <w:rPr>
                <w:rFonts w:ascii="times new roman" w:hAnsi="times new roman"/>
                <w:sz w:val="20"/>
              </w:rPr>
              <w:t>589</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Total Adjustments</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374" w:right="0" w:hanging="0"/>
              <w:jc w:val="right"/>
              <w:rPr>
                <w:rFonts w:ascii="times new roman" w:hAnsi="times new roman"/>
                <w:b/>
                <w:sz w:val="20"/>
              </w:rPr>
            </w:pPr>
            <w:bookmarkStart w:id="136" w:name="TAB183"/>
            <w:bookmarkEnd w:id="136"/>
            <w:r>
              <w:rPr>
                <w:rFonts w:ascii="times new roman" w:hAnsi="times new roman"/>
                <w:b/>
                <w:sz w:val="20"/>
              </w:rPr>
              <w:t>5,445</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191" w:right="0" w:hanging="0"/>
              <w:jc w:val="right"/>
              <w:rPr>
                <w:rFonts w:ascii="times new roman" w:hAnsi="times new roman"/>
                <w:sz w:val="20"/>
              </w:rPr>
            </w:pPr>
            <w:bookmarkStart w:id="137" w:name="TAB184"/>
            <w:bookmarkEnd w:id="137"/>
            <w:r>
              <w:rPr>
                <w:rFonts w:ascii="times new roman" w:hAnsi="times new roman"/>
                <w:sz w:val="20"/>
              </w:rPr>
              <w:t>(4,828</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Net Cash Provided by (Used in) Operating Activities</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74" w:right="0" w:hanging="0"/>
              <w:jc w:val="right"/>
              <w:rPr>
                <w:rFonts w:ascii="times new roman" w:hAnsi="times new roman"/>
                <w:b/>
                <w:sz w:val="20"/>
              </w:rPr>
            </w:pPr>
            <w:bookmarkStart w:id="138" w:name="TAB185"/>
            <w:bookmarkEnd w:id="138"/>
            <w:r>
              <w:rPr>
                <w:rFonts w:ascii="times new roman" w:hAnsi="times new roman"/>
                <w:b/>
                <w:sz w:val="20"/>
              </w:rPr>
              <w:t>7,639</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191" w:right="0" w:hanging="0"/>
              <w:jc w:val="right"/>
              <w:rPr>
                <w:rFonts w:ascii="times new roman" w:hAnsi="times new roman"/>
                <w:sz w:val="20"/>
              </w:rPr>
            </w:pPr>
            <w:bookmarkStart w:id="139" w:name="TAB186"/>
            <w:bookmarkEnd w:id="139"/>
            <w:r>
              <w:rPr>
                <w:rFonts w:ascii="times new roman" w:hAnsi="times new roman"/>
                <w:sz w:val="20"/>
              </w:rPr>
              <w:t>(2,582</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283"/>
              <w:rPr/>
            </w:pPr>
            <w:r>
              <w:rPr/>
              <w:t xml:space="preserve">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CASH FLOWS FROM INVESTING ACTIVITIES</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expenditures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91" w:right="0" w:hanging="0"/>
              <w:jc w:val="right"/>
              <w:rPr>
                <w:rFonts w:ascii="times new roman" w:hAnsi="times new roman"/>
                <w:b/>
                <w:sz w:val="20"/>
              </w:rPr>
            </w:pPr>
            <w:bookmarkStart w:id="140" w:name="TAB187"/>
            <w:bookmarkEnd w:id="140"/>
            <w:r>
              <w:rPr>
                <w:rFonts w:ascii="times new roman" w:hAnsi="times new roman"/>
                <w:b/>
                <w:sz w:val="20"/>
              </w:rPr>
              <w:t>(1,327</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91" w:right="0" w:hanging="0"/>
              <w:jc w:val="right"/>
              <w:rPr>
                <w:rFonts w:ascii="times new roman" w:hAnsi="times new roman"/>
                <w:sz w:val="20"/>
              </w:rPr>
            </w:pPr>
            <w:bookmarkStart w:id="141" w:name="TAB188"/>
            <w:bookmarkEnd w:id="141"/>
            <w:r>
              <w:rPr>
                <w:rFonts w:ascii="times new roman" w:hAnsi="times new roman"/>
                <w:sz w:val="20"/>
              </w:rPr>
              <w:t>(3,552</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sale of property, plant and equipment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717" w:right="0" w:hanging="0"/>
              <w:jc w:val="right"/>
              <w:rPr>
                <w:rFonts w:ascii="times new roman" w:hAnsi="times new roman"/>
                <w:b/>
                <w:sz w:val="20"/>
              </w:rPr>
            </w:pPr>
            <w:bookmarkStart w:id="142" w:name="TAB189"/>
            <w:bookmarkEnd w:id="142"/>
            <w:r>
              <w:rPr>
                <w:rFonts w:ascii="times new roman" w:hAnsi="times new roman"/>
                <w:b/>
                <w:sz w:val="20"/>
              </w:rPr>
              <w:t>---</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854" w:right="0" w:hanging="0"/>
              <w:jc w:val="right"/>
              <w:rPr>
                <w:rFonts w:ascii="times new roman" w:hAnsi="times new roman"/>
                <w:sz w:val="20"/>
              </w:rPr>
            </w:pPr>
            <w:bookmarkStart w:id="143" w:name="TAB190"/>
            <w:bookmarkEnd w:id="143"/>
            <w:r>
              <w:rPr>
                <w:rFonts w:ascii="times new roman" w:hAnsi="times new roman"/>
                <w:sz w:val="20"/>
              </w:rPr>
              <w:t>8</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investment securities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3" w:right="0" w:hanging="0"/>
              <w:jc w:val="right"/>
              <w:rPr>
                <w:rFonts w:ascii="times new roman" w:hAnsi="times new roman"/>
                <w:b/>
                <w:sz w:val="20"/>
              </w:rPr>
            </w:pPr>
            <w:bookmarkStart w:id="144" w:name="TAB191"/>
            <w:bookmarkEnd w:id="144"/>
            <w:r>
              <w:rPr>
                <w:rFonts w:ascii="times new roman" w:hAnsi="times new roman"/>
                <w:b/>
                <w:sz w:val="20"/>
              </w:rPr>
              <w:t>(12,996</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3" w:right="0" w:hanging="0"/>
              <w:jc w:val="right"/>
              <w:rPr>
                <w:rFonts w:ascii="times new roman" w:hAnsi="times new roman"/>
                <w:sz w:val="20"/>
              </w:rPr>
            </w:pPr>
            <w:bookmarkStart w:id="145" w:name="TAB192"/>
            <w:bookmarkEnd w:id="145"/>
            <w:r>
              <w:rPr>
                <w:rFonts w:ascii="times new roman" w:hAnsi="times new roman"/>
                <w:sz w:val="20"/>
              </w:rPr>
              <w:t>(28,972</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Dispositions of investment securities</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236" w:right="0" w:hanging="0"/>
              <w:jc w:val="right"/>
              <w:rPr>
                <w:rFonts w:ascii="times new roman" w:hAnsi="times new roman"/>
                <w:b/>
                <w:sz w:val="20"/>
              </w:rPr>
            </w:pPr>
            <w:bookmarkStart w:id="146" w:name="TAB193"/>
            <w:bookmarkEnd w:id="146"/>
            <w:r>
              <w:rPr>
                <w:rFonts w:ascii="times new roman" w:hAnsi="times new roman"/>
                <w:b/>
                <w:sz w:val="20"/>
              </w:rPr>
              <w:t>12,000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236" w:right="0" w:hanging="0"/>
              <w:jc w:val="right"/>
              <w:rPr>
                <w:rFonts w:ascii="times new roman" w:hAnsi="times new roman"/>
                <w:sz w:val="20"/>
              </w:rPr>
            </w:pPr>
            <w:bookmarkStart w:id="147" w:name="TAB194"/>
            <w:bookmarkEnd w:id="147"/>
            <w:r>
              <w:rPr>
                <w:rFonts w:ascii="times new roman" w:hAnsi="times new roman"/>
                <w:sz w:val="20"/>
              </w:rPr>
              <w:t>34,500</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Net Cash (Used in) Provided by Investing Activities</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191" w:right="0" w:hanging="0"/>
              <w:jc w:val="right"/>
              <w:rPr>
                <w:rFonts w:ascii="times new roman" w:hAnsi="times new roman"/>
                <w:b/>
                <w:sz w:val="20"/>
              </w:rPr>
            </w:pPr>
            <w:bookmarkStart w:id="148" w:name="TAB195"/>
            <w:bookmarkEnd w:id="148"/>
            <w:r>
              <w:rPr>
                <w:rFonts w:ascii="times new roman" w:hAnsi="times new roman"/>
                <w:b/>
                <w:sz w:val="20"/>
              </w:rPr>
              <w:t>(2,323</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374" w:right="0" w:hanging="0"/>
              <w:jc w:val="right"/>
              <w:rPr>
                <w:rFonts w:ascii="times new roman" w:hAnsi="times new roman"/>
                <w:sz w:val="20"/>
              </w:rPr>
            </w:pPr>
            <w:bookmarkStart w:id="149" w:name="TAB196"/>
            <w:bookmarkEnd w:id="149"/>
            <w:r>
              <w:rPr>
                <w:rFonts w:ascii="times new roman" w:hAnsi="times new roman"/>
                <w:sz w:val="20"/>
              </w:rPr>
              <w:t>1,984</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rFonts w:ascii="times new roman" w:hAnsi="times new roman"/>
                <w:b/>
                <w:sz w:val="20"/>
                <w:u w:val="single"/>
              </w:rPr>
            </w:pPr>
            <w:r>
              <w:rPr>
                <w:rFonts w:ascii="times new roman" w:hAnsi="times new roman"/>
                <w:b/>
                <w:sz w:val="20"/>
                <w:u w:val="single"/>
              </w:rPr>
              <w:t>CASH FLOWS FROM FINANCING ACTIVITIES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Principal payments on notes payable</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97" w:right="0" w:hanging="0"/>
              <w:jc w:val="right"/>
              <w:rPr>
                <w:rFonts w:ascii="times new roman" w:hAnsi="times new roman"/>
                <w:b/>
                <w:sz w:val="20"/>
              </w:rPr>
            </w:pPr>
            <w:bookmarkStart w:id="150" w:name="TAB197"/>
            <w:bookmarkEnd w:id="150"/>
            <w:r>
              <w:rPr>
                <w:rFonts w:ascii="times new roman" w:hAnsi="times new roman"/>
                <w:b/>
                <w:sz w:val="20"/>
              </w:rPr>
              <w:t>(200</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191" w:right="0" w:hanging="0"/>
              <w:jc w:val="right"/>
              <w:rPr>
                <w:rFonts w:ascii="times new roman" w:hAnsi="times new roman"/>
                <w:sz w:val="20"/>
              </w:rPr>
            </w:pPr>
            <w:bookmarkStart w:id="151" w:name="TAB198"/>
            <w:bookmarkEnd w:id="151"/>
            <w:r>
              <w:rPr>
                <w:rFonts w:ascii="times new roman" w:hAnsi="times new roman"/>
                <w:sz w:val="20"/>
              </w:rPr>
              <w:t>(4,080</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Dividends paid</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97" w:right="0" w:hanging="0"/>
              <w:jc w:val="right"/>
              <w:rPr>
                <w:rFonts w:ascii="times new roman" w:hAnsi="times new roman"/>
                <w:b/>
                <w:sz w:val="20"/>
              </w:rPr>
            </w:pPr>
            <w:bookmarkStart w:id="152" w:name="TAB199"/>
            <w:bookmarkEnd w:id="152"/>
            <w:r>
              <w:rPr>
                <w:rFonts w:ascii="times new roman" w:hAnsi="times new roman"/>
                <w:b/>
                <w:sz w:val="20"/>
              </w:rPr>
              <w:t>(995</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97" w:right="0" w:hanging="0"/>
              <w:jc w:val="right"/>
              <w:rPr>
                <w:rFonts w:ascii="times new roman" w:hAnsi="times new roman"/>
                <w:sz w:val="20"/>
              </w:rPr>
            </w:pPr>
            <w:bookmarkStart w:id="153" w:name="TAB1100"/>
            <w:bookmarkEnd w:id="153"/>
            <w:r>
              <w:rPr>
                <w:rFonts w:ascii="times new roman" w:hAnsi="times new roman"/>
                <w:sz w:val="20"/>
              </w:rPr>
              <w:t>(919</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Purchase of treasury stock</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649" w:right="0" w:hanging="0"/>
              <w:jc w:val="right"/>
              <w:rPr>
                <w:rFonts w:ascii="times new roman" w:hAnsi="times new roman"/>
                <w:b/>
                <w:sz w:val="20"/>
              </w:rPr>
            </w:pPr>
            <w:bookmarkStart w:id="154" w:name="TAB1101"/>
            <w:bookmarkEnd w:id="154"/>
            <w:r>
              <w:rPr>
                <w:rFonts w:ascii="times new roman" w:hAnsi="times new roman"/>
                <w:b/>
                <w:sz w:val="20"/>
              </w:rPr>
              <w:t>---</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397" w:right="0" w:hanging="0"/>
              <w:jc w:val="right"/>
              <w:rPr>
                <w:rFonts w:ascii="times new roman" w:hAnsi="times new roman"/>
                <w:sz w:val="20"/>
              </w:rPr>
            </w:pPr>
            <w:bookmarkStart w:id="155" w:name="TAB1102"/>
            <w:bookmarkEnd w:id="155"/>
            <w:r>
              <w:rPr>
                <w:rFonts w:ascii="times new roman" w:hAnsi="times new roman"/>
                <w:sz w:val="20"/>
              </w:rPr>
              <w:t>(644</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treasury stock</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717" w:right="0" w:hanging="0"/>
              <w:jc w:val="right"/>
              <w:rPr>
                <w:rFonts w:ascii="times new roman" w:hAnsi="times new roman"/>
                <w:b/>
                <w:sz w:val="20"/>
              </w:rPr>
            </w:pPr>
            <w:bookmarkStart w:id="156" w:name="TAB1103"/>
            <w:bookmarkEnd w:id="156"/>
            <w:r>
              <w:rPr>
                <w:rFonts w:ascii="times new roman" w:hAnsi="times new roman"/>
                <w:b/>
                <w:sz w:val="20"/>
              </w:rPr>
              <w:t>---</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717" w:right="0" w:hanging="0"/>
              <w:jc w:val="right"/>
              <w:rPr>
                <w:rFonts w:ascii="times new roman" w:hAnsi="times new roman"/>
                <w:sz w:val="20"/>
              </w:rPr>
            </w:pPr>
            <w:bookmarkStart w:id="157" w:name="TAB1104"/>
            <w:bookmarkEnd w:id="157"/>
            <w:r>
              <w:rPr>
                <w:rFonts w:ascii="times new roman" w:hAnsi="times new roman"/>
                <w:sz w:val="20"/>
              </w:rPr>
              <w:t>63</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common stock</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717" w:right="0" w:hanging="0"/>
              <w:jc w:val="right"/>
              <w:rPr>
                <w:rFonts w:ascii="times new roman" w:hAnsi="times new roman"/>
                <w:b/>
                <w:sz w:val="20"/>
              </w:rPr>
            </w:pPr>
            <w:bookmarkStart w:id="158" w:name="TAB1105"/>
            <w:bookmarkEnd w:id="158"/>
            <w:r>
              <w:rPr>
                <w:rFonts w:ascii="times new roman" w:hAnsi="times new roman"/>
                <w:b/>
                <w:sz w:val="20"/>
              </w:rPr>
              <w:t>54</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717" w:right="0" w:hanging="0"/>
              <w:jc w:val="right"/>
              <w:rPr>
                <w:rFonts w:ascii="times new roman" w:hAnsi="times new roman"/>
                <w:sz w:val="20"/>
              </w:rPr>
            </w:pPr>
            <w:bookmarkStart w:id="159" w:name="TAB1106"/>
            <w:bookmarkEnd w:id="159"/>
            <w:r>
              <w:rPr>
                <w:rFonts w:ascii="times new roman" w:hAnsi="times new roman"/>
                <w:sz w:val="20"/>
              </w:rPr>
              <w:t>83</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Excess tax benefits for share-based payments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854" w:right="0" w:hanging="0"/>
              <w:jc w:val="right"/>
              <w:rPr>
                <w:rFonts w:ascii="times new roman" w:hAnsi="times new roman"/>
                <w:b/>
                <w:sz w:val="20"/>
              </w:rPr>
            </w:pPr>
            <w:bookmarkStart w:id="160" w:name="TAB1107"/>
            <w:bookmarkEnd w:id="160"/>
            <w:r>
              <w:rPr>
                <w:rFonts w:ascii="times new roman" w:hAnsi="times new roman"/>
                <w:b/>
                <w:sz w:val="20"/>
              </w:rPr>
              <w:t>5</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717" w:right="0" w:hanging="0"/>
              <w:jc w:val="right"/>
              <w:rPr>
                <w:rFonts w:ascii="times new roman" w:hAnsi="times new roman"/>
                <w:sz w:val="20"/>
              </w:rPr>
            </w:pPr>
            <w:bookmarkStart w:id="161" w:name="TAB1108"/>
            <w:bookmarkEnd w:id="161"/>
            <w:r>
              <w:rPr>
                <w:rFonts w:ascii="times new roman" w:hAnsi="times new roman"/>
                <w:sz w:val="20"/>
              </w:rPr>
              <w:t>61</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 net</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671" w:right="0" w:hanging="0"/>
              <w:jc w:val="right"/>
              <w:rPr>
                <w:rFonts w:ascii="times new roman" w:hAnsi="times new roman"/>
                <w:b/>
                <w:sz w:val="20"/>
              </w:rPr>
            </w:pPr>
            <w:bookmarkStart w:id="162" w:name="TAB1109"/>
            <w:bookmarkEnd w:id="162"/>
            <w:r>
              <w:rPr>
                <w:rFonts w:ascii="times new roman" w:hAnsi="times new roman"/>
                <w:b/>
                <w:sz w:val="20"/>
              </w:rPr>
              <w:t>(4</w:t>
            </w:r>
          </w:p>
        </w:tc>
        <w:tc>
          <w:tcPr>
            <w:tcW w:w="113"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97" w:right="0" w:hanging="0"/>
              <w:jc w:val="right"/>
              <w:rPr>
                <w:rFonts w:ascii="times new roman" w:hAnsi="times new roman"/>
                <w:sz w:val="20"/>
              </w:rPr>
            </w:pPr>
            <w:bookmarkStart w:id="163" w:name="TAB1110"/>
            <w:bookmarkEnd w:id="163"/>
            <w:r>
              <w:rPr>
                <w:rFonts w:ascii="times new roman" w:hAnsi="times new roman"/>
                <w:sz w:val="20"/>
              </w:rPr>
              <w:t>(331</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Net Cash Used in Financing Activities</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191" w:right="0" w:hanging="0"/>
              <w:jc w:val="right"/>
              <w:rPr>
                <w:rFonts w:ascii="times new roman" w:hAnsi="times new roman"/>
                <w:b/>
                <w:sz w:val="20"/>
              </w:rPr>
            </w:pPr>
            <w:bookmarkStart w:id="164" w:name="TAB1111"/>
            <w:bookmarkEnd w:id="164"/>
            <w:r>
              <w:rPr>
                <w:rFonts w:ascii="times new roman" w:hAnsi="times new roman"/>
                <w:b/>
                <w:sz w:val="20"/>
              </w:rPr>
              <w:t>(1,140</w:t>
            </w:r>
          </w:p>
        </w:tc>
        <w:tc>
          <w:tcPr>
            <w:tcW w:w="113"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8"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CCEEFF" w:val="clear"/>
            <w:tcMar>
              <w:bottom w:w="28" w:type="dxa"/>
            </w:tcMar>
            <w:vAlign w:val="bottom"/>
          </w:tcPr>
          <w:p>
            <w:pPr>
              <w:pStyle w:val="TableContents"/>
              <w:spacing w:before="0" w:after="283"/>
              <w:ind w:left="191" w:right="0" w:hanging="0"/>
              <w:jc w:val="right"/>
              <w:rPr>
                <w:rFonts w:ascii="times new roman" w:hAnsi="times new roman"/>
                <w:sz w:val="20"/>
              </w:rPr>
            </w:pPr>
            <w:bookmarkStart w:id="165" w:name="TAB1112"/>
            <w:bookmarkEnd w:id="165"/>
            <w:r>
              <w:rPr>
                <w:rFonts w:ascii="times new roman" w:hAnsi="times new roman"/>
                <w:sz w:val="20"/>
              </w:rPr>
              <w:t>(5,767</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exchange rate changes on cash and cash equivalents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717" w:right="0" w:hanging="0"/>
              <w:jc w:val="right"/>
              <w:rPr>
                <w:rFonts w:ascii="times new roman" w:hAnsi="times new roman"/>
                <w:b/>
                <w:sz w:val="20"/>
              </w:rPr>
            </w:pPr>
            <w:bookmarkStart w:id="166" w:name="TAB1113"/>
            <w:bookmarkEnd w:id="166"/>
            <w:r>
              <w:rPr>
                <w:rFonts w:ascii="times new roman" w:hAnsi="times new roman"/>
                <w:b/>
                <w:sz w:val="20"/>
              </w:rPr>
              <w:t>13</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580" w:right="0" w:hanging="0"/>
              <w:jc w:val="right"/>
              <w:rPr>
                <w:rFonts w:ascii="times new roman" w:hAnsi="times new roman"/>
                <w:sz w:val="20"/>
              </w:rPr>
            </w:pPr>
            <w:bookmarkStart w:id="167" w:name="TAB1114"/>
            <w:bookmarkEnd w:id="167"/>
            <w:r>
              <w:rPr>
                <w:rFonts w:ascii="times new roman" w:hAnsi="times new roman"/>
                <w:sz w:val="20"/>
              </w:rPr>
              <w:t>825</w:t>
            </w:r>
          </w:p>
        </w:tc>
        <w:tc>
          <w:tcPr>
            <w:tcW w:w="121" w:type="dxa"/>
            <w:tcBorders/>
            <w:shd w:fill="CCEEFF" w:val="clear"/>
            <w:vAlign w:val="bottom"/>
          </w:tcPr>
          <w:p>
            <w:pPr>
              <w:pStyle w:val="TableContents"/>
              <w:spacing w:before="0" w:after="283"/>
              <w:jc w:val="left"/>
              <w:rPr/>
            </w:pPr>
            <w:r>
              <w:rPr/>
              <w:t> </w:t>
            </w:r>
          </w:p>
        </w:tc>
      </w:tr>
      <w:tr>
        <w:trPr/>
        <w:tc>
          <w:tcPr>
            <w:tcW w:w="7487" w:type="dxa"/>
            <w:tcBorders/>
            <w:shd w:fill="FFFFFF" w:val="clear"/>
            <w:vAlign w:val="bottom"/>
          </w:tcPr>
          <w:p>
            <w:pPr>
              <w:pStyle w:val="TableContents"/>
              <w:spacing w:before="0" w:after="283"/>
              <w:rPr/>
            </w:pPr>
            <w:r>
              <w:rPr/>
              <w:t xml:space="preserve">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Increase (Decrease) in Cash and Cash Equivalents</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374" w:right="0" w:hanging="0"/>
              <w:jc w:val="right"/>
              <w:rPr>
                <w:rFonts w:ascii="times new roman" w:hAnsi="times new roman"/>
                <w:b/>
                <w:sz w:val="20"/>
              </w:rPr>
            </w:pPr>
            <w:bookmarkStart w:id="168" w:name="TAB1115"/>
            <w:bookmarkEnd w:id="168"/>
            <w:r>
              <w:rPr>
                <w:rFonts w:ascii="times new roman" w:hAnsi="times new roman"/>
                <w:b/>
                <w:sz w:val="20"/>
              </w:rPr>
              <w:t>4,189</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ind w:left="191" w:right="0" w:hanging="0"/>
              <w:jc w:val="right"/>
              <w:rPr>
                <w:rFonts w:ascii="times new roman" w:hAnsi="times new roman"/>
                <w:sz w:val="20"/>
              </w:rPr>
            </w:pPr>
            <w:bookmarkStart w:id="169" w:name="TAB1116"/>
            <w:bookmarkEnd w:id="169"/>
            <w:r>
              <w:rPr>
                <w:rFonts w:ascii="times new roman" w:hAnsi="times new roman"/>
                <w:sz w:val="20"/>
              </w:rPr>
              <w:t>(5,540</w:t>
            </w:r>
          </w:p>
        </w:tc>
        <w:tc>
          <w:tcPr>
            <w:tcW w:w="12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487"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Beginning of Year</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236" w:right="0" w:hanging="0"/>
              <w:jc w:val="right"/>
              <w:rPr>
                <w:rFonts w:ascii="times new roman" w:hAnsi="times new roman"/>
                <w:b/>
                <w:sz w:val="20"/>
              </w:rPr>
            </w:pPr>
            <w:bookmarkStart w:id="170" w:name="TAB1117"/>
            <w:bookmarkEnd w:id="170"/>
            <w:r>
              <w:rPr>
                <w:rFonts w:ascii="times new roman" w:hAnsi="times new roman"/>
                <w:b/>
                <w:sz w:val="20"/>
              </w:rPr>
              <w:t>11,839</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ind w:left="374" w:right="0" w:hanging="0"/>
              <w:jc w:val="right"/>
              <w:rPr>
                <w:rFonts w:ascii="times new roman" w:hAnsi="times new roman"/>
                <w:sz w:val="20"/>
              </w:rPr>
            </w:pPr>
            <w:bookmarkStart w:id="171" w:name="TAB1118"/>
            <w:bookmarkEnd w:id="171"/>
            <w:r>
              <w:rPr>
                <w:rFonts w:ascii="times new roman" w:hAnsi="times new roman"/>
                <w:sz w:val="20"/>
              </w:rPr>
              <w:t>6,848</w:t>
            </w:r>
          </w:p>
        </w:tc>
        <w:tc>
          <w:tcPr>
            <w:tcW w:w="121" w:type="dxa"/>
            <w:tcBorders/>
            <w:shd w:fill="FFFFFF" w:val="clear"/>
            <w:vAlign w:val="bottom"/>
          </w:tcPr>
          <w:p>
            <w:pPr>
              <w:pStyle w:val="TableContents"/>
              <w:spacing w:before="0" w:after="283"/>
              <w:jc w:val="left"/>
              <w:rPr/>
            </w:pPr>
            <w:r>
              <w:rPr/>
              <w:t> </w:t>
            </w:r>
          </w:p>
        </w:tc>
      </w:tr>
      <w:tr>
        <w:trPr/>
        <w:tc>
          <w:tcPr>
            <w:tcW w:w="7487"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Cash and Cash Equivalents, October 31</w:t>
            </w:r>
          </w:p>
        </w:tc>
        <w:tc>
          <w:tcPr>
            <w:tcW w:w="10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b/>
                <w:sz w:val="20"/>
              </w:rPr>
            </w:pPr>
            <w:bookmarkStart w:id="172" w:name="TAB1119"/>
            <w:bookmarkEnd w:id="172"/>
            <w:r>
              <w:rPr>
                <w:rFonts w:ascii="times new roman" w:hAnsi="times new roman"/>
                <w:b/>
                <w:sz w:val="20"/>
              </w:rPr>
              <w:t>16,028</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ind w:left="225" w:right="0" w:hanging="0"/>
              <w:jc w:val="right"/>
              <w:rPr>
                <w:rFonts w:ascii="times new roman" w:hAnsi="times new roman"/>
                <w:sz w:val="20"/>
              </w:rPr>
            </w:pPr>
            <w:bookmarkStart w:id="173" w:name="TAB1120"/>
            <w:bookmarkEnd w:id="173"/>
            <w:r>
              <w:rPr>
                <w:rFonts w:ascii="times new roman" w:hAnsi="times new roman"/>
                <w:sz w:val="20"/>
              </w:rPr>
              <w:t>1,308</w:t>
            </w:r>
          </w:p>
        </w:tc>
        <w:tc>
          <w:tcPr>
            <w:tcW w:w="121" w:type="dxa"/>
            <w:tcBorders/>
            <w:shd w:fill="CCEEFF" w:val="clear"/>
            <w:vAlign w:val="bottom"/>
          </w:tcPr>
          <w:p>
            <w:pPr>
              <w:pStyle w:val="TableContents"/>
              <w:spacing w:before="0" w:after="283"/>
              <w:jc w:val="left"/>
              <w:rPr/>
            </w:pPr>
            <w:r>
              <w:rPr/>
              <w:t> </w:t>
            </w:r>
          </w:p>
        </w:tc>
      </w:tr>
      <w:tr>
        <w:trPr/>
        <w:tc>
          <w:tcPr>
            <w:tcW w:w="10084"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The accompanying notes are an integral part of the condensed consolidated financial statements.</w:t>
            </w:r>
          </w:p>
        </w:tc>
        <w:tc>
          <w:tcPr>
            <w:tcW w:w="121" w:type="dxa"/>
            <w:tcBorders/>
            <w:shd w:fill="FFFFFF" w:val="clear"/>
            <w:vAlign w:val="bottom"/>
          </w:tcPr>
          <w:p>
            <w:pPr>
              <w:pStyle w:val="TableContents"/>
              <w:spacing w:before="0" w:after="283"/>
              <w:jc w:val="left"/>
              <w:rPr/>
            </w:pPr>
            <w:r>
              <w:rPr/>
              <w:t> </w:t>
            </w:r>
          </w:p>
        </w:tc>
      </w:tr>
    </w:tbl>
    <w:p>
      <w:pPr>
        <w:pStyle w:val="TextBody"/>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jc w:val="center"/>
        <w:rPr/>
      </w:pPr>
      <w:r>
        <w:rPr/>
      </w:r>
      <w:bookmarkStart w:id="174" w:name="PGBRK5"/>
      <w:bookmarkStart w:id="175" w:name="PGBRK5"/>
      <w:bookmarkEnd w:id="1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76" w:name="FTR5"/>
      <w:bookmarkStart w:id="177" w:name="FTR5"/>
      <w:bookmarkEnd w:id="1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color w:val="000000"/>
        </w:rPr>
      </w:pPr>
      <w:bookmarkStart w:id="178" w:name="GLFTR5"/>
      <w:bookmarkEnd w:id="178"/>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9" w:name="PN5"/>
      <w:bookmarkEnd w:id="179"/>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r>
      <w:bookmarkStart w:id="180" w:name="HDR5"/>
      <w:bookmarkStart w:id="181" w:name="HDR5"/>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color w:val="000000"/>
        </w:rPr>
      </w:pPr>
      <w:bookmarkStart w:id="182" w:name="GLHDR5"/>
      <w:bookmarkEnd w:id="182"/>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OIL-DRI CORPORATION OF AMERICA &amp; SUBSIDIARIES</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183" w:name="list"/>
      <w:bookmarkStart w:id="184" w:name="list"/>
      <w:bookmarkEnd w:id="184"/>
    </w:p>
    <w:tbl>
      <w:tblPr>
        <w:tblW w:w="5000" w:type="pct"/>
        <w:jc w:val="center"/>
        <w:tblInd w:w="0" w:type="dxa"/>
        <w:tblCellMar>
          <w:top w:w="0" w:type="dxa"/>
          <w:left w:w="0" w:type="dxa"/>
          <w:bottom w:w="0" w:type="dxa"/>
          <w:right w:w="0" w:type="dxa"/>
        </w:tblCellMar>
      </w:tblPr>
      <w:tblGrid>
        <w:gridCol w:w="696"/>
        <w:gridCol w:w="9509"/>
      </w:tblGrid>
      <w:tr>
        <w:trPr/>
        <w:tc>
          <w:tcPr>
            <w:tcW w:w="696"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1.  </w:t>
            </w:r>
          </w:p>
        </w:tc>
        <w:tc>
          <w:tcPr>
            <w:tcW w:w="9509"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BASIS OF STATEMENT PRESENTATION</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of America (“U.S. GAAP”) for interim financial information and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year ended July 31, 2009 included in our Annual Report on Form 10-K filed with the Securities and Exchange Commission (“SEC”).</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unaudited condensed consolidated financial statements include the accounts of the parent company and its subsidiaries.  All significant intercompany transactions are eliminated.  Our consolidated financial statements for the quarter ended October 31, 2009 were evaluated for material subsequent events through December 8, 2009, the date the consolidated financial statements were issued.</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unaudited condensed consolidated financial statements reflect all adjustments, consisting of normal recurring accruals, which are, in the opinion of management, necessary for a fair presentation of the statements contained herein.  Operating results for the three months ended October 31, 2009 are not necessarily an indication of the results that may be expected for the fiscal year ending July 31, 2010.</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the unaudited condensed consolidated financial statements in conformity with U.S. GAAP requires the use of estimates and assumptions related to the reporting of assets, liabilities, revenues, expenses and related disclosures.  Estimates are revised periodically.  Actual results could differ from these estimates.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Under the terms of our sales agreements with customers, we recognize revenue when risk of loss and title are transferred.  Upon shipment an invoice is generated that sets the fixed and determinable price.  Promotional reserves are provided for sales incentives made directly to consumers and customers and are netted against sales.  Sales returns and allowances are not material.  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evaluate our allowance for doubtful accounts utilizing a combination of a historical experience and a periodic review of our accounts receivable aging and specific customer account analysis.  A customer is determined to be uncollectible when we have completed our internal collection procedures, including termination of shipments, direct customer contact and formal demand of payment.  We maintain and monitor a list of customers whose creditworthiness has diminished.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part of our overall operations, we mine sorbent materials on property that we either own or lease.  A significant part of our overall mining cost is incurred during the process of removing the overburden (non-usable material) from the mine site, thus exposing the sorbent material that is then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normal course of our overburden removal activities we perform on-going reclamation activities.  As overburden is removed from a pit, it is hauled to previously mined pits and used to refill older sites.  This process allows us to continuously reclaim older pits and dispose of overburden simultaneously, therefore minimizing the liability for the reclamation function.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can be offset against future royalties due upon extraction of the mineral are also capitalized.  All exploration related costs are expensed as incurred.</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85" w:name="PGBRK6"/>
      <w:bookmarkStart w:id="186" w:name="PGBRK6"/>
      <w:bookmarkEnd w:id="1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87" w:name="FTR6"/>
      <w:bookmarkStart w:id="188" w:name="FTR6"/>
      <w:bookmarkEnd w:id="1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89" w:name="GLFTR6"/>
      <w:bookmarkStart w:id="190" w:name="GLFTR6"/>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1" w:name="PN6"/>
      <w:bookmarkEnd w:id="191"/>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92" w:name="HDR6"/>
      <w:bookmarkStart w:id="193" w:name="HDR6"/>
      <w:bookmarkEnd w:id="1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94" w:name="GLHDR6"/>
      <w:bookmarkStart w:id="195" w:name="GLHDR6"/>
      <w:bookmarkEnd w:id="1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pPr>
      <w:r>
        <w:rPr>
          <w:rFonts w:ascii="Times New Roman" w:hAnsi="Times New Roman"/>
          <w:b/>
          <w:sz w:val="20"/>
        </w:rPr>
        <w:t>2.</w:t>
      </w:r>
      <w:bookmarkStart w:id="196" w:name="TAB2"/>
      <w:bookmarkEnd w:id="196"/>
      <w:r>
        <w:rPr>
          <w:color w:val="000000"/>
          <w:spacing w:val="180"/>
        </w:rPr>
        <w:t> </w:t>
      </w:r>
      <w:r>
        <w:rPr>
          <w:rFonts w:ascii="Times New Roman" w:hAnsi="Times New Roman"/>
          <w:b/>
          <w:sz w:val="20"/>
        </w:rPr>
        <w:t>FIRST QUARTER 2010 RESULTS OF OPERATIONS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results of operations for the three months ending October 31, 2009 included an increase in cost of goods sold of approximately $400,000 related to an overstatement of supplies inventory at one of our manufacturing facilities as of July 31, 2009.  The overstatement of inventory had accumulated over a number of years, and was the result of alleged theft.  This increase was offset by the expected receipt of insurance proceeds related to the supplies inventory overstatement; a receivable for which was recorded in the current period.  The net effect of the two adjustments resulted in no impact to net income.  We have determined that the adjustment to supplies inventory was not material to the first quarter of fiscal 2010 or any previously reported period.</w:t>
      </w:r>
    </w:p>
    <w:p>
      <w:pPr>
        <w:pStyle w:val="TextBody"/>
        <w:spacing w:before="0" w:after="0"/>
        <w:ind w:left="0" w:right="0" w:hanging="0"/>
        <w:jc w:val="both"/>
        <w:rPr/>
      </w:pPr>
      <w:r>
        <w:rPr/>
      </w:r>
    </w:p>
    <w:p>
      <w:pPr>
        <w:pStyle w:val="Normal"/>
        <w:spacing w:before="0" w:after="0"/>
        <w:jc w:val="center"/>
        <w:rPr>
          <w:sz w:val="4"/>
          <w:szCs w:val="4"/>
        </w:rPr>
      </w:pPr>
      <w:r>
        <w:rPr>
          <w:sz w:val="4"/>
          <w:szCs w:val="4"/>
        </w:rPr>
      </w:r>
      <w:bookmarkStart w:id="197" w:name="list1"/>
      <w:bookmarkStart w:id="198" w:name="list1"/>
      <w:bookmarkEnd w:id="198"/>
    </w:p>
    <w:tbl>
      <w:tblPr>
        <w:tblW w:w="5000" w:type="pct"/>
        <w:jc w:val="center"/>
        <w:tblInd w:w="0" w:type="dxa"/>
        <w:tblCellMar>
          <w:top w:w="0" w:type="dxa"/>
          <w:left w:w="0" w:type="dxa"/>
          <w:bottom w:w="0" w:type="dxa"/>
          <w:right w:w="0" w:type="dxa"/>
        </w:tblCellMar>
      </w:tblPr>
      <w:tblGrid>
        <w:gridCol w:w="567"/>
        <w:gridCol w:w="9638"/>
      </w:tblGrid>
      <w:tr>
        <w:trPr/>
        <w:tc>
          <w:tcPr>
            <w:tcW w:w="567"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3.  </w:t>
            </w:r>
          </w:p>
        </w:tc>
        <w:tc>
          <w:tcPr>
            <w:tcW w:w="9638"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RECENTLY ADOPTED ACCOUNTING STANDARDS</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June 2009, the Financial Accounting Standards Board (“FASB”) issued Accounting Standards Codification (“ASC”) 105, </w:t>
      </w:r>
      <w:r>
        <w:rPr>
          <w:rFonts w:ascii="Times New Roman" w:hAnsi="Times New Roman"/>
          <w:i/>
          <w:sz w:val="20"/>
        </w:rPr>
        <w:t>Generally Accepted Accounting Principles</w:t>
      </w:r>
      <w:r>
        <w:rPr>
          <w:rFonts w:ascii="Times New Roman" w:hAnsi="Times New Roman"/>
          <w:sz w:val="20"/>
        </w:rPr>
        <w:t xml:space="preserve">.  ASC 105 established the </w:t>
      </w:r>
      <w:r>
        <w:rPr>
          <w:rFonts w:ascii="Times New Roman" w:hAnsi="Times New Roman"/>
          <w:i/>
          <w:sz w:val="20"/>
        </w:rPr>
        <w:t>FASB Accounting Standards Codification</w:t>
      </w:r>
      <w:r>
        <w:rPr>
          <w:rFonts w:ascii="Times New Roman" w:hAnsi="Times New Roman"/>
          <w:sz w:val="20"/>
        </w:rPr>
        <w:t xml:space="preserve"> (“the Codification”) as the single official source of authoritative U.S. GAAP superseding all other accounting literature for non-governmental entities; however, SEC registrants must also consider rules, regulations and interpretive guidance issued by the SEC or its staff.  The Codification changed the referencing and organization of accounting guidance.  Pursuant to the provisions of ASC 105, we have updated references to U.S. GAAP in our financial statements issued in this Form 10-Q for the period ended October 31, 2009.  The adoption of ASC 105 had no impact on our financial position or results of operations.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the first quarter of fiscal 2010, we adopted guidance under ASC 825-10, </w:t>
      </w:r>
      <w:r>
        <w:rPr>
          <w:rFonts w:ascii="Times New Roman" w:hAnsi="Times New Roman"/>
          <w:i/>
          <w:sz w:val="20"/>
        </w:rPr>
        <w:t xml:space="preserve">Financial Instruments, </w:t>
      </w:r>
      <w:r>
        <w:rPr>
          <w:rFonts w:ascii="Times New Roman" w:hAnsi="Times New Roman"/>
          <w:sz w:val="20"/>
        </w:rPr>
        <w:t>which required disclosures about the fair value of financial instruments in interim financial information.  The adoption of this standard enhanced our disclosures in this Quarterly Report on Form 10-Q (see Note 6) but had no impact on our consolidated financial statements.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the first quarter of fiscal 2010, we adopted a guidance under ASC 260-10, </w:t>
      </w:r>
      <w:r>
        <w:rPr>
          <w:rFonts w:ascii="Times New Roman" w:hAnsi="Times New Roman"/>
          <w:i/>
          <w:sz w:val="20"/>
        </w:rPr>
        <w:t>Earnings Per Share,</w:t>
      </w:r>
      <w:r>
        <w:rPr>
          <w:rFonts w:ascii="Times New Roman" w:hAnsi="Times New Roman"/>
          <w:sz w:val="20"/>
        </w:rPr>
        <w:t xml:space="preserve"> which required unvested share-based payment awards that contain non-forfeitable rights to dividends or dividend equivalents (whether paid or unpaid) to be considered participating securities and to be included in the computation of earnings per share pursuant to the two-class method.  Under the provisions of this standard, our unvested restricted stock awards were considered participating securities.  Upon adoption we were required to retrospectively adjust earnings per share data to conform to this standard.  Accordingly, we have applied this standard for computation of earnings per share for all periods presented.  The effect was to reduce the first quarter fiscal 2009 earnings per share for Basic Class B Stock by $.01.</w:t>
      </w:r>
    </w:p>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199" w:name="list2"/>
      <w:bookmarkStart w:id="200" w:name="list2"/>
      <w:bookmarkEnd w:id="200"/>
    </w:p>
    <w:tbl>
      <w:tblPr>
        <w:tblW w:w="5000" w:type="pct"/>
        <w:jc w:val="center"/>
        <w:tblInd w:w="0" w:type="dxa"/>
        <w:tblCellMar>
          <w:top w:w="0" w:type="dxa"/>
          <w:left w:w="0" w:type="dxa"/>
          <w:bottom w:w="0" w:type="dxa"/>
          <w:right w:w="0" w:type="dxa"/>
        </w:tblCellMar>
      </w:tblPr>
      <w:tblGrid>
        <w:gridCol w:w="598"/>
        <w:gridCol w:w="9607"/>
      </w:tblGrid>
      <w:tr>
        <w:trPr/>
        <w:tc>
          <w:tcPr>
            <w:tcW w:w="598"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4.  </w:t>
            </w:r>
          </w:p>
        </w:tc>
        <w:tc>
          <w:tcPr>
            <w:tcW w:w="9607"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RECENTLY ISSUED ACCOUNTING STANDARDS</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December 2008, the FASB issued guidance under ASC 715-20 </w:t>
      </w:r>
      <w:r>
        <w:rPr>
          <w:rFonts w:ascii="Times New Roman" w:hAnsi="Times New Roman"/>
          <w:i/>
          <w:sz w:val="20"/>
        </w:rPr>
        <w:t xml:space="preserve">Compensation – Retirement Benefits </w:t>
      </w:r>
      <w:r>
        <w:rPr>
          <w:rFonts w:ascii="Times New Roman" w:hAnsi="Times New Roman"/>
          <w:sz w:val="20"/>
        </w:rPr>
        <w:t>that will require expanded disclosure for employers’ pension and other postretirement benefit plan assets fair value measurements, investment policies and strategies for the major categories of plan assets and significant concentrations of risk within plan assets.  The adoption of the guidance will result in enhanced disclosures in our fiscal 2010 Annual Report on Form 10-K, but will not have a material impact on our consolidated financial statements.</w:t>
      </w:r>
    </w:p>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201" w:name="list3"/>
      <w:bookmarkStart w:id="202" w:name="list3"/>
      <w:bookmarkEnd w:id="202"/>
    </w:p>
    <w:tbl>
      <w:tblPr>
        <w:tblW w:w="5000" w:type="pct"/>
        <w:jc w:val="center"/>
        <w:tblInd w:w="0" w:type="dxa"/>
        <w:tblCellMar>
          <w:top w:w="0" w:type="dxa"/>
          <w:left w:w="0" w:type="dxa"/>
          <w:bottom w:w="0" w:type="dxa"/>
          <w:right w:w="0" w:type="dxa"/>
        </w:tblCellMar>
      </w:tblPr>
      <w:tblGrid>
        <w:gridCol w:w="1690"/>
        <w:gridCol w:w="8515"/>
      </w:tblGrid>
      <w:tr>
        <w:trPr/>
        <w:tc>
          <w:tcPr>
            <w:tcW w:w="1690"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5.  </w:t>
            </w:r>
          </w:p>
        </w:tc>
        <w:tc>
          <w:tcPr>
            <w:tcW w:w="8515"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INVENTORIES</w:t>
            </w:r>
          </w:p>
        </w:tc>
      </w:tr>
    </w:tbl>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composition of inventories is as follows (in thousands of dollars):</w:t>
      </w:r>
    </w:p>
    <w:p>
      <w:pPr>
        <w:pStyle w:val="TextBody"/>
        <w:spacing w:before="0" w:after="0"/>
        <w:ind w:left="0" w:right="0" w:hanging="0"/>
        <w:jc w:val="center"/>
        <w:rPr/>
      </w:pPr>
      <w:r>
        <w:rPr/>
      </w:r>
    </w:p>
    <w:tbl>
      <w:tblPr>
        <w:tblW w:w="3000" w:type="pct"/>
        <w:jc w:val="center"/>
        <w:tblInd w:w="0" w:type="dxa"/>
        <w:tblCellMar>
          <w:top w:w="0" w:type="dxa"/>
          <w:left w:w="0" w:type="dxa"/>
          <w:bottom w:w="0" w:type="dxa"/>
          <w:right w:w="0" w:type="dxa"/>
        </w:tblCellMar>
      </w:tblPr>
      <w:tblGrid>
        <w:gridCol w:w="3238"/>
        <w:gridCol w:w="97"/>
        <w:gridCol w:w="126"/>
        <w:gridCol w:w="1116"/>
        <w:gridCol w:w="97"/>
        <w:gridCol w:w="97"/>
        <w:gridCol w:w="126"/>
        <w:gridCol w:w="1116"/>
        <w:gridCol w:w="110"/>
      </w:tblGrid>
      <w:tr>
        <w:trPr/>
        <w:tc>
          <w:tcPr>
            <w:tcW w:w="3238"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24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242"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July 31,</w:t>
            </w:r>
          </w:p>
        </w:tc>
        <w:tc>
          <w:tcPr>
            <w:tcW w:w="110" w:type="dxa"/>
            <w:tcBorders/>
            <w:shd w:fill="auto" w:val="clear"/>
            <w:vAlign w:val="bottom"/>
          </w:tcPr>
          <w:p>
            <w:pPr>
              <w:pStyle w:val="TableContents"/>
              <w:spacing w:before="0" w:after="283"/>
              <w:jc w:val="left"/>
              <w:rPr/>
            </w:pPr>
            <w:r>
              <w:rPr/>
              <w:t> </w:t>
            </w:r>
          </w:p>
        </w:tc>
      </w:tr>
      <w:tr>
        <w:trPr/>
        <w:tc>
          <w:tcPr>
            <w:tcW w:w="3238"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2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97"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2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0" w:type="dxa"/>
            <w:tcBorders/>
            <w:shd w:fill="auto" w:val="clear"/>
            <w:vAlign w:val="bottom"/>
          </w:tcPr>
          <w:p>
            <w:pPr>
              <w:pStyle w:val="TableContents"/>
              <w:spacing w:before="0" w:after="283"/>
              <w:jc w:val="left"/>
              <w:rPr/>
            </w:pPr>
            <w:r>
              <w:rPr/>
              <w:t> </w:t>
            </w:r>
          </w:p>
        </w:tc>
      </w:tr>
      <w:tr>
        <w:trPr/>
        <w:tc>
          <w:tcPr>
            <w:tcW w:w="323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Finished goods</w:t>
            </w:r>
          </w:p>
        </w:tc>
        <w:tc>
          <w:tcPr>
            <w:tcW w:w="9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EEFF" w:val="clear"/>
            <w:vAlign w:val="bottom"/>
          </w:tcPr>
          <w:p>
            <w:pPr>
              <w:pStyle w:val="TableContents"/>
              <w:spacing w:before="0" w:after="283"/>
              <w:ind w:left="192" w:right="0" w:hanging="0"/>
              <w:jc w:val="right"/>
              <w:rPr>
                <w:rFonts w:ascii="times new roman" w:hAnsi="times new roman"/>
                <w:sz w:val="20"/>
              </w:rPr>
            </w:pPr>
            <w:bookmarkStart w:id="203" w:name="TAB1121"/>
            <w:bookmarkEnd w:id="203"/>
            <w:r>
              <w:rPr>
                <w:rFonts w:ascii="times new roman" w:hAnsi="times new roman"/>
                <w:sz w:val="20"/>
              </w:rPr>
              <w:t>10,180</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shd w:fill="CCEEFF" w:val="clear"/>
            <w:vAlign w:val="bottom"/>
          </w:tcPr>
          <w:p>
            <w:pPr>
              <w:pStyle w:val="TableContents"/>
              <w:spacing w:before="0" w:after="283"/>
              <w:ind w:left="192" w:right="0" w:hanging="0"/>
              <w:jc w:val="right"/>
              <w:rPr>
                <w:rFonts w:ascii="times new roman" w:hAnsi="times new roman"/>
                <w:sz w:val="20"/>
              </w:rPr>
            </w:pPr>
            <w:bookmarkStart w:id="204" w:name="TAB1122"/>
            <w:bookmarkEnd w:id="204"/>
            <w:r>
              <w:rPr>
                <w:rFonts w:ascii="times new roman" w:hAnsi="times new roman"/>
                <w:sz w:val="20"/>
              </w:rPr>
              <w:t>10,568</w:t>
            </w:r>
          </w:p>
        </w:tc>
        <w:tc>
          <w:tcPr>
            <w:tcW w:w="110" w:type="dxa"/>
            <w:tcBorders/>
            <w:shd w:fill="CCEEFF" w:val="clear"/>
            <w:vAlign w:val="bottom"/>
          </w:tcPr>
          <w:p>
            <w:pPr>
              <w:pStyle w:val="TableContents"/>
              <w:spacing w:before="0" w:after="283"/>
              <w:jc w:val="left"/>
              <w:rPr/>
            </w:pPr>
            <w:r>
              <w:rPr/>
              <w:t> </w:t>
            </w:r>
          </w:p>
        </w:tc>
      </w:tr>
      <w:tr>
        <w:trPr/>
        <w:tc>
          <w:tcPr>
            <w:tcW w:w="323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Packaging</w:t>
            </w:r>
          </w:p>
        </w:tc>
        <w:tc>
          <w:tcPr>
            <w:tcW w:w="9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1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2,983</w:t>
            </w:r>
          </w:p>
        </w:tc>
        <w:tc>
          <w:tcPr>
            <w:tcW w:w="97"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116" w:type="dxa"/>
            <w:tcBorders/>
            <w:shd w:fill="FFFFFF" w:val="clear"/>
            <w:vAlign w:val="bottom"/>
          </w:tcPr>
          <w:p>
            <w:pPr>
              <w:pStyle w:val="TableContents"/>
              <w:spacing w:before="0" w:after="283"/>
              <w:ind w:left="341" w:right="0" w:hanging="0"/>
              <w:jc w:val="right"/>
              <w:rPr>
                <w:rFonts w:ascii="times new roman" w:hAnsi="times new roman"/>
                <w:sz w:val="20"/>
              </w:rPr>
            </w:pPr>
            <w:bookmarkStart w:id="205" w:name="TAB1123"/>
            <w:bookmarkEnd w:id="205"/>
            <w:r>
              <w:rPr>
                <w:rFonts w:ascii="times new roman" w:hAnsi="times new roman"/>
                <w:sz w:val="20"/>
              </w:rPr>
              <w:t>3,474</w:t>
            </w:r>
          </w:p>
        </w:tc>
        <w:tc>
          <w:tcPr>
            <w:tcW w:w="110" w:type="dxa"/>
            <w:tcBorders/>
            <w:shd w:fill="FFFFFF" w:val="clear"/>
            <w:vAlign w:val="bottom"/>
          </w:tcPr>
          <w:p>
            <w:pPr>
              <w:pStyle w:val="TableContents"/>
              <w:spacing w:before="0" w:after="283"/>
              <w:jc w:val="left"/>
              <w:rPr/>
            </w:pPr>
            <w:r>
              <w:rPr/>
              <w:t> </w:t>
            </w:r>
          </w:p>
        </w:tc>
      </w:tr>
      <w:tr>
        <w:trPr/>
        <w:tc>
          <w:tcPr>
            <w:tcW w:w="323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w:t>
            </w:r>
          </w:p>
        </w:tc>
        <w:tc>
          <w:tcPr>
            <w:tcW w:w="97"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3,235</w:t>
            </w:r>
          </w:p>
        </w:tc>
        <w:tc>
          <w:tcPr>
            <w:tcW w:w="97"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116" w:type="dxa"/>
            <w:tcBorders>
              <w:bottom w:val="single" w:sz="12" w:space="0" w:color="000000"/>
            </w:tcBorders>
            <w:shd w:fill="CCEEFF" w:val="clear"/>
            <w:tcMar>
              <w:bottom w:w="28" w:type="dxa"/>
            </w:tcMar>
            <w:vAlign w:val="bottom"/>
          </w:tcPr>
          <w:p>
            <w:pPr>
              <w:pStyle w:val="TableContents"/>
              <w:spacing w:before="0" w:after="283"/>
              <w:ind w:left="341" w:right="0" w:hanging="0"/>
              <w:jc w:val="right"/>
              <w:rPr>
                <w:rFonts w:ascii="times new roman" w:hAnsi="times new roman"/>
                <w:sz w:val="20"/>
              </w:rPr>
            </w:pPr>
            <w:bookmarkStart w:id="206" w:name="TAB1124"/>
            <w:bookmarkEnd w:id="206"/>
            <w:r>
              <w:rPr>
                <w:rFonts w:ascii="times new roman" w:hAnsi="times new roman"/>
                <w:sz w:val="20"/>
              </w:rPr>
              <w:t>3,753</w:t>
            </w:r>
          </w:p>
        </w:tc>
        <w:tc>
          <w:tcPr>
            <w:tcW w:w="110" w:type="dxa"/>
            <w:tcBorders/>
            <w:shd w:fill="CCEEFF" w:val="clear"/>
            <w:vAlign w:val="bottom"/>
          </w:tcPr>
          <w:p>
            <w:pPr>
              <w:pStyle w:val="TableContents"/>
              <w:spacing w:before="0" w:after="283"/>
              <w:jc w:val="left"/>
              <w:rPr/>
            </w:pPr>
            <w:r>
              <w:rPr/>
              <w:t> </w:t>
            </w:r>
          </w:p>
        </w:tc>
      </w:tr>
      <w:tr>
        <w:trPr/>
        <w:tc>
          <w:tcPr>
            <w:tcW w:w="3238" w:type="dxa"/>
            <w:tcBorders/>
            <w:shd w:fill="FFFFFF" w:val="clear"/>
            <w:vAlign w:val="bottom"/>
          </w:tcPr>
          <w:p>
            <w:pPr>
              <w:pStyle w:val="TableContents"/>
              <w:spacing w:before="0" w:after="283"/>
              <w:rPr/>
            </w:pPr>
            <w:r>
              <w:rPr/>
              <w:t xml:space="preserve">  </w:t>
            </w:r>
          </w:p>
        </w:tc>
        <w:tc>
          <w:tcPr>
            <w:tcW w:w="97"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bottom w:val="double" w:sz="8" w:space="0" w:color="000000"/>
            </w:tcBorders>
            <w:shd w:fill="FFFFFF" w:val="clear"/>
            <w:tcMar>
              <w:bottom w:w="28" w:type="dxa"/>
            </w:tcMar>
            <w:vAlign w:val="bottom"/>
          </w:tcPr>
          <w:p>
            <w:pPr>
              <w:pStyle w:val="TableContents"/>
              <w:spacing w:before="0" w:after="283"/>
              <w:ind w:left="192" w:right="0" w:hanging="0"/>
              <w:jc w:val="right"/>
              <w:rPr>
                <w:rFonts w:ascii="times new roman" w:hAnsi="times new roman"/>
                <w:sz w:val="20"/>
              </w:rPr>
            </w:pPr>
            <w:bookmarkStart w:id="207" w:name="TAB1125"/>
            <w:bookmarkEnd w:id="207"/>
            <w:r>
              <w:rPr>
                <w:rFonts w:ascii="times new roman" w:hAnsi="times new roman"/>
                <w:sz w:val="20"/>
              </w:rPr>
              <w:t>16,398</w:t>
            </w:r>
          </w:p>
        </w:tc>
        <w:tc>
          <w:tcPr>
            <w:tcW w:w="97"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6" w:type="dxa"/>
            <w:tcBorders>
              <w:bottom w:val="double" w:sz="8" w:space="0" w:color="000000"/>
            </w:tcBorders>
            <w:shd w:fill="FFFFFF" w:val="clear"/>
            <w:tcMar>
              <w:bottom w:w="28" w:type="dxa"/>
            </w:tcMar>
            <w:vAlign w:val="bottom"/>
          </w:tcPr>
          <w:p>
            <w:pPr>
              <w:pStyle w:val="TableContents"/>
              <w:spacing w:before="0" w:after="283"/>
              <w:ind w:left="192" w:right="0" w:hanging="0"/>
              <w:jc w:val="right"/>
              <w:rPr>
                <w:rFonts w:ascii="times new roman" w:hAnsi="times new roman"/>
                <w:sz w:val="20"/>
              </w:rPr>
            </w:pPr>
            <w:bookmarkStart w:id="208" w:name="TAB1126"/>
            <w:bookmarkEnd w:id="208"/>
            <w:r>
              <w:rPr>
                <w:rFonts w:ascii="times new roman" w:hAnsi="times new roman"/>
                <w:sz w:val="20"/>
              </w:rPr>
              <w:t>17,795</w:t>
            </w:r>
          </w:p>
        </w:tc>
        <w:tc>
          <w:tcPr>
            <w:tcW w:w="110"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Inventories are valued at the lower of cost (first-in, first-out) or market.  Inventory costs include the cost of raw materials, packaging supplies, labor and other overhead costs.  We perform a quarterly review of our inventory items to determine if an obsolescence reserve adjustment is necessary.  The review surveys all of our operating facilities and sales groups to ensure that both historical issues and new market trends are considered.  The allowance not only considers specific items, but also takes into consideration the overall value of the inventory as of the balance sheet date.  The inventory obsolescence reserve values at October 31, 2009 and July 31, 2009 were $283,000 and $274,000, respectively.</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209" w:name="PGBRK7"/>
      <w:bookmarkStart w:id="210" w:name="PGBRK7"/>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11" w:name="FTR7"/>
      <w:bookmarkStart w:id="212" w:name="FTR7"/>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13" w:name="GLFTR7"/>
      <w:bookmarkStart w:id="214" w:name="GLFTR7"/>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5" w:name="PN7"/>
      <w:bookmarkEnd w:id="215"/>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16" w:name="HDR7"/>
      <w:bookmarkStart w:id="217" w:name="HDR7"/>
      <w:bookmarkEnd w:id="2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18" w:name="GLHDR7"/>
      <w:bookmarkStart w:id="219" w:name="GLHDR7"/>
      <w:bookmarkEnd w:id="2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left"/>
        <w:rPr/>
      </w:pPr>
      <w:r>
        <w:rPr>
          <w:rFonts w:ascii="Times New Roman" w:hAnsi="Times New Roman"/>
          <w:b/>
          <w:sz w:val="20"/>
        </w:rPr>
        <w:t>6.</w:t>
      </w:r>
      <w:bookmarkStart w:id="220" w:name="TAB21"/>
      <w:bookmarkEnd w:id="220"/>
      <w:r>
        <w:rPr>
          <w:color w:val="000000"/>
          <w:spacing w:val="180"/>
        </w:rPr>
        <w:t> </w:t>
      </w:r>
      <w:r>
        <w:rPr>
          <w:rFonts w:ascii="Times New Roman" w:hAnsi="Times New Roman"/>
          <w:b/>
          <w:sz w:val="20"/>
        </w:rPr>
        <w:t>FAIR VALUE MEASUREMENTS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The categories in the hierarchy are:</w:t>
      </w:r>
    </w:p>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221" w:name="hangingindent"/>
      <w:bookmarkStart w:id="222" w:name="hangingindent"/>
      <w:bookmarkEnd w:id="222"/>
    </w:p>
    <w:tbl>
      <w:tblPr>
        <w:tblW w:w="5000" w:type="pct"/>
        <w:jc w:val="center"/>
        <w:tblInd w:w="0" w:type="dxa"/>
        <w:tblCellMar>
          <w:top w:w="0" w:type="dxa"/>
          <w:left w:w="0" w:type="dxa"/>
          <w:bottom w:w="0" w:type="dxa"/>
          <w:right w:w="0" w:type="dxa"/>
        </w:tblCellMar>
      </w:tblPr>
      <w:tblGrid>
        <w:gridCol w:w="112"/>
        <w:gridCol w:w="672"/>
        <w:gridCol w:w="9421"/>
      </w:tblGrid>
      <w:tr>
        <w:trPr/>
        <w:tc>
          <w:tcPr>
            <w:tcW w:w="112" w:type="dxa"/>
            <w:tcBorders/>
            <w:shd w:fill="auto" w:val="clear"/>
          </w:tcPr>
          <w:p>
            <w:pPr>
              <w:pStyle w:val="TableContents"/>
              <w:spacing w:before="0" w:after="0"/>
              <w:rPr/>
            </w:pPr>
            <w:r>
              <w:rPr/>
              <w:t xml:space="preserve">  </w:t>
            </w:r>
          </w:p>
        </w:tc>
        <w:tc>
          <w:tcPr>
            <w:tcW w:w="67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Level 1:</w:t>
            </w:r>
          </w:p>
        </w:tc>
        <w:tc>
          <w:tcPr>
            <w:tcW w:w="942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Financial assets and liabilities whose values are based on quoted market prices in active markets for identical assets or liabilities.</w:t>
            </w:r>
          </w:p>
        </w:tc>
      </w:tr>
    </w:tbl>
    <w:p>
      <w:pPr>
        <w:pStyle w:val="Normal"/>
        <w:spacing w:before="0" w:after="0"/>
        <w:rPr>
          <w:sz w:val="4"/>
          <w:szCs w:val="4"/>
        </w:rPr>
      </w:pPr>
      <w:r>
        <w:rPr>
          <w:sz w:val="4"/>
          <w:szCs w:val="4"/>
        </w:rPr>
      </w:r>
      <w:bookmarkStart w:id="223" w:name="hangingindent1"/>
      <w:bookmarkStart w:id="224" w:name="hangingindent1"/>
      <w:bookmarkEnd w:id="224"/>
    </w:p>
    <w:tbl>
      <w:tblPr>
        <w:tblW w:w="5000" w:type="pct"/>
        <w:jc w:val="center"/>
        <w:tblInd w:w="0" w:type="dxa"/>
        <w:tblCellMar>
          <w:top w:w="0" w:type="dxa"/>
          <w:left w:w="0" w:type="dxa"/>
          <w:bottom w:w="0" w:type="dxa"/>
          <w:right w:w="0" w:type="dxa"/>
        </w:tblCellMar>
      </w:tblPr>
      <w:tblGrid>
        <w:gridCol w:w="221"/>
        <w:gridCol w:w="1286"/>
        <w:gridCol w:w="8698"/>
      </w:tblGrid>
      <w:tr>
        <w:trPr/>
        <w:tc>
          <w:tcPr>
            <w:tcW w:w="221" w:type="dxa"/>
            <w:tcBorders/>
            <w:shd w:fill="auto" w:val="clear"/>
          </w:tcPr>
          <w:p>
            <w:pPr>
              <w:pStyle w:val="TableContents"/>
              <w:spacing w:before="0" w:after="0"/>
              <w:rPr/>
            </w:pPr>
            <w:r>
              <w:rPr/>
              <w:t xml:space="preserve">  </w:t>
            </w:r>
          </w:p>
        </w:tc>
        <w:tc>
          <w:tcPr>
            <w:tcW w:w="1286"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Level 2:</w:t>
            </w:r>
          </w:p>
        </w:tc>
        <w:tc>
          <w:tcPr>
            <w:tcW w:w="869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Financial assets and liabilities whose values are based on:</w:t>
            </w:r>
          </w:p>
        </w:tc>
      </w:tr>
    </w:tbl>
    <w:p>
      <w:pPr>
        <w:pStyle w:val="Normal"/>
        <w:spacing w:before="0" w:after="0"/>
        <w:rPr>
          <w:sz w:val="4"/>
          <w:szCs w:val="4"/>
        </w:rPr>
      </w:pPr>
      <w:r>
        <w:rPr>
          <w:sz w:val="4"/>
          <w:szCs w:val="4"/>
        </w:rPr>
      </w:r>
      <w:bookmarkStart w:id="225" w:name="list4"/>
      <w:bookmarkStart w:id="226" w:name="list4"/>
      <w:bookmarkEnd w:id="226"/>
    </w:p>
    <w:tbl>
      <w:tblPr>
        <w:tblW w:w="5000" w:type="pct"/>
        <w:jc w:val="center"/>
        <w:tblInd w:w="0" w:type="dxa"/>
        <w:tblCellMar>
          <w:top w:w="0" w:type="dxa"/>
          <w:left w:w="0" w:type="dxa"/>
          <w:bottom w:w="0" w:type="dxa"/>
          <w:right w:w="0" w:type="dxa"/>
        </w:tblCellMar>
      </w:tblPr>
      <w:tblGrid>
        <w:gridCol w:w="554"/>
        <w:gridCol w:w="9651"/>
      </w:tblGrid>
      <w:tr>
        <w:trPr/>
        <w:tc>
          <w:tcPr>
            <w:tcW w:w="55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65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Quoted prices for similar assets or liabilities in active markets.</w:t>
            </w:r>
          </w:p>
        </w:tc>
      </w:tr>
    </w:tbl>
    <w:p>
      <w:pPr>
        <w:pStyle w:val="Normal"/>
        <w:spacing w:before="0" w:after="0"/>
        <w:rPr>
          <w:sz w:val="4"/>
          <w:szCs w:val="4"/>
        </w:rPr>
      </w:pPr>
      <w:r>
        <w:rPr>
          <w:sz w:val="4"/>
          <w:szCs w:val="4"/>
        </w:rPr>
      </w:r>
      <w:bookmarkStart w:id="227" w:name="list5"/>
      <w:bookmarkStart w:id="228" w:name="list5"/>
      <w:bookmarkEnd w:id="228"/>
    </w:p>
    <w:tbl>
      <w:tblPr>
        <w:tblW w:w="5000" w:type="pct"/>
        <w:jc w:val="center"/>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Quoted prices for identical or similar assets or liabilities in markets that are not active.</w:t>
            </w:r>
          </w:p>
        </w:tc>
      </w:tr>
    </w:tbl>
    <w:p>
      <w:pPr>
        <w:pStyle w:val="Normal"/>
        <w:spacing w:before="0" w:after="0"/>
        <w:rPr>
          <w:sz w:val="4"/>
          <w:szCs w:val="4"/>
        </w:rPr>
      </w:pPr>
      <w:r>
        <w:rPr>
          <w:sz w:val="4"/>
          <w:szCs w:val="4"/>
        </w:rPr>
      </w:r>
      <w:bookmarkStart w:id="229" w:name="list6"/>
      <w:bookmarkStart w:id="230" w:name="list6"/>
      <w:bookmarkEnd w:id="230"/>
    </w:p>
    <w:tbl>
      <w:tblPr>
        <w:tblW w:w="5000" w:type="pct"/>
        <w:jc w:val="center"/>
        <w:tblInd w:w="0" w:type="dxa"/>
        <w:tblCellMar>
          <w:top w:w="0" w:type="dxa"/>
          <w:left w:w="0" w:type="dxa"/>
          <w:bottom w:w="0" w:type="dxa"/>
          <w:right w:w="0" w:type="dxa"/>
        </w:tblCellMar>
      </w:tblPr>
      <w:tblGrid>
        <w:gridCol w:w="288"/>
        <w:gridCol w:w="9917"/>
      </w:tblGrid>
      <w:tr>
        <w:trPr/>
        <w:tc>
          <w:tcPr>
            <w:tcW w:w="288"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3)  </w:t>
            </w:r>
          </w:p>
        </w:tc>
        <w:tc>
          <w:tcPr>
            <w:tcW w:w="991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Valuation models whose inputs are observable, directly or indirectly, for substantially the full term of the asset or liability.</w:t>
            </w:r>
          </w:p>
        </w:tc>
      </w:tr>
    </w:tbl>
    <w:p>
      <w:pPr>
        <w:pStyle w:val="Normal"/>
        <w:spacing w:before="0" w:after="0"/>
        <w:rPr>
          <w:sz w:val="4"/>
          <w:szCs w:val="4"/>
        </w:rPr>
      </w:pPr>
      <w:r>
        <w:rPr>
          <w:sz w:val="4"/>
          <w:szCs w:val="4"/>
        </w:rPr>
      </w:r>
      <w:bookmarkStart w:id="231" w:name="hangingindent2"/>
      <w:bookmarkStart w:id="232" w:name="hangingindent2"/>
      <w:bookmarkEnd w:id="232"/>
    </w:p>
    <w:tbl>
      <w:tblPr>
        <w:tblW w:w="5000" w:type="pct"/>
        <w:jc w:val="center"/>
        <w:tblInd w:w="0" w:type="dxa"/>
        <w:tblCellMar>
          <w:top w:w="0" w:type="dxa"/>
          <w:left w:w="0" w:type="dxa"/>
          <w:bottom w:w="0" w:type="dxa"/>
          <w:right w:w="0" w:type="dxa"/>
        </w:tblCellMar>
      </w:tblPr>
      <w:tblGrid>
        <w:gridCol w:w="78"/>
        <w:gridCol w:w="554"/>
        <w:gridCol w:w="9573"/>
      </w:tblGrid>
      <w:tr>
        <w:trPr/>
        <w:tc>
          <w:tcPr>
            <w:tcW w:w="78" w:type="dxa"/>
            <w:tcBorders/>
            <w:shd w:fill="auto" w:val="clear"/>
          </w:tcPr>
          <w:p>
            <w:pPr>
              <w:pStyle w:val="TableContents"/>
              <w:spacing w:before="0" w:after="0"/>
              <w:rPr/>
            </w:pPr>
            <w:r>
              <w:rPr/>
              <w:t xml:space="preserve">  </w:t>
            </w:r>
          </w:p>
        </w:tc>
        <w:tc>
          <w:tcPr>
            <w:tcW w:w="55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Level 3:</w:t>
            </w:r>
          </w:p>
        </w:tc>
        <w:tc>
          <w:tcPr>
            <w:tcW w:w="95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Financial assets and liabilities whose values are based on valuation techniques that require inputs that are both unobservable and significant to the overall fair value measurement.  These inputs may reflect estimates of the assumptions that market participants would use in valuing the financial assets and liabilities.</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summarizes our financial assets and liabilities that were measured at fair value by level within the fair value hierarchy:</w:t>
      </w:r>
    </w:p>
    <w:p>
      <w:pPr>
        <w:pStyle w:val="TextBody"/>
        <w:spacing w:before="0" w:after="0"/>
        <w:ind w:left="0" w:right="0" w:hanging="0"/>
        <w:jc w:val="center"/>
        <w:rPr/>
      </w:pPr>
      <w:r>
        <w:rPr/>
      </w:r>
    </w:p>
    <w:tbl>
      <w:tblPr>
        <w:tblW w:w="3000" w:type="pct"/>
        <w:jc w:val="center"/>
        <w:tblInd w:w="0" w:type="dxa"/>
        <w:tblCellMar>
          <w:top w:w="0" w:type="dxa"/>
          <w:left w:w="0" w:type="dxa"/>
          <w:bottom w:w="0" w:type="dxa"/>
          <w:right w:w="0" w:type="dxa"/>
        </w:tblCellMar>
      </w:tblPr>
      <w:tblGrid>
        <w:gridCol w:w="2562"/>
        <w:gridCol w:w="85"/>
        <w:gridCol w:w="125"/>
        <w:gridCol w:w="886"/>
        <w:gridCol w:w="85"/>
        <w:gridCol w:w="85"/>
        <w:gridCol w:w="125"/>
        <w:gridCol w:w="886"/>
        <w:gridCol w:w="84"/>
        <w:gridCol w:w="85"/>
        <w:gridCol w:w="125"/>
        <w:gridCol w:w="886"/>
        <w:gridCol w:w="104"/>
      </w:tblGrid>
      <w:tr>
        <w:trPr/>
        <w:tc>
          <w:tcPr>
            <w:tcW w:w="2562" w:type="dxa"/>
            <w:tcBorders/>
            <w:shd w:fill="auto" w:val="clear"/>
            <w:vAlign w:val="bottom"/>
          </w:tcPr>
          <w:p>
            <w:pPr>
              <w:pStyle w:val="TableContents"/>
              <w:spacing w:before="0" w:after="283"/>
              <w:rPr/>
            </w:pPr>
            <w:r>
              <w:rPr/>
              <w:t xml:space="preserve">  </w:t>
            </w:r>
          </w:p>
        </w:tc>
        <w:tc>
          <w:tcPr>
            <w:tcW w:w="85" w:type="dxa"/>
            <w:tcBorders/>
            <w:shd w:fill="auto" w:val="clear"/>
            <w:vAlign w:val="bottom"/>
          </w:tcPr>
          <w:p>
            <w:pPr>
              <w:pStyle w:val="TableContents"/>
              <w:spacing w:before="0" w:after="283"/>
              <w:rPr/>
            </w:pPr>
            <w:r>
              <w:rPr/>
              <w:t> </w:t>
            </w:r>
          </w:p>
        </w:tc>
        <w:tc>
          <w:tcPr>
            <w:tcW w:w="3372"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Fair Value at October 31, 2009</w:t>
            </w:r>
          </w:p>
          <w:p>
            <w:pPr>
              <w:pStyle w:val="TableContents"/>
              <w:spacing w:before="0" w:after="0"/>
              <w:ind w:left="0" w:right="0" w:hanging="0"/>
              <w:jc w:val="center"/>
              <w:rPr>
                <w:rFonts w:ascii="times new roman" w:hAnsi="times new roman"/>
                <w:sz w:val="20"/>
              </w:rPr>
            </w:pPr>
            <w:r>
              <w:rPr>
                <w:rFonts w:ascii="times new roman" w:hAnsi="times new roman"/>
                <w:sz w:val="20"/>
              </w:rPr>
              <w:t>(in thousands)</w:t>
            </w:r>
          </w:p>
        </w:tc>
        <w:tc>
          <w:tcPr>
            <w:tcW w:w="104" w:type="dxa"/>
            <w:tcBorders/>
            <w:shd w:fill="auto" w:val="clear"/>
            <w:vAlign w:val="bottom"/>
          </w:tcPr>
          <w:p>
            <w:pPr>
              <w:pStyle w:val="TableContents"/>
              <w:spacing w:before="0" w:after="283"/>
              <w:jc w:val="left"/>
              <w:rPr/>
            </w:pPr>
            <w:r>
              <w:rPr/>
              <w:t> </w:t>
            </w:r>
          </w:p>
        </w:tc>
      </w:tr>
      <w:tr>
        <w:trPr/>
        <w:tc>
          <w:tcPr>
            <w:tcW w:w="2562" w:type="dxa"/>
            <w:tcBorders/>
            <w:shd w:fill="auto" w:val="clear"/>
            <w:vAlign w:val="bottom"/>
          </w:tcPr>
          <w:p>
            <w:pPr>
              <w:pStyle w:val="TableContents"/>
              <w:spacing w:before="0" w:after="283"/>
              <w:rPr/>
            </w:pPr>
            <w:r>
              <w:rPr/>
              <w:t xml:space="preserve">  </w:t>
            </w:r>
          </w:p>
        </w:tc>
        <w:tc>
          <w:tcPr>
            <w:tcW w:w="85" w:type="dxa"/>
            <w:tcBorders/>
            <w:shd w:fill="auto" w:val="clear"/>
            <w:vAlign w:val="bottom"/>
          </w:tcPr>
          <w:p>
            <w:pPr>
              <w:pStyle w:val="TableContents"/>
              <w:spacing w:before="0" w:after="283"/>
              <w:rPr/>
            </w:pPr>
            <w:r>
              <w:rPr/>
              <w:t> </w:t>
            </w:r>
          </w:p>
        </w:tc>
        <w:tc>
          <w:tcPr>
            <w:tcW w:w="10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0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Level 1</w:t>
            </w:r>
          </w:p>
        </w:tc>
        <w:tc>
          <w:tcPr>
            <w:tcW w:w="84"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0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Level 2</w:t>
            </w:r>
          </w:p>
        </w:tc>
        <w:tc>
          <w:tcPr>
            <w:tcW w:w="104" w:type="dxa"/>
            <w:tcBorders/>
            <w:shd w:fill="auto" w:val="clear"/>
            <w:vAlign w:val="bottom"/>
          </w:tcPr>
          <w:p>
            <w:pPr>
              <w:pStyle w:val="TableContents"/>
              <w:spacing w:before="0" w:after="283"/>
              <w:jc w:val="left"/>
              <w:rPr/>
            </w:pPr>
            <w:r>
              <w:rPr/>
              <w:t> </w:t>
            </w:r>
          </w:p>
        </w:tc>
      </w:tr>
      <w:tr>
        <w:trPr/>
        <w:tc>
          <w:tcPr>
            <w:tcW w:w="2562" w:type="dxa"/>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Assets</w:t>
            </w:r>
          </w:p>
        </w:tc>
        <w:tc>
          <w:tcPr>
            <w:tcW w:w="85" w:type="dxa"/>
            <w:tcBorders/>
            <w:shd w:fill="auto" w:val="clear"/>
            <w:vAlign w:val="bottom"/>
          </w:tcPr>
          <w:p>
            <w:pPr>
              <w:pStyle w:val="TableContents"/>
              <w:spacing w:before="0" w:after="283"/>
              <w:rPr/>
            </w:pPr>
            <w:r>
              <w:rPr/>
              <w:t> </w:t>
            </w:r>
          </w:p>
        </w:tc>
        <w:tc>
          <w:tcPr>
            <w:tcW w:w="1011" w:type="dxa"/>
            <w:gridSpan w:val="2"/>
            <w:tcBorders/>
            <w:shd w:fill="auto" w:val="clear"/>
            <w:vAlign w:val="bottom"/>
          </w:tcPr>
          <w:p>
            <w:pPr>
              <w:pStyle w:val="TableContents"/>
              <w:spacing w:before="0" w:after="283"/>
              <w:rPr/>
            </w:pPr>
            <w:r>
              <w:rPr/>
              <w:t> </w:t>
            </w:r>
          </w:p>
        </w:tc>
        <w:tc>
          <w:tcPr>
            <w:tcW w:w="85"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011" w:type="dxa"/>
            <w:gridSpan w:val="2"/>
            <w:tcBorders/>
            <w:shd w:fill="auto" w:val="clear"/>
            <w:vAlign w:val="bottom"/>
          </w:tcPr>
          <w:p>
            <w:pPr>
              <w:pStyle w:val="TableContents"/>
              <w:spacing w:before="0" w:after="283"/>
              <w:rPr/>
            </w:pPr>
            <w:r>
              <w:rPr/>
              <w:t> </w:t>
            </w:r>
          </w:p>
        </w:tc>
        <w:tc>
          <w:tcPr>
            <w:tcW w:w="84" w:type="dxa"/>
            <w:tcBorders/>
            <w:shd w:fill="auto" w:val="clear"/>
            <w:vAlign w:val="bottom"/>
          </w:tcPr>
          <w:p>
            <w:pPr>
              <w:pStyle w:val="TableContents"/>
              <w:spacing w:before="0" w:after="283"/>
              <w:jc w:val="left"/>
              <w:rPr/>
            </w:pPr>
            <w:r>
              <w:rPr/>
              <w:t> </w:t>
            </w:r>
          </w:p>
        </w:tc>
        <w:tc>
          <w:tcPr>
            <w:tcW w:w="85" w:type="dxa"/>
            <w:tcBorders/>
            <w:shd w:fill="auto" w:val="clear"/>
            <w:vAlign w:val="bottom"/>
          </w:tcPr>
          <w:p>
            <w:pPr>
              <w:pStyle w:val="TableContents"/>
              <w:spacing w:before="0" w:after="283"/>
              <w:rPr/>
            </w:pPr>
            <w:r>
              <w:rPr/>
              <w:t> </w:t>
            </w:r>
          </w:p>
        </w:tc>
        <w:tc>
          <w:tcPr>
            <w:tcW w:w="101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r>
      <w:tr>
        <w:trPr/>
        <w:tc>
          <w:tcPr>
            <w:tcW w:w="256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equivalents</w:t>
            </w:r>
          </w:p>
        </w:tc>
        <w:tc>
          <w:tcPr>
            <w:tcW w:w="8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7,395</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7,395</w:t>
            </w:r>
          </w:p>
        </w:tc>
        <w:tc>
          <w:tcPr>
            <w:tcW w:w="84"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r>
      <w:tr>
        <w:trPr/>
        <w:tc>
          <w:tcPr>
            <w:tcW w:w="2562"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Marketable equity securities</w:t>
            </w:r>
          </w:p>
        </w:tc>
        <w:tc>
          <w:tcPr>
            <w:tcW w:w="8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85"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84"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r>
      <w:tr>
        <w:trPr/>
        <w:tc>
          <w:tcPr>
            <w:tcW w:w="2562"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Cash surrender value of life insurance</w:t>
            </w:r>
          </w:p>
        </w:tc>
        <w:tc>
          <w:tcPr>
            <w:tcW w:w="8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3,682</w:t>
            </w:r>
          </w:p>
        </w:tc>
        <w:tc>
          <w:tcPr>
            <w:tcW w:w="85"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84" w:type="dxa"/>
            <w:tcBorders/>
            <w:shd w:fill="CCEEFF" w:val="clear"/>
            <w:vAlign w:val="bottom"/>
          </w:tcPr>
          <w:p>
            <w:pPr>
              <w:pStyle w:val="TableContents"/>
              <w:spacing w:before="0" w:after="283"/>
              <w:jc w:val="left"/>
              <w:rPr/>
            </w:pPr>
            <w:r>
              <w:rPr/>
              <w:t> </w:t>
            </w:r>
          </w:p>
        </w:tc>
        <w:tc>
          <w:tcPr>
            <w:tcW w:w="8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3,682</w:t>
            </w:r>
          </w:p>
        </w:tc>
        <w:tc>
          <w:tcPr>
            <w:tcW w:w="104" w:type="dxa"/>
            <w:tcBorders/>
            <w:shd w:fill="CCEEFF" w:val="clear"/>
            <w:vAlign w:val="bottom"/>
          </w:tcPr>
          <w:p>
            <w:pPr>
              <w:pStyle w:val="TableContents"/>
              <w:spacing w:before="0" w:after="283"/>
              <w:jc w:val="left"/>
              <w:rPr/>
            </w:pPr>
            <w:r>
              <w:rPr/>
              <w:t> </w:t>
            </w:r>
          </w:p>
        </w:tc>
      </w:tr>
      <w:tr>
        <w:trPr/>
        <w:tc>
          <w:tcPr>
            <w:tcW w:w="2562" w:type="dxa"/>
            <w:tcBorders/>
            <w:shd w:fill="FFFFFF" w:val="clear"/>
            <w:vAlign w:val="bottom"/>
          </w:tcPr>
          <w:p>
            <w:pPr>
              <w:pStyle w:val="TableContents"/>
              <w:spacing w:before="0" w:after="283"/>
              <w:rPr/>
            </w:pPr>
            <w:r>
              <w:rPr/>
              <w:t xml:space="preserve">  </w:t>
            </w:r>
          </w:p>
        </w:tc>
        <w:tc>
          <w:tcPr>
            <w:tcW w:w="8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86" w:type="dxa"/>
            <w:tcBorders/>
            <w:shd w:fill="FFFFFF" w:val="clear"/>
            <w:vAlign w:val="bottom"/>
          </w:tcPr>
          <w:p>
            <w:pPr>
              <w:pStyle w:val="TableContents"/>
              <w:spacing w:before="0" w:after="283"/>
              <w:jc w:val="right"/>
              <w:rPr/>
            </w:pPr>
            <w:r>
              <w:rPr/>
              <w:t> </w:t>
            </w:r>
          </w:p>
        </w:tc>
        <w:tc>
          <w:tcPr>
            <w:tcW w:w="85"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86" w:type="dxa"/>
            <w:tcBorders/>
            <w:shd w:fill="FFFFFF" w:val="clear"/>
            <w:vAlign w:val="bottom"/>
          </w:tcPr>
          <w:p>
            <w:pPr>
              <w:pStyle w:val="TableContents"/>
              <w:spacing w:before="0" w:after="283"/>
              <w:jc w:val="right"/>
              <w:rPr/>
            </w:pPr>
            <w:r>
              <w:rPr/>
              <w:t> </w:t>
            </w:r>
          </w:p>
        </w:tc>
        <w:tc>
          <w:tcPr>
            <w:tcW w:w="84" w:type="dxa"/>
            <w:tcBorders/>
            <w:shd w:fill="FFFFFF" w:val="clear"/>
            <w:vAlign w:val="bottom"/>
          </w:tcPr>
          <w:p>
            <w:pPr>
              <w:pStyle w:val="TableContents"/>
              <w:spacing w:before="0" w:after="283"/>
              <w:jc w:val="left"/>
              <w:rPr/>
            </w:pPr>
            <w:r>
              <w:rPr/>
              <w:t> </w:t>
            </w:r>
          </w:p>
        </w:tc>
        <w:tc>
          <w:tcPr>
            <w:tcW w:w="8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8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equivalents are classified as Level 1 of the fair value hierarchy because they were valued using quoted market prices in active markets.  These cash instruments are primarily money market mutual funds.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Marketable equity securities were valued using quoted market prices in active markets and as such are classified as Level 1 in the fair value hierarchy.  These securities represent stock we own in one publicly traded company.</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surrender value of life insurance is classified as Level 2.  The value was determined by the underwriting insurance company’s valuation models and represents the guaranteed value we would receive upon surrender of these policies as of October 31, 2009.  These life insurance policies are held on key employees.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carrying values of investments in securities, accounts receivable, accounts payable and notes payable approximate their fair values at October 31, 2009 and July 31, 2009, due to the short maturity and nature of those balances and are not included in the above table.  The investments in securities consisted of U.S. Treasury securities carried at amortized cost.  The estimated fair value of long-term debt, including current maturities, was approximately $21,209,000 and $21,523,000 as of October 31, 2009 and July 31, 2009, respectively.</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apply fair value techniques on a non-recurring basis associated with: (1) valuing potential impairment loss related to goodwill and indefinite-lived intangible assets and (2) valuing potential impairment loss related to long-lived assets.</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233" w:name="PGBRK8"/>
      <w:bookmarkStart w:id="234" w:name="PGBRK8"/>
      <w:bookmarkEnd w:id="2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35" w:name="FTR8"/>
      <w:bookmarkStart w:id="236" w:name="FTR8"/>
      <w:bookmarkEnd w:id="2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37" w:name="GLFTR8"/>
      <w:bookmarkStart w:id="238" w:name="GLFTR8"/>
      <w:bookmarkEnd w:id="2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9" w:name="PN8"/>
      <w:bookmarkEnd w:id="239"/>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40" w:name="HDR8"/>
      <w:bookmarkStart w:id="241" w:name="HDR8"/>
      <w:bookmarkEnd w:id="2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42" w:name="GLHDR8"/>
      <w:bookmarkStart w:id="243" w:name="GLHDR8"/>
      <w:bookmarkEnd w:id="2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left"/>
        <w:rPr/>
      </w:pPr>
      <w:r>
        <w:rPr>
          <w:rFonts w:ascii="Times New Roman" w:hAnsi="Times New Roman"/>
          <w:b/>
          <w:sz w:val="20"/>
        </w:rPr>
        <w:t>7.</w:t>
      </w:r>
      <w:bookmarkStart w:id="244" w:name="TAB22"/>
      <w:bookmarkEnd w:id="244"/>
      <w:r>
        <w:rPr>
          <w:color w:val="000000"/>
          <w:spacing w:val="180"/>
        </w:rPr>
        <w:t> </w:t>
      </w:r>
      <w:r>
        <w:rPr>
          <w:rFonts w:ascii="Times New Roman" w:hAnsi="Times New Roman"/>
          <w:b/>
          <w:sz w:val="20"/>
        </w:rPr>
        <w:t>PENSION AND OTHER POST RETIREMENT BENEFITS</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components of net periodic pension benefits cost of our sponsored defined benefit plans were as follows:</w:t>
      </w:r>
    </w:p>
    <w:p>
      <w:pPr>
        <w:pStyle w:val="TextBody"/>
        <w:spacing w:before="0" w:after="0"/>
        <w:ind w:left="0" w:right="0" w:hanging="0"/>
        <w:jc w:val="center"/>
        <w:rPr/>
      </w:pPr>
      <w:r>
        <w:rPr/>
      </w:r>
    </w:p>
    <w:tbl>
      <w:tblPr>
        <w:tblW w:w="3000" w:type="pct"/>
        <w:jc w:val="left"/>
        <w:tblInd w:w="0" w:type="dxa"/>
        <w:tblCellMar>
          <w:top w:w="0" w:type="dxa"/>
          <w:left w:w="0" w:type="dxa"/>
          <w:bottom w:w="0" w:type="dxa"/>
          <w:right w:w="0" w:type="dxa"/>
        </w:tblCellMar>
      </w:tblPr>
      <w:tblGrid>
        <w:gridCol w:w="3177"/>
        <w:gridCol w:w="101"/>
        <w:gridCol w:w="189"/>
        <w:gridCol w:w="1060"/>
        <w:gridCol w:w="115"/>
        <w:gridCol w:w="101"/>
        <w:gridCol w:w="189"/>
        <w:gridCol w:w="1060"/>
        <w:gridCol w:w="131"/>
      </w:tblGrid>
      <w:tr>
        <w:trPr/>
        <w:tc>
          <w:tcPr>
            <w:tcW w:w="3177"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2714"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PENSION PLANS</w:t>
            </w:r>
          </w:p>
          <w:p>
            <w:pPr>
              <w:pStyle w:val="TableContents"/>
              <w:spacing w:before="0" w:after="0"/>
              <w:ind w:left="0" w:right="0" w:hanging="0"/>
              <w:jc w:val="center"/>
              <w:rPr>
                <w:rFonts w:ascii="times new roman" w:hAnsi="times new roman"/>
                <w:sz w:val="20"/>
              </w:rPr>
            </w:pPr>
            <w:r>
              <w:rPr>
                <w:rFonts w:ascii="times new roman" w:hAnsi="times new roman"/>
                <w:sz w:val="20"/>
              </w:rPr>
              <w:t>(dollars in thousands)</w:t>
            </w:r>
          </w:p>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31" w:type="dxa"/>
            <w:tcBorders/>
            <w:shd w:fill="auto" w:val="clear"/>
            <w:vAlign w:val="bottom"/>
          </w:tcPr>
          <w:p>
            <w:pPr>
              <w:pStyle w:val="TableContents"/>
              <w:spacing w:before="0" w:after="283"/>
              <w:jc w:val="left"/>
              <w:rPr/>
            </w:pPr>
            <w:r>
              <w:rPr/>
              <w:t> </w:t>
            </w:r>
          </w:p>
        </w:tc>
      </w:tr>
      <w:tr>
        <w:trPr/>
        <w:tc>
          <w:tcPr>
            <w:tcW w:w="3177"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177"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31" w:type="dxa"/>
            <w:tcBorders/>
            <w:shd w:fill="auto" w:val="clear"/>
            <w:vAlign w:val="bottom"/>
          </w:tcPr>
          <w:p>
            <w:pPr>
              <w:pStyle w:val="TableContents"/>
              <w:spacing w:before="0" w:after="283"/>
              <w:jc w:val="left"/>
              <w:rPr/>
            </w:pPr>
            <w:r>
              <w:rPr/>
              <w:t> </w:t>
            </w:r>
          </w:p>
        </w:tc>
      </w:tr>
      <w:tr>
        <w:trPr/>
        <w:tc>
          <w:tcPr>
            <w:tcW w:w="3177"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Components of net periodic pension benefit cost:</w:t>
            </w:r>
          </w:p>
        </w:tc>
        <w:tc>
          <w:tcPr>
            <w:tcW w:w="10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177"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249" w:type="dxa"/>
            <w:gridSpan w:val="2"/>
            <w:tcBorders/>
            <w:shd w:fill="auto" w:val="clear"/>
            <w:vAlign w:val="bottom"/>
          </w:tcPr>
          <w:p>
            <w:pPr>
              <w:pStyle w:val="TableContents"/>
              <w:spacing w:before="0" w:after="283"/>
              <w:rPr/>
            </w:pPr>
            <w:r>
              <w:rPr/>
              <w:t> </w:t>
            </w:r>
          </w:p>
        </w:tc>
        <w:tc>
          <w:tcPr>
            <w:tcW w:w="131" w:type="dxa"/>
            <w:tcBorders/>
            <w:shd w:fill="auto" w:val="clear"/>
            <w:vAlign w:val="bottom"/>
          </w:tcPr>
          <w:p>
            <w:pPr>
              <w:pStyle w:val="TableContents"/>
              <w:spacing w:before="0" w:after="283"/>
              <w:jc w:val="left"/>
              <w:rPr/>
            </w:pPr>
            <w:r>
              <w:rPr/>
              <w:t> </w:t>
            </w:r>
          </w:p>
        </w:tc>
      </w:tr>
      <w:tr>
        <w:trPr/>
        <w:tc>
          <w:tcPr>
            <w:tcW w:w="317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101"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15"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210</w:t>
            </w:r>
          </w:p>
        </w:tc>
        <w:tc>
          <w:tcPr>
            <w:tcW w:w="131" w:type="dxa"/>
            <w:tcBorders/>
            <w:shd w:fill="CCEEFF" w:val="clear"/>
            <w:vAlign w:val="bottom"/>
          </w:tcPr>
          <w:p>
            <w:pPr>
              <w:pStyle w:val="TableContents"/>
              <w:spacing w:before="0" w:after="283"/>
              <w:jc w:val="left"/>
              <w:rPr/>
            </w:pPr>
            <w:r>
              <w:rPr/>
              <w:t> </w:t>
            </w:r>
          </w:p>
        </w:tc>
      </w:tr>
      <w:tr>
        <w:trPr/>
        <w:tc>
          <w:tcPr>
            <w:tcW w:w="317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01"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456</w:t>
            </w:r>
          </w:p>
        </w:tc>
        <w:tc>
          <w:tcPr>
            <w:tcW w:w="115"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89" w:type="dxa"/>
            <w:tcBorders/>
            <w:shd w:fill="FFFFFF" w:val="clear"/>
            <w:vAlign w:val="bottom"/>
          </w:tcPr>
          <w:p>
            <w:pPr>
              <w:pStyle w:val="TableContents"/>
              <w:spacing w:before="0" w:after="283"/>
              <w:jc w:val="left"/>
              <w:rPr/>
            </w:pPr>
            <w:r>
              <w:rPr/>
              <w:t> </w:t>
            </w:r>
          </w:p>
        </w:tc>
        <w:tc>
          <w:tcPr>
            <w:tcW w:w="106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334</w:t>
            </w:r>
          </w:p>
        </w:tc>
        <w:tc>
          <w:tcPr>
            <w:tcW w:w="131" w:type="dxa"/>
            <w:tcBorders/>
            <w:shd w:fill="FFFFFF" w:val="clear"/>
            <w:vAlign w:val="bottom"/>
          </w:tcPr>
          <w:p>
            <w:pPr>
              <w:pStyle w:val="TableContents"/>
              <w:spacing w:before="0" w:after="283"/>
              <w:jc w:val="left"/>
              <w:rPr/>
            </w:pPr>
            <w:r>
              <w:rPr/>
              <w:t> </w:t>
            </w:r>
          </w:p>
        </w:tc>
      </w:tr>
      <w:tr>
        <w:trPr/>
        <w:tc>
          <w:tcPr>
            <w:tcW w:w="317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return on plan assets</w:t>
            </w:r>
          </w:p>
        </w:tc>
        <w:tc>
          <w:tcPr>
            <w:tcW w:w="101"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10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(366</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right"/>
              <w:rPr/>
            </w:pPr>
            <w:r>
              <w:rPr/>
              <w:t> </w:t>
            </w:r>
          </w:p>
        </w:tc>
        <w:tc>
          <w:tcPr>
            <w:tcW w:w="189" w:type="dxa"/>
            <w:tcBorders/>
            <w:shd w:fill="CCEEFF" w:val="clear"/>
            <w:vAlign w:val="bottom"/>
          </w:tcPr>
          <w:p>
            <w:pPr>
              <w:pStyle w:val="TableContents"/>
              <w:spacing w:before="0" w:after="283"/>
              <w:jc w:val="left"/>
              <w:rPr/>
            </w:pPr>
            <w:r>
              <w:rPr/>
              <w:t> </w:t>
            </w:r>
          </w:p>
        </w:tc>
        <w:tc>
          <w:tcPr>
            <w:tcW w:w="106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(325</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17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amortization</w:t>
            </w:r>
          </w:p>
        </w:tc>
        <w:tc>
          <w:tcPr>
            <w:tcW w:w="101" w:type="dxa"/>
            <w:tcBorders/>
            <w:shd w:fill="FFFFFF" w:val="clear"/>
            <w:vAlign w:val="bottom"/>
          </w:tcPr>
          <w:p>
            <w:pPr>
              <w:pStyle w:val="TableContents"/>
              <w:spacing w:before="0" w:after="283"/>
              <w:jc w:val="right"/>
              <w:rPr/>
            </w:pPr>
            <w:r>
              <w:rPr/>
              <w:t> </w:t>
            </w:r>
          </w:p>
        </w:tc>
        <w:tc>
          <w:tcPr>
            <w:tcW w:w="18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15"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8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31" w:type="dxa"/>
            <w:tcBorders/>
            <w:shd w:fill="FFFFFF" w:val="clear"/>
            <w:vAlign w:val="bottom"/>
          </w:tcPr>
          <w:p>
            <w:pPr>
              <w:pStyle w:val="TableContents"/>
              <w:spacing w:before="0" w:after="283"/>
              <w:jc w:val="left"/>
              <w:rPr/>
            </w:pPr>
            <w:r>
              <w:rPr/>
              <w:t> </w:t>
            </w:r>
          </w:p>
        </w:tc>
      </w:tr>
      <w:tr>
        <w:trPr/>
        <w:tc>
          <w:tcPr>
            <w:tcW w:w="3177" w:type="dxa"/>
            <w:tcBorders/>
            <w:shd w:fill="CCEEFF" w:val="clear"/>
            <w:vAlign w:val="bottom"/>
          </w:tcPr>
          <w:p>
            <w:pPr>
              <w:pStyle w:val="TableContents"/>
              <w:spacing w:before="0" w:after="283"/>
              <w:rPr/>
            </w:pPr>
            <w:r>
              <w:rPr/>
              <w:t xml:space="preserve">  </w:t>
            </w:r>
          </w:p>
        </w:tc>
        <w:tc>
          <w:tcPr>
            <w:tcW w:w="101" w:type="dxa"/>
            <w:tcBorders/>
            <w:shd w:fill="CCEEFF" w:val="clear"/>
            <w:vAlign w:val="bottom"/>
          </w:tcPr>
          <w:p>
            <w:pPr>
              <w:pStyle w:val="TableContents"/>
              <w:spacing w:before="0" w:after="283"/>
              <w:jc w:val="right"/>
              <w:rPr/>
            </w:pPr>
            <w:r>
              <w:rPr/>
              <w:t> </w:t>
            </w:r>
          </w:p>
        </w:tc>
        <w:tc>
          <w:tcPr>
            <w:tcW w:w="18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436</w:t>
            </w:r>
          </w:p>
        </w:tc>
        <w:tc>
          <w:tcPr>
            <w:tcW w:w="115"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89"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231</w:t>
            </w:r>
          </w:p>
        </w:tc>
        <w:tc>
          <w:tcPr>
            <w:tcW w:w="13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funded the plan based upon actuarially determined contributions that take into account the amount deductible for income tax purposes, the normal cost and the minimum contribution required and the maximum contribution allowed under the Employee Retirement Income Security Act of 1974, as amended.  We did not make a contribution to our pension plan during the first quarter ended October 31, 2009.  We intend to make a contribution to the pension plan during the current fiscal year approximately equal to the annual actuarial determined cost.  We currently estimate this amount to be approximately $900,000.  See Item 3. Quantitative and Qualitative Disclosures About Market Risk for a discussion of the potential impact of financial market fluctuations on pension plan assets and future funding contributions.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components of the net periodic postretirement health benefit cost were as follows:</w:t>
      </w:r>
    </w:p>
    <w:p>
      <w:pPr>
        <w:pStyle w:val="TextBody"/>
        <w:spacing w:before="0" w:after="0"/>
        <w:ind w:left="0" w:right="0" w:hanging="0"/>
        <w:jc w:val="center"/>
        <w:rPr/>
      </w:pPr>
      <w:r>
        <w:rPr/>
      </w:r>
    </w:p>
    <w:tbl>
      <w:tblPr>
        <w:tblW w:w="3000" w:type="pct"/>
        <w:jc w:val="left"/>
        <w:tblInd w:w="0" w:type="dxa"/>
        <w:tblCellMar>
          <w:top w:w="0" w:type="dxa"/>
          <w:left w:w="0" w:type="dxa"/>
          <w:bottom w:w="0" w:type="dxa"/>
          <w:right w:w="0" w:type="dxa"/>
        </w:tblCellMar>
      </w:tblPr>
      <w:tblGrid>
        <w:gridCol w:w="3138"/>
        <w:gridCol w:w="103"/>
        <w:gridCol w:w="294"/>
        <w:gridCol w:w="953"/>
        <w:gridCol w:w="134"/>
        <w:gridCol w:w="134"/>
        <w:gridCol w:w="292"/>
        <w:gridCol w:w="955"/>
        <w:gridCol w:w="120"/>
      </w:tblGrid>
      <w:tr>
        <w:trPr/>
        <w:tc>
          <w:tcPr>
            <w:tcW w:w="3138"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2762"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 RETIREMENT HEALTH BENEFITS</w:t>
            </w:r>
          </w:p>
        </w:tc>
        <w:tc>
          <w:tcPr>
            <w:tcW w:w="120" w:type="dxa"/>
            <w:tcBorders/>
            <w:shd w:fill="auto" w:val="clear"/>
            <w:vAlign w:val="bottom"/>
          </w:tcPr>
          <w:p>
            <w:pPr>
              <w:pStyle w:val="TableContents"/>
              <w:spacing w:before="0" w:after="283"/>
              <w:jc w:val="left"/>
              <w:rPr/>
            </w:pPr>
            <w:r>
              <w:rPr/>
              <w:t> </w:t>
            </w:r>
          </w:p>
        </w:tc>
      </w:tr>
      <w:tr>
        <w:trPr/>
        <w:tc>
          <w:tcPr>
            <w:tcW w:w="3138"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276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20" w:type="dxa"/>
            <w:tcBorders/>
            <w:shd w:fill="auto" w:val="clear"/>
            <w:vAlign w:val="bottom"/>
          </w:tcPr>
          <w:p>
            <w:pPr>
              <w:pStyle w:val="TableContents"/>
              <w:spacing w:before="0" w:after="283"/>
              <w:jc w:val="left"/>
              <w:rPr/>
            </w:pPr>
            <w:r>
              <w:rPr/>
              <w:t> </w:t>
            </w:r>
          </w:p>
        </w:tc>
      </w:tr>
      <w:tr>
        <w:trPr/>
        <w:tc>
          <w:tcPr>
            <w:tcW w:w="3138" w:type="dxa"/>
            <w:tcBorders/>
            <w:shd w:fill="auto" w:val="clear"/>
            <w:vAlign w:val="bottom"/>
          </w:tcPr>
          <w:p>
            <w:pPr>
              <w:pStyle w:val="TableContents"/>
              <w:spacing w:before="0" w:after="283"/>
              <w:rPr/>
            </w:pPr>
            <w:r>
              <w:rPr/>
              <w:t xml:space="preserve">  </w:t>
            </w:r>
          </w:p>
        </w:tc>
        <w:tc>
          <w:tcPr>
            <w:tcW w:w="103" w:type="dxa"/>
            <w:tcBorders/>
            <w:shd w:fill="auto" w:val="clear"/>
            <w:vAlign w:val="bottom"/>
          </w:tcPr>
          <w:p>
            <w:pPr>
              <w:pStyle w:val="TableContents"/>
              <w:spacing w:before="0" w:after="283"/>
              <w:rPr/>
            </w:pPr>
            <w:r>
              <w:rPr/>
              <w:t> </w:t>
            </w:r>
          </w:p>
        </w:tc>
        <w:tc>
          <w:tcPr>
            <w:tcW w:w="12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34" w:type="dxa"/>
            <w:tcBorders/>
            <w:shd w:fill="auto" w:val="clear"/>
            <w:vAlign w:val="bottom"/>
          </w:tcPr>
          <w:p>
            <w:pPr>
              <w:pStyle w:val="TableContents"/>
              <w:spacing w:before="0" w:after="283"/>
              <w:jc w:val="left"/>
              <w:rPr/>
            </w:pPr>
            <w:r>
              <w:rPr/>
              <w:t> </w:t>
            </w:r>
          </w:p>
        </w:tc>
        <w:tc>
          <w:tcPr>
            <w:tcW w:w="134" w:type="dxa"/>
            <w:tcBorders/>
            <w:shd w:fill="auto" w:val="clear"/>
            <w:vAlign w:val="bottom"/>
          </w:tcPr>
          <w:p>
            <w:pPr>
              <w:pStyle w:val="TableContents"/>
              <w:spacing w:before="0" w:after="283"/>
              <w:rPr/>
            </w:pPr>
            <w:r>
              <w:rPr/>
              <w:t> </w:t>
            </w:r>
          </w:p>
        </w:tc>
        <w:tc>
          <w:tcPr>
            <w:tcW w:w="124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20" w:type="dxa"/>
            <w:tcBorders/>
            <w:shd w:fill="auto" w:val="clear"/>
            <w:vAlign w:val="bottom"/>
          </w:tcPr>
          <w:p>
            <w:pPr>
              <w:pStyle w:val="TableContents"/>
              <w:spacing w:before="0" w:after="283"/>
              <w:jc w:val="left"/>
              <w:rPr/>
            </w:pPr>
            <w:r>
              <w:rPr/>
              <w:t> </w:t>
            </w:r>
          </w:p>
        </w:tc>
      </w:tr>
      <w:tr>
        <w:trPr/>
        <w:tc>
          <w:tcPr>
            <w:tcW w:w="313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Components of net periodic postretirement benefit cost</w:t>
            </w:r>
          </w:p>
        </w:tc>
        <w:tc>
          <w:tcPr>
            <w:tcW w:w="103" w:type="dxa"/>
            <w:tcBorders/>
            <w:shd w:fill="auto" w:val="clear"/>
            <w:vAlign w:val="bottom"/>
          </w:tcPr>
          <w:p>
            <w:pPr>
              <w:pStyle w:val="TableContents"/>
              <w:spacing w:before="0" w:after="283"/>
              <w:rPr/>
            </w:pPr>
            <w:r>
              <w:rPr/>
              <w:t> </w:t>
            </w:r>
          </w:p>
        </w:tc>
        <w:tc>
          <w:tcPr>
            <w:tcW w:w="2762"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(dollars in thousands)</w:t>
            </w:r>
          </w:p>
        </w:tc>
        <w:tc>
          <w:tcPr>
            <w:tcW w:w="120" w:type="dxa"/>
            <w:tcBorders/>
            <w:shd w:fill="auto" w:val="clear"/>
            <w:vAlign w:val="bottom"/>
          </w:tcPr>
          <w:p>
            <w:pPr>
              <w:pStyle w:val="TableContents"/>
              <w:spacing w:before="0" w:after="283"/>
              <w:jc w:val="left"/>
              <w:rPr/>
            </w:pPr>
            <w:r>
              <w:rPr/>
              <w:t> </w:t>
            </w:r>
          </w:p>
        </w:tc>
      </w:tr>
      <w:tr>
        <w:trPr/>
        <w:tc>
          <w:tcPr>
            <w:tcW w:w="3138"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2762" w:type="dxa"/>
            <w:gridSpan w:val="6"/>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313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Service cost</w:t>
            </w:r>
          </w:p>
        </w:tc>
        <w:tc>
          <w:tcPr>
            <w:tcW w:w="103" w:type="dxa"/>
            <w:tcBorders/>
            <w:shd w:fill="CCEEFF" w:val="clear"/>
            <w:vAlign w:val="bottom"/>
          </w:tcPr>
          <w:p>
            <w:pPr>
              <w:pStyle w:val="TableContents"/>
              <w:spacing w:before="0" w:after="283"/>
              <w:jc w:val="right"/>
              <w:rPr/>
            </w:pPr>
            <w:r>
              <w:rPr/>
              <w:t> </w:t>
            </w:r>
          </w:p>
        </w:tc>
        <w:tc>
          <w:tcPr>
            <w:tcW w:w="29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34"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right"/>
              <w:rPr/>
            </w:pPr>
            <w:r>
              <w:rPr/>
              <w:t> </w:t>
            </w:r>
          </w:p>
        </w:tc>
        <w:tc>
          <w:tcPr>
            <w:tcW w:w="29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20" w:type="dxa"/>
            <w:tcBorders/>
            <w:shd w:fill="CCEEFF" w:val="clear"/>
            <w:vAlign w:val="bottom"/>
          </w:tcPr>
          <w:p>
            <w:pPr>
              <w:pStyle w:val="TableContents"/>
              <w:spacing w:before="0" w:after="283"/>
              <w:jc w:val="left"/>
              <w:rPr/>
            </w:pPr>
            <w:r>
              <w:rPr/>
              <w:t> </w:t>
            </w:r>
          </w:p>
        </w:tc>
      </w:tr>
      <w:tr>
        <w:trPr/>
        <w:tc>
          <w:tcPr>
            <w:tcW w:w="313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cost</w:t>
            </w:r>
          </w:p>
        </w:tc>
        <w:tc>
          <w:tcPr>
            <w:tcW w:w="103" w:type="dxa"/>
            <w:tcBorders/>
            <w:shd w:fill="FFFFFF" w:val="clear"/>
            <w:vAlign w:val="bottom"/>
          </w:tcPr>
          <w:p>
            <w:pPr>
              <w:pStyle w:val="TableContents"/>
              <w:spacing w:before="0" w:after="283"/>
              <w:jc w:val="right"/>
              <w:rPr/>
            </w:pPr>
            <w:r>
              <w:rPr/>
              <w:t> </w:t>
            </w:r>
          </w:p>
        </w:tc>
        <w:tc>
          <w:tcPr>
            <w:tcW w:w="294" w:type="dxa"/>
            <w:tcBorders/>
            <w:shd w:fill="FFFFFF" w:val="clear"/>
            <w:vAlign w:val="bottom"/>
          </w:tcPr>
          <w:p>
            <w:pPr>
              <w:pStyle w:val="TableContents"/>
              <w:spacing w:before="0" w:after="283"/>
              <w:jc w:val="left"/>
              <w:rPr/>
            </w:pPr>
            <w:r>
              <w:rPr/>
              <w:t> </w:t>
            </w:r>
          </w:p>
        </w:tc>
        <w:tc>
          <w:tcPr>
            <w:tcW w:w="95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w:t>
            </w:r>
          </w:p>
        </w:tc>
        <w:tc>
          <w:tcPr>
            <w:tcW w:w="134"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right"/>
              <w:rPr/>
            </w:pPr>
            <w:r>
              <w:rPr/>
              <w:t> </w:t>
            </w:r>
          </w:p>
        </w:tc>
        <w:tc>
          <w:tcPr>
            <w:tcW w:w="292" w:type="dxa"/>
            <w:tcBorders/>
            <w:shd w:fill="FFFFFF" w:val="clear"/>
            <w:vAlign w:val="bottom"/>
          </w:tcPr>
          <w:p>
            <w:pPr>
              <w:pStyle w:val="TableContents"/>
              <w:spacing w:before="0" w:after="283"/>
              <w:jc w:val="left"/>
              <w:rPr/>
            </w:pPr>
            <w:r>
              <w:rPr/>
              <w:t> </w:t>
            </w:r>
          </w:p>
        </w:tc>
        <w:tc>
          <w:tcPr>
            <w:tcW w:w="95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20" w:type="dxa"/>
            <w:tcBorders/>
            <w:shd w:fill="FFFFFF" w:val="clear"/>
            <w:vAlign w:val="bottom"/>
          </w:tcPr>
          <w:p>
            <w:pPr>
              <w:pStyle w:val="TableContents"/>
              <w:spacing w:before="0" w:after="283"/>
              <w:jc w:val="left"/>
              <w:rPr/>
            </w:pPr>
            <w:r>
              <w:rPr/>
              <w:t> </w:t>
            </w:r>
          </w:p>
        </w:tc>
      </w:tr>
      <w:tr>
        <w:trPr/>
        <w:tc>
          <w:tcPr>
            <w:tcW w:w="313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Amortization of net transition obligation</w:t>
            </w:r>
          </w:p>
        </w:tc>
        <w:tc>
          <w:tcPr>
            <w:tcW w:w="103" w:type="dxa"/>
            <w:tcBorders/>
            <w:shd w:fill="CCEEFF" w:val="clear"/>
            <w:vAlign w:val="bottom"/>
          </w:tcPr>
          <w:p>
            <w:pPr>
              <w:pStyle w:val="TableContents"/>
              <w:spacing w:before="0" w:after="283"/>
              <w:jc w:val="right"/>
              <w:rPr/>
            </w:pPr>
            <w:r>
              <w:rPr/>
              <w:t> </w:t>
            </w:r>
          </w:p>
        </w:tc>
        <w:tc>
          <w:tcPr>
            <w:tcW w:w="294" w:type="dxa"/>
            <w:tcBorders/>
            <w:shd w:fill="CCEEFF" w:val="clear"/>
            <w:vAlign w:val="bottom"/>
          </w:tcPr>
          <w:p>
            <w:pPr>
              <w:pStyle w:val="TableContents"/>
              <w:spacing w:before="0" w:after="283"/>
              <w:jc w:val="left"/>
              <w:rPr/>
            </w:pPr>
            <w:r>
              <w:rPr/>
              <w:t> </w:t>
            </w:r>
          </w:p>
        </w:tc>
        <w:tc>
          <w:tcPr>
            <w:tcW w:w="95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34"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right"/>
              <w:rPr/>
            </w:pPr>
            <w:r>
              <w:rPr/>
              <w:t> </w:t>
            </w:r>
          </w:p>
        </w:tc>
        <w:tc>
          <w:tcPr>
            <w:tcW w:w="292" w:type="dxa"/>
            <w:tcBorders/>
            <w:shd w:fill="CCEEFF" w:val="clear"/>
            <w:vAlign w:val="bottom"/>
          </w:tcPr>
          <w:p>
            <w:pPr>
              <w:pStyle w:val="TableContents"/>
              <w:spacing w:before="0" w:after="283"/>
              <w:jc w:val="left"/>
              <w:rPr/>
            </w:pPr>
            <w:r>
              <w:rPr/>
              <w:t> </w:t>
            </w:r>
          </w:p>
        </w:tc>
        <w:tc>
          <w:tcPr>
            <w:tcW w:w="9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20" w:type="dxa"/>
            <w:tcBorders/>
            <w:shd w:fill="CCEEFF" w:val="clear"/>
            <w:vAlign w:val="bottom"/>
          </w:tcPr>
          <w:p>
            <w:pPr>
              <w:pStyle w:val="TableContents"/>
              <w:spacing w:before="0" w:after="283"/>
              <w:jc w:val="left"/>
              <w:rPr/>
            </w:pPr>
            <w:r>
              <w:rPr/>
              <w:t> </w:t>
            </w:r>
          </w:p>
        </w:tc>
      </w:tr>
      <w:tr>
        <w:trPr/>
        <w:tc>
          <w:tcPr>
            <w:tcW w:w="313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actuarial loss</w:t>
            </w:r>
          </w:p>
        </w:tc>
        <w:tc>
          <w:tcPr>
            <w:tcW w:w="103" w:type="dxa"/>
            <w:tcBorders/>
            <w:shd w:fill="FFFFFF" w:val="clear"/>
            <w:vAlign w:val="bottom"/>
          </w:tcPr>
          <w:p>
            <w:pPr>
              <w:pStyle w:val="TableContents"/>
              <w:spacing w:before="0" w:after="283"/>
              <w:jc w:val="right"/>
              <w:rPr/>
            </w:pPr>
            <w:r>
              <w:rPr/>
              <w:t> </w:t>
            </w:r>
          </w:p>
        </w:tc>
        <w:tc>
          <w:tcPr>
            <w:tcW w:w="29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34" w:type="dxa"/>
            <w:tcBorders/>
            <w:shd w:fill="FFFFFF" w:val="clear"/>
            <w:vAlign w:val="bottom"/>
          </w:tcPr>
          <w:p>
            <w:pPr>
              <w:pStyle w:val="TableContents"/>
              <w:spacing w:before="0" w:after="283"/>
              <w:jc w:val="left"/>
              <w:rPr/>
            </w:pPr>
            <w:r>
              <w:rPr/>
              <w:t> </w:t>
            </w:r>
          </w:p>
        </w:tc>
        <w:tc>
          <w:tcPr>
            <w:tcW w:w="134" w:type="dxa"/>
            <w:tcBorders/>
            <w:shd w:fill="FFFFFF" w:val="clear"/>
            <w:vAlign w:val="bottom"/>
          </w:tcPr>
          <w:p>
            <w:pPr>
              <w:pStyle w:val="TableContents"/>
              <w:spacing w:before="0" w:after="283"/>
              <w:jc w:val="right"/>
              <w:rPr/>
            </w:pPr>
            <w:r>
              <w:rPr/>
              <w:t> </w:t>
            </w:r>
          </w:p>
        </w:tc>
        <w:tc>
          <w:tcPr>
            <w:tcW w:w="29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0" w:type="dxa"/>
            <w:tcBorders/>
            <w:shd w:fill="FFFFFF" w:val="clear"/>
            <w:vAlign w:val="bottom"/>
          </w:tcPr>
          <w:p>
            <w:pPr>
              <w:pStyle w:val="TableContents"/>
              <w:spacing w:before="0" w:after="283"/>
              <w:jc w:val="left"/>
              <w:rPr/>
            </w:pPr>
            <w:r>
              <w:rPr/>
              <w:t> </w:t>
            </w:r>
          </w:p>
        </w:tc>
      </w:tr>
      <w:tr>
        <w:trPr/>
        <w:tc>
          <w:tcPr>
            <w:tcW w:w="3138" w:type="dxa"/>
            <w:tcBorders/>
            <w:shd w:fill="CCEEFF" w:val="clear"/>
            <w:vAlign w:val="bottom"/>
          </w:tcPr>
          <w:p>
            <w:pPr>
              <w:pStyle w:val="TableContents"/>
              <w:spacing w:before="0" w:after="283"/>
              <w:rPr/>
            </w:pPr>
            <w:r>
              <w:rPr/>
              <w:t xml:space="preserve">  </w:t>
            </w:r>
          </w:p>
        </w:tc>
        <w:tc>
          <w:tcPr>
            <w:tcW w:w="103" w:type="dxa"/>
            <w:tcBorders/>
            <w:shd w:fill="CCEEFF" w:val="clear"/>
            <w:vAlign w:val="bottom"/>
          </w:tcPr>
          <w:p>
            <w:pPr>
              <w:pStyle w:val="TableContents"/>
              <w:spacing w:before="0" w:after="283"/>
              <w:jc w:val="right"/>
              <w:rPr/>
            </w:pPr>
            <w:r>
              <w:rPr/>
              <w:t> </w:t>
            </w:r>
          </w:p>
        </w:tc>
        <w:tc>
          <w:tcPr>
            <w:tcW w:w="29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34"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right"/>
              <w:rPr/>
            </w:pPr>
            <w:r>
              <w:rPr/>
              <w:t> </w:t>
            </w:r>
          </w:p>
        </w:tc>
        <w:tc>
          <w:tcPr>
            <w:tcW w:w="29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0"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Our plan covering postretirement health benefits is an unfunded plan.</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Assumptions used in the previous calculations were as follows:</w:t>
      </w:r>
    </w:p>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4006"/>
        <w:gridCol w:w="1549"/>
        <w:gridCol w:w="258"/>
        <w:gridCol w:w="1292"/>
        <w:gridCol w:w="257"/>
        <w:gridCol w:w="1293"/>
        <w:gridCol w:w="257"/>
        <w:gridCol w:w="1293"/>
      </w:tblGrid>
      <w:tr>
        <w:trPr/>
        <w:tc>
          <w:tcPr>
            <w:tcW w:w="4006" w:type="dxa"/>
            <w:tcBorders/>
            <w:shd w:fill="auto" w:val="clear"/>
          </w:tcPr>
          <w:p>
            <w:pPr>
              <w:pStyle w:val="TableContents"/>
              <w:spacing w:before="0" w:after="283"/>
              <w:rPr/>
            </w:pPr>
            <w:r>
              <w:rPr/>
              <w:t xml:space="preserve">  </w:t>
            </w:r>
          </w:p>
        </w:tc>
        <w:tc>
          <w:tcPr>
            <w:tcW w:w="3099" w:type="dxa"/>
            <w:gridSpan w:val="3"/>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PENSION PLAN</w:t>
            </w:r>
          </w:p>
        </w:tc>
        <w:tc>
          <w:tcPr>
            <w:tcW w:w="257" w:type="dxa"/>
            <w:tcBorders/>
            <w:shd w:fill="auto" w:val="clear"/>
          </w:tcPr>
          <w:p>
            <w:pPr>
              <w:pStyle w:val="TableContents"/>
              <w:spacing w:before="0" w:after="283"/>
              <w:rPr/>
            </w:pPr>
            <w:r>
              <w:rPr/>
              <w:t xml:space="preserve">  </w:t>
            </w:r>
          </w:p>
        </w:tc>
        <w:tc>
          <w:tcPr>
            <w:tcW w:w="2843" w:type="dxa"/>
            <w:gridSpan w:val="3"/>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POST RETIREMENT HEALTH BENEFITS</w:t>
            </w:r>
          </w:p>
        </w:tc>
      </w:tr>
      <w:tr>
        <w:trPr/>
        <w:tc>
          <w:tcPr>
            <w:tcW w:w="4006" w:type="dxa"/>
            <w:tcBorders/>
            <w:shd w:fill="auto" w:val="clear"/>
          </w:tcPr>
          <w:p>
            <w:pPr>
              <w:pStyle w:val="TableContents"/>
              <w:spacing w:before="0" w:after="283"/>
              <w:rPr/>
            </w:pPr>
            <w:r>
              <w:rPr/>
              <w:t xml:space="preserve">  </w:t>
            </w:r>
          </w:p>
        </w:tc>
        <w:tc>
          <w:tcPr>
            <w:tcW w:w="6199" w:type="dxa"/>
            <w:gridSpan w:val="7"/>
            <w:tcBorders/>
            <w:shd w:fill="auto" w:val="clear"/>
          </w:tcPr>
          <w:p>
            <w:pPr>
              <w:pStyle w:val="TableContents"/>
              <w:spacing w:before="0" w:after="0"/>
              <w:ind w:left="0" w:right="0" w:hanging="0"/>
              <w:jc w:val="center"/>
              <w:rPr>
                <w:rFonts w:ascii="times new roman" w:hAnsi="times new roman"/>
                <w:sz w:val="20"/>
              </w:rPr>
            </w:pPr>
            <w:r>
              <w:rPr>
                <w:rFonts w:ascii="times new roman" w:hAnsi="times new roman"/>
                <w:sz w:val="20"/>
              </w:rPr>
              <w:t>For three months ended:</w:t>
            </w:r>
          </w:p>
        </w:tc>
      </w:tr>
      <w:tr>
        <w:trPr/>
        <w:tc>
          <w:tcPr>
            <w:tcW w:w="4006" w:type="dxa"/>
            <w:tcBorders/>
            <w:shd w:fill="auto" w:val="clear"/>
          </w:tcPr>
          <w:p>
            <w:pPr>
              <w:pStyle w:val="TableContents"/>
              <w:spacing w:before="0" w:after="283"/>
              <w:rPr/>
            </w:pPr>
            <w:r>
              <w:rPr/>
              <w:t xml:space="preserve">  </w:t>
            </w:r>
          </w:p>
        </w:tc>
        <w:tc>
          <w:tcPr>
            <w:tcW w:w="1549"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258" w:type="dxa"/>
            <w:tcBorders/>
            <w:shd w:fill="auto" w:val="clear"/>
          </w:tcPr>
          <w:p>
            <w:pPr>
              <w:pStyle w:val="TableContents"/>
              <w:spacing w:before="0" w:after="283"/>
              <w:rPr/>
            </w:pPr>
            <w:r>
              <w:rPr/>
              <w:t xml:space="preserve">  </w:t>
            </w:r>
          </w:p>
        </w:tc>
        <w:tc>
          <w:tcPr>
            <w:tcW w:w="1292"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257" w:type="dxa"/>
            <w:tcBorders/>
            <w:shd w:fill="auto" w:val="clear"/>
          </w:tcPr>
          <w:p>
            <w:pPr>
              <w:pStyle w:val="TableContents"/>
              <w:spacing w:before="0" w:after="283"/>
              <w:rPr/>
            </w:pPr>
            <w:r>
              <w:rPr/>
              <w:t xml:space="preserve">  </w:t>
            </w:r>
          </w:p>
        </w:tc>
        <w:tc>
          <w:tcPr>
            <w:tcW w:w="1293"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257" w:type="dxa"/>
            <w:tcBorders/>
            <w:shd w:fill="auto" w:val="clear"/>
          </w:tcPr>
          <w:p>
            <w:pPr>
              <w:pStyle w:val="TableContents"/>
              <w:spacing w:before="0" w:after="283"/>
              <w:rPr/>
            </w:pPr>
            <w:r>
              <w:rPr/>
              <w:t xml:space="preserve">  </w:t>
            </w:r>
          </w:p>
        </w:tc>
        <w:tc>
          <w:tcPr>
            <w:tcW w:w="1293"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October 31,</w:t>
            </w:r>
          </w:p>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r>
      <w:tr>
        <w:trPr/>
        <w:tc>
          <w:tcPr>
            <w:tcW w:w="400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Discount rate for net periodic benefit cost</w:t>
            </w:r>
          </w:p>
        </w:tc>
        <w:tc>
          <w:tcPr>
            <w:tcW w:w="1549"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6.00%</w:t>
            </w:r>
          </w:p>
        </w:tc>
        <w:tc>
          <w:tcPr>
            <w:tcW w:w="258" w:type="dxa"/>
            <w:tcBorders/>
            <w:shd w:fill="CCEEFF" w:val="clear"/>
          </w:tcPr>
          <w:p>
            <w:pPr>
              <w:pStyle w:val="TableContents"/>
              <w:spacing w:before="0" w:after="283"/>
              <w:rPr/>
            </w:pPr>
            <w:r>
              <w:rPr/>
              <w:t xml:space="preserve">  </w:t>
            </w:r>
          </w:p>
        </w:tc>
        <w:tc>
          <w:tcPr>
            <w:tcW w:w="1292"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7.00%</w:t>
            </w:r>
          </w:p>
        </w:tc>
        <w:tc>
          <w:tcPr>
            <w:tcW w:w="257" w:type="dxa"/>
            <w:tcBorders/>
            <w:shd w:fill="CCEEFF" w:val="clear"/>
          </w:tcPr>
          <w:p>
            <w:pPr>
              <w:pStyle w:val="TableContents"/>
              <w:spacing w:before="0" w:after="283"/>
              <w:rPr/>
            </w:pPr>
            <w:r>
              <w:rPr/>
              <w:t xml:space="preserve">  </w:t>
            </w:r>
          </w:p>
        </w:tc>
        <w:tc>
          <w:tcPr>
            <w:tcW w:w="1293"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6.00%</w:t>
            </w:r>
          </w:p>
        </w:tc>
        <w:tc>
          <w:tcPr>
            <w:tcW w:w="257" w:type="dxa"/>
            <w:tcBorders/>
            <w:shd w:fill="CCEEFF" w:val="clear"/>
          </w:tcPr>
          <w:p>
            <w:pPr>
              <w:pStyle w:val="TableContents"/>
              <w:spacing w:before="0" w:after="283"/>
              <w:rPr/>
            </w:pPr>
            <w:r>
              <w:rPr/>
              <w:t xml:space="preserve">  </w:t>
            </w:r>
          </w:p>
        </w:tc>
        <w:tc>
          <w:tcPr>
            <w:tcW w:w="1293"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7.00%</w:t>
            </w:r>
          </w:p>
        </w:tc>
      </w:tr>
      <w:tr>
        <w:trPr/>
        <w:tc>
          <w:tcPr>
            <w:tcW w:w="400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Rate of increase in compensation levels</w:t>
            </w:r>
          </w:p>
        </w:tc>
        <w:tc>
          <w:tcPr>
            <w:tcW w:w="154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4.00%</w:t>
            </w:r>
          </w:p>
        </w:tc>
        <w:tc>
          <w:tcPr>
            <w:tcW w:w="258" w:type="dxa"/>
            <w:tcBorders/>
            <w:shd w:fill="FFFFFF" w:val="clear"/>
          </w:tcPr>
          <w:p>
            <w:pPr>
              <w:pStyle w:val="TableContents"/>
              <w:spacing w:before="0" w:after="283"/>
              <w:rPr/>
            </w:pPr>
            <w:r>
              <w:rPr/>
              <w:t xml:space="preserve">  </w:t>
            </w:r>
          </w:p>
        </w:tc>
        <w:tc>
          <w:tcPr>
            <w:tcW w:w="1292"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4.00%</w:t>
            </w:r>
          </w:p>
        </w:tc>
        <w:tc>
          <w:tcPr>
            <w:tcW w:w="257" w:type="dxa"/>
            <w:tcBorders/>
            <w:shd w:fill="FFFFFF" w:val="clear"/>
          </w:tcPr>
          <w:p>
            <w:pPr>
              <w:pStyle w:val="TableContents"/>
              <w:spacing w:before="0" w:after="283"/>
              <w:rPr/>
            </w:pPr>
            <w:r>
              <w:rPr/>
              <w:t xml:space="preserve">  </w:t>
            </w:r>
          </w:p>
        </w:tc>
        <w:tc>
          <w:tcPr>
            <w:tcW w:w="1293" w:type="dxa"/>
            <w:tcBorders/>
            <w:shd w:fill="FFFFFF" w:val="clear"/>
          </w:tcPr>
          <w:p>
            <w:pPr>
              <w:pStyle w:val="TableContents"/>
              <w:spacing w:before="0" w:after="0"/>
              <w:ind w:left="0" w:right="197" w:hanging="0"/>
              <w:jc w:val="right"/>
              <w:rPr>
                <w:rFonts w:ascii="times new roman" w:hAnsi="times new roman"/>
                <w:sz w:val="20"/>
              </w:rPr>
            </w:pPr>
            <w:r>
              <w:rPr>
                <w:rFonts w:ascii="times new roman" w:hAnsi="times new roman"/>
                <w:sz w:val="20"/>
              </w:rPr>
              <w:t>--</w:t>
            </w:r>
          </w:p>
        </w:tc>
        <w:tc>
          <w:tcPr>
            <w:tcW w:w="257" w:type="dxa"/>
            <w:tcBorders/>
            <w:shd w:fill="FFFFFF" w:val="clear"/>
          </w:tcPr>
          <w:p>
            <w:pPr>
              <w:pStyle w:val="TableContents"/>
              <w:spacing w:before="0" w:after="283"/>
              <w:rPr/>
            </w:pPr>
            <w:r>
              <w:rPr/>
              <w:t xml:space="preserve">  </w:t>
            </w:r>
          </w:p>
        </w:tc>
        <w:tc>
          <w:tcPr>
            <w:tcW w:w="1293" w:type="dxa"/>
            <w:tcBorders/>
            <w:shd w:fill="FFFFFF" w:val="clear"/>
          </w:tcPr>
          <w:p>
            <w:pPr>
              <w:pStyle w:val="TableContents"/>
              <w:spacing w:before="0" w:after="0"/>
              <w:ind w:left="0" w:right="197" w:hanging="0"/>
              <w:jc w:val="right"/>
              <w:rPr>
                <w:rFonts w:ascii="times new roman" w:hAnsi="times new roman"/>
                <w:sz w:val="20"/>
              </w:rPr>
            </w:pPr>
            <w:r>
              <w:rPr>
                <w:rFonts w:ascii="times new roman" w:hAnsi="times new roman"/>
                <w:sz w:val="20"/>
              </w:rPr>
              <w:t>--</w:t>
            </w:r>
          </w:p>
        </w:tc>
      </w:tr>
      <w:tr>
        <w:trPr/>
        <w:tc>
          <w:tcPr>
            <w:tcW w:w="400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Long-term expected rate of return on assets</w:t>
            </w:r>
          </w:p>
        </w:tc>
        <w:tc>
          <w:tcPr>
            <w:tcW w:w="1549"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7.50%</w:t>
            </w:r>
          </w:p>
        </w:tc>
        <w:tc>
          <w:tcPr>
            <w:tcW w:w="258" w:type="dxa"/>
            <w:tcBorders/>
            <w:shd w:fill="CCEEFF" w:val="clear"/>
          </w:tcPr>
          <w:p>
            <w:pPr>
              <w:pStyle w:val="TableContents"/>
              <w:spacing w:before="0" w:after="283"/>
              <w:rPr/>
            </w:pPr>
            <w:r>
              <w:rPr/>
              <w:t xml:space="preserve">  </w:t>
            </w:r>
          </w:p>
        </w:tc>
        <w:tc>
          <w:tcPr>
            <w:tcW w:w="1292"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7.50%</w:t>
            </w:r>
          </w:p>
        </w:tc>
        <w:tc>
          <w:tcPr>
            <w:tcW w:w="257" w:type="dxa"/>
            <w:tcBorders/>
            <w:shd w:fill="CCEEFF" w:val="clear"/>
          </w:tcPr>
          <w:p>
            <w:pPr>
              <w:pStyle w:val="TableContents"/>
              <w:spacing w:before="0" w:after="283"/>
              <w:rPr/>
            </w:pPr>
            <w:r>
              <w:rPr/>
              <w:t xml:space="preserve">  </w:t>
            </w:r>
          </w:p>
        </w:tc>
        <w:tc>
          <w:tcPr>
            <w:tcW w:w="1293" w:type="dxa"/>
            <w:tcBorders/>
            <w:shd w:fill="CCEEFF" w:val="clear"/>
          </w:tcPr>
          <w:p>
            <w:pPr>
              <w:pStyle w:val="TableContents"/>
              <w:spacing w:before="0" w:after="0"/>
              <w:ind w:left="0" w:right="197" w:hanging="0"/>
              <w:jc w:val="right"/>
              <w:rPr>
                <w:rFonts w:ascii="times new roman" w:hAnsi="times new roman"/>
                <w:sz w:val="20"/>
              </w:rPr>
            </w:pPr>
            <w:r>
              <w:rPr>
                <w:rFonts w:ascii="times new roman" w:hAnsi="times new roman"/>
                <w:sz w:val="20"/>
              </w:rPr>
              <w:t>--</w:t>
            </w:r>
          </w:p>
        </w:tc>
        <w:tc>
          <w:tcPr>
            <w:tcW w:w="257" w:type="dxa"/>
            <w:tcBorders/>
            <w:shd w:fill="CCEEFF" w:val="clear"/>
          </w:tcPr>
          <w:p>
            <w:pPr>
              <w:pStyle w:val="TableContents"/>
              <w:spacing w:before="0" w:after="283"/>
              <w:rPr/>
            </w:pPr>
            <w:r>
              <w:rPr/>
              <w:t xml:space="preserve">  </w:t>
            </w:r>
          </w:p>
        </w:tc>
        <w:tc>
          <w:tcPr>
            <w:tcW w:w="1293" w:type="dxa"/>
            <w:tcBorders/>
            <w:shd w:fill="CCEEFF" w:val="clear"/>
          </w:tcPr>
          <w:p>
            <w:pPr>
              <w:pStyle w:val="TableContents"/>
              <w:spacing w:before="0" w:after="0"/>
              <w:ind w:left="0" w:right="197" w:hanging="0"/>
              <w:jc w:val="right"/>
              <w:rPr>
                <w:rFonts w:ascii="times new roman" w:hAnsi="times new roman"/>
                <w:sz w:val="20"/>
              </w:rPr>
            </w:pPr>
            <w:r>
              <w:rPr>
                <w:rFonts w:ascii="times new roman" w:hAnsi="times new roman"/>
                <w:sz w:val="20"/>
              </w:rPr>
              <w:t>--</w:t>
            </w:r>
          </w:p>
        </w:tc>
      </w:tr>
      <w:tr>
        <w:trPr/>
        <w:tc>
          <w:tcPr>
            <w:tcW w:w="4006" w:type="dxa"/>
            <w:tcBorders/>
            <w:shd w:fill="FFFFFF" w:val="clear"/>
          </w:tcPr>
          <w:p>
            <w:pPr>
              <w:pStyle w:val="TableContents"/>
              <w:spacing w:before="0" w:after="0"/>
              <w:ind w:left="0" w:right="0" w:hanging="0"/>
              <w:jc w:val="left"/>
              <w:rPr>
                <w:rFonts w:ascii="times new roman" w:hAnsi="times new roman"/>
                <w:sz w:val="20"/>
              </w:rPr>
            </w:pPr>
            <w:r>
              <w:rPr>
                <w:rFonts w:ascii="times new roman" w:hAnsi="times new roman"/>
                <w:sz w:val="20"/>
              </w:rPr>
              <w:t>Measurement date</w:t>
            </w:r>
          </w:p>
        </w:tc>
        <w:tc>
          <w:tcPr>
            <w:tcW w:w="1549"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7/31/2009</w:t>
            </w:r>
          </w:p>
        </w:tc>
        <w:tc>
          <w:tcPr>
            <w:tcW w:w="258" w:type="dxa"/>
            <w:tcBorders/>
            <w:shd w:fill="FFFFFF" w:val="clear"/>
          </w:tcPr>
          <w:p>
            <w:pPr>
              <w:pStyle w:val="TableContents"/>
              <w:spacing w:before="0" w:after="283"/>
              <w:rPr/>
            </w:pPr>
            <w:r>
              <w:rPr/>
              <w:t xml:space="preserve">  </w:t>
            </w:r>
          </w:p>
        </w:tc>
        <w:tc>
          <w:tcPr>
            <w:tcW w:w="1292"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7/31/2008</w:t>
            </w:r>
          </w:p>
        </w:tc>
        <w:tc>
          <w:tcPr>
            <w:tcW w:w="257" w:type="dxa"/>
            <w:tcBorders/>
            <w:shd w:fill="FFFFFF" w:val="clear"/>
          </w:tcPr>
          <w:p>
            <w:pPr>
              <w:pStyle w:val="TableContents"/>
              <w:spacing w:before="0" w:after="283"/>
              <w:rPr/>
            </w:pPr>
            <w:r>
              <w:rPr/>
              <w:t xml:space="preserve">  </w:t>
            </w:r>
          </w:p>
        </w:tc>
        <w:tc>
          <w:tcPr>
            <w:tcW w:w="1293"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7/31/2009</w:t>
            </w:r>
          </w:p>
        </w:tc>
        <w:tc>
          <w:tcPr>
            <w:tcW w:w="257" w:type="dxa"/>
            <w:tcBorders/>
            <w:shd w:fill="FFFFFF" w:val="clear"/>
          </w:tcPr>
          <w:p>
            <w:pPr>
              <w:pStyle w:val="TableContents"/>
              <w:spacing w:before="0" w:after="283"/>
              <w:rPr/>
            </w:pPr>
            <w:r>
              <w:rPr/>
              <w:t xml:space="preserve">  </w:t>
            </w:r>
          </w:p>
        </w:tc>
        <w:tc>
          <w:tcPr>
            <w:tcW w:w="1293" w:type="dxa"/>
            <w:tcBorders/>
            <w:shd w:fill="FFFFFF" w:val="clear"/>
          </w:tcPr>
          <w:p>
            <w:pPr>
              <w:pStyle w:val="TableContents"/>
              <w:spacing w:before="0" w:after="0"/>
              <w:ind w:left="0" w:right="0" w:hanging="0"/>
              <w:jc w:val="right"/>
              <w:rPr>
                <w:rFonts w:ascii="times new roman" w:hAnsi="times new roman"/>
                <w:sz w:val="20"/>
              </w:rPr>
            </w:pPr>
            <w:r>
              <w:rPr>
                <w:rFonts w:ascii="times new roman" w:hAnsi="times new roman"/>
                <w:sz w:val="20"/>
              </w:rPr>
              <w:t>7/31/2008</w:t>
            </w:r>
          </w:p>
        </w:tc>
      </w:tr>
      <w:tr>
        <w:trPr/>
        <w:tc>
          <w:tcPr>
            <w:tcW w:w="400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Census date</w:t>
            </w:r>
          </w:p>
        </w:tc>
        <w:tc>
          <w:tcPr>
            <w:tcW w:w="1549"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8/1/2008</w:t>
            </w:r>
          </w:p>
        </w:tc>
        <w:tc>
          <w:tcPr>
            <w:tcW w:w="258" w:type="dxa"/>
            <w:tcBorders/>
            <w:shd w:fill="CCEEFF" w:val="clear"/>
          </w:tcPr>
          <w:p>
            <w:pPr>
              <w:pStyle w:val="TableContents"/>
              <w:spacing w:before="0" w:after="283"/>
              <w:rPr/>
            </w:pPr>
            <w:r>
              <w:rPr/>
              <w:t xml:space="preserve">  </w:t>
            </w:r>
          </w:p>
        </w:tc>
        <w:tc>
          <w:tcPr>
            <w:tcW w:w="1292"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8/1/2007</w:t>
            </w:r>
          </w:p>
        </w:tc>
        <w:tc>
          <w:tcPr>
            <w:tcW w:w="257" w:type="dxa"/>
            <w:tcBorders/>
            <w:shd w:fill="CCEEFF" w:val="clear"/>
          </w:tcPr>
          <w:p>
            <w:pPr>
              <w:pStyle w:val="TableContents"/>
              <w:spacing w:before="0" w:after="283"/>
              <w:rPr/>
            </w:pPr>
            <w:r>
              <w:rPr/>
              <w:t xml:space="preserve">  </w:t>
            </w:r>
          </w:p>
        </w:tc>
        <w:tc>
          <w:tcPr>
            <w:tcW w:w="1293"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8/1/2008</w:t>
            </w:r>
          </w:p>
        </w:tc>
        <w:tc>
          <w:tcPr>
            <w:tcW w:w="257" w:type="dxa"/>
            <w:tcBorders/>
            <w:shd w:fill="CCEEFF" w:val="clear"/>
          </w:tcPr>
          <w:p>
            <w:pPr>
              <w:pStyle w:val="TableContents"/>
              <w:spacing w:before="0" w:after="283"/>
              <w:rPr/>
            </w:pPr>
            <w:r>
              <w:rPr/>
              <w:t xml:space="preserve">  </w:t>
            </w:r>
          </w:p>
        </w:tc>
        <w:tc>
          <w:tcPr>
            <w:tcW w:w="1293" w:type="dxa"/>
            <w:tcBorders/>
            <w:shd w:fill="CCEEFF" w:val="clear"/>
          </w:tcPr>
          <w:p>
            <w:pPr>
              <w:pStyle w:val="TableContents"/>
              <w:spacing w:before="0" w:after="0"/>
              <w:ind w:left="0" w:right="0" w:hanging="0"/>
              <w:jc w:val="right"/>
              <w:rPr>
                <w:rFonts w:ascii="times new roman" w:hAnsi="times new roman"/>
                <w:sz w:val="20"/>
              </w:rPr>
            </w:pPr>
            <w:r>
              <w:rPr>
                <w:rFonts w:ascii="times new roman" w:hAnsi="times new roman"/>
                <w:sz w:val="20"/>
              </w:rPr>
              <w:t>8/1/2007</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medical cost trend assumption for postretirement health benefits was a graded rate starting at 10% and decreasing to an ultimate rate of 5% in 1% annual increments.</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245" w:name="PGBRK9"/>
      <w:bookmarkStart w:id="246" w:name="PGBRK9"/>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47" w:name="FTR9"/>
      <w:bookmarkStart w:id="248" w:name="FTR9"/>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49" w:name="GLFTR9"/>
      <w:bookmarkStart w:id="250" w:name="GLFTR9"/>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1" w:name="PN9"/>
      <w:bookmarkEnd w:id="251"/>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52" w:name="HDR9"/>
      <w:bookmarkStart w:id="253" w:name="HDR9"/>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54" w:name="GLHDR9"/>
      <w:bookmarkStart w:id="255" w:name="GLHDR9"/>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Normal"/>
        <w:spacing w:before="0" w:after="0"/>
        <w:jc w:val="center"/>
        <w:rPr>
          <w:sz w:val="4"/>
          <w:szCs w:val="4"/>
        </w:rPr>
      </w:pPr>
      <w:r>
        <w:rPr>
          <w:sz w:val="4"/>
          <w:szCs w:val="4"/>
        </w:rPr>
      </w:r>
      <w:bookmarkStart w:id="256" w:name="list7"/>
      <w:bookmarkStart w:id="257" w:name="list7"/>
      <w:bookmarkEnd w:id="257"/>
    </w:p>
    <w:tbl>
      <w:tblPr>
        <w:tblW w:w="5000" w:type="pct"/>
        <w:jc w:val="center"/>
        <w:tblInd w:w="0" w:type="dxa"/>
        <w:tblCellMar>
          <w:top w:w="0" w:type="dxa"/>
          <w:left w:w="0" w:type="dxa"/>
          <w:bottom w:w="0" w:type="dxa"/>
          <w:right w:w="0" w:type="dxa"/>
        </w:tblCellMar>
      </w:tblPr>
      <w:tblGrid>
        <w:gridCol w:w="1122"/>
        <w:gridCol w:w="9083"/>
      </w:tblGrid>
      <w:tr>
        <w:trPr/>
        <w:tc>
          <w:tcPr>
            <w:tcW w:w="1122"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8.  </w:t>
            </w:r>
          </w:p>
        </w:tc>
        <w:tc>
          <w:tcPr>
            <w:tcW w:w="9083"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SEGMENT REPORTING</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have two operating segments:  Retail and Wholesale Products and Business to Business Products.  These segments are managed separately because each business has different customer characteristics.  Net sales and operating income for each segment are provided below.  Revenues by product line are not provided because it would be impracticable to do so.  The accounting policies of the segments are the same as those described in Note 1 of the consolidated financial statements included in our Annual Report on Form 10-K for the fiscal year ended July 31, 2009 filed with the SEC.</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do not rely on any operating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annual incentive plan bonus accrual.</w:t>
      </w:r>
    </w:p>
    <w:p>
      <w:pPr>
        <w:pStyle w:val="TextBody"/>
        <w:spacing w:before="0" w:after="0"/>
        <w:ind w:left="0" w:right="0" w:hanging="0"/>
        <w:jc w:val="center"/>
        <w:rPr/>
      </w:pPr>
      <w:r>
        <w:rPr/>
        <w:t> </w:t>
      </w:r>
    </w:p>
    <w:p>
      <w:pPr>
        <w:pStyle w:val="TextBody"/>
        <w:spacing w:before="0" w:after="0"/>
        <w:jc w:val="center"/>
        <w:rPr/>
      </w:pPr>
      <w:r>
        <w:rPr/>
      </w:r>
    </w:p>
    <w:tbl>
      <w:tblPr>
        <w:tblW w:w="2500" w:type="pct"/>
        <w:jc w:val="left"/>
        <w:tblInd w:w="0" w:type="dxa"/>
        <w:tblCellMar>
          <w:top w:w="0" w:type="dxa"/>
          <w:left w:w="0" w:type="dxa"/>
          <w:bottom w:w="0" w:type="dxa"/>
          <w:right w:w="0" w:type="dxa"/>
        </w:tblCellMar>
      </w:tblPr>
      <w:tblGrid>
        <w:gridCol w:w="1934"/>
        <w:gridCol w:w="74"/>
        <w:gridCol w:w="125"/>
        <w:gridCol w:w="878"/>
        <w:gridCol w:w="74"/>
        <w:gridCol w:w="74"/>
        <w:gridCol w:w="125"/>
        <w:gridCol w:w="878"/>
        <w:gridCol w:w="74"/>
        <w:gridCol w:w="866"/>
      </w:tblGrid>
      <w:tr>
        <w:trPr/>
        <w:tc>
          <w:tcPr>
            <w:tcW w:w="1934" w:type="dxa"/>
            <w:tcBorders/>
            <w:shd w:fill="auto" w:val="clear"/>
            <w:vAlign w:val="bottom"/>
          </w:tcPr>
          <w:p>
            <w:pPr>
              <w:pStyle w:val="TableContents"/>
              <w:spacing w:before="0" w:after="283"/>
              <w:rPr/>
            </w:pPr>
            <w:r>
              <w:rPr/>
              <w:t xml:space="preserve">  </w:t>
            </w:r>
          </w:p>
        </w:tc>
        <w:tc>
          <w:tcPr>
            <w:tcW w:w="74" w:type="dxa"/>
            <w:tcBorders>
              <w:top w:val="single" w:sz="4" w:space="0" w:color="000000"/>
            </w:tcBorders>
            <w:shd w:fill="auto" w:val="clear"/>
            <w:tcMar>
              <w:top w:w="28" w:type="dxa"/>
            </w:tcMar>
            <w:vAlign w:val="bottom"/>
          </w:tcPr>
          <w:p>
            <w:pPr>
              <w:pStyle w:val="TableContents"/>
              <w:spacing w:before="0" w:after="283"/>
              <w:rPr/>
            </w:pPr>
            <w:r>
              <w:rPr/>
              <w:t> </w:t>
            </w:r>
          </w:p>
        </w:tc>
        <w:tc>
          <w:tcPr>
            <w:tcW w:w="3094" w:type="dxa"/>
            <w:gridSpan w:val="8"/>
            <w:tcBorders>
              <w:top w:val="single" w:sz="4" w:space="0" w:color="000000"/>
              <w:bottom w:val="single" w:sz="12" w:space="0" w:color="000000"/>
            </w:tcBorders>
            <w:shd w:fill="auto" w:val="clear"/>
            <w:tcMar>
              <w:top w:w="28" w:type="dxa"/>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Assets</w:t>
            </w:r>
          </w:p>
        </w:tc>
      </w:tr>
      <w:tr>
        <w:trPr/>
        <w:tc>
          <w:tcPr>
            <w:tcW w:w="1934" w:type="dxa"/>
            <w:tcBorders/>
            <w:shd w:fill="auto" w:val="clear"/>
            <w:vAlign w:val="bottom"/>
          </w:tcPr>
          <w:p>
            <w:pPr>
              <w:pStyle w:val="TableContents"/>
              <w:spacing w:before="0" w:after="283"/>
              <w:rPr/>
            </w:pPr>
            <w:r>
              <w:rPr/>
              <w:t> </w:t>
            </w:r>
          </w:p>
        </w:tc>
        <w:tc>
          <w:tcPr>
            <w:tcW w:w="74" w:type="dxa"/>
            <w:tcBorders/>
            <w:shd w:fill="auto" w:val="clear"/>
            <w:vAlign w:val="bottom"/>
          </w:tcPr>
          <w:p>
            <w:pPr>
              <w:pStyle w:val="TableContents"/>
              <w:spacing w:before="0" w:after="283"/>
              <w:rPr/>
            </w:pPr>
            <w:r>
              <w:rPr/>
              <w:t> </w:t>
            </w:r>
          </w:p>
        </w:tc>
        <w:tc>
          <w:tcPr>
            <w:tcW w:w="1003" w:type="dxa"/>
            <w:gridSpan w:val="2"/>
            <w:tcBorders>
              <w:bottom w:val="single" w:sz="12" w:space="0" w:color="000000"/>
            </w:tcBorders>
            <w:shd w:fill="auto" w:val="clear"/>
            <w:tcMar>
              <w:bottom w:w="28" w:type="dxa"/>
            </w:tcMar>
            <w:vAlign w:val="bottom"/>
          </w:tcPr>
          <w:p>
            <w:pPr>
              <w:pStyle w:val="TableContents"/>
              <w:spacing w:before="0" w:after="0"/>
              <w:rPr/>
            </w:pPr>
            <w:r>
              <w:rPr/>
              <w:t xml:space="preserve">  </w:t>
            </w:r>
          </w:p>
          <w:p>
            <w:pPr>
              <w:pStyle w:val="TableContents"/>
              <w:spacing w:before="0" w:after="0"/>
              <w:ind w:left="0" w:right="0" w:hanging="0"/>
              <w:jc w:val="center"/>
              <w:rPr>
                <w:rFonts w:ascii="times new roman" w:hAnsi="times new roman"/>
                <w:b/>
                <w:sz w:val="20"/>
              </w:rPr>
            </w:pPr>
            <w:r>
              <w:rPr>
                <w:rFonts w:ascii="times new roman" w:hAnsi="times new roman"/>
                <w:b/>
                <w:sz w:val="20"/>
              </w:rPr>
              <w:t>October 31,</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943" w:type="dxa"/>
            <w:gridSpan w:val="4"/>
            <w:tcBorders>
              <w:bottom w:val="single" w:sz="12" w:space="0" w:color="000000"/>
            </w:tcBorders>
            <w:shd w:fill="auto" w:val="clear"/>
            <w:tcMar>
              <w:bottom w:w="28" w:type="dxa"/>
            </w:tcMar>
            <w:vAlign w:val="bottom"/>
          </w:tcPr>
          <w:p>
            <w:pPr>
              <w:pStyle w:val="TableContents"/>
              <w:spacing w:before="0" w:after="0"/>
              <w:jc w:val="center"/>
              <w:rPr/>
            </w:pPr>
            <w:r>
              <w:rPr/>
              <w:t> </w:t>
            </w:r>
            <w:r>
              <w:rPr>
                <w:rFonts w:ascii="times new roman" w:hAnsi="times new roman"/>
                <w:b/>
                <w:sz w:val="20"/>
              </w:rPr>
              <w:t>July 31,</w:t>
            </w:r>
          </w:p>
        </w:tc>
      </w:tr>
      <w:tr>
        <w:trPr/>
        <w:tc>
          <w:tcPr>
            <w:tcW w:w="1934" w:type="dxa"/>
            <w:tcBorders/>
            <w:shd w:fill="auto" w:val="clear"/>
            <w:vAlign w:val="bottom"/>
          </w:tcPr>
          <w:p>
            <w:pPr>
              <w:pStyle w:val="TableContents"/>
              <w:spacing w:before="0" w:after="283"/>
              <w:rPr/>
            </w:pPr>
            <w:r>
              <w:rPr/>
              <w:t xml:space="preserve">  </w:t>
            </w:r>
          </w:p>
        </w:tc>
        <w:tc>
          <w:tcPr>
            <w:tcW w:w="74" w:type="dxa"/>
            <w:tcBorders/>
            <w:shd w:fill="auto" w:val="clear"/>
            <w:vAlign w:val="bottom"/>
          </w:tcPr>
          <w:p>
            <w:pPr>
              <w:pStyle w:val="TableContents"/>
              <w:spacing w:before="0" w:after="283"/>
              <w:rPr/>
            </w:pPr>
            <w:r>
              <w:rPr/>
              <w:t> </w:t>
            </w:r>
          </w:p>
        </w:tc>
        <w:tc>
          <w:tcPr>
            <w:tcW w:w="100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74" w:type="dxa"/>
            <w:tcBorders/>
            <w:shd w:fill="auto" w:val="clear"/>
            <w:vAlign w:val="bottom"/>
          </w:tcPr>
          <w:p>
            <w:pPr>
              <w:pStyle w:val="TableContents"/>
              <w:spacing w:before="0" w:after="283"/>
              <w:jc w:val="left"/>
              <w:rPr/>
            </w:pPr>
            <w:r>
              <w:rPr/>
              <w:t> </w:t>
            </w:r>
          </w:p>
        </w:tc>
        <w:tc>
          <w:tcPr>
            <w:tcW w:w="74" w:type="dxa"/>
            <w:tcBorders/>
            <w:shd w:fill="auto" w:val="clear"/>
            <w:vAlign w:val="bottom"/>
          </w:tcPr>
          <w:p>
            <w:pPr>
              <w:pStyle w:val="TableContents"/>
              <w:spacing w:before="0" w:after="283"/>
              <w:rPr/>
            </w:pPr>
            <w:r>
              <w:rPr/>
              <w:t> </w:t>
            </w:r>
          </w:p>
        </w:tc>
        <w:tc>
          <w:tcPr>
            <w:tcW w:w="1943" w:type="dxa"/>
            <w:gridSpan w:val="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r>
      <w:tr>
        <w:trPr/>
        <w:tc>
          <w:tcPr>
            <w:tcW w:w="1934" w:type="dxa"/>
            <w:tcBorders/>
            <w:shd w:fill="auto" w:val="clear"/>
            <w:vAlign w:val="bottom"/>
          </w:tcPr>
          <w:p>
            <w:pPr>
              <w:pStyle w:val="TableContents"/>
              <w:spacing w:before="0" w:after="283"/>
              <w:rPr/>
            </w:pPr>
            <w:r>
              <w:rPr/>
              <w:t xml:space="preserve">  </w:t>
            </w:r>
          </w:p>
        </w:tc>
        <w:tc>
          <w:tcPr>
            <w:tcW w:w="74" w:type="dxa"/>
            <w:tcBorders/>
            <w:shd w:fill="auto" w:val="clear"/>
            <w:vAlign w:val="bottom"/>
          </w:tcPr>
          <w:p>
            <w:pPr>
              <w:pStyle w:val="TableContents"/>
              <w:spacing w:before="0" w:after="283"/>
              <w:rPr/>
            </w:pPr>
            <w:r>
              <w:rPr/>
              <w:t> </w:t>
            </w:r>
          </w:p>
        </w:tc>
        <w:tc>
          <w:tcPr>
            <w:tcW w:w="309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 thousands)</w:t>
            </w:r>
          </w:p>
        </w:tc>
      </w:tr>
      <w:tr>
        <w:trPr/>
        <w:tc>
          <w:tcPr>
            <w:tcW w:w="193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Business to Business Products</w:t>
            </w:r>
          </w:p>
        </w:tc>
        <w:tc>
          <w:tcPr>
            <w:tcW w:w="7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78"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41,111</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78" w:type="dxa"/>
            <w:tcBorders/>
            <w:shd w:fill="CCEEFF" w:val="clear"/>
            <w:vAlign w:val="bottom"/>
          </w:tcPr>
          <w:p>
            <w:pPr>
              <w:pStyle w:val="TableContents"/>
              <w:spacing w:before="0" w:after="283"/>
              <w:ind w:left="81" w:right="0" w:hanging="0"/>
              <w:jc w:val="right"/>
              <w:rPr>
                <w:rFonts w:ascii="times new roman" w:hAnsi="times new roman"/>
                <w:b/>
                <w:sz w:val="20"/>
              </w:rPr>
            </w:pPr>
            <w:bookmarkStart w:id="258" w:name="TAB1127"/>
            <w:bookmarkEnd w:id="258"/>
            <w:r>
              <w:rPr>
                <w:rFonts w:ascii="times new roman" w:hAnsi="times new roman"/>
                <w:b/>
                <w:sz w:val="20"/>
              </w:rPr>
              <w:t>42,581</w:t>
            </w:r>
          </w:p>
        </w:tc>
        <w:tc>
          <w:tcPr>
            <w:tcW w:w="74" w:type="dxa"/>
            <w:tcBorders/>
            <w:shd w:fill="CCEEFF" w:val="clear"/>
            <w:vAlign w:val="bottom"/>
          </w:tcPr>
          <w:p>
            <w:pPr>
              <w:pStyle w:val="TableContents"/>
              <w:spacing w:before="0" w:after="283"/>
              <w:jc w:val="left"/>
              <w:rPr/>
            </w:pPr>
            <w:r>
              <w:rPr/>
              <w:t> </w:t>
            </w:r>
          </w:p>
        </w:tc>
        <w:tc>
          <w:tcPr>
            <w:tcW w:w="866" w:type="dxa"/>
            <w:tcBorders/>
            <w:shd w:fill="CCEEFF" w:val="clear"/>
          </w:tcPr>
          <w:p>
            <w:pPr>
              <w:pStyle w:val="TableContents"/>
              <w:spacing w:before="0" w:after="283"/>
              <w:rPr>
                <w:sz w:val="4"/>
                <w:szCs w:val="4"/>
              </w:rPr>
            </w:pPr>
            <w:r>
              <w:rPr>
                <w:sz w:val="4"/>
                <w:szCs w:val="4"/>
              </w:rPr>
            </w:r>
          </w:p>
        </w:tc>
      </w:tr>
      <w:tr>
        <w:trPr/>
        <w:tc>
          <w:tcPr>
            <w:tcW w:w="193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Retail and Wholesale Products</w:t>
            </w:r>
          </w:p>
        </w:tc>
        <w:tc>
          <w:tcPr>
            <w:tcW w:w="74"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78"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64,204</w:t>
            </w:r>
          </w:p>
        </w:tc>
        <w:tc>
          <w:tcPr>
            <w:tcW w:w="74"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878" w:type="dxa"/>
            <w:tcBorders/>
            <w:shd w:fill="FFFFFF" w:val="clear"/>
            <w:vAlign w:val="bottom"/>
          </w:tcPr>
          <w:p>
            <w:pPr>
              <w:pStyle w:val="TableContents"/>
              <w:spacing w:before="0" w:after="283"/>
              <w:ind w:left="182" w:right="0" w:hanging="0"/>
              <w:jc w:val="right"/>
              <w:rPr>
                <w:rFonts w:ascii="times new roman" w:hAnsi="times new roman"/>
                <w:b/>
                <w:sz w:val="20"/>
              </w:rPr>
            </w:pPr>
            <w:bookmarkStart w:id="259" w:name="TAB1128"/>
            <w:bookmarkEnd w:id="259"/>
            <w:r>
              <w:rPr>
                <w:rFonts w:ascii="times new roman" w:hAnsi="times new roman"/>
                <w:b/>
                <w:sz w:val="20"/>
              </w:rPr>
              <w:t>69,300</w:t>
            </w:r>
          </w:p>
        </w:tc>
        <w:tc>
          <w:tcPr>
            <w:tcW w:w="74" w:type="dxa"/>
            <w:tcBorders/>
            <w:shd w:fill="FFFFFF" w:val="clear"/>
            <w:vAlign w:val="bottom"/>
          </w:tcPr>
          <w:p>
            <w:pPr>
              <w:pStyle w:val="TableContents"/>
              <w:spacing w:before="0" w:after="283"/>
              <w:jc w:val="left"/>
              <w:rPr/>
            </w:pPr>
            <w:r>
              <w:rPr/>
              <w:t> </w:t>
            </w:r>
          </w:p>
        </w:tc>
        <w:tc>
          <w:tcPr>
            <w:tcW w:w="866" w:type="dxa"/>
            <w:tcBorders/>
            <w:shd w:fill="FFFFFF" w:val="clear"/>
          </w:tcPr>
          <w:p>
            <w:pPr>
              <w:pStyle w:val="TableContents"/>
              <w:spacing w:before="0" w:after="283"/>
              <w:rPr>
                <w:sz w:val="4"/>
                <w:szCs w:val="4"/>
              </w:rPr>
            </w:pPr>
            <w:r>
              <w:rPr>
                <w:sz w:val="4"/>
                <w:szCs w:val="4"/>
              </w:rPr>
            </w:r>
          </w:p>
        </w:tc>
      </w:tr>
      <w:tr>
        <w:trPr/>
        <w:tc>
          <w:tcPr>
            <w:tcW w:w="1934"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Unallocated Assets</w:t>
            </w:r>
          </w:p>
        </w:tc>
        <w:tc>
          <w:tcPr>
            <w:tcW w:w="74"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43,811</w:t>
            </w:r>
          </w:p>
        </w:tc>
        <w:tc>
          <w:tcPr>
            <w:tcW w:w="74" w:type="dxa"/>
            <w:tcBorders/>
            <w:shd w:fill="CCEEFF" w:val="clear"/>
            <w:vAlign w:val="bottom"/>
          </w:tcPr>
          <w:p>
            <w:pPr>
              <w:pStyle w:val="TableContents"/>
              <w:spacing w:before="0" w:after="283"/>
              <w:jc w:val="left"/>
              <w:rPr/>
            </w:pPr>
            <w:r>
              <w:rPr/>
              <w:t> </w:t>
            </w:r>
          </w:p>
        </w:tc>
        <w:tc>
          <w:tcPr>
            <w:tcW w:w="74"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78" w:type="dxa"/>
            <w:tcBorders>
              <w:bottom w:val="single" w:sz="12" w:space="0" w:color="000000"/>
            </w:tcBorders>
            <w:shd w:fill="CCEEFF" w:val="clear"/>
            <w:tcMar>
              <w:bottom w:w="28" w:type="dxa"/>
            </w:tcMar>
            <w:vAlign w:val="bottom"/>
          </w:tcPr>
          <w:p>
            <w:pPr>
              <w:pStyle w:val="TableContents"/>
              <w:spacing w:before="0" w:after="283"/>
              <w:ind w:left="182" w:right="0" w:hanging="0"/>
              <w:jc w:val="right"/>
              <w:rPr>
                <w:rFonts w:ascii="times new roman" w:hAnsi="times new roman"/>
                <w:b/>
                <w:sz w:val="20"/>
              </w:rPr>
            </w:pPr>
            <w:bookmarkStart w:id="260" w:name="TAB1129"/>
            <w:bookmarkEnd w:id="260"/>
            <w:r>
              <w:rPr>
                <w:rFonts w:ascii="times new roman" w:hAnsi="times new roman"/>
                <w:b/>
                <w:sz w:val="20"/>
              </w:rPr>
              <w:t>37,380</w:t>
            </w:r>
          </w:p>
        </w:tc>
        <w:tc>
          <w:tcPr>
            <w:tcW w:w="74" w:type="dxa"/>
            <w:tcBorders/>
            <w:shd w:fill="CCEEFF" w:val="clear"/>
            <w:vAlign w:val="bottom"/>
          </w:tcPr>
          <w:p>
            <w:pPr>
              <w:pStyle w:val="TableContents"/>
              <w:spacing w:before="0" w:after="283"/>
              <w:jc w:val="left"/>
              <w:rPr/>
            </w:pPr>
            <w:r>
              <w:rPr/>
              <w:t> </w:t>
            </w:r>
          </w:p>
        </w:tc>
        <w:tc>
          <w:tcPr>
            <w:tcW w:w="866" w:type="dxa"/>
            <w:tcBorders/>
            <w:shd w:fill="CCEEFF" w:val="clear"/>
          </w:tcPr>
          <w:p>
            <w:pPr>
              <w:pStyle w:val="TableContents"/>
              <w:spacing w:before="0" w:after="283"/>
              <w:rPr>
                <w:sz w:val="4"/>
                <w:szCs w:val="4"/>
              </w:rPr>
            </w:pPr>
            <w:r>
              <w:rPr>
                <w:sz w:val="4"/>
                <w:szCs w:val="4"/>
              </w:rPr>
            </w:r>
          </w:p>
        </w:tc>
      </w:tr>
      <w:tr>
        <w:trPr/>
        <w:tc>
          <w:tcPr>
            <w:tcW w:w="1934"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Assets</w:t>
            </w:r>
          </w:p>
        </w:tc>
        <w:tc>
          <w:tcPr>
            <w:tcW w:w="74"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78" w:type="dxa"/>
            <w:tcBorders>
              <w:bottom w:val="double" w:sz="8"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1" w:name="TAB1130"/>
            <w:bookmarkEnd w:id="261"/>
            <w:r>
              <w:rPr>
                <w:rFonts w:ascii="times new roman" w:hAnsi="times new roman"/>
                <w:b/>
                <w:sz w:val="20"/>
              </w:rPr>
              <w:t>149,126</w:t>
            </w:r>
          </w:p>
        </w:tc>
        <w:tc>
          <w:tcPr>
            <w:tcW w:w="74" w:type="dxa"/>
            <w:tcBorders/>
            <w:shd w:fill="FFFFFF" w:val="clear"/>
            <w:vAlign w:val="bottom"/>
          </w:tcPr>
          <w:p>
            <w:pPr>
              <w:pStyle w:val="TableContents"/>
              <w:spacing w:before="0" w:after="283"/>
              <w:jc w:val="left"/>
              <w:rPr/>
            </w:pPr>
            <w:r>
              <w:rPr/>
              <w:t> </w:t>
            </w:r>
          </w:p>
        </w:tc>
        <w:tc>
          <w:tcPr>
            <w:tcW w:w="74"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878" w:type="dxa"/>
            <w:tcBorders>
              <w:bottom w:val="double" w:sz="8"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2" w:name="TAB1131"/>
            <w:bookmarkEnd w:id="262"/>
            <w:r>
              <w:rPr>
                <w:rFonts w:ascii="times new roman" w:hAnsi="times new roman"/>
                <w:b/>
                <w:sz w:val="20"/>
              </w:rPr>
              <w:t>149,261</w:t>
            </w:r>
          </w:p>
        </w:tc>
        <w:tc>
          <w:tcPr>
            <w:tcW w:w="74" w:type="dxa"/>
            <w:tcBorders/>
            <w:shd w:fill="FFFFFF" w:val="clear"/>
            <w:vAlign w:val="bottom"/>
          </w:tcPr>
          <w:p>
            <w:pPr>
              <w:pStyle w:val="TableContents"/>
              <w:spacing w:before="0" w:after="283"/>
              <w:jc w:val="left"/>
              <w:rPr/>
            </w:pPr>
            <w:r>
              <w:rPr/>
              <w:t> </w:t>
            </w:r>
          </w:p>
        </w:tc>
        <w:tc>
          <w:tcPr>
            <w:tcW w:w="866" w:type="dxa"/>
            <w:tcBorders/>
            <w:shd w:fill="FFFFFF" w:val="clear"/>
          </w:tcPr>
          <w:p>
            <w:pPr>
              <w:pStyle w:val="TableContents"/>
              <w:spacing w:before="0" w:after="283"/>
              <w:rPr>
                <w:sz w:val="4"/>
                <w:szCs w:val="4"/>
              </w:rPr>
            </w:pPr>
            <w:r>
              <w:rPr>
                <w:sz w:val="4"/>
                <w:szCs w:val="4"/>
              </w:rPr>
            </w:r>
          </w:p>
        </w:tc>
      </w:tr>
    </w:tbl>
    <w:p>
      <w:pPr>
        <w:pStyle w:val="TextBody"/>
        <w:spacing w:before="0" w:after="0"/>
        <w:jc w:val="left"/>
        <w:rPr/>
      </w:pPr>
      <w:r>
        <w:rPr/>
        <w:t> </w:t>
      </w:r>
    </w:p>
    <w:p>
      <w:pPr>
        <w:pStyle w:val="TextBody"/>
        <w:spacing w:before="0" w:after="0"/>
        <w:jc w:val="left"/>
        <w:rPr/>
      </w:pPr>
      <w:r>
        <w:rPr/>
        <w:t> </w:t>
      </w:r>
    </w:p>
    <w:p>
      <w:pPr>
        <w:pStyle w:val="TextBody"/>
        <w:spacing w:before="0" w:after="0"/>
        <w:jc w:val="left"/>
        <w:rPr/>
      </w:pPr>
      <w:r>
        <w:rPr/>
        <w:t> </w:t>
      </w:r>
    </w:p>
    <w:p>
      <w:pPr>
        <w:pStyle w:val="TextBody"/>
        <w:spacing w:before="0" w:after="0"/>
        <w:ind w:left="0" w:right="0" w:hanging="0"/>
        <w:jc w:val="center"/>
        <w:rPr/>
      </w:pPr>
      <w:r>
        <w:rPr/>
        <w:t> </w:t>
      </w:r>
    </w:p>
    <w:p>
      <w:pPr>
        <w:pStyle w:val="TextBody"/>
        <w:spacing w:before="0" w:after="0"/>
        <w:jc w:val="left"/>
        <w:rPr/>
      </w:pPr>
      <w:r>
        <w:rPr/>
        <w:t> </w:t>
      </w:r>
    </w:p>
    <w:p>
      <w:pPr>
        <w:pStyle w:val="TextBody"/>
        <w:spacing w:before="0" w:after="0"/>
        <w:ind w:left="0" w:right="0" w:hanging="0"/>
        <w:jc w:val="left"/>
        <w:rPr/>
      </w:pPr>
      <w:r>
        <w:rPr/>
      </w:r>
      <w:bookmarkStart w:id="263" w:name="RANGE_A1%3AM26"/>
      <w:bookmarkStart w:id="264" w:name="RANGE_A1%3AM26"/>
      <w:bookmarkEnd w:id="264"/>
    </w:p>
    <w:tbl>
      <w:tblPr>
        <w:tblW w:w="5000" w:type="pct"/>
        <w:jc w:val="center"/>
        <w:tblInd w:w="0" w:type="dxa"/>
        <w:tblCellMar>
          <w:top w:w="0" w:type="dxa"/>
          <w:left w:w="0" w:type="dxa"/>
          <w:bottom w:w="0" w:type="dxa"/>
          <w:right w:w="0" w:type="dxa"/>
        </w:tblCellMar>
      </w:tblPr>
      <w:tblGrid>
        <w:gridCol w:w="5038"/>
        <w:gridCol w:w="105"/>
        <w:gridCol w:w="125"/>
        <w:gridCol w:w="966"/>
        <w:gridCol w:w="105"/>
        <w:gridCol w:w="105"/>
        <w:gridCol w:w="125"/>
        <w:gridCol w:w="966"/>
        <w:gridCol w:w="105"/>
        <w:gridCol w:w="105"/>
        <w:gridCol w:w="125"/>
        <w:gridCol w:w="935"/>
        <w:gridCol w:w="110"/>
        <w:gridCol w:w="105"/>
        <w:gridCol w:w="125"/>
        <w:gridCol w:w="935"/>
        <w:gridCol w:w="125"/>
      </w:tblGrid>
      <w:tr>
        <w:trPr/>
        <w:tc>
          <w:tcPr>
            <w:tcW w:w="503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4937" w:type="dxa"/>
            <w:gridSpan w:val="14"/>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October 31,</w:t>
            </w:r>
          </w:p>
        </w:tc>
        <w:tc>
          <w:tcPr>
            <w:tcW w:w="125" w:type="dxa"/>
            <w:tcBorders/>
            <w:shd w:fill="auto" w:val="clear"/>
            <w:vAlign w:val="bottom"/>
          </w:tcPr>
          <w:p>
            <w:pPr>
              <w:pStyle w:val="TableContents"/>
              <w:spacing w:before="0" w:after="283"/>
              <w:jc w:val="left"/>
              <w:rPr/>
            </w:pPr>
            <w:r>
              <w:rPr/>
              <w:t> </w:t>
            </w:r>
          </w:p>
        </w:tc>
      </w:tr>
      <w:tr>
        <w:trPr/>
        <w:tc>
          <w:tcPr>
            <w:tcW w:w="503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2392" w:type="dxa"/>
            <w:gridSpan w:val="6"/>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Net Sales</w:t>
            </w:r>
          </w:p>
        </w:tc>
        <w:tc>
          <w:tcPr>
            <w:tcW w:w="105" w:type="dxa"/>
            <w:tcBorders/>
            <w:shd w:fill="auto" w:val="clear"/>
            <w:vAlign w:val="bottom"/>
          </w:tcPr>
          <w:p>
            <w:pPr>
              <w:pStyle w:val="TableContents"/>
              <w:spacing w:before="0" w:after="283"/>
              <w:jc w:val="center"/>
              <w:rPr/>
            </w:pPr>
            <w:r>
              <w:rPr/>
              <w:t> </w:t>
            </w:r>
          </w:p>
        </w:tc>
        <w:tc>
          <w:tcPr>
            <w:tcW w:w="105" w:type="dxa"/>
            <w:tcBorders/>
            <w:shd w:fill="auto" w:val="clear"/>
            <w:vAlign w:val="bottom"/>
          </w:tcPr>
          <w:p>
            <w:pPr>
              <w:pStyle w:val="TableContents"/>
              <w:spacing w:before="0" w:after="283"/>
              <w:jc w:val="center"/>
              <w:rPr/>
            </w:pPr>
            <w:r>
              <w:rPr/>
              <w:t> </w:t>
            </w:r>
          </w:p>
        </w:tc>
        <w:tc>
          <w:tcPr>
            <w:tcW w:w="2335" w:type="dxa"/>
            <w:gridSpan w:val="6"/>
            <w:tcBorders>
              <w:bottom w:val="single" w:sz="12" w:space="0" w:color="000000"/>
            </w:tcBorders>
            <w:shd w:fill="auto" w:val="clear"/>
            <w:tcMar>
              <w:bottom w:w="28" w:type="dxa"/>
            </w:tcMar>
            <w:vAlign w:val="bottom"/>
          </w:tcPr>
          <w:p>
            <w:pPr>
              <w:pStyle w:val="TableContents"/>
              <w:spacing w:before="0" w:after="283"/>
              <w:jc w:val="center"/>
              <w:rPr/>
            </w:pPr>
            <w:r>
              <w:rPr/>
              <w:t> </w:t>
            </w:r>
            <w:r>
              <w:rPr>
                <w:rFonts w:ascii="times new roman" w:hAnsi="times new roman"/>
                <w:b/>
                <w:sz w:val="20"/>
              </w:rPr>
              <w:t>Operating Income</w:t>
            </w:r>
          </w:p>
        </w:tc>
        <w:tc>
          <w:tcPr>
            <w:tcW w:w="125" w:type="dxa"/>
            <w:tcBorders/>
            <w:shd w:fill="auto" w:val="clear"/>
            <w:vAlign w:val="bottom"/>
          </w:tcPr>
          <w:p>
            <w:pPr>
              <w:pStyle w:val="TableContents"/>
              <w:spacing w:before="0" w:after="283"/>
              <w:jc w:val="left"/>
              <w:rPr/>
            </w:pPr>
            <w:r>
              <w:rPr/>
              <w:t> </w:t>
            </w:r>
          </w:p>
        </w:tc>
      </w:tr>
      <w:tr>
        <w:trPr/>
        <w:tc>
          <w:tcPr>
            <w:tcW w:w="5038"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0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9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05"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0"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06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2008</w:t>
            </w:r>
          </w:p>
        </w:tc>
        <w:tc>
          <w:tcPr>
            <w:tcW w:w="125" w:type="dxa"/>
            <w:tcBorders/>
            <w:shd w:fill="auto" w:val="clear"/>
            <w:vAlign w:val="bottom"/>
          </w:tcPr>
          <w:p>
            <w:pPr>
              <w:pStyle w:val="TableContents"/>
              <w:spacing w:before="0" w:after="283"/>
              <w:jc w:val="left"/>
              <w:rPr/>
            </w:pPr>
            <w:r>
              <w:rPr/>
              <w:t> </w:t>
            </w:r>
          </w:p>
        </w:tc>
      </w:tr>
      <w:tr>
        <w:trPr/>
        <w:tc>
          <w:tcPr>
            <w:tcW w:w="5038" w:type="dxa"/>
            <w:tcBorders/>
            <w:shd w:fill="auto" w:val="clear"/>
            <w:vAlign w:val="bottom"/>
          </w:tcPr>
          <w:p>
            <w:pPr>
              <w:pStyle w:val="TableContents"/>
              <w:spacing w:before="0" w:after="283"/>
              <w:rPr/>
            </w:pPr>
            <w:r>
              <w:rPr/>
              <w:t> </w:t>
            </w:r>
          </w:p>
        </w:tc>
        <w:tc>
          <w:tcPr>
            <w:tcW w:w="105" w:type="dxa"/>
            <w:tcBorders/>
            <w:shd w:fill="auto" w:val="clear"/>
            <w:vAlign w:val="bottom"/>
          </w:tcPr>
          <w:p>
            <w:pPr>
              <w:pStyle w:val="TableContents"/>
              <w:spacing w:before="0" w:after="283"/>
              <w:rPr/>
            </w:pPr>
            <w:r>
              <w:rPr/>
              <w:t> </w:t>
            </w:r>
          </w:p>
        </w:tc>
        <w:tc>
          <w:tcPr>
            <w:tcW w:w="4937" w:type="dxa"/>
            <w:gridSpan w:val="14"/>
            <w:tcBorders/>
            <w:shd w:fill="auto" w:val="clear"/>
            <w:vAlign w:val="bottom"/>
          </w:tcPr>
          <w:p>
            <w:pPr>
              <w:pStyle w:val="TableContents"/>
              <w:spacing w:before="0" w:after="283"/>
              <w:jc w:val="center"/>
              <w:rPr/>
            </w:pPr>
            <w:r>
              <w:rPr/>
              <w:t> </w:t>
            </w:r>
            <w:r>
              <w:rPr>
                <w:rFonts w:ascii="times new roman" w:hAnsi="times new roman"/>
                <w:b/>
                <w:sz w:val="20"/>
              </w:rPr>
              <w:t>(in thousands)</w:t>
            </w:r>
          </w:p>
        </w:tc>
        <w:tc>
          <w:tcPr>
            <w:tcW w:w="125" w:type="dxa"/>
            <w:tcBorders/>
            <w:shd w:fill="auto"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Business to Business Products</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17,570</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6"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20,645</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3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4,509</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3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4,426</w:t>
            </w:r>
          </w:p>
        </w:tc>
        <w:tc>
          <w:tcPr>
            <w:tcW w:w="125" w:type="dxa"/>
            <w:tcBorders/>
            <w:shd w:fill="CCEEFF" w:val="clear"/>
            <w:vAlign w:val="bottom"/>
          </w:tcPr>
          <w:p>
            <w:pPr>
              <w:pStyle w:val="TableContents"/>
              <w:spacing w:before="0" w:after="283"/>
              <w:jc w:val="left"/>
              <w:rPr/>
            </w:pPr>
            <w:r>
              <w:rPr/>
              <w:t> </w:t>
            </w:r>
          </w:p>
        </w:tc>
      </w:tr>
      <w:tr>
        <w:trPr/>
        <w:tc>
          <w:tcPr>
            <w:tcW w:w="503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Retail and Wholesale Products</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6" w:type="dxa"/>
            <w:tcBorders>
              <w:bottom w:val="single" w:sz="12"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5" w:name="TAB1132"/>
            <w:bookmarkEnd w:id="265"/>
            <w:r>
              <w:rPr>
                <w:rFonts w:ascii="times new roman" w:hAnsi="times new roman"/>
                <w:b/>
                <w:sz w:val="20"/>
              </w:rPr>
              <w:t>35,834</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66" w:type="dxa"/>
            <w:tcBorders>
              <w:bottom w:val="single" w:sz="12" w:space="0" w:color="000000"/>
            </w:tcBorders>
            <w:shd w:fill="FFFF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6" w:name="TAB1133"/>
            <w:bookmarkEnd w:id="266"/>
            <w:r>
              <w:rPr>
                <w:rFonts w:ascii="times new roman" w:hAnsi="times new roman"/>
                <w:b/>
                <w:sz w:val="20"/>
              </w:rPr>
              <w:t>42,483</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3,216</w:t>
            </w:r>
          </w:p>
        </w:tc>
        <w:tc>
          <w:tcPr>
            <w:tcW w:w="11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3,162</w:t>
            </w:r>
          </w:p>
        </w:tc>
        <w:tc>
          <w:tcPr>
            <w:tcW w:w="125" w:type="dxa"/>
            <w:tcBorders/>
            <w:shd w:fill="FFFFFF"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Total Sales/Operating Income</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6" w:type="dxa"/>
            <w:tcBorders>
              <w:bottom w:val="single" w:sz="12" w:space="0" w:color="000000"/>
            </w:tcBorders>
            <w:shd w:fill="CCEE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7" w:name="TAB1134"/>
            <w:bookmarkEnd w:id="267"/>
            <w:r>
              <w:rPr>
                <w:rFonts w:ascii="times new roman" w:hAnsi="times new roman"/>
                <w:b/>
                <w:sz w:val="20"/>
              </w:rPr>
              <w:t>53,404</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66" w:type="dxa"/>
            <w:tcBorders>
              <w:bottom w:val="single" w:sz="12" w:space="0" w:color="000000"/>
            </w:tcBorders>
            <w:shd w:fill="CCEEFF" w:val="clear"/>
            <w:tcMar>
              <w:bottom w:w="28" w:type="dxa"/>
            </w:tcMar>
            <w:vAlign w:val="bottom"/>
          </w:tcPr>
          <w:p>
            <w:pPr>
              <w:pStyle w:val="TableContents"/>
              <w:spacing w:before="0" w:after="283"/>
              <w:ind w:left="81" w:right="0" w:hanging="0"/>
              <w:jc w:val="right"/>
              <w:rPr>
                <w:rFonts w:ascii="times new roman" w:hAnsi="times new roman"/>
                <w:b/>
                <w:sz w:val="20"/>
              </w:rPr>
            </w:pPr>
            <w:bookmarkStart w:id="268" w:name="TAB1135"/>
            <w:bookmarkEnd w:id="268"/>
            <w:r>
              <w:rPr>
                <w:rFonts w:ascii="times new roman" w:hAnsi="times new roman"/>
                <w:b/>
                <w:sz w:val="20"/>
              </w:rPr>
              <w:t>63,128</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7,725</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7,588</w:t>
            </w:r>
          </w:p>
        </w:tc>
        <w:tc>
          <w:tcPr>
            <w:tcW w:w="125" w:type="dxa"/>
            <w:tcBorders/>
            <w:shd w:fill="CCEEFF" w:val="clear"/>
            <w:vAlign w:val="bottom"/>
          </w:tcPr>
          <w:p>
            <w:pPr>
              <w:pStyle w:val="TableContents"/>
              <w:spacing w:before="0" w:after="283"/>
              <w:jc w:val="left"/>
              <w:rPr/>
            </w:pPr>
            <w:r>
              <w:rPr/>
              <w:t> </w:t>
            </w:r>
          </w:p>
        </w:tc>
      </w:tr>
      <w:tr>
        <w:trPr/>
        <w:tc>
          <w:tcPr>
            <w:tcW w:w="503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Less: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Corporate Expenses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4,336</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935"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4,171</w:t>
            </w:r>
          </w:p>
        </w:tc>
        <w:tc>
          <w:tcPr>
            <w:tcW w:w="125" w:type="dxa"/>
            <w:tcBorders/>
            <w:shd w:fill="CCEEFF" w:val="clear"/>
            <w:vAlign w:val="bottom"/>
          </w:tcPr>
          <w:p>
            <w:pPr>
              <w:pStyle w:val="TableContents"/>
              <w:spacing w:before="0" w:after="283"/>
              <w:jc w:val="left"/>
              <w:rPr/>
            </w:pPr>
            <w:r>
              <w:rPr/>
              <w:t> </w:t>
            </w:r>
          </w:p>
        </w:tc>
      </w:tr>
      <w:tr>
        <w:trPr/>
        <w:tc>
          <w:tcPr>
            <w:tcW w:w="5038" w:type="dxa"/>
            <w:tcBorders/>
            <w:shd w:fill="FFFFFF" w:val="clear"/>
            <w:vAlign w:val="bottom"/>
          </w:tcPr>
          <w:p>
            <w:pPr>
              <w:pStyle w:val="TableContents"/>
              <w:spacing w:before="0" w:after="0"/>
              <w:ind w:left="0" w:right="0" w:hanging="0"/>
              <w:jc w:val="left"/>
              <w:rPr/>
            </w:pPr>
            <w:r>
              <w:rPr/>
              <w:t>           </w:t>
            </w:r>
            <w:r>
              <w:rPr>
                <w:rFonts w:ascii="times new roman" w:hAnsi="times new roman"/>
                <w:b/>
                <w:sz w:val="20"/>
              </w:rPr>
              <w:t>Interest Expense, net of</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pPr>
            <w:r>
              <w:rPr/>
              <w:t>           </w:t>
            </w:r>
            <w:r>
              <w:rPr>
                <w:rFonts w:ascii="times new roman" w:hAnsi="times new roman"/>
                <w:b/>
                <w:sz w:val="20"/>
              </w:rPr>
              <w:t>Interest Income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334</w:t>
            </w:r>
          </w:p>
        </w:tc>
        <w:tc>
          <w:tcPr>
            <w:tcW w:w="110"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340</w:t>
            </w:r>
          </w:p>
        </w:tc>
        <w:tc>
          <w:tcPr>
            <w:tcW w:w="125" w:type="dxa"/>
            <w:tcBorders/>
            <w:shd w:fill="CCEEFF" w:val="clear"/>
            <w:vAlign w:val="bottom"/>
          </w:tcPr>
          <w:p>
            <w:pPr>
              <w:pStyle w:val="TableContents"/>
              <w:spacing w:before="0" w:after="283"/>
              <w:jc w:val="left"/>
              <w:rPr/>
            </w:pPr>
            <w:r>
              <w:rPr/>
              <w:t> </w:t>
            </w:r>
          </w:p>
        </w:tc>
      </w:tr>
      <w:tr>
        <w:trPr/>
        <w:tc>
          <w:tcPr>
            <w:tcW w:w="503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before Income Taxes</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3,055</w:t>
            </w:r>
          </w:p>
        </w:tc>
        <w:tc>
          <w:tcPr>
            <w:tcW w:w="11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935"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3,077</w:t>
            </w:r>
          </w:p>
        </w:tc>
        <w:tc>
          <w:tcPr>
            <w:tcW w:w="125" w:type="dxa"/>
            <w:tcBorders/>
            <w:shd w:fill="FFFFFF" w:val="clear"/>
            <w:vAlign w:val="bottom"/>
          </w:tcPr>
          <w:p>
            <w:pPr>
              <w:pStyle w:val="TableContents"/>
              <w:spacing w:before="0" w:after="283"/>
              <w:jc w:val="left"/>
              <w:rPr/>
            </w:pPr>
            <w:r>
              <w:rPr/>
              <w:t> </w:t>
            </w:r>
          </w:p>
        </w:tc>
      </w:tr>
      <w:tr>
        <w:trPr/>
        <w:tc>
          <w:tcPr>
            <w:tcW w:w="5038"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Income Taxes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66" w:type="dxa"/>
            <w:tcBorders/>
            <w:shd w:fill="CCEEFF" w:val="clear"/>
            <w:vAlign w:val="bottom"/>
          </w:tcPr>
          <w:p>
            <w:pPr>
              <w:pStyle w:val="TableContents"/>
              <w:spacing w:before="0" w:after="283"/>
              <w:jc w:val="right"/>
              <w:rPr/>
            </w:pPr>
            <w:r>
              <w:rPr/>
              <w:t> </w:t>
            </w:r>
          </w:p>
        </w:tc>
        <w:tc>
          <w:tcPr>
            <w:tcW w:w="105"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(861</w:t>
            </w:r>
          </w:p>
        </w:tc>
        <w:tc>
          <w:tcPr>
            <w:tcW w:w="110"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5" w:type="dxa"/>
            <w:tcBorders/>
            <w:shd w:fill="CCEEFF" w:val="clear"/>
            <w:vAlign w:val="bottom"/>
          </w:tcPr>
          <w:p>
            <w:pPr>
              <w:pStyle w:val="TableContents"/>
              <w:spacing w:before="0" w:after="283"/>
              <w:jc w:val="lef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3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(831</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r>
      <w:tr>
        <w:trPr/>
        <w:tc>
          <w:tcPr>
            <w:tcW w:w="5038"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Net Income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66" w:type="dxa"/>
            <w:tcBorders/>
            <w:shd w:fill="FFFFFF" w:val="clear"/>
            <w:vAlign w:val="bottom"/>
          </w:tcPr>
          <w:p>
            <w:pPr>
              <w:pStyle w:val="TableContents"/>
              <w:spacing w:before="0" w:after="283"/>
              <w:jc w:val="right"/>
              <w:rPr/>
            </w:pPr>
            <w:r>
              <w:rPr/>
              <w:t> </w:t>
            </w:r>
          </w:p>
        </w:tc>
        <w:tc>
          <w:tcPr>
            <w:tcW w:w="105"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ind w:left="101" w:right="0" w:hanging="0"/>
              <w:jc w:val="right"/>
              <w:rPr>
                <w:rFonts w:ascii="times new roman" w:hAnsi="times new roman"/>
                <w:b/>
                <w:sz w:val="20"/>
              </w:rPr>
            </w:pPr>
            <w:bookmarkStart w:id="269" w:name="TAB1136"/>
            <w:bookmarkEnd w:id="269"/>
            <w:r>
              <w:rPr>
                <w:rFonts w:ascii="times new roman" w:hAnsi="times new roman"/>
                <w:b/>
                <w:sz w:val="20"/>
              </w:rPr>
              <w:t>2,194</w:t>
            </w:r>
          </w:p>
        </w:tc>
        <w:tc>
          <w:tcPr>
            <w:tcW w:w="110"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jc w:val="lef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35" w:type="dxa"/>
            <w:tcBorders>
              <w:bottom w:val="double" w:sz="8" w:space="0" w:color="000000"/>
            </w:tcBorders>
            <w:shd w:fill="FFFFFF" w:val="clear"/>
            <w:tcMar>
              <w:bottom w:w="28" w:type="dxa"/>
            </w:tcMar>
            <w:vAlign w:val="bottom"/>
          </w:tcPr>
          <w:p>
            <w:pPr>
              <w:pStyle w:val="TableContents"/>
              <w:spacing w:before="0" w:after="283"/>
              <w:ind w:left="101" w:right="0" w:hanging="0"/>
              <w:jc w:val="right"/>
              <w:rPr>
                <w:rFonts w:ascii="times new roman" w:hAnsi="times new roman"/>
                <w:b/>
                <w:sz w:val="20"/>
              </w:rPr>
            </w:pPr>
            <w:bookmarkStart w:id="270" w:name="TAB1137"/>
            <w:bookmarkEnd w:id="270"/>
            <w:r>
              <w:rPr>
                <w:rFonts w:ascii="times new roman" w:hAnsi="times new roman"/>
                <w:b/>
                <w:sz w:val="20"/>
              </w:rPr>
              <w:t>2,246</w:t>
            </w:r>
          </w:p>
        </w:tc>
        <w:tc>
          <w:tcPr>
            <w:tcW w:w="125"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271" w:name="PGBRK10"/>
      <w:bookmarkStart w:id="272" w:name="PGBRK10"/>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73" w:name="FTR10"/>
      <w:bookmarkStart w:id="274" w:name="FTR10"/>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75" w:name="GLFTR10"/>
      <w:bookmarkEnd w:id="27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6" w:name="PN10"/>
      <w:bookmarkEnd w:id="276"/>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77" w:name="HDR10"/>
      <w:bookmarkStart w:id="278" w:name="HDR10"/>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279" w:name="GLHDR10"/>
      <w:bookmarkEnd w:id="279"/>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left"/>
        <w:rPr/>
      </w:pPr>
      <w:r>
        <w:rPr>
          <w:rFonts w:ascii="Times New Roman" w:hAnsi="Times New Roman"/>
          <w:b/>
          <w:sz w:val="20"/>
        </w:rPr>
        <w:t>9.</w:t>
      </w:r>
      <w:bookmarkStart w:id="280" w:name="TAB23"/>
      <w:bookmarkEnd w:id="280"/>
      <w:r>
        <w:rPr>
          <w:color w:val="000000"/>
          <w:spacing w:val="180"/>
        </w:rPr>
        <w:t> </w:t>
      </w:r>
      <w:r>
        <w:rPr>
          <w:rFonts w:ascii="Times New Roman" w:hAnsi="Times New Roman"/>
          <w:b/>
          <w:sz w:val="20"/>
        </w:rPr>
        <w:t>STOCK-BASED COMPENSATION</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determine the fair value of stock options and restricted stock issued under our long term incentive plans as of the grant date.  We recognize the related compensation expense over the period from the date of grant to the date when the award is no longer contingent on the employee providing additional service to the company.</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Stock Options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1995 Long Term Incentive Plan (the “1995 Plan”) provided for grants of both incentive and non-qualified stock options principally at an option price per share of 100% of the fair market value of our Class A Common Stock or, if no Class A Common Stock is outstanding, our Common Stock (“Stock”) on the date of grant.  Stock options were generally granted with a five-year vesting period and a 10-year term.  The stock options generally vest 25% two years after the grant date and 25% in each of the three following anniversaries of the grant date.  This plan expired for purposes of issuing new grants on August 5, 2005.  All stock issued from option exercises under this plan were from authorized but unissued stock.  All restricted stock issued was from treasury stock.</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Oil-Dri Corporation of America 2006 Long Term Incentive Plan (“2006 Plan”) permits the grant of stock options, stock appreciation rights, restricted stock, restricted stock units, performance awards and other stock-based and cash-based awards.  Our employees and non-employee directors are eligible to receive grants under the 2006 Plan.  The total number of shares of stock subject to grants under the 2006 Plan may not exceed 937,500.  Option grants covering 25,000 shares have been issued to our outside directors with a vesting period of one year and option grants covering 32,500 shares have been issued to employees with vesting similar to the vesting described above under the 1995 Plan.  95,182 shares of restricted stock have been issued under the 2006 Plan.</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Oil-Dri Corporation of America Outside Director Stock Plan (the “Directors’ Plan”) provides for grants of stock options to our directors, who are considered employees, at an option price per share of 100% of the fair market value of Common Stock on the date of grant.  Stock options have been granted to our directors for a 10-year term with a one year vesting period.  There are 60,250 stock options outstanding as of October 31, 2009 and no stock options available for future grants under this plan.  All stock issued under this plan were from treasury stock.</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five-for-four stock split was announced by our Board on June 6, 2006.  The equitable adjustment of outstanding options to reflect a change in capitalization (such as a stock split) may require the recognition of incremental compensation expense if the adjustment is not determined to have been required by the actual terms of the equity incentive plan.  In keeping with historical practices, we adjusted the number of shares and the option prices to equitably adjust all outstanding stock options; however, the Directors’ Plan and the 1995 Plan may be deemed to have been discretionary, rather than required by the actual terms of these plans.  We therefore recognized additional stock-based compensation expense as a result of the modification of approximately $51,000 in the first quarter of fiscal 2009.  As of the end of fiscal 2009 all additional compensation expense had been recognized; therefore, no additional expense was recognized in fiscal 2010.</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were no stock options granted in the first three months of fiscal years 2010 or 2009.</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Changes in our stock options during the first three months of fiscal 2010 were as follows:</w:t>
      </w:r>
    </w:p>
    <w:p>
      <w:pPr>
        <w:pStyle w:val="TextBody"/>
        <w:spacing w:before="0" w:after="0"/>
        <w:ind w:left="0" w:right="0" w:hanging="0"/>
        <w:jc w:val="center"/>
        <w:rPr/>
      </w:pPr>
      <w:r>
        <w:rPr/>
      </w:r>
    </w:p>
    <w:tbl>
      <w:tblPr>
        <w:tblW w:w="5000" w:type="pct"/>
        <w:jc w:val="left"/>
        <w:tblInd w:w="0" w:type="dxa"/>
        <w:tblCellMar>
          <w:top w:w="0" w:type="dxa"/>
          <w:left w:w="0" w:type="dxa"/>
          <w:bottom w:w="0" w:type="dxa"/>
          <w:right w:w="0" w:type="dxa"/>
        </w:tblCellMar>
      </w:tblPr>
      <w:tblGrid>
        <w:gridCol w:w="4347"/>
        <w:gridCol w:w="107"/>
        <w:gridCol w:w="148"/>
        <w:gridCol w:w="1076"/>
        <w:gridCol w:w="119"/>
        <w:gridCol w:w="107"/>
        <w:gridCol w:w="172"/>
        <w:gridCol w:w="1034"/>
        <w:gridCol w:w="107"/>
        <w:gridCol w:w="107"/>
        <w:gridCol w:w="177"/>
        <w:gridCol w:w="1129"/>
        <w:gridCol w:w="107"/>
        <w:gridCol w:w="107"/>
        <w:gridCol w:w="177"/>
        <w:gridCol w:w="1056"/>
        <w:gridCol w:w="128"/>
      </w:tblGrid>
      <w:tr>
        <w:trPr/>
        <w:tc>
          <w:tcPr>
            <w:tcW w:w="4347" w:type="dxa"/>
            <w:tcBorders/>
            <w:shd w:fill="auto" w:val="clear"/>
            <w:vAlign w:val="bottom"/>
          </w:tcPr>
          <w:p>
            <w:pPr>
              <w:pStyle w:val="TableContents"/>
              <w:spacing w:before="0" w:after="283"/>
              <w:rPr/>
            </w:pPr>
            <w:r>
              <w:rPr/>
              <w:t xml:space="preserve">  </w:t>
            </w:r>
          </w:p>
        </w:tc>
        <w:tc>
          <w:tcPr>
            <w:tcW w:w="107" w:type="dxa"/>
            <w:tcBorders/>
            <w:shd w:fill="auto" w:val="clear"/>
            <w:vAlign w:val="bottom"/>
          </w:tcPr>
          <w:p>
            <w:pPr>
              <w:pStyle w:val="TableContents"/>
              <w:spacing w:before="0" w:after="283"/>
              <w:rPr/>
            </w:pPr>
            <w:r>
              <w:rPr/>
              <w:t> </w:t>
            </w:r>
          </w:p>
        </w:tc>
        <w:tc>
          <w:tcPr>
            <w:tcW w:w="12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Number of Shares (in thousands)</w:t>
            </w:r>
          </w:p>
        </w:tc>
        <w:tc>
          <w:tcPr>
            <w:tcW w:w="119"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Exercise Price</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3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Remaining Contractual Term (Years)</w:t>
            </w:r>
          </w:p>
        </w:tc>
        <w:tc>
          <w:tcPr>
            <w:tcW w:w="107" w:type="dxa"/>
            <w:tcBorders/>
            <w:shd w:fill="auto" w:val="clear"/>
            <w:vAlign w:val="bottom"/>
          </w:tcPr>
          <w:p>
            <w:pPr>
              <w:pStyle w:val="TableContents"/>
              <w:spacing w:before="0" w:after="283"/>
              <w:jc w:val="left"/>
              <w:rPr/>
            </w:pPr>
            <w:r>
              <w:rPr/>
              <w:t> </w:t>
            </w:r>
          </w:p>
        </w:tc>
        <w:tc>
          <w:tcPr>
            <w:tcW w:w="107" w:type="dxa"/>
            <w:tcBorders/>
            <w:shd w:fill="auto" w:val="clear"/>
            <w:vAlign w:val="bottom"/>
          </w:tcPr>
          <w:p>
            <w:pPr>
              <w:pStyle w:val="TableContents"/>
              <w:spacing w:before="0" w:after="283"/>
              <w:rPr/>
            </w:pPr>
            <w:r>
              <w:rPr/>
              <w:t> </w:t>
            </w:r>
          </w:p>
        </w:tc>
        <w:tc>
          <w:tcPr>
            <w:tcW w:w="123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Aggregate Intrinsic Value (in thousands)</w:t>
            </w:r>
          </w:p>
        </w:tc>
        <w:tc>
          <w:tcPr>
            <w:tcW w:w="128" w:type="dxa"/>
            <w:tcBorders/>
            <w:shd w:fill="auto" w:val="clear"/>
            <w:vAlign w:val="bottom"/>
          </w:tcPr>
          <w:p>
            <w:pPr>
              <w:pStyle w:val="TableContents"/>
              <w:spacing w:before="0" w:after="283"/>
              <w:jc w:val="left"/>
              <w:rPr/>
            </w:pPr>
            <w:r>
              <w:rPr/>
              <w:t> </w:t>
            </w:r>
          </w:p>
        </w:tc>
      </w:tr>
      <w:tr>
        <w:trPr/>
        <w:tc>
          <w:tcPr>
            <w:tcW w:w="43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July 31, 2009</w:t>
            </w:r>
          </w:p>
        </w:tc>
        <w:tc>
          <w:tcPr>
            <w:tcW w:w="107" w:type="dxa"/>
            <w:tcBorders/>
            <w:shd w:fill="CCEEFF" w:val="clear"/>
            <w:vAlign w:val="bottom"/>
          </w:tcPr>
          <w:p>
            <w:pPr>
              <w:pStyle w:val="TableContents"/>
              <w:spacing w:before="0" w:after="283"/>
              <w:jc w:val="right"/>
              <w:rPr/>
            </w:pPr>
            <w:r>
              <w:rPr/>
              <w:t> </w:t>
            </w:r>
          </w:p>
        </w:tc>
        <w:tc>
          <w:tcPr>
            <w:tcW w:w="148" w:type="dxa"/>
            <w:tcBorders/>
            <w:shd w:fill="CCEEFF" w:val="clear"/>
            <w:vAlign w:val="bottom"/>
          </w:tcPr>
          <w:p>
            <w:pPr>
              <w:pStyle w:val="TableContents"/>
              <w:spacing w:before="0" w:after="283"/>
              <w:jc w:val="left"/>
              <w:rPr/>
            </w:pPr>
            <w:r>
              <w:rPr/>
              <w:t> </w:t>
            </w:r>
          </w:p>
        </w:tc>
        <w:tc>
          <w:tcPr>
            <w:tcW w:w="107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9.14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06"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3,141</w:t>
            </w:r>
          </w:p>
        </w:tc>
        <w:tc>
          <w:tcPr>
            <w:tcW w:w="128" w:type="dxa"/>
            <w:tcBorders/>
            <w:shd w:fill="CCEEFF" w:val="clear"/>
            <w:vAlign w:val="bottom"/>
          </w:tcPr>
          <w:p>
            <w:pPr>
              <w:pStyle w:val="TableContents"/>
              <w:spacing w:before="0" w:after="283"/>
              <w:jc w:val="left"/>
              <w:rPr/>
            </w:pPr>
            <w:r>
              <w:rPr/>
              <w:t> </w:t>
            </w:r>
          </w:p>
        </w:tc>
      </w:tr>
      <w:tr>
        <w:trPr/>
        <w:tc>
          <w:tcPr>
            <w:tcW w:w="43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07" w:type="dxa"/>
            <w:tcBorders/>
            <w:shd w:fill="FFFFFF" w:val="clear"/>
            <w:vAlign w:val="bottom"/>
          </w:tcPr>
          <w:p>
            <w:pPr>
              <w:pStyle w:val="TableContents"/>
              <w:spacing w:before="0" w:after="283"/>
              <w:jc w:val="right"/>
              <w:rPr/>
            </w:pPr>
            <w:r>
              <w:rPr/>
              <w:t> </w:t>
            </w:r>
          </w:p>
        </w:tc>
        <w:tc>
          <w:tcPr>
            <w:tcW w:w="148" w:type="dxa"/>
            <w:tcBorders/>
            <w:shd w:fill="FFFFFF" w:val="clear"/>
            <w:vAlign w:val="bottom"/>
          </w:tcPr>
          <w:p>
            <w:pPr>
              <w:pStyle w:val="TableContents"/>
              <w:spacing w:before="0" w:after="283"/>
              <w:jc w:val="left"/>
              <w:rPr/>
            </w:pPr>
            <w:r>
              <w:rPr/>
              <w:t> </w:t>
            </w:r>
          </w:p>
        </w:tc>
        <w:tc>
          <w:tcPr>
            <w:tcW w:w="107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11.08</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306" w:type="dxa"/>
            <w:gridSpan w:val="2"/>
            <w:tcBorders/>
            <w:shd w:fill="FFFFFF" w:val="clear"/>
            <w:vAlign w:val="bottom"/>
          </w:tcPr>
          <w:p>
            <w:pPr>
              <w:pStyle w:val="TableContents"/>
              <w:spacing w:before="0" w:after="283"/>
              <w:rPr/>
            </w:pPr>
            <w:r>
              <w:rPr/>
              <w:t> </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8" w:type="dxa"/>
            <w:tcBorders/>
            <w:shd w:fill="FFFFFF" w:val="clear"/>
            <w:vAlign w:val="bottom"/>
          </w:tcPr>
          <w:p>
            <w:pPr>
              <w:pStyle w:val="TableContents"/>
              <w:spacing w:before="0" w:after="283"/>
              <w:jc w:val="left"/>
              <w:rPr/>
            </w:pPr>
            <w:r>
              <w:rPr/>
              <w:t> </w:t>
            </w:r>
          </w:p>
        </w:tc>
      </w:tr>
      <w:tr>
        <w:trPr/>
        <w:tc>
          <w:tcPr>
            <w:tcW w:w="43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Canceled</w:t>
            </w:r>
          </w:p>
        </w:tc>
        <w:tc>
          <w:tcPr>
            <w:tcW w:w="107" w:type="dxa"/>
            <w:tcBorders/>
            <w:shd w:fill="CCEEFF" w:val="clear"/>
            <w:vAlign w:val="bottom"/>
          </w:tcPr>
          <w:p>
            <w:pPr>
              <w:pStyle w:val="TableContents"/>
              <w:spacing w:before="0" w:after="283"/>
              <w:jc w:val="right"/>
              <w:rPr/>
            </w:pPr>
            <w:r>
              <w:rPr/>
              <w:t> </w:t>
            </w:r>
          </w:p>
        </w:tc>
        <w:tc>
          <w:tcPr>
            <w:tcW w:w="148"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11.65</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306" w:type="dxa"/>
            <w:gridSpan w:val="2"/>
            <w:tcBorders/>
            <w:shd w:fill="CCEEFF" w:val="clear"/>
            <w:vAlign w:val="bottom"/>
          </w:tcPr>
          <w:p>
            <w:pPr>
              <w:pStyle w:val="TableContents"/>
              <w:spacing w:before="0" w:after="283"/>
              <w:rPr/>
            </w:pPr>
            <w:r>
              <w:rPr/>
              <w:t> </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w:t>
            </w:r>
          </w:p>
        </w:tc>
        <w:tc>
          <w:tcPr>
            <w:tcW w:w="128" w:type="dxa"/>
            <w:tcBorders/>
            <w:shd w:fill="CCEEFF" w:val="clear"/>
            <w:vAlign w:val="bottom"/>
          </w:tcPr>
          <w:p>
            <w:pPr>
              <w:pStyle w:val="TableContents"/>
              <w:spacing w:before="0" w:after="283"/>
              <w:jc w:val="left"/>
              <w:rPr/>
            </w:pPr>
            <w:r>
              <w:rPr/>
              <w:t> </w:t>
            </w:r>
          </w:p>
        </w:tc>
      </w:tr>
      <w:tr>
        <w:trPr/>
        <w:tc>
          <w:tcPr>
            <w:tcW w:w="434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outstanding, October 31, 2009</w:t>
            </w:r>
          </w:p>
        </w:tc>
        <w:tc>
          <w:tcPr>
            <w:tcW w:w="107" w:type="dxa"/>
            <w:tcBorders/>
            <w:shd w:fill="FFFFFF" w:val="clear"/>
            <w:vAlign w:val="bottom"/>
          </w:tcPr>
          <w:p>
            <w:pPr>
              <w:pStyle w:val="TableContents"/>
              <w:spacing w:before="0" w:after="283"/>
              <w:jc w:val="right"/>
              <w:rPr/>
            </w:pPr>
            <w:r>
              <w:rPr/>
              <w:t> </w:t>
            </w:r>
          </w:p>
        </w:tc>
        <w:tc>
          <w:tcPr>
            <w:tcW w:w="14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07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498</w:t>
            </w:r>
          </w:p>
        </w:tc>
        <w:tc>
          <w:tcPr>
            <w:tcW w:w="119"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9.11</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left"/>
              <w:rPr/>
            </w:pPr>
            <w:r>
              <w:rPr/>
              <w:t> </w:t>
            </w:r>
          </w:p>
        </w:tc>
        <w:tc>
          <w:tcPr>
            <w:tcW w:w="112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07"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jc w:val="right"/>
              <w:rPr/>
            </w:pPr>
            <w:r>
              <w:rPr/>
              <w:t> </w:t>
            </w:r>
          </w:p>
        </w:tc>
        <w:tc>
          <w:tcPr>
            <w:tcW w:w="177"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3,114</w:t>
            </w:r>
          </w:p>
        </w:tc>
        <w:tc>
          <w:tcPr>
            <w:tcW w:w="128" w:type="dxa"/>
            <w:tcBorders/>
            <w:shd w:fill="FFFFFF" w:val="clear"/>
            <w:vAlign w:val="bottom"/>
          </w:tcPr>
          <w:p>
            <w:pPr>
              <w:pStyle w:val="TableContents"/>
              <w:spacing w:before="0" w:after="283"/>
              <w:jc w:val="left"/>
              <w:rPr/>
            </w:pPr>
            <w:r>
              <w:rPr/>
              <w:t> </w:t>
            </w:r>
          </w:p>
        </w:tc>
      </w:tr>
      <w:tr>
        <w:trPr/>
        <w:tc>
          <w:tcPr>
            <w:tcW w:w="434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Options exercisable, October 31, 2009</w:t>
            </w:r>
          </w:p>
        </w:tc>
        <w:tc>
          <w:tcPr>
            <w:tcW w:w="107" w:type="dxa"/>
            <w:tcBorders/>
            <w:shd w:fill="CCEEFF" w:val="clear"/>
            <w:vAlign w:val="bottom"/>
          </w:tcPr>
          <w:p>
            <w:pPr>
              <w:pStyle w:val="TableContents"/>
              <w:spacing w:before="0" w:after="283"/>
              <w:jc w:val="right"/>
              <w:rPr/>
            </w:pPr>
            <w:r>
              <w:rPr/>
              <w:t> </w:t>
            </w:r>
          </w:p>
        </w:tc>
        <w:tc>
          <w:tcPr>
            <w:tcW w:w="14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477</w:t>
            </w:r>
          </w:p>
        </w:tc>
        <w:tc>
          <w:tcPr>
            <w:tcW w:w="119"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8.78</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pPr>
            <w:r>
              <w:rPr/>
              <w:t> </w:t>
            </w:r>
          </w:p>
        </w:tc>
        <w:tc>
          <w:tcPr>
            <w:tcW w:w="112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w:t>
            </w:r>
          </w:p>
        </w:tc>
        <w:tc>
          <w:tcPr>
            <w:tcW w:w="107"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jc w:val="right"/>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3,112</w:t>
            </w:r>
          </w:p>
        </w:tc>
        <w:tc>
          <w:tcPr>
            <w:tcW w:w="128"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amount of cash received from the exercise of stock options during the first quarter of fiscal 2010 was $54,000 and the related tax benefit was $6,000.  The amount of cash received from the exercise of stock options during the first quarter of fiscal 2009 was $133,000 and the related tax benefit was $63,000.</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281" w:name="PGBRK11"/>
      <w:bookmarkStart w:id="282" w:name="PGBRK11"/>
      <w:bookmarkEnd w:id="2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3" w:name="FTR11"/>
      <w:bookmarkStart w:id="284" w:name="FTR11"/>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5" w:name="GLFTR11"/>
      <w:bookmarkStart w:id="286" w:name="GLFTR11"/>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7" w:name="PN11"/>
      <w:bookmarkEnd w:id="287"/>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88" w:name="HDR11"/>
      <w:bookmarkStart w:id="289" w:name="HDR11"/>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90" w:name="GLHDR11"/>
      <w:bookmarkStart w:id="291" w:name="GLHDR11"/>
      <w:bookmarkEnd w:id="2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both"/>
        <w:rPr>
          <w:rFonts w:ascii="Times New Roman" w:hAnsi="Times New Roman"/>
          <w:i/>
          <w:sz w:val="20"/>
        </w:rPr>
      </w:pPr>
      <w:r>
        <w:rPr>
          <w:rFonts w:ascii="Times New Roman" w:hAnsi="Times New Roman"/>
          <w:i/>
          <w:sz w:val="20"/>
        </w:rPr>
        <w:t>Restricted Stoc</w:t>
      </w:r>
      <w:bookmarkStart w:id="292" w:name="14"/>
      <w:bookmarkEnd w:id="292"/>
      <w:r>
        <w:rPr>
          <w:rFonts w:ascii="Times New Roman" w:hAnsi="Times New Roman"/>
          <w:i/>
          <w:sz w:val="20"/>
        </w:rPr>
        <w:t>k</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1995 Plan and 2006 Plan both provide for grants of restricted stock.  The vesting schedule under the 1995 Plan has varied, but has generally been three years or less.  Grants issued under the 2006 Plan so far have vesting periods between two and five years.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Under the 2006 Plan, 5,182 restricted shares of Class B Stock were granted in the first quarter of fiscal 2010.  No shares of restricted stock were granted in the first three months of fiscal 2009.</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Included in our stock-based compensation expense in the first quarter of fiscal years 2010 and 2009 was $73,000 and $75,000, respectively, related to unvested restricted stock.</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Changes in our restricted stock outstanding during the first three months of fiscal 2010 were as follows:</w:t>
      </w:r>
    </w:p>
    <w:p>
      <w:pPr>
        <w:pStyle w:val="TextBody"/>
        <w:spacing w:before="0" w:after="0"/>
        <w:ind w:left="0" w:right="0" w:hanging="0"/>
        <w:jc w:val="center"/>
        <w:rPr/>
      </w:pPr>
      <w:r>
        <w:rPr/>
      </w:r>
    </w:p>
    <w:tbl>
      <w:tblPr>
        <w:tblW w:w="2500" w:type="pct"/>
        <w:jc w:val="left"/>
        <w:tblInd w:w="0" w:type="dxa"/>
        <w:tblCellMar>
          <w:top w:w="0" w:type="dxa"/>
          <w:left w:w="0" w:type="dxa"/>
          <w:bottom w:w="0" w:type="dxa"/>
          <w:right w:w="0" w:type="dxa"/>
        </w:tblCellMar>
      </w:tblPr>
      <w:tblGrid>
        <w:gridCol w:w="2299"/>
        <w:gridCol w:w="90"/>
        <w:gridCol w:w="183"/>
        <w:gridCol w:w="1042"/>
        <w:gridCol w:w="90"/>
        <w:gridCol w:w="90"/>
        <w:gridCol w:w="212"/>
        <w:gridCol w:w="988"/>
        <w:gridCol w:w="108"/>
      </w:tblGrid>
      <w:tr>
        <w:trPr/>
        <w:tc>
          <w:tcPr>
            <w:tcW w:w="2299"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260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(shares in thousands)</w:t>
            </w:r>
          </w:p>
        </w:tc>
        <w:tc>
          <w:tcPr>
            <w:tcW w:w="108" w:type="dxa"/>
            <w:tcBorders/>
            <w:shd w:fill="auto" w:val="clear"/>
            <w:vAlign w:val="bottom"/>
          </w:tcPr>
          <w:p>
            <w:pPr>
              <w:pStyle w:val="TableContents"/>
              <w:spacing w:before="0" w:after="283"/>
              <w:jc w:val="left"/>
              <w:rPr/>
            </w:pPr>
            <w:r>
              <w:rPr/>
              <w:t> </w:t>
            </w:r>
          </w:p>
        </w:tc>
      </w:tr>
      <w:tr>
        <w:trPr/>
        <w:tc>
          <w:tcPr>
            <w:tcW w:w="2299" w:type="dxa"/>
            <w:tcBorders/>
            <w:shd w:fill="auto" w:val="clear"/>
            <w:vAlign w:val="bottom"/>
          </w:tcPr>
          <w:p>
            <w:pPr>
              <w:pStyle w:val="TableContents"/>
              <w:spacing w:before="0" w:after="283"/>
              <w:rPr/>
            </w:pPr>
            <w:r>
              <w:rPr/>
              <w:t xml:space="preserve">  </w:t>
            </w:r>
          </w:p>
        </w:tc>
        <w:tc>
          <w:tcPr>
            <w:tcW w:w="90" w:type="dxa"/>
            <w:tcBorders/>
            <w:shd w:fill="auto" w:val="clear"/>
            <w:vAlign w:val="bottom"/>
          </w:tcPr>
          <w:p>
            <w:pPr>
              <w:pStyle w:val="TableContents"/>
              <w:spacing w:before="0" w:after="283"/>
              <w:rPr/>
            </w:pPr>
            <w:r>
              <w:rPr/>
              <w:t> </w:t>
            </w:r>
          </w:p>
        </w:tc>
        <w:tc>
          <w:tcPr>
            <w:tcW w:w="122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Restricted Shares</w:t>
            </w:r>
          </w:p>
        </w:tc>
        <w:tc>
          <w:tcPr>
            <w:tcW w:w="90" w:type="dxa"/>
            <w:tcBorders/>
            <w:shd w:fill="auto" w:val="clear"/>
            <w:vAlign w:val="bottom"/>
          </w:tcPr>
          <w:p>
            <w:pPr>
              <w:pStyle w:val="TableContents"/>
              <w:spacing w:before="0" w:after="283"/>
              <w:jc w:val="left"/>
              <w:rPr/>
            </w:pPr>
            <w:r>
              <w:rPr/>
              <w:t> </w:t>
            </w:r>
          </w:p>
        </w:tc>
        <w:tc>
          <w:tcPr>
            <w:tcW w:w="90" w:type="dxa"/>
            <w:tcBorders/>
            <w:shd w:fill="auto" w:val="clear"/>
            <w:vAlign w:val="bottom"/>
          </w:tcPr>
          <w:p>
            <w:pPr>
              <w:pStyle w:val="TableContents"/>
              <w:spacing w:before="0" w:after="283"/>
              <w:rPr/>
            </w:pPr>
            <w:r>
              <w:rPr/>
              <w:t> </w:t>
            </w:r>
          </w:p>
        </w:tc>
        <w:tc>
          <w:tcPr>
            <w:tcW w:w="12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Weighted Average Grant Date Fair Value</w:t>
            </w:r>
          </w:p>
        </w:tc>
        <w:tc>
          <w:tcPr>
            <w:tcW w:w="108" w:type="dxa"/>
            <w:tcBorders/>
            <w:shd w:fill="auto" w:val="clear"/>
            <w:vAlign w:val="bottom"/>
          </w:tcPr>
          <w:p>
            <w:pPr>
              <w:pStyle w:val="TableContents"/>
              <w:spacing w:before="0" w:after="283"/>
              <w:jc w:val="left"/>
              <w:rPr/>
            </w:pPr>
            <w:r>
              <w:rPr/>
              <w:t> </w:t>
            </w:r>
          </w:p>
        </w:tc>
      </w:tr>
      <w:tr>
        <w:trPr/>
        <w:tc>
          <w:tcPr>
            <w:tcW w:w="22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Unvested restricted stock at July 31, 2009</w:t>
            </w:r>
          </w:p>
        </w:tc>
        <w:tc>
          <w:tcPr>
            <w:tcW w:w="90" w:type="dxa"/>
            <w:tcBorders/>
            <w:shd w:fill="CCEEFF" w:val="clear"/>
            <w:vAlign w:val="bottom"/>
          </w:tcPr>
          <w:p>
            <w:pPr>
              <w:pStyle w:val="TableContents"/>
              <w:spacing w:before="0" w:after="283"/>
              <w:jc w:val="right"/>
              <w:rPr/>
            </w:pPr>
            <w:r>
              <w:rPr/>
              <w:t> </w:t>
            </w:r>
          </w:p>
        </w:tc>
        <w:tc>
          <w:tcPr>
            <w:tcW w:w="183" w:type="dxa"/>
            <w:tcBorders/>
            <w:shd w:fill="CCEEFF" w:val="clear"/>
            <w:vAlign w:val="bottom"/>
          </w:tcPr>
          <w:p>
            <w:pPr>
              <w:pStyle w:val="TableContents"/>
              <w:spacing w:before="0" w:after="283"/>
              <w:jc w:val="left"/>
              <w:rPr/>
            </w:pPr>
            <w:r>
              <w:rPr/>
              <w:t> </w:t>
            </w:r>
          </w:p>
        </w:tc>
        <w:tc>
          <w:tcPr>
            <w:tcW w:w="10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15.37</w:t>
            </w:r>
          </w:p>
        </w:tc>
        <w:tc>
          <w:tcPr>
            <w:tcW w:w="108" w:type="dxa"/>
            <w:tcBorders/>
            <w:shd w:fill="CCEEFF" w:val="clear"/>
            <w:vAlign w:val="bottom"/>
          </w:tcPr>
          <w:p>
            <w:pPr>
              <w:pStyle w:val="TableContents"/>
              <w:spacing w:before="0" w:after="283"/>
              <w:jc w:val="left"/>
              <w:rPr/>
            </w:pPr>
            <w:r>
              <w:rPr/>
              <w:t> </w:t>
            </w:r>
          </w:p>
        </w:tc>
      </w:tr>
      <w:tr>
        <w:trPr/>
        <w:tc>
          <w:tcPr>
            <w:tcW w:w="229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90" w:type="dxa"/>
            <w:tcBorders/>
            <w:shd w:fill="FFFFFF" w:val="clear"/>
            <w:vAlign w:val="bottom"/>
          </w:tcPr>
          <w:p>
            <w:pPr>
              <w:pStyle w:val="TableContents"/>
              <w:spacing w:before="0" w:after="283"/>
              <w:jc w:val="right"/>
              <w:rPr/>
            </w:pPr>
            <w:r>
              <w:rPr/>
              <w:t> </w:t>
            </w:r>
          </w:p>
        </w:tc>
        <w:tc>
          <w:tcPr>
            <w:tcW w:w="18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90" w:type="dxa"/>
            <w:tcBorders/>
            <w:shd w:fill="FFFFFF" w:val="clear"/>
            <w:vAlign w:val="bottom"/>
          </w:tcPr>
          <w:p>
            <w:pPr>
              <w:pStyle w:val="TableContents"/>
              <w:spacing w:before="0" w:after="283"/>
              <w:jc w:val="left"/>
              <w:rPr/>
            </w:pPr>
            <w:r>
              <w:rPr/>
              <w:t> </w:t>
            </w:r>
          </w:p>
        </w:tc>
        <w:tc>
          <w:tcPr>
            <w:tcW w:w="90" w:type="dxa"/>
            <w:tcBorders/>
            <w:shd w:fill="FFFFFF" w:val="clear"/>
            <w:vAlign w:val="bottom"/>
          </w:tcPr>
          <w:p>
            <w:pPr>
              <w:pStyle w:val="TableContents"/>
              <w:spacing w:before="0" w:after="283"/>
              <w:rPr/>
            </w:pPr>
            <w:r>
              <w:rPr/>
              <w:t> </w:t>
            </w:r>
          </w:p>
        </w:tc>
        <w:tc>
          <w:tcPr>
            <w:tcW w:w="212" w:type="dxa"/>
            <w:tcBorders/>
            <w:shd w:fill="FFFFFF" w:val="clear"/>
            <w:vAlign w:val="bottom"/>
          </w:tcPr>
          <w:p>
            <w:pPr>
              <w:pStyle w:val="TableContents"/>
              <w:spacing w:before="0" w:after="283"/>
              <w:jc w:val="left"/>
              <w:rPr/>
            </w:pPr>
            <w:r>
              <w:rPr/>
              <w:t> </w:t>
            </w:r>
          </w:p>
        </w:tc>
        <w:tc>
          <w:tcPr>
            <w:tcW w:w="988" w:type="dxa"/>
            <w:tcBorders/>
            <w:shd w:fill="FFFFFF" w:val="clear"/>
            <w:vAlign w:val="bottom"/>
          </w:tcPr>
          <w:p>
            <w:pPr>
              <w:pStyle w:val="TableContents"/>
              <w:spacing w:before="0" w:after="283"/>
              <w:jc w:val="right"/>
              <w:rPr/>
            </w:pPr>
            <w:r>
              <w:rPr/>
              <w:t> </w:t>
            </w:r>
          </w:p>
        </w:tc>
        <w:tc>
          <w:tcPr>
            <w:tcW w:w="108" w:type="dxa"/>
            <w:tcBorders/>
            <w:shd w:fill="FFFFFF" w:val="clear"/>
            <w:vAlign w:val="bottom"/>
          </w:tcPr>
          <w:p>
            <w:pPr>
              <w:pStyle w:val="TableContents"/>
              <w:spacing w:before="0" w:after="283"/>
              <w:jc w:val="left"/>
              <w:rPr/>
            </w:pPr>
            <w:r>
              <w:rPr/>
              <w:t> </w:t>
            </w:r>
          </w:p>
        </w:tc>
      </w:tr>
      <w:tr>
        <w:trPr/>
        <w:tc>
          <w:tcPr>
            <w:tcW w:w="229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Unvested restricted stock at October 31, 2009</w:t>
            </w:r>
          </w:p>
        </w:tc>
        <w:tc>
          <w:tcPr>
            <w:tcW w:w="90" w:type="dxa"/>
            <w:tcBorders/>
            <w:shd w:fill="CCEEFF" w:val="clear"/>
            <w:vAlign w:val="bottom"/>
          </w:tcPr>
          <w:p>
            <w:pPr>
              <w:pStyle w:val="TableContents"/>
              <w:spacing w:before="0" w:after="283"/>
              <w:jc w:val="right"/>
              <w:rPr/>
            </w:pPr>
            <w:r>
              <w:rPr/>
              <w:t> </w:t>
            </w:r>
          </w:p>
        </w:tc>
        <w:tc>
          <w:tcPr>
            <w:tcW w:w="183"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w:t>
            </w:r>
          </w:p>
        </w:tc>
        <w:tc>
          <w:tcPr>
            <w:tcW w:w="90" w:type="dxa"/>
            <w:tcBorders/>
            <w:shd w:fill="CCEEFF" w:val="clear"/>
            <w:vAlign w:val="bottom"/>
          </w:tcPr>
          <w:p>
            <w:pPr>
              <w:pStyle w:val="TableContents"/>
              <w:spacing w:before="0" w:after="283"/>
              <w:jc w:val="left"/>
              <w:rPr/>
            </w:pPr>
            <w:r>
              <w:rPr/>
              <w:t> </w:t>
            </w:r>
          </w:p>
        </w:tc>
        <w:tc>
          <w:tcPr>
            <w:tcW w:w="90" w:type="dxa"/>
            <w:tcBorders/>
            <w:shd w:fill="CCEEFF" w:val="clear"/>
            <w:vAlign w:val="bottom"/>
          </w:tcPr>
          <w:p>
            <w:pPr>
              <w:pStyle w:val="TableContents"/>
              <w:spacing w:before="0" w:after="283"/>
              <w:jc w:val="right"/>
              <w:rPr/>
            </w:pPr>
            <w:r>
              <w:rPr/>
              <w:t> </w:t>
            </w:r>
          </w:p>
        </w:tc>
        <w:tc>
          <w:tcPr>
            <w:tcW w:w="2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15.33</w:t>
            </w:r>
          </w:p>
        </w:tc>
        <w:tc>
          <w:tcPr>
            <w:tcW w:w="108"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293" w:name="PGBRK12"/>
      <w:bookmarkStart w:id="294" w:name="PGBRK12"/>
      <w:bookmarkEnd w:id="2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95" w:name="FTR12"/>
      <w:bookmarkStart w:id="296" w:name="FTR12"/>
      <w:bookmarkEnd w:id="2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297" w:name="GLFTR12"/>
      <w:bookmarkEnd w:id="29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8" w:name="PN12"/>
      <w:bookmarkEnd w:id="298"/>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99" w:name="HDR12"/>
      <w:bookmarkStart w:id="300" w:name="HDR12"/>
      <w:bookmarkEnd w:id="3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301" w:name="GLHDR12"/>
      <w:bookmarkEnd w:id="30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2.     MANAGEMENT’S DISCUSSION AND ANALYSIS O</w:t>
      </w:r>
      <w:bookmarkStart w:id="302" w:name="15"/>
      <w:bookmarkEnd w:id="302"/>
      <w:r>
        <w:rPr>
          <w:rFonts w:ascii="Times New Roman" w:hAnsi="Times New Roman"/>
          <w:b/>
          <w:sz w:val="20"/>
        </w:rPr>
        <w:t>F</w:t>
      </w:r>
    </w:p>
    <w:p>
      <w:pPr>
        <w:pStyle w:val="TextBody"/>
        <w:spacing w:before="0" w:after="0"/>
        <w:ind w:left="990" w:right="0" w:hanging="0"/>
        <w:jc w:val="both"/>
        <w:rPr>
          <w:rFonts w:ascii="Times New Roman" w:hAnsi="Times New Roman"/>
          <w:b/>
          <w:sz w:val="20"/>
        </w:rPr>
      </w:pPr>
      <w:bookmarkStart w:id="303" w:name="TAB1138"/>
      <w:bookmarkEnd w:id="303"/>
      <w:r>
        <w:rPr>
          <w:rFonts w:ascii="Times New Roman" w:hAnsi="Times New Roman"/>
          <w:b/>
          <w:sz w:val="20"/>
        </w:rPr>
        <w:t>FINANCIAL CONDITION AND RESULTS OF OPERATIONS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year ended July 31, 2009.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2009.</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OVERVIEW</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develop, manufacture and market sorbent products principally produced from clay minerals and, to a lesser extent, other sorbent materials. Our principal products include cat litter, industrial and automotive absorbents, bleaching clay and clarification aids, agricultural chemical carriers, animal health and nutrition and sports field products.  Our products are sold to two primary customer groups, including customers who resell our products as originally produced to the end customer and those who use our products as part of their production process or use them as an ingredient in their final finished product.  We have two reportable segments, the Retail and Wholesale Products Group and the Business to Business Products Group, as described in Note 8 of the unaudited condensed consolidated financial statements.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RESULTS OF OPERATIONS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THREE MONTHS ENDED OCTOBER 31, 2009 COMPARED TO</w:t>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THREE MONTHS ENDED OCTOBER 31, 2008</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Consolidated net sales for the three months ended October 31, 2009 were $53,404,000, a decrease of 15% from net sales of $63,128,000 in the first three months of fiscal 2009.  Net income for the first three months of fiscal 2010 was $2,194,000, a decrease of 2% from net income of $2,246,000 in the first three months of fiscal 2009.  Diluted income per share for the first three months of fiscal 2010 was $0.30 compared to $0.31 for the first three months of fiscal 2009.</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income for the first three months of fiscal 2010 was negatively affected by decreased tons sold; however, lower costs had a significant positive impact on the quarter’s results.  Lower costs for freight, materials and packaging almost completely offset the decrease in net sales.  Material costs decreased due primarily to the lower cost of fuel used to dry our clay-based products and to transport raw materials.  Freight costs declined due to lower diesel fuel prices, which impacted our truck, rail and ship distribution channels.   Packaging costs declined due to price decreases in the resin and paper markets.  Both the Business to Business Products Group and the Retail and Wholesale Products Group experienced improved net income as lower costs overcame lower tons sold.</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BUSINESS TO BUSINESS PRODUCTS GROUP</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of the Business to Business Products Group for the first three months of fiscal 2010 were $17,570,000, a decrease of $3,075,000 from net sales of $20,645,000 in the first three months of fiscal 2009.  This decrease is attributed to approximately 15% fewer tons sold for the Group compared to the first three months of fiscal 2009.  Net sales and tons sold were down or even with the first quarter of fiscal 2009 for all product categories in this Group.  Our co-packaged traditional coarse cat litter net sales decreased 24% with 12% fewer tons sold.  Net sales were adversely affected by a lower net selling price under the terms of the agreement with our co-packaging partner and the loss of a small co-packaging customer during the later part of fiscal 2009.  Net sales of agricultural chemical carriers decreased 28% and tons sold decreased 20% primarily due to reduced sales to one customer.  Agricultural customers frequently modify their forecasted needs during the year; therefore, we cannot estimate sales to agricultural chemical carriers for the remainder of fiscal 2010.  Net sales of our flowability aid product were also down 25%.  The demand was lower for flowability aid products used in animal feed due to the protein content of the soybean crop which is a determining factor in feed formulations. Net sales of bleaching earth and fluid purification products decreased 7% with approximately 9% fewer tons sold.  The good quality of the soybean crop, which required less of our bleaching earth products to process the soybean oil, negatively impacted sales.  Increased sales of bleaching earth used in palm oil processing partially offset the soybean-related sales decline.  Sales of bleaching earth and fluid purification products used in the biodiesel industry also increased compared to the first quarter of fiscal 2009.  Animal health and nutrition products net sales were flat with the first three months of fiscal 2009.  Increased sales of mycotoxin binding products, which were initially introduced during fiscal 2009, offset declines in other animal health and nutrition products during the quarter.  Baseball-related sports products sales were even with the first quarter of fiscal 2009.  We had no golf-related sports products sales in the first three months of fiscal 2010 due the loss of the distributor in fiscal 2009.</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04" w:name="PGBRK13"/>
      <w:bookmarkStart w:id="305" w:name="PGBRK13"/>
      <w:bookmarkEnd w:id="3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06" w:name="FTR13"/>
      <w:bookmarkStart w:id="307" w:name="FTR13"/>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08" w:name="GLFTR13"/>
      <w:bookmarkStart w:id="309" w:name="GLFTR13"/>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0" w:name="PN13"/>
      <w:bookmarkEnd w:id="310"/>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11" w:name="HDR13"/>
      <w:bookmarkStart w:id="312" w:name="HDR13"/>
      <w:bookmarkEnd w:id="3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13" w:name="GLHDR13"/>
      <w:bookmarkStart w:id="314" w:name="GLHDR13"/>
      <w:bookmarkEnd w:id="3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The Business to Business Products Group’s segment income increased 2% from $4,426,000 in the first three months of fiscal 2009 to $4,509,000 in the first three months of fiscal 2010.  This increase was due primarily to an approximately 9% decrease in combined freight, materials and packaging costs.  Freight costs decreased approximately 20% due primarily to lower diesel fuel prices and export freight costs.  Packaging costs decreased approximately 17% due to lower prices for paper used in packaging.  Material costs were impacted by lower energy-related costs in our mining and manufacturing processes which contributed to an approximately 4% material cost decrease.  Selling, general and administrative expenses for the Group were up 5% due to increased personnel, product development and marketing costs associated with our upcoming launch of a new agricultural engineered granule product.  These higher costs were partially offset by a decrease in similar costs incurred in fiscal 2009 related to new animal health and nutrition products.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RETAIL AND WHOLESALE PRODUCTS GROUP</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of the Retail and Wholesale Products Group for the first three months of fiscal 2010 were $35,834,000, a decrease of $6,649,000 from net sales of $42,483,000 in the first three months of fiscal 2009.  The net sales decline was driven by decreases in both average net selling prices and tons sold.  The Group’s total tons sold were down 12% compared to the first three months of fiscal 2009.  Cat litter net sales were down approximately 21% due primarily to 14% lower tons sold.  Wal-Mart’s decision to carry a reduced number of cat litter brands beginning in August 2009, as discussed in our Form 10-K for the fiscal year ended July 31, 2009, is reflected in the sales decline in both branded and private label cat litter.  The average net selling price declined due to increased trade spending for product promotions costs, which are deducted from net sales.  Net sales of branded cat litter decreased 32% due primarily to 19% fewer tons sold.  Increased trade spending drove incremental sales at customers other than Wal-Mart, which partially offset the overall sales decline.  Net sales of private label cat litter decreased 9% due to 11% fewer tons sold.  Several of our larger private label customers experienced sales declines due to general economic conditions; however, we increased distribution to another customer.  Industrial absorbents net sales were down 12% with 13% lower volume due primarily to weak economic conditions in the manufacturing and automotive industries.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Retail and Wholesale Products Group’s segment income increased 2% to $3,216,000 in the first three months of fiscal 2010 from $3,162,000 in the first three months of fiscal 2009.  The Group’s combined freight, materials and packaging costs decreased approximately 8% from the first quarter of fiscal 2009.  Freight costs were down approximately 14% due primarily to lower diesel fuel prices.  Packaging costs decreased approximately 13% due to lower prices for resin and paper used in packaging.  Material costs decreased approximately 3%  due primarily to lower energy-related costs in our mining and manufacturing processes.  Selling, general and administrative expenses for the Group were down 11% due primarily to a large currency translation loss reported by our foreign operations in the first three months of fiscal 2009 which was not incurred in the first quarter of fiscal 2010.</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CONSOLIDATED RESULTS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consolidated gross profit as a percentage of net sales for the first three months of fiscal 2010 was 23% compared to 20% in the first three months of fiscal 2009.  Gross profit was positively impacted by lower costs for freight, packaging, material and fuel used in our manufacturing processes.  The cost of fuel was 46% lower in the first quarter of fiscal 2010 compared to the first quarter of fiscal 2009.  We use natural gas, fuel oil and coal in the manufacturing process to operate kilns that dry our clay.  As described in Item 3. Quantitative and Qualitative Disclosures About Market Risk below, we have contracted for a portion of our planned fuel needs for fiscal 2010.  Gross profit was negatively impacted by a 12% increase in non-fuel manufacturing costs, including depreciation and amortization.  Manufacturing cost increases were related to labor and benefits, depreciation and amortization and repairs.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Selling, general and administrative expenses as a percentage of net sales for the first three months of fiscal 2010 were 17% compared to 14% in the first three months of fiscal 2009.  The discussions of the Groups’ operating income above describe the fluctuation in the selling, general and administrative expenses that were allocated to the operating segments.  The remaining unallocated corporate expenses in the first three months of fiscal 2010 included a higher estimated annual incentive plan bonus accrual and higher expenses associated with postretirement benefits.  The higher incentive bonus expense was based on performance targets that are established for each year.  The postretirement benefit costs are actuarially determined and are described in more detail in Note 7 of the notes to the unaudited condensed consolidated financial statements.  These higher costs were partially offset by reduced spending for research and development as we moved further through the development cycle for several new products.</w:t>
      </w:r>
    </w:p>
    <w:p>
      <w:pPr>
        <w:pStyle w:val="TextBody"/>
        <w:spacing w:before="0" w:after="0"/>
        <w:ind w:left="0" w:right="0" w:hanging="0"/>
        <w:jc w:val="center"/>
        <w:rPr/>
      </w:pPr>
      <w:r>
        <w:rPr/>
        <w:b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15" w:name="PGBRK14"/>
      <w:bookmarkStart w:id="316" w:name="PGBRK14"/>
      <w:bookmarkEnd w:id="3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17" w:name="FTR14"/>
      <w:bookmarkStart w:id="318" w:name="FTR14"/>
      <w:bookmarkEnd w:id="3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19" w:name="GLFTR14"/>
      <w:bookmarkStart w:id="320" w:name="GLFTR14"/>
      <w:bookmarkEnd w:id="3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1" w:name="PN14"/>
      <w:bookmarkEnd w:id="321"/>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22" w:name="HDR14"/>
      <w:bookmarkStart w:id="323" w:name="HDR14"/>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24" w:name="GLHDR14"/>
      <w:bookmarkStart w:id="325" w:name="GLHDR14"/>
      <w:bookmarkEnd w:id="3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Interest expense was $131,000 less for the first three months of fiscal 2010 compared to the same period in fiscal 2009 due to continued debt reduction and capitalized interest expense for a new product-related capital project.  Interest income was $125,000 lower in the first three months of fiscal 2010 due to a lower average interest rate and a lower average investment balance.</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effective tax rate was 28% of pre-tax income in the first quarter of fiscal 2010, which is the same effective tax rate as for the full year of fiscal 2009.  The effective tax rate for fiscal 2010 is based on the projected composition of our taxable income for the year.</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assets decreased $135,000 during the first three months of fiscal 2010.  Current assets increased $579,000 or 1% from fiscal 2009 year end balances, due primarily to increased cash and cash equivalents, investments in securities and prepaid expenses.  These increases were partially offset by decreases in accounts receivable, inventories and prepaid repairs expense.  The changes in current assets are described below in Liquidity and Capital Resources.  Property, plant and equipment, net of accumulated depreciation, decreased $490,000 during the first three months of fiscal 2010 due to depreciation expense in excess of additions.  Additions were primarily for replacement of machinery and other capital projects at our manufacturing facilities.  Other noncurrent assets decreased $224,000 due to payments received on a lease receivable related to a co-packaging agreement.</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liabilities decreased $1,536,000 or 3% during the first three months of fiscal 2010.  Current liabilities decreased $667,000 or 3% primarily due to decreased accrued salaries, accounts payable and other accrued expenses.  Increases in current maturities of notes payable, accrued trade promotions and accrued freight partially offset these decreases.  The changes in current liabilities are described below in Liquidity and Capital Resources.  Noncurrent liabilities decreased $869,000 or 2% due primarily to the reclassification of notes payable from noncurrent to current.  Higher accruals for pension and postretirement benefits and deferred compensation partially offset the decrease.  The accrued pension and postretirement benefit liability is based on the most recent actuarial estimates.  The increase in the deferred compensation liability is due to ongoing deferrals and accrued interest in excess of payouts.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results of operations for the three months ending October 31, 2009 included an increase in cost of goods sold of approximately $400,000 related to an overstatement of supplies inventory at one of our manufacturing facilities as of July 31, 2009.  The overstatement of inventory had accumulated over a number of years, and was the result of alleged theft.  This increase was offset by the expected receipt of insurance proceeds related to the supplies inventory overstatement; a receivable for which was recorded in the current period.  The net effect of the two adjustments resulted in no impact to net income.  We have determined that the adjustment to supplies inventory was not material to the first quarter of fiscal 2010 or any previously reported period.</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FOREIGN OPERATIONS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sales by our foreign subsidiaries during the first three months of fiscal 2010 were $3,817,000, a decrease of 1% from net sales of $3,870,000 during the first three months of fiscal 2009.  Net sales by our foreign subsidiaries represented 7% of our consolidated net sales during the first three months of fiscal 2010 and 6% of our consolidated net sales during the first three months of fiscal 2009.  Net sales of our Canadian subsidiary increased due primarily to increased sales of cat litter, including sales to a new customer.  Sales of industrial absorbents decreased in both our Canadian and United Kingdom subsidiaries primarily due to the slowdown in the manufacturing industry worldwide.  The British Pound was weaker on average against the U.S. Dollar for the first quarter of fiscal 2010 compared to the first quarter of fiscal 2009, which resulted in lower sales values after translation to U.S. Dollars for the first quarter of fiscal 2010.  The Canadian Dollar was slightly stronger on average against the U.S. Dollar in comparison of the same periods.  For the first three months of fiscal 2010, our foreign subsidiaries reported net income of $302,000, an increase of $481,000 from the $179,000 net loss reported in the first three months of fiscal 2009.  Lower material costs contributed to the higher net income.  In addition, the currency translation loss reported by our foreign operations in the first three months of fiscal 2010 was significantly less than the loss reported in fiscal 2009.  Over the past several months the British Pound has strengthened compared to the U.S. Dollar and ended the first quarter of fiscal 2010 at approximately the same exchange rate as existed at October 31, 2008.</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Identifiable assets of our foreign subsidiaries as of October 31, 2009 were $9,610,000 compared to $9,912,000 as of October 31, 2008.  The decrease is primarily due to lower cash and cash equivalents and accounts receivable that resulted from lower sales.  This decrease was partially offset by an increase in fixed assets.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u w:val="single"/>
        </w:rPr>
      </w:pPr>
      <w:r>
        <w:rPr>
          <w:rFonts w:ascii="Times New Roman" w:hAnsi="Times New Roman"/>
          <w:b/>
          <w:sz w:val="20"/>
          <w:u w:val="single"/>
        </w:rPr>
        <w:t>LIQUIDITY AND CAPITAL RESOURCES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principal capital requirements include funding working capital needs, the purchasing and upgrading of real estate, equipment and facilities, funding new product development and investing in infrastructure and potential acquisitions.  We principally have used cash generated from operations and, to the extent needed, issuance of debt securities and borrowings under our credit facilities to fund these requirements.  Cash and cash equivalents increased $4,189,000 during the first three months of fiscal 2010 to $16,028,000 at October 31, 2009.</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26" w:name="PGBRK15"/>
      <w:bookmarkStart w:id="327" w:name="PGBRK15"/>
      <w:bookmarkEnd w:id="3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28" w:name="FTR15"/>
      <w:bookmarkStart w:id="329" w:name="FTR15"/>
      <w:bookmarkEnd w:id="3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30" w:name="GLFTR15"/>
      <w:bookmarkStart w:id="331" w:name="GLFTR15"/>
      <w:bookmarkEnd w:id="3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2" w:name="PN15"/>
      <w:bookmarkEnd w:id="332"/>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33" w:name="HDR15"/>
      <w:bookmarkStart w:id="334" w:name="HDR15"/>
      <w:bookmarkEnd w:id="3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35" w:name="GLHDR15"/>
      <w:bookmarkStart w:id="336" w:name="GLHDR15"/>
      <w:bookmarkEnd w:id="3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The following table sets forth certain elements of our unaudited condensed consolidated statements of cash flows (in thousands):</w:t>
      </w:r>
    </w:p>
    <w:p>
      <w:pPr>
        <w:pStyle w:val="TextBody"/>
        <w:spacing w:before="0" w:after="0"/>
        <w:ind w:left="0" w:right="0" w:hanging="0"/>
        <w:jc w:val="center"/>
        <w:rPr/>
      </w:pPr>
      <w:r>
        <w:rPr/>
      </w:r>
    </w:p>
    <w:tbl>
      <w:tblPr>
        <w:tblW w:w="3000" w:type="pct"/>
        <w:jc w:val="center"/>
        <w:tblInd w:w="0" w:type="dxa"/>
        <w:tblCellMar>
          <w:top w:w="0" w:type="dxa"/>
          <w:left w:w="0" w:type="dxa"/>
          <w:bottom w:w="0" w:type="dxa"/>
          <w:right w:w="0" w:type="dxa"/>
        </w:tblCellMar>
      </w:tblPr>
      <w:tblGrid>
        <w:gridCol w:w="3261"/>
        <w:gridCol w:w="97"/>
        <w:gridCol w:w="127"/>
        <w:gridCol w:w="1094"/>
        <w:gridCol w:w="106"/>
        <w:gridCol w:w="97"/>
        <w:gridCol w:w="127"/>
        <w:gridCol w:w="1094"/>
        <w:gridCol w:w="120"/>
      </w:tblGrid>
      <w:tr>
        <w:trPr/>
        <w:tc>
          <w:tcPr>
            <w:tcW w:w="3261"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264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20" w:type="dxa"/>
            <w:tcBorders/>
            <w:shd w:fill="auto" w:val="clear"/>
            <w:vAlign w:val="bottom"/>
          </w:tcPr>
          <w:p>
            <w:pPr>
              <w:pStyle w:val="TableContents"/>
              <w:spacing w:before="0" w:after="283"/>
              <w:jc w:val="left"/>
              <w:rPr/>
            </w:pPr>
            <w:r>
              <w:rPr/>
              <w:t> </w:t>
            </w:r>
          </w:p>
        </w:tc>
      </w:tr>
      <w:tr>
        <w:trPr/>
        <w:tc>
          <w:tcPr>
            <w:tcW w:w="3261" w:type="dxa"/>
            <w:tcBorders/>
            <w:shd w:fill="auto" w:val="clear"/>
            <w:vAlign w:val="bottom"/>
          </w:tcPr>
          <w:p>
            <w:pPr>
              <w:pStyle w:val="TableContents"/>
              <w:spacing w:before="0" w:after="283"/>
              <w:rPr/>
            </w:pPr>
            <w:r>
              <w:rPr/>
              <w:t xml:space="preserve">  </w:t>
            </w:r>
          </w:p>
        </w:tc>
        <w:tc>
          <w:tcPr>
            <w:tcW w:w="97" w:type="dxa"/>
            <w:tcBorders/>
            <w:shd w:fill="auto" w:val="clear"/>
            <w:vAlign w:val="bottom"/>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 2009</w:t>
            </w:r>
          </w:p>
        </w:tc>
        <w:tc>
          <w:tcPr>
            <w:tcW w:w="106" w:type="dxa"/>
            <w:tcBorders/>
            <w:shd w:fill="auto" w:val="clear"/>
            <w:vAlign w:val="bottom"/>
          </w:tcPr>
          <w:p>
            <w:pPr>
              <w:pStyle w:val="TableContents"/>
              <w:spacing w:before="0" w:after="283"/>
              <w:jc w:val="left"/>
              <w:rPr/>
            </w:pPr>
            <w:r>
              <w:rPr/>
              <w:t> </w:t>
            </w:r>
          </w:p>
        </w:tc>
        <w:tc>
          <w:tcPr>
            <w:tcW w:w="97" w:type="dxa"/>
            <w:tcBorders/>
            <w:shd w:fill="auto" w:val="clear"/>
            <w:vAlign w:val="bottom"/>
          </w:tcPr>
          <w:p>
            <w:pPr>
              <w:pStyle w:val="TableContents"/>
              <w:spacing w:before="0" w:after="283"/>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October 31, 2008</w:t>
            </w:r>
          </w:p>
        </w:tc>
        <w:tc>
          <w:tcPr>
            <w:tcW w:w="120" w:type="dxa"/>
            <w:tcBorders/>
            <w:shd w:fill="auto" w:val="clear"/>
            <w:vAlign w:val="bottom"/>
          </w:tcPr>
          <w:p>
            <w:pPr>
              <w:pStyle w:val="TableContents"/>
              <w:spacing w:before="0" w:after="283"/>
              <w:jc w:val="left"/>
              <w:rPr/>
            </w:pPr>
            <w:r>
              <w:rPr/>
              <w:t> </w:t>
            </w:r>
          </w:p>
        </w:tc>
      </w:tr>
      <w:tr>
        <w:trPr/>
        <w:tc>
          <w:tcPr>
            <w:tcW w:w="326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provided by (used in) operating activities</w:t>
            </w:r>
          </w:p>
        </w:tc>
        <w:tc>
          <w:tcPr>
            <w:tcW w:w="97" w:type="dxa"/>
            <w:tcBorders/>
            <w:shd w:fill="CCEEFF" w:val="clear"/>
            <w:vAlign w:val="bottom"/>
          </w:tcPr>
          <w:p>
            <w:pPr>
              <w:pStyle w:val="TableContents"/>
              <w:spacing w:before="0" w:after="283"/>
              <w:jc w:val="lef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7,639</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(2,582</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61"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provided by investing activities</w:t>
            </w:r>
          </w:p>
        </w:tc>
        <w:tc>
          <w:tcPr>
            <w:tcW w:w="97"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0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(2,323</w:t>
            </w:r>
          </w:p>
        </w:tc>
        <w:tc>
          <w:tcPr>
            <w:tcW w:w="1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9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1,984</w:t>
            </w:r>
          </w:p>
        </w:tc>
        <w:tc>
          <w:tcPr>
            <w:tcW w:w="120" w:type="dxa"/>
            <w:tcBorders/>
            <w:shd w:fill="FFFFFF" w:val="clear"/>
            <w:vAlign w:val="bottom"/>
          </w:tcPr>
          <w:p>
            <w:pPr>
              <w:pStyle w:val="TableContents"/>
              <w:spacing w:before="0" w:after="283"/>
              <w:jc w:val="left"/>
              <w:rPr/>
            </w:pPr>
            <w:r>
              <w:rPr/>
              <w:t> </w:t>
            </w:r>
          </w:p>
        </w:tc>
      </w:tr>
      <w:tr>
        <w:trPr/>
        <w:tc>
          <w:tcPr>
            <w:tcW w:w="326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used in financing activities</w:t>
            </w:r>
          </w:p>
        </w:tc>
        <w:tc>
          <w:tcPr>
            <w:tcW w:w="9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(1,140</w:t>
            </w:r>
          </w:p>
        </w:tc>
        <w:tc>
          <w:tcPr>
            <w:tcW w:w="1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09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(5,767</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61"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Effect of exchange rate changes on cash and cash equivalents</w:t>
            </w:r>
          </w:p>
        </w:tc>
        <w:tc>
          <w:tcPr>
            <w:tcW w:w="97"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06"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jc w:val="lef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825</w:t>
            </w:r>
          </w:p>
        </w:tc>
        <w:tc>
          <w:tcPr>
            <w:tcW w:w="120" w:type="dxa"/>
            <w:tcBorders/>
            <w:shd w:fill="FFFFFF" w:val="clear"/>
            <w:vAlign w:val="bottom"/>
          </w:tcPr>
          <w:p>
            <w:pPr>
              <w:pStyle w:val="TableContents"/>
              <w:spacing w:before="0" w:after="283"/>
              <w:jc w:val="left"/>
              <w:rPr/>
            </w:pPr>
            <w:r>
              <w:rPr/>
              <w:t> </w:t>
            </w:r>
          </w:p>
        </w:tc>
      </w:tr>
      <w:tr>
        <w:trPr/>
        <w:tc>
          <w:tcPr>
            <w:tcW w:w="3261"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increase (decrease) in cash and cash equivalents</w:t>
            </w:r>
          </w:p>
        </w:tc>
        <w:tc>
          <w:tcPr>
            <w:tcW w:w="97" w:type="dxa"/>
            <w:tcBorders/>
            <w:shd w:fill="CCEEFF" w:val="clear"/>
            <w:vAlign w:val="bottom"/>
          </w:tcPr>
          <w:p>
            <w:pPr>
              <w:pStyle w:val="TableContents"/>
              <w:spacing w:before="0" w:after="283"/>
              <w:jc w:val="lef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4,189</w:t>
            </w:r>
          </w:p>
        </w:tc>
        <w:tc>
          <w:tcPr>
            <w:tcW w:w="106"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(5,540</w:t>
            </w:r>
          </w:p>
        </w:tc>
        <w:tc>
          <w:tcPr>
            <w:tcW w:w="12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provided by (used in) operating activities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Net cash provided by operations was $7,639,000 for the first three months of fiscal 2010, compared to net cash used in operations of $2,582,000 for the first three months of fiscal 2009.  The increase was due primarily to changes in working capital that offset lower net income.  For the first three months of fiscal years 2010 and 2009, the primary components of working capital that impacted operating cash flows were as follows: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receivable, less allowance for doubtful accounts, decreased by $3,431,000 in the first three months of fiscal 2010 due to lower sales in the first quarter of fiscal 2010 compared to sales in the fourth quarter of fiscal 2009.  Accounts receivable, less allowance for doubtful accounts, increased $1,417,000 in the first three months of fiscal 2009 due to higher sales in the first quarter of fiscal 2009 compared to sales in the fourth quarter of fiscal 2008.  The change in both years is also subject to timing of sales and collections and the payment terms provided to various customers.  The quality of our accounts receivable in terms of aging and days sales outstanding improved slightly as of October 31, 2009 compared to October 31, 2008.</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Inventories decreased $1,397,000 in the first three months of fiscal 2010 compared to an increase of $2,089,000 in the same period in fiscal 2009.  Finished goods and packaging inventories decreased in the first three months of fiscal 2010 primarily due to lower sales requirements and lower costs.  Supplies inventories decreased due to the adjustment of an overstatement described in Note 2 of the notes to the consolidated financial statements.  Finished goods and packaging inventories increased in the first three months of fiscal 2009 primarily due to higher costs and normal operational fluctuations.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Other assets decreased $139,000 in the first quarter of fiscal 2010 compared to an increase of $1,081,000 in the first quarter of fiscal 2009.  The change in other assets includes the effect of currency exchange rate fluctuations on non-cash assets held by our foreign subsidiaries.  The change in the relative value of the U.S. Dollar to both the British Pound and the Canadian Dollar was less for the first three months of fiscal 2010 compared to the same period of fiscal 2009.</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Prepaid expenses increased $219,000 in the first three months of fiscal 2010 versus an increase of $509,000 in the first three months of fiscal 2009.  Prepaid repair expense decreased in the first three months of fiscal 2010 versus an increase in the first three months of fiscal 2009 due to the timing of repairs and the implementation of a new process during fiscal 2009 to manage spare parts inventory.  The timing of insurance premium payments also resulted in an increase in prepaid expenses in both years.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Accrued expenses decreased $1,165,000 in the first three months of fiscal 2010 compared to a decrease of $2,274,000 in the first three months of fiscal 2009.  The decrease in both years was due primarily to the payout of the prior fiscal year’s discretionary bonus accrual; however, the bonus payout in fiscal 2010 was less than the payout in fiscal 2009.  Accrued interest also decreased in both years due to payments on long-term debt.  Partially offsetting these decreases in both years were higher trade spending and advertising accruals due to the timing of promotional activities.  In addition, accruals for freight increased in the first three months of fiscal 2010 compared to a decrease in the first three months of fiscal 2009 due to the timing of payments and shipments at quarter-end.</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Accounts payable decreased $829,000 in the first three months of fiscal 2010 compared to a decrease of $118,000 in the same period in fiscal 2009.  The decrease in the first quarter of fiscal 2010 was the result of fewer purchases due to lower production levels and costs.  Both years were subject to normal fluctuations in the timing of payments.</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37" w:name="PGBRK16"/>
      <w:bookmarkStart w:id="338" w:name="PGBRK16"/>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39" w:name="FTR16"/>
      <w:bookmarkStart w:id="340" w:name="FTR16"/>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41" w:name="GLFTR16"/>
      <w:bookmarkStart w:id="342" w:name="GLFTR16"/>
      <w:bookmarkEnd w:id="3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3" w:name="PN16"/>
      <w:bookmarkEnd w:id="343"/>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44" w:name="HDR16"/>
      <w:bookmarkStart w:id="345" w:name="HDR16"/>
      <w:bookmarkEnd w:id="3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46" w:name="GLHDR16"/>
      <w:bookmarkStart w:id="347" w:name="GLHDR16"/>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Other liabilities increased $481,000 in the first quarter of fiscal 2010 compared to $589,000 in the same period of fiscal 2009.  The change relates primarily to the currency exchange rate fluctuation impact on liabilities of our foreign subsidiaries as described above for other assets.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provided by investing activities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used in investing activities was $2,323,000 in the first three months of fiscal 2010 compared to cash provided by investing activities of $1,984,000 in the first three months of fiscal 2009.  In the first three months of fiscal 2010, net cash used to purchase investment securities was $996,000 compared to the first three months of fiscal 2009 when $5,528,000 net cash was provided by dispositions of investment securities.  In the first quarter of fiscal 2010 more cash was available to purchase investment securities due to lower cash requirements for payments on long-term debt, bonus payouts and capital expenditures compared to the first quarter of fiscal 2009.  Purchases and dispositions of investment securities in both periods are subject to variations in the timing of investment maturities.  Cash used for capital expenditures was $1,327,000 in the first three months of fiscal 2010 compared to $3,552,000 in the same period of fiscal 2009 as the final stages of certain capital projects were attained at our manufacturing facilities.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Net cash used in financing activities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Cash used in financing activities was $1,140,000 in the first three months of fiscal 2010 compared to $5,767,000 in the first three months of fiscal 2009.  Cash used for payment of long-term debt in the first quarter of fiscal 2010 was $3,880,000 less than in the first quarter of fiscal 2009.  In addition, $644,000 was used to purchase treasury stock in fiscal 2009 while no purchases were made in the first quarter of fiscal 2010.  Dividend payments were $995,000 in the first three months of fiscal 2010 compared to $919,000 in the first three months of fiscal 2009 due to a dividend increase.</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Other</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Total cash and investment balances held by our foreign subsidiaries at October 31, 2009 and 2008 were $1,423,000 and $1,762,000, respectively.  Our foreign subsidiaries’ cash and investment balances decreased during fiscal 2009 as a result of reduced profitability; however, cash and investment balances at October 31, 2009 increased from July 31, 2009.</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part of our normal course of business, we guarantee certain debts and trade payables of our wholly owned subsidiaries.  These arrangements are made at the request of the subsidiaries’ creditors because separate financial statements are not distributed for the wholly owned subsidiaries.  As of October 31, 2009 the value of these guarantees was $322,000 of lease liabilities.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December 19, 2008, we signed an amendment to extend our $15,000,000 unsecured revolving credit agreement with Harris N.A. (“Harris”) that is effective until December 31, 2011 and changes certain terms of the original agreement.  The credit agreement provides that we may select a variable rate based on either Harris’ prime rate or a LIBOR-based rate, plus a margin which varies depending on our debt to earnings ratio, or a fixed rate as agreed between us and Harris.  At October 31, 2009 the variable rates would have been 3.25% for the Harris’ prime-based rate or 1.73% for the LIBOR-based rate.  The credit agreement contains restrictive covenants that, among other things and under various conditions (including a limitation on capital expenditures), limit our ability to incur additional indebtedness or to dispose of assets.  The agreement also requires us to maintain a minimum fixed coverage ratio and a minimum consolidated net worth.  As of October 31, 2009 and 2008 there were no outstanding borrowings under this credit facility and we were in compliance with its covenants.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believe that cash flow from operations, availability under our revolving credit facility and current cash and investment balances will provide adequate cash funds for foreseeable working capital needs, capital expenditures at existing facilities and debt service obligations for at least the next 12 months.  We expect cash requirements for capital expenditures in fiscal 2010 to decrease from fiscal 2009 due primarily to completion of certain capital projects at our manufacturing facilities.  Our ability to fund operations, to make planned capital expenditures, to make scheduled debt payments and to remain in compliance with all of the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capital requirements are subject to change as business conditions warrant and opportunities arise.  The tables in the following subsection summarize our contractual obligations and commercial commitments at October 31, 2009 for the time frames indicated.</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48" w:name="PGBRK17"/>
      <w:bookmarkStart w:id="349" w:name="PGBRK17"/>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50" w:name="FTR17"/>
      <w:bookmarkStart w:id="351" w:name="FTR17"/>
      <w:bookmarkEnd w:id="35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52" w:name="GLFTR17"/>
      <w:bookmarkStart w:id="353" w:name="GLFTR17"/>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4" w:name="PN17"/>
      <w:bookmarkEnd w:id="354"/>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55" w:name="HDR17"/>
      <w:bookmarkStart w:id="356" w:name="HDR17"/>
      <w:bookmarkEnd w:id="3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57" w:name="GLHDR17"/>
      <w:bookmarkStart w:id="358" w:name="GLHDR17"/>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CONTRACTUAL OBLIGATIONS AND COMMERCIAL COMMITMENTS</w:t>
      </w:r>
    </w:p>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3366"/>
        <w:gridCol w:w="96"/>
        <w:gridCol w:w="125"/>
        <w:gridCol w:w="1056"/>
        <w:gridCol w:w="96"/>
        <w:gridCol w:w="96"/>
        <w:gridCol w:w="125"/>
        <w:gridCol w:w="1056"/>
        <w:gridCol w:w="96"/>
        <w:gridCol w:w="96"/>
        <w:gridCol w:w="125"/>
        <w:gridCol w:w="1055"/>
        <w:gridCol w:w="96"/>
        <w:gridCol w:w="96"/>
        <w:gridCol w:w="125"/>
        <w:gridCol w:w="1056"/>
        <w:gridCol w:w="96"/>
        <w:gridCol w:w="96"/>
        <w:gridCol w:w="125"/>
        <w:gridCol w:w="1009"/>
        <w:gridCol w:w="118"/>
      </w:tblGrid>
      <w:tr>
        <w:trPr/>
        <w:tc>
          <w:tcPr>
            <w:tcW w:w="3366" w:type="dxa"/>
            <w:tcBorders/>
            <w:shd w:fill="auto" w:val="clear"/>
            <w:vAlign w:val="bottom"/>
          </w:tcPr>
          <w:p>
            <w:pPr>
              <w:pStyle w:val="TableContents"/>
              <w:spacing w:before="0" w:after="283"/>
              <w:rPr/>
            </w:pPr>
            <w:r>
              <w:rPr/>
              <w:t xml:space="preserve">  </w:t>
            </w:r>
          </w:p>
        </w:tc>
        <w:tc>
          <w:tcPr>
            <w:tcW w:w="96" w:type="dxa"/>
            <w:tcBorders/>
            <w:shd w:fill="auto" w:val="clear"/>
            <w:vAlign w:val="bottom"/>
          </w:tcPr>
          <w:p>
            <w:pPr>
              <w:pStyle w:val="TableContents"/>
              <w:spacing w:before="0" w:after="283"/>
              <w:rPr/>
            </w:pPr>
            <w:r>
              <w:rPr/>
              <w:t> </w:t>
            </w:r>
          </w:p>
        </w:tc>
        <w:tc>
          <w:tcPr>
            <w:tcW w:w="6625"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Payments Due by Period</w:t>
            </w:r>
          </w:p>
        </w:tc>
        <w:tc>
          <w:tcPr>
            <w:tcW w:w="118" w:type="dxa"/>
            <w:tcBorders/>
            <w:shd w:fill="auto" w:val="clear"/>
            <w:vAlign w:val="bottom"/>
          </w:tcPr>
          <w:p>
            <w:pPr>
              <w:pStyle w:val="TableContents"/>
              <w:spacing w:before="0" w:after="283"/>
              <w:jc w:val="left"/>
              <w:rPr/>
            </w:pPr>
            <w:r>
              <w:rPr/>
              <w:t> </w:t>
            </w:r>
          </w:p>
        </w:tc>
      </w:tr>
      <w:tr>
        <w:trPr/>
        <w:tc>
          <w:tcPr>
            <w:tcW w:w="3366"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Contractual Obligations</w:t>
            </w:r>
          </w:p>
        </w:tc>
        <w:tc>
          <w:tcPr>
            <w:tcW w:w="96" w:type="dxa"/>
            <w:tcBorders/>
            <w:shd w:fill="auto" w:val="clear"/>
            <w:vAlign w:val="bottom"/>
          </w:tcPr>
          <w:p>
            <w:pPr>
              <w:pStyle w:val="TableContents"/>
              <w:spacing w:before="0" w:after="283"/>
              <w:rPr/>
            </w:pPr>
            <w:r>
              <w:rPr/>
              <w:t> </w:t>
            </w:r>
          </w:p>
        </w:tc>
        <w:tc>
          <w:tcPr>
            <w:tcW w:w="11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Less Than 1 Year</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8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 3 Years</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 – 5 Years</w:t>
            </w:r>
          </w:p>
        </w:tc>
        <w:tc>
          <w:tcPr>
            <w:tcW w:w="96" w:type="dxa"/>
            <w:tcBorders/>
            <w:shd w:fill="auto" w:val="clear"/>
            <w:vAlign w:val="bottom"/>
          </w:tcPr>
          <w:p>
            <w:pPr>
              <w:pStyle w:val="TableContents"/>
              <w:spacing w:before="0" w:after="283"/>
              <w:jc w:val="left"/>
              <w:rPr/>
            </w:pPr>
            <w:r>
              <w:rPr/>
              <w:t> </w:t>
            </w:r>
          </w:p>
        </w:tc>
        <w:tc>
          <w:tcPr>
            <w:tcW w:w="96" w:type="dxa"/>
            <w:tcBorders/>
            <w:shd w:fill="auto" w:val="clear"/>
            <w:vAlign w:val="bottom"/>
          </w:tcPr>
          <w:p>
            <w:pPr>
              <w:pStyle w:val="TableContents"/>
              <w:spacing w:before="0" w:after="283"/>
              <w:rPr/>
            </w:pPr>
            <w:r>
              <w:rPr/>
              <w:t> </w:t>
            </w:r>
          </w:p>
        </w:tc>
        <w:tc>
          <w:tcPr>
            <w:tcW w:w="113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After 5 Years</w:t>
            </w:r>
          </w:p>
        </w:tc>
        <w:tc>
          <w:tcPr>
            <w:tcW w:w="118" w:type="dxa"/>
            <w:tcBorders/>
            <w:shd w:fill="auto" w:val="clear"/>
            <w:vAlign w:val="bottom"/>
          </w:tcPr>
          <w:p>
            <w:pPr>
              <w:pStyle w:val="TableContents"/>
              <w:spacing w:before="0" w:after="283"/>
              <w:jc w:val="left"/>
              <w:rPr/>
            </w:pPr>
            <w:r>
              <w:rPr/>
              <w:t> </w:t>
            </w:r>
          </w:p>
        </w:tc>
      </w:tr>
      <w:tr>
        <w:trPr/>
        <w:tc>
          <w:tcPr>
            <w:tcW w:w="33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Long-Term Debt</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21,300,000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ind w:left="117" w:right="0" w:hanging="0"/>
              <w:jc w:val="right"/>
              <w:rPr>
                <w:rFonts w:ascii="times new roman" w:hAnsi="times new roman"/>
                <w:sz w:val="20"/>
              </w:rPr>
            </w:pPr>
            <w:bookmarkStart w:id="359" w:name="TAB1139"/>
            <w:bookmarkEnd w:id="359"/>
            <w:r>
              <w:rPr>
                <w:rFonts w:ascii="times new roman" w:hAnsi="times new roman"/>
                <w:sz w:val="20"/>
              </w:rPr>
              <w:t>4,500,000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7,900,000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8,500,000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shd w:fill="CCEEFF" w:val="clear"/>
            <w:vAlign w:val="bottom"/>
          </w:tcPr>
          <w:p>
            <w:pPr>
              <w:pStyle w:val="TableContents"/>
              <w:spacing w:before="0" w:after="283"/>
              <w:ind w:left="72" w:right="0" w:hanging="0"/>
              <w:jc w:val="right"/>
              <w:rPr>
                <w:rFonts w:ascii="times new roman" w:hAnsi="times new roman"/>
                <w:sz w:val="20"/>
              </w:rPr>
            </w:pPr>
            <w:bookmarkStart w:id="360" w:name="TAB1140"/>
            <w:bookmarkEnd w:id="360"/>
            <w:r>
              <w:rPr>
                <w:rFonts w:ascii="times new roman" w:hAnsi="times new roman"/>
                <w:sz w:val="20"/>
              </w:rPr>
              <w:t>400,000</w:t>
            </w:r>
          </w:p>
        </w:tc>
        <w:tc>
          <w:tcPr>
            <w:tcW w:w="118" w:type="dxa"/>
            <w:tcBorders/>
            <w:shd w:fill="CCEEFF" w:val="clear"/>
            <w:vAlign w:val="bottom"/>
          </w:tcPr>
          <w:p>
            <w:pPr>
              <w:pStyle w:val="TableContents"/>
              <w:spacing w:before="0" w:after="283"/>
              <w:jc w:val="left"/>
              <w:rPr/>
            </w:pPr>
            <w:r>
              <w:rPr/>
              <w:t> </w:t>
            </w:r>
          </w:p>
        </w:tc>
      </w:tr>
      <w:tr>
        <w:trPr/>
        <w:tc>
          <w:tcPr>
            <w:tcW w:w="33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on Long-Term Debt</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ind w:left="124" w:right="0" w:hanging="0"/>
              <w:jc w:val="right"/>
              <w:rPr>
                <w:rFonts w:ascii="times new roman" w:hAnsi="times new roman"/>
                <w:sz w:val="20"/>
              </w:rPr>
            </w:pPr>
            <w:bookmarkStart w:id="361" w:name="TAB1141"/>
            <w:bookmarkEnd w:id="361"/>
            <w:r>
              <w:rPr>
                <w:rFonts w:ascii="times new roman" w:hAnsi="times new roman"/>
                <w:sz w:val="20"/>
              </w:rPr>
              <w:t>3,671,000</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ind w:left="117" w:right="0" w:hanging="0"/>
              <w:jc w:val="right"/>
              <w:rPr>
                <w:rFonts w:ascii="times new roman" w:hAnsi="times new roman"/>
                <w:sz w:val="20"/>
              </w:rPr>
            </w:pPr>
            <w:bookmarkStart w:id="362" w:name="TAB1142"/>
            <w:bookmarkEnd w:id="362"/>
            <w:r>
              <w:rPr>
                <w:rFonts w:ascii="times new roman" w:hAnsi="times new roman"/>
                <w:sz w:val="20"/>
              </w:rPr>
              <w:t>1,221,000</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5" w:type="dxa"/>
            <w:tcBorders/>
            <w:shd w:fill="FFFFFF" w:val="clear"/>
            <w:vAlign w:val="bottom"/>
          </w:tcPr>
          <w:p>
            <w:pPr>
              <w:pStyle w:val="TableContents"/>
              <w:spacing w:before="0" w:after="283"/>
              <w:ind w:left="72" w:right="0" w:hanging="0"/>
              <w:jc w:val="right"/>
              <w:rPr>
                <w:rFonts w:ascii="times new roman" w:hAnsi="times new roman"/>
                <w:sz w:val="20"/>
              </w:rPr>
            </w:pPr>
            <w:bookmarkStart w:id="363" w:name="TAB1143"/>
            <w:bookmarkEnd w:id="363"/>
            <w:r>
              <w:rPr>
                <w:rFonts w:ascii="times new roman" w:hAnsi="times new roman"/>
                <w:sz w:val="20"/>
              </w:rPr>
              <w:t>1,700,000</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left"/>
              <w:rPr/>
            </w:pPr>
            <w:r>
              <w:rPr/>
              <w:t> </w:t>
            </w:r>
          </w:p>
        </w:tc>
        <w:tc>
          <w:tcPr>
            <w:tcW w:w="125" w:type="dxa"/>
            <w:tcBorders/>
            <w:shd w:fill="FFFFFF" w:val="clear"/>
            <w:vAlign w:val="bottom"/>
          </w:tcPr>
          <w:p>
            <w:pPr>
              <w:pStyle w:val="TableContents"/>
              <w:spacing w:before="0" w:after="283"/>
              <w:jc w:val="left"/>
              <w:rPr/>
            </w:pPr>
            <w:r>
              <w:rPr/>
              <w:t> </w:t>
            </w:r>
          </w:p>
        </w:tc>
        <w:tc>
          <w:tcPr>
            <w:tcW w:w="1056" w:type="dxa"/>
            <w:tcBorders/>
            <w:shd w:fill="FFFFFF" w:val="clear"/>
            <w:vAlign w:val="bottom"/>
          </w:tcPr>
          <w:p>
            <w:pPr>
              <w:pStyle w:val="TableContents"/>
              <w:spacing w:before="0" w:after="283"/>
              <w:ind w:left="720" w:right="0" w:hanging="0"/>
              <w:jc w:val="right"/>
              <w:rPr>
                <w:rFonts w:ascii="times new roman" w:hAnsi="times new roman"/>
                <w:sz w:val="20"/>
              </w:rPr>
            </w:pPr>
            <w:bookmarkStart w:id="364" w:name="TAB1144"/>
            <w:bookmarkEnd w:id="364"/>
            <w:r>
              <w:rPr>
                <w:rFonts w:ascii="times new roman" w:hAnsi="times new roman"/>
                <w:sz w:val="20"/>
              </w:rPr>
              <w:t>726,000</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09" w:type="dxa"/>
            <w:tcBorders/>
            <w:shd w:fill="FFFFFF" w:val="clear"/>
            <w:vAlign w:val="bottom"/>
          </w:tcPr>
          <w:p>
            <w:pPr>
              <w:pStyle w:val="TableContents"/>
              <w:spacing w:before="0" w:after="283"/>
              <w:ind w:left="72" w:right="0" w:hanging="0"/>
              <w:jc w:val="right"/>
              <w:rPr>
                <w:rFonts w:ascii="times new roman" w:hAnsi="times new roman"/>
                <w:sz w:val="20"/>
              </w:rPr>
            </w:pPr>
            <w:bookmarkStart w:id="365" w:name="TAB1145"/>
            <w:bookmarkEnd w:id="365"/>
            <w:r>
              <w:rPr>
                <w:rFonts w:ascii="times new roman" w:hAnsi="times new roman"/>
                <w:sz w:val="20"/>
              </w:rPr>
              <w:t>24,000</w:t>
            </w:r>
          </w:p>
        </w:tc>
        <w:tc>
          <w:tcPr>
            <w:tcW w:w="118" w:type="dxa"/>
            <w:tcBorders/>
            <w:shd w:fill="FFFFFF" w:val="clear"/>
            <w:vAlign w:val="bottom"/>
          </w:tcPr>
          <w:p>
            <w:pPr>
              <w:pStyle w:val="TableContents"/>
              <w:spacing w:before="0" w:after="283"/>
              <w:jc w:val="left"/>
              <w:rPr/>
            </w:pPr>
            <w:r>
              <w:rPr/>
              <w:t> </w:t>
            </w:r>
          </w:p>
        </w:tc>
      </w:tr>
      <w:tr>
        <w:trPr/>
        <w:tc>
          <w:tcPr>
            <w:tcW w:w="33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Leases</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10,723,000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2,471,000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3,170,000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shd w:fill="CCEEFF" w:val="clear"/>
            <w:vAlign w:val="bottom"/>
          </w:tcPr>
          <w:p>
            <w:pPr>
              <w:pStyle w:val="TableContents"/>
              <w:spacing w:before="0" w:after="283"/>
              <w:jc w:val="left"/>
              <w:rPr/>
            </w:pPr>
            <w:r>
              <w:rPr/>
              <w:t> </w:t>
            </w:r>
          </w:p>
        </w:tc>
        <w:tc>
          <w:tcPr>
            <w:tcW w:w="1056" w:type="dxa"/>
            <w:tcBorders/>
            <w:shd w:fill="CCEEFF" w:val="clear"/>
            <w:vAlign w:val="bottom"/>
          </w:tcPr>
          <w:p>
            <w:pPr>
              <w:pStyle w:val="TableContents"/>
              <w:spacing w:before="0" w:after="283"/>
              <w:ind w:left="72" w:right="0" w:hanging="0"/>
              <w:jc w:val="right"/>
              <w:rPr>
                <w:rFonts w:ascii="times new roman" w:hAnsi="times new roman"/>
                <w:sz w:val="20"/>
              </w:rPr>
            </w:pPr>
            <w:bookmarkStart w:id="366" w:name="TAB1146"/>
            <w:bookmarkEnd w:id="366"/>
            <w:r>
              <w:rPr>
                <w:rFonts w:ascii="times new roman" w:hAnsi="times new roman"/>
                <w:sz w:val="20"/>
              </w:rPr>
              <w:t>1,634,000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3,448,000</w:t>
            </w:r>
          </w:p>
        </w:tc>
        <w:tc>
          <w:tcPr>
            <w:tcW w:w="118" w:type="dxa"/>
            <w:tcBorders/>
            <w:shd w:fill="CCEEFF" w:val="clear"/>
            <w:vAlign w:val="bottom"/>
          </w:tcPr>
          <w:p>
            <w:pPr>
              <w:pStyle w:val="TableContents"/>
              <w:spacing w:before="0" w:after="283"/>
              <w:jc w:val="left"/>
              <w:rPr/>
            </w:pPr>
            <w:r>
              <w:rPr/>
              <w:t> </w:t>
            </w:r>
          </w:p>
        </w:tc>
      </w:tr>
      <w:tr>
        <w:trPr/>
        <w:tc>
          <w:tcPr>
            <w:tcW w:w="33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Unconditional Purchase Obligations</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4,795,000</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3,770,000</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1,025,000</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r>
      <w:tr>
        <w:trPr/>
        <w:tc>
          <w:tcPr>
            <w:tcW w:w="33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Contractual Cash Obligations</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40,489,000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CCEEFF" w:val="clear"/>
            <w:tcMar>
              <w:bottom w:w="28" w:type="dxa"/>
            </w:tcMar>
            <w:vAlign w:val="bottom"/>
          </w:tcPr>
          <w:p>
            <w:pPr>
              <w:pStyle w:val="TableContents"/>
              <w:spacing w:before="0" w:after="283"/>
              <w:ind w:left="117" w:right="0" w:hanging="0"/>
              <w:jc w:val="right"/>
              <w:rPr>
                <w:rFonts w:ascii="times new roman" w:hAnsi="times new roman"/>
                <w:sz w:val="20"/>
              </w:rPr>
            </w:pPr>
            <w:bookmarkStart w:id="367" w:name="TAB1147"/>
            <w:bookmarkEnd w:id="367"/>
            <w:r>
              <w:rPr>
                <w:rFonts w:ascii="times new roman" w:hAnsi="times new roman"/>
                <w:sz w:val="20"/>
              </w:rPr>
              <w:t>11,962,000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13,795,000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lef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10,860,000</w:t>
            </w:r>
          </w:p>
        </w:tc>
        <w:tc>
          <w:tcPr>
            <w:tcW w:w="96"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3,872,000</w:t>
            </w:r>
          </w:p>
        </w:tc>
        <w:tc>
          <w:tcPr>
            <w:tcW w:w="118"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plan to make a contribution to our defined benefit pension plan in fiscal 2010 of approximately $900,000.  We have not presented this obligation in the table above because the funding requirement can vary from year to year based on changes in the fair value of plan assets and actuarial assumptions.  See Item 3. Quantitative and Qualitative Disclosures About Market Risk below for a discussion of the potential impact of financial market fluctuations on pension plan assets and future funding contributions.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October 31, 2009, our non-current liability for uncertain tax positions was approximately $200,000.  We have not presented this obligation in the table above because the timing of future cash flows is dependent on examinations by taxing authorities and can not reasonably be estimated.</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unconditional purchase obligations represent forward purchase contracts we have entered into for a portion of our natural gas fuel needs for fiscal 2010 and 2011.  As of October 31, 2009, the remaining purchase obligation for fiscal 2010 was $3,431,000 for 460,000 MMBtu and for fiscal 2011 was $1,364,000 for 160,000 MMBtu.  These contracts were entered into in the normal course of business and no contracts were entered into for speculative purposes.</w:t>
      </w:r>
    </w:p>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2905"/>
        <w:gridCol w:w="98"/>
        <w:gridCol w:w="153"/>
        <w:gridCol w:w="1237"/>
        <w:gridCol w:w="98"/>
        <w:gridCol w:w="98"/>
        <w:gridCol w:w="153"/>
        <w:gridCol w:w="1237"/>
        <w:gridCol w:w="98"/>
        <w:gridCol w:w="98"/>
        <w:gridCol w:w="153"/>
        <w:gridCol w:w="1146"/>
        <w:gridCol w:w="98"/>
        <w:gridCol w:w="98"/>
        <w:gridCol w:w="153"/>
        <w:gridCol w:w="1147"/>
        <w:gridCol w:w="98"/>
        <w:gridCol w:w="98"/>
        <w:gridCol w:w="314"/>
        <w:gridCol w:w="599"/>
        <w:gridCol w:w="126"/>
      </w:tblGrid>
      <w:tr>
        <w:trPr/>
        <w:tc>
          <w:tcPr>
            <w:tcW w:w="2905"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7076" w:type="dxa"/>
            <w:gridSpan w:val="18"/>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Amount of Commitment Expiration Per Period</w:t>
            </w:r>
          </w:p>
        </w:tc>
        <w:tc>
          <w:tcPr>
            <w:tcW w:w="126" w:type="dxa"/>
            <w:tcBorders/>
            <w:shd w:fill="auto" w:val="clear"/>
            <w:vAlign w:val="bottom"/>
          </w:tcPr>
          <w:p>
            <w:pPr>
              <w:pStyle w:val="TableContents"/>
              <w:spacing w:before="0" w:after="283"/>
              <w:jc w:val="left"/>
              <w:rPr/>
            </w:pPr>
            <w:r>
              <w:rPr/>
              <w:t> </w:t>
            </w:r>
          </w:p>
        </w:tc>
      </w:tr>
      <w:tr>
        <w:trPr/>
        <w:tc>
          <w:tcPr>
            <w:tcW w:w="2905" w:type="dxa"/>
            <w:tcBorders/>
            <w:shd w:fill="auto" w:val="clear"/>
            <w:vAlign w:val="bottom"/>
          </w:tcPr>
          <w:p>
            <w:pPr>
              <w:pStyle w:val="TableContents"/>
              <w:spacing w:before="0" w:after="283"/>
              <w:rPr/>
            </w:pPr>
            <w:r>
              <w:rPr/>
              <w:t xml:space="preserve">  </w:t>
            </w:r>
          </w:p>
        </w:tc>
        <w:tc>
          <w:tcPr>
            <w:tcW w:w="98" w:type="dxa"/>
            <w:tcBorders/>
            <w:shd w:fill="auto" w:val="clear"/>
            <w:vAlign w:val="bottom"/>
          </w:tcPr>
          <w:p>
            <w:pPr>
              <w:pStyle w:val="TableContents"/>
              <w:spacing w:before="0" w:after="283"/>
              <w:rPr/>
            </w:pPr>
            <w:r>
              <w:rPr/>
              <w:t> </w:t>
            </w:r>
          </w:p>
        </w:tc>
        <w:tc>
          <w:tcPr>
            <w:tcW w:w="13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Total</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3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Less Than 1 Year</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2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1 – 3 Years</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13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4 – 5 Years</w:t>
            </w:r>
          </w:p>
        </w:tc>
        <w:tc>
          <w:tcPr>
            <w:tcW w:w="98" w:type="dxa"/>
            <w:tcBorders/>
            <w:shd w:fill="auto" w:val="clear"/>
            <w:vAlign w:val="bottom"/>
          </w:tcPr>
          <w:p>
            <w:pPr>
              <w:pStyle w:val="TableContents"/>
              <w:spacing w:before="0" w:after="283"/>
              <w:jc w:val="left"/>
              <w:rPr/>
            </w:pPr>
            <w:r>
              <w:rPr/>
              <w:t> </w:t>
            </w:r>
          </w:p>
        </w:tc>
        <w:tc>
          <w:tcPr>
            <w:tcW w:w="98" w:type="dxa"/>
            <w:tcBorders/>
            <w:shd w:fill="auto" w:val="clear"/>
            <w:vAlign w:val="bottom"/>
          </w:tcPr>
          <w:p>
            <w:pPr>
              <w:pStyle w:val="TableContents"/>
              <w:spacing w:before="0" w:after="283"/>
              <w:rPr/>
            </w:pPr>
            <w:r>
              <w:rPr/>
              <w:t> </w:t>
            </w:r>
          </w:p>
        </w:tc>
        <w:tc>
          <w:tcPr>
            <w:tcW w:w="91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After 5 Years</w:t>
            </w:r>
          </w:p>
        </w:tc>
        <w:tc>
          <w:tcPr>
            <w:tcW w:w="126" w:type="dxa"/>
            <w:tcBorders/>
            <w:shd w:fill="auto" w:val="clear"/>
            <w:vAlign w:val="bottom"/>
          </w:tcPr>
          <w:p>
            <w:pPr>
              <w:pStyle w:val="TableContents"/>
              <w:spacing w:before="0" w:after="283"/>
              <w:jc w:val="left"/>
              <w:rPr/>
            </w:pPr>
            <w:r>
              <w:rPr/>
              <w:t> </w:t>
            </w:r>
          </w:p>
        </w:tc>
      </w:tr>
      <w:tr>
        <w:trPr/>
        <w:tc>
          <w:tcPr>
            <w:tcW w:w="290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Commercial Commitments</w:t>
            </w:r>
          </w:p>
        </w:tc>
        <w:tc>
          <w:tcPr>
            <w:tcW w:w="98" w:type="dxa"/>
            <w:tcBorders/>
            <w:shd w:fill="CCEEFF" w:val="clear"/>
            <w:vAlign w:val="bottom"/>
          </w:tcPr>
          <w:p>
            <w:pPr>
              <w:pStyle w:val="TableContents"/>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ind w:left="124" w:right="0" w:hanging="0"/>
              <w:jc w:val="right"/>
              <w:rPr>
                <w:rFonts w:ascii="times new roman" w:hAnsi="times new roman"/>
                <w:sz w:val="20"/>
              </w:rPr>
            </w:pPr>
            <w:bookmarkStart w:id="368" w:name="TAB1148"/>
            <w:bookmarkEnd w:id="368"/>
            <w:r>
              <w:rPr>
                <w:rFonts w:ascii="times new roman" w:hAnsi="times new roman"/>
                <w:sz w:val="20"/>
              </w:rPr>
              <w:t>33,180,000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23,984,000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left"/>
              <w:rPr/>
            </w:pPr>
            <w:r>
              <w:rPr/>
              <w:t> </w:t>
            </w:r>
          </w:p>
        </w:tc>
        <w:tc>
          <w:tcPr>
            <w:tcW w:w="15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7,318,000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right"/>
              <w:rPr/>
            </w:pPr>
            <w:r>
              <w:rPr/>
              <w:t> </w:t>
            </w:r>
          </w:p>
        </w:tc>
        <w:tc>
          <w:tcPr>
            <w:tcW w:w="153"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1,878,000</w:t>
            </w:r>
          </w:p>
        </w:tc>
        <w:tc>
          <w:tcPr>
            <w:tcW w:w="98" w:type="dxa"/>
            <w:tcBorders/>
            <w:shd w:fill="CCEEFF" w:val="clear"/>
            <w:vAlign w:val="bottom"/>
          </w:tcPr>
          <w:p>
            <w:pPr>
              <w:pStyle w:val="TableContents"/>
              <w:spacing w:before="0" w:after="283"/>
              <w:jc w:val="left"/>
              <w:rPr/>
            </w:pPr>
            <w:r>
              <w:rPr/>
              <w:t> </w:t>
            </w:r>
          </w:p>
        </w:tc>
        <w:tc>
          <w:tcPr>
            <w:tcW w:w="98" w:type="dxa"/>
            <w:tcBorders/>
            <w:shd w:fill="CCEEFF" w:val="clear"/>
            <w:vAlign w:val="bottom"/>
          </w:tcPr>
          <w:p>
            <w:pPr>
              <w:pStyle w:val="TableContents"/>
              <w:spacing w:before="0" w:after="283"/>
              <w:jc w:val="left"/>
              <w:rPr/>
            </w:pPr>
            <w:r>
              <w:rPr/>
              <w:t> </w:t>
            </w:r>
          </w:p>
        </w:tc>
        <w:tc>
          <w:tcPr>
            <w:tcW w:w="31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59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other commercial commitments represent open purchase orders, including blanket purchase orders, for items such as packaging, additives and pallets used in the normal course of operations.  The expected timing of payments of these obligations is estimated based on current information.  Timing of payments and actual amounts paid may be different depending on the time of receipt of goods or services, or changes to agreed-upon amounts for some obligations.</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u w:val="single"/>
        </w:rPr>
      </w:pPr>
      <w:r>
        <w:rPr>
          <w:rFonts w:ascii="Times New Roman" w:hAnsi="Times New Roman"/>
          <w:b/>
          <w:sz w:val="20"/>
          <w:u w:val="single"/>
        </w:rPr>
        <w:t>CRITICAL ACCOUNTING POLICIES AND ESTIMATES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This discussion and analysis of financial condition and results of operations is based on our unaudited condensed consolidated financial statements, which have been prepared in conformity with accounting principles generally accepted in the United States.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are revised periodically. Actual results could differ from these estimates.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See the information concerning our critical accounting policies included under Management’s Discussion of Financial Condition and Results of Operations in our Annual Report on Form 10-K for the fiscal year ended July 31, 2009 filed with the Securities and Exchange Commission, which is incorporated by reference in this Form 10-Q.</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Recently Adopted Accounting Standards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June 2009, the Financial Accounting Standards Board (“FASB”) issued Accounting Standards Codification (“ASC”) 105, </w:t>
      </w:r>
      <w:r>
        <w:rPr>
          <w:rFonts w:ascii="Times New Roman" w:hAnsi="Times New Roman"/>
          <w:i/>
          <w:sz w:val="20"/>
        </w:rPr>
        <w:t>Generally Accepted Accounting Principles</w:t>
      </w:r>
      <w:r>
        <w:rPr>
          <w:rFonts w:ascii="Times New Roman" w:hAnsi="Times New Roman"/>
          <w:sz w:val="20"/>
        </w:rPr>
        <w:t xml:space="preserve">.  ASC 105 established the </w:t>
      </w:r>
      <w:r>
        <w:rPr>
          <w:rFonts w:ascii="Times New Roman" w:hAnsi="Times New Roman"/>
          <w:i/>
          <w:sz w:val="20"/>
        </w:rPr>
        <w:t>FASB Accounting Standards Codification</w:t>
      </w:r>
      <w:r>
        <w:rPr>
          <w:rFonts w:ascii="Times New Roman" w:hAnsi="Times New Roman"/>
          <w:sz w:val="20"/>
        </w:rPr>
        <w:t xml:space="preserve"> (“the Codification”) as the single official source of authoritative U.S. GAAP superseding all other accounting literature for non-governmental entities; however, SEC registrants must also consider rules, regulations and interpretive guidance issued by the SEC or its staff.  The Codification changed the referencing and organization of accounting guidance.  Pursuant to the provisions of ASC 105, we have updated references to U.S. GAAP in our financial statements issued in this Form 10-Q for the period ended October 31, 2009.  The adoption of ASC 105 had no impact on our financial position or results of operations.</w:t>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69" w:name="PGBRK18"/>
      <w:bookmarkStart w:id="370" w:name="PGBRK18"/>
      <w:bookmarkEnd w:id="3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71" w:name="FTR18"/>
      <w:bookmarkStart w:id="372" w:name="FTR18"/>
      <w:bookmarkEnd w:id="3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73" w:name="GLFTR18"/>
      <w:bookmarkStart w:id="374" w:name="GLFTR18"/>
      <w:bookmarkEnd w:id="3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5" w:name="PN18"/>
      <w:bookmarkEnd w:id="375"/>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76" w:name="HDR18"/>
      <w:bookmarkStart w:id="377" w:name="HDR18"/>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78" w:name="GLHDR18"/>
      <w:bookmarkStart w:id="379" w:name="GLHDR18"/>
      <w:bookmarkEnd w:id="3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br/>
        <w:t> </w:t>
      </w:r>
    </w:p>
    <w:p>
      <w:pPr>
        <w:pStyle w:val="TextBody"/>
        <w:spacing w:before="0" w:after="0"/>
        <w:ind w:left="0" w:right="0" w:hanging="0"/>
        <w:jc w:val="both"/>
        <w:rPr>
          <w:rFonts w:ascii="Times New Roman" w:hAnsi="Times New Roman"/>
          <w:sz w:val="20"/>
        </w:rPr>
      </w:pPr>
      <w:r>
        <w:rPr>
          <w:rFonts w:ascii="Times New Roman" w:hAnsi="Times New Roman"/>
          <w:sz w:val="20"/>
        </w:rPr>
        <w:t>In the first quarter of fiscal 2010, we adopted gu</w:t>
      </w:r>
      <w:bookmarkStart w:id="380" w:name="21"/>
      <w:bookmarkEnd w:id="380"/>
      <w:r>
        <w:rPr>
          <w:rFonts w:ascii="Times New Roman" w:hAnsi="Times New Roman"/>
          <w:sz w:val="20"/>
        </w:rPr>
        <w:t xml:space="preserve">idance under ASC 825-10, </w:t>
      </w:r>
      <w:r>
        <w:rPr>
          <w:rFonts w:ascii="Times New Roman" w:hAnsi="Times New Roman"/>
          <w:i/>
          <w:sz w:val="20"/>
        </w:rPr>
        <w:t xml:space="preserve">Financial Instruments, </w:t>
      </w:r>
      <w:r>
        <w:rPr>
          <w:rFonts w:ascii="Times New Roman" w:hAnsi="Times New Roman"/>
          <w:sz w:val="20"/>
        </w:rPr>
        <w:t>which required disclosures about the fair value of financial instruments in interim financial information.  The adoption of this standard enhanced our disclosures in this Quarterly Report on Form 10-Q (see Note 6) but had no impact on our consolidated financial statements.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the first quarter of fiscal 2010, we adopted a guidance under ASC 260-10, </w:t>
      </w:r>
      <w:r>
        <w:rPr>
          <w:rFonts w:ascii="Times New Roman" w:hAnsi="Times New Roman"/>
          <w:i/>
          <w:sz w:val="20"/>
        </w:rPr>
        <w:t>Earnings Per Share,</w:t>
      </w:r>
      <w:r>
        <w:rPr>
          <w:rFonts w:ascii="Times New Roman" w:hAnsi="Times New Roman"/>
          <w:sz w:val="20"/>
        </w:rPr>
        <w:t xml:space="preserve"> which required unvested share-based payment awards that contain non-forfeitable rights to dividends or dividend equivalents (whether paid or unpaid) to be considered participating securities and to be included in the computation of earnings per share pursuant to the two-class method.  Under the provisions of this standard, our unvested restricted stock awards were considered participating securities.  Upon adoption we were required to retrospectively adjust earnings per share data to conform to this standard.  Accordingly, we have applied this standard for computation of earnings per share for all periods presented.  The effect was to reduce the first quarter fiscal 2009 earnings per share for Basic Class B Stock by $.01.</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Recently Issued Accounting Standards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 December 2008, the FASB issued guidance under ASC 715-20 </w:t>
      </w:r>
      <w:r>
        <w:rPr>
          <w:rFonts w:ascii="Times New Roman" w:hAnsi="Times New Roman"/>
          <w:i/>
          <w:sz w:val="20"/>
        </w:rPr>
        <w:t xml:space="preserve">Compensation – Retirement Benefits </w:t>
      </w:r>
      <w:r>
        <w:rPr>
          <w:rFonts w:ascii="Times New Roman" w:hAnsi="Times New Roman"/>
          <w:sz w:val="20"/>
        </w:rPr>
        <w:t>that will require expanded disclosure for employers’ pension and other postretirement benefit plan assets fair value measurements, investment policies and strategies for the major categories of plan assets and significant concentrations of risk within plan assets.  The adoption of the guidance will result in enhanced disclosures in our fiscal 2010 Annual Report on Form 10-K, but will not have a material impact on our consolidated financial statements.</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  QUANTITATIVE AND QUALITATIVE DISCLOSURES ABOUT MARKET RISK</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interest rate risk and employ policies and procedures to manage our exposure to changes in the market risk of our cash equivalents and short-term investments.  We had two interest rate swap agreements as of October 31, 2009.  We believe that the market risk arising from holding these financial instruments is not material.</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foreign currency fluctuation risk, primarily U.S. Dollar/British Pound, U.S. Dollar/Euro and U.S. Dollar/Canadian Dollar, as it relates to certain accounts receivables and our foreign operations.  Foreign currency denominated accounts receivable is a small fraction of our consolidated accounts receivable.  We are also subject to translation exposure of our foreign subsidiaries’ financial statements.  In recent years, our foreign subsidiaries have not generated a substantial portion of our consolidated sales or net income.  We do not enter into any hedge contracts in an attempt to offset any adverse effect of changes in currency exchange rates.  We believe that the foreign currency fluctuation risk is not material to our consolidated financial statements.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market risk at it relates to the investments that make up our plan assets under our defined benefit pension plan.  The fair value of these assets is subject to change due to fluctuations in the financial markets.  The decline in the equity markets resulted in a lower value of our pension plan assets as of July 31, 2009.  The lower asset value increased our expense for fiscal 2010 and may increase the amount and accelerate the timing of future funding contributions.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regulatory risk in the fluid purification, animal health and agricultural markets, principally as a result of the risk of increasing regulation of the food chain in the United States and Europe. We actively monitor developments in this area, both directly and through trade organizations of which we are a member.</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are exposed to commodity price risk with respect to fuel.  We have contracted for a portion of our anticipated fuel needs using forward purchase contracts to mitigate the volatility of our kiln fuel prices.  As of October 31, 2009, we have purchased natural gas contracts representing approximately 40% of our planned kiln fuel needs for fiscal 2010.  We estimate the weighted average cost of these natural gas contracts in fiscal 2010 to be approximately 36% lower than the contracts in fiscal 2009; however, this average will change if we continue to buy natural gas contracts.  We have also purchased contracts for a portion of our fuel requirements for fiscal 2011 to take advantage of declines in natural gas prices.  All contracts are related to the normal course of business and no contracts are entered into for speculative purposes.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tables below provide information about our natural gas purchase contracts, which are sensitive to changes in commodity prices, specifically natural gas prices. For the purchase contracts outstanding at October 31, 2009, the table presents the notional amounts in MMBtu’s, the weighted average contract prices, and the total dollar contract amount, which will mature by July 31 of 2010 and 2011.  The Fair Value was determined using the “Most Recent Settle” price for the “Henry Hub Natural Gas” option contract prices as listed by the New York Mercantile Exchange on November 30, 2009.</w:t>
      </w:r>
    </w:p>
    <w:p>
      <w:pPr>
        <w:pStyle w:val="TextBody"/>
        <w:spacing w:before="0" w:after="0"/>
        <w:ind w:left="0" w:right="0" w:hanging="0"/>
        <w:jc w:val="both"/>
        <w:rPr/>
      </w:pPr>
      <w:r>
        <w:rPr/>
        <w:t> </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81" w:name="PGBRK19"/>
      <w:bookmarkStart w:id="382" w:name="PGBRK19"/>
      <w:bookmarkEnd w:id="38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83" w:name="FTR19"/>
      <w:bookmarkStart w:id="384" w:name="FTR19"/>
      <w:bookmarkEnd w:id="3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85" w:name="GLFTR19"/>
      <w:bookmarkStart w:id="386" w:name="GLFTR19"/>
      <w:bookmarkEnd w:id="3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7" w:name="PN19"/>
      <w:bookmarkEnd w:id="387"/>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88" w:name="HDR19"/>
      <w:bookmarkStart w:id="389" w:name="HDR19"/>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90" w:name="GLHDR19"/>
      <w:bookmarkStart w:id="391" w:name="GLHDR19"/>
      <w:bookmarkEnd w:id="3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r>
    </w:p>
    <w:tbl>
      <w:tblPr>
        <w:tblW w:w="3000" w:type="pct"/>
        <w:jc w:val="center"/>
        <w:tblInd w:w="0" w:type="dxa"/>
        <w:tblCellMar>
          <w:top w:w="28" w:type="dxa"/>
          <w:left w:w="0" w:type="dxa"/>
          <w:bottom w:w="28" w:type="dxa"/>
          <w:right w:w="0" w:type="dxa"/>
        </w:tblCellMar>
      </w:tblPr>
      <w:tblGrid>
        <w:gridCol w:w="3189"/>
        <w:gridCol w:w="97"/>
        <w:gridCol w:w="126"/>
        <w:gridCol w:w="1155"/>
        <w:gridCol w:w="97"/>
        <w:gridCol w:w="97"/>
        <w:gridCol w:w="126"/>
        <w:gridCol w:w="1128"/>
        <w:gridCol w:w="108"/>
      </w:tblGrid>
      <w:tr>
        <w:trPr/>
        <w:tc>
          <w:tcPr>
            <w:tcW w:w="6015" w:type="dxa"/>
            <w:gridSpan w:val="8"/>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Commodity Price Sensitivity</w:t>
            </w:r>
          </w:p>
          <w:p>
            <w:pPr>
              <w:pStyle w:val="TableContents"/>
              <w:spacing w:before="0" w:after="0"/>
              <w:ind w:left="0" w:right="0" w:hanging="0"/>
              <w:jc w:val="center"/>
              <w:rPr>
                <w:rFonts w:ascii="times new roman" w:hAnsi="times new roman"/>
                <w:sz w:val="20"/>
              </w:rPr>
            </w:pPr>
            <w:r>
              <w:rPr>
                <w:rFonts w:ascii="times new roman" w:hAnsi="times new roman"/>
                <w:sz w:val="20"/>
              </w:rPr>
              <w:t>Natural Gas Future Contracts</w:t>
            </w:r>
          </w:p>
          <w:p>
            <w:pPr>
              <w:pStyle w:val="TableContents"/>
              <w:spacing w:before="0" w:after="0"/>
              <w:ind w:left="0" w:right="0" w:hanging="0"/>
              <w:jc w:val="center"/>
              <w:rPr>
                <w:rFonts w:ascii="times new roman" w:hAnsi="times new roman"/>
                <w:sz w:val="20"/>
              </w:rPr>
            </w:pPr>
            <w:r>
              <w:rPr>
                <w:rFonts w:ascii="times new roman" w:hAnsi="times new roman"/>
                <w:sz w:val="20"/>
              </w:rPr>
              <w:t>For the Year Ending July 31, 2010</w:t>
            </w:r>
          </w:p>
        </w:tc>
        <w:tc>
          <w:tcPr>
            <w:tcW w:w="108"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189" w:type="dxa"/>
            <w:tcBorders/>
            <w:shd w:fill="auto" w:val="clear"/>
            <w:tcMar>
              <w:top w:w="0" w:type="dxa"/>
              <w:bottom w:w="0" w:type="dxa"/>
            </w:tcMar>
            <w:vAlign w:val="bottom"/>
          </w:tcPr>
          <w:p>
            <w:pPr>
              <w:pStyle w:val="TableContents"/>
              <w:spacing w:before="0" w:after="283"/>
              <w:rPr/>
            </w:pPr>
            <w:r>
              <w:rPr/>
              <w:t xml:space="preserve">  </w:t>
            </w:r>
          </w:p>
        </w:tc>
        <w:tc>
          <w:tcPr>
            <w:tcW w:w="97" w:type="dxa"/>
            <w:tcBorders/>
            <w:shd w:fill="auto" w:val="clear"/>
            <w:tcMar>
              <w:top w:w="0" w:type="dxa"/>
              <w:bottom w:w="0" w:type="dxa"/>
            </w:tcMar>
            <w:vAlign w:val="bottom"/>
          </w:tcPr>
          <w:p>
            <w:pPr>
              <w:pStyle w:val="TableContents"/>
              <w:spacing w:before="0" w:after="283"/>
              <w:rPr/>
            </w:pPr>
            <w:r>
              <w:rPr/>
              <w:t> </w:t>
            </w:r>
          </w:p>
        </w:tc>
        <w:tc>
          <w:tcPr>
            <w:tcW w:w="1281" w:type="dxa"/>
            <w:gridSpan w:val="2"/>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2010 Maturity</w:t>
            </w:r>
          </w:p>
        </w:tc>
        <w:tc>
          <w:tcPr>
            <w:tcW w:w="97" w:type="dxa"/>
            <w:tcBorders/>
            <w:shd w:fill="auto" w:val="clear"/>
            <w:tcMar>
              <w:top w:w="0" w:type="dxa"/>
              <w:bottom w:w="0" w:type="dxa"/>
            </w:tcMar>
            <w:vAlign w:val="bottom"/>
          </w:tcPr>
          <w:p>
            <w:pPr>
              <w:pStyle w:val="TableContents"/>
              <w:spacing w:before="0" w:after="283"/>
              <w:jc w:val="left"/>
              <w:rPr/>
            </w:pPr>
            <w:r>
              <w:rPr/>
              <w:t> </w:t>
            </w:r>
          </w:p>
        </w:tc>
        <w:tc>
          <w:tcPr>
            <w:tcW w:w="97" w:type="dxa"/>
            <w:tcBorders/>
            <w:shd w:fill="auto" w:val="clear"/>
            <w:tcMar>
              <w:top w:w="0" w:type="dxa"/>
              <w:bottom w:w="0" w:type="dxa"/>
            </w:tcMar>
            <w:vAlign w:val="bottom"/>
          </w:tcPr>
          <w:p>
            <w:pPr>
              <w:pStyle w:val="TableContents"/>
              <w:spacing w:before="0" w:after="283"/>
              <w:rPr/>
            </w:pPr>
            <w:r>
              <w:rPr/>
              <w:t> </w:t>
            </w:r>
          </w:p>
        </w:tc>
        <w:tc>
          <w:tcPr>
            <w:tcW w:w="1254" w:type="dxa"/>
            <w:gridSpan w:val="2"/>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08" w:type="dxa"/>
            <w:tcBorders/>
            <w:shd w:fill="auto" w:val="clear"/>
            <w:tcMar>
              <w:top w:w="0" w:type="dxa"/>
              <w:bottom w:w="0" w:type="dxa"/>
            </w:tcMar>
            <w:vAlign w:val="bottom"/>
          </w:tcPr>
          <w:p>
            <w:pPr>
              <w:pStyle w:val="TableContents"/>
              <w:spacing w:before="0" w:after="283"/>
              <w:jc w:val="left"/>
              <w:rPr/>
            </w:pPr>
            <w:r>
              <w:rPr/>
              <w:t> </w:t>
            </w:r>
          </w:p>
        </w:tc>
      </w:tr>
      <w:tr>
        <w:trPr/>
        <w:tc>
          <w:tcPr>
            <w:tcW w:w="3189"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Natural Gas Future Volumes (MMBtu)</w:t>
            </w:r>
          </w:p>
        </w:tc>
        <w:tc>
          <w:tcPr>
            <w:tcW w:w="97" w:type="dxa"/>
            <w:tcBorders/>
            <w:shd w:fill="CCEEFF" w:val="clear"/>
            <w:tcMar>
              <w:top w:w="0" w:type="dxa"/>
              <w:bottom w:w="0" w:type="dxa"/>
            </w:tcMar>
            <w:vAlign w:val="bottom"/>
          </w:tcPr>
          <w:p>
            <w:pPr>
              <w:pStyle w:val="TableContents"/>
              <w:spacing w:before="0" w:after="283"/>
              <w:rPr/>
            </w:pPr>
            <w:r>
              <w:rPr/>
              <w:t> </w:t>
            </w:r>
          </w:p>
        </w:tc>
        <w:tc>
          <w:tcPr>
            <w:tcW w:w="126" w:type="dxa"/>
            <w:tcBorders/>
            <w:shd w:fill="CCEEFF" w:val="clear"/>
            <w:tcMar>
              <w:top w:w="0" w:type="dxa"/>
              <w:bottom w:w="0" w:type="dxa"/>
            </w:tcMar>
            <w:vAlign w:val="bottom"/>
          </w:tcPr>
          <w:p>
            <w:pPr>
              <w:pStyle w:val="TableContents"/>
              <w:spacing w:before="0" w:after="283"/>
              <w:jc w:val="left"/>
              <w:rPr/>
            </w:pPr>
            <w:r>
              <w:rPr/>
              <w:t> </w:t>
            </w:r>
          </w:p>
        </w:tc>
        <w:tc>
          <w:tcPr>
            <w:tcW w:w="1155"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460,000</w:t>
            </w:r>
          </w:p>
        </w:tc>
        <w:tc>
          <w:tcPr>
            <w:tcW w:w="97" w:type="dxa"/>
            <w:tcBorders/>
            <w:shd w:fill="CCEEFF" w:val="clear"/>
            <w:tcMar>
              <w:top w:w="0" w:type="dxa"/>
              <w:bottom w:w="0" w:type="dxa"/>
            </w:tcMar>
            <w:vAlign w:val="bottom"/>
          </w:tcPr>
          <w:p>
            <w:pPr>
              <w:pStyle w:val="TableContents"/>
              <w:spacing w:before="0" w:after="283"/>
              <w:jc w:val="left"/>
              <w:rPr/>
            </w:pPr>
            <w:r>
              <w:rPr/>
              <w:t> </w:t>
            </w:r>
          </w:p>
        </w:tc>
        <w:tc>
          <w:tcPr>
            <w:tcW w:w="97" w:type="dxa"/>
            <w:tcBorders/>
            <w:shd w:fill="CCEEFF" w:val="clear"/>
            <w:tcMar>
              <w:top w:w="0" w:type="dxa"/>
              <w:bottom w:w="0" w:type="dxa"/>
            </w:tcMar>
            <w:vAlign w:val="bottom"/>
          </w:tcPr>
          <w:p>
            <w:pPr>
              <w:pStyle w:val="TableContents"/>
              <w:spacing w:before="0" w:after="283"/>
              <w:jc w:val="left"/>
              <w:rPr/>
            </w:pPr>
            <w:r>
              <w:rPr/>
              <w:t> </w:t>
            </w:r>
          </w:p>
        </w:tc>
        <w:tc>
          <w:tcPr>
            <w:tcW w:w="126" w:type="dxa"/>
            <w:tcBorders/>
            <w:shd w:fill="CCEEFF" w:val="clear"/>
            <w:tcMar>
              <w:top w:w="0" w:type="dxa"/>
              <w:bottom w:w="0" w:type="dxa"/>
            </w:tcMar>
            <w:vAlign w:val="bottom"/>
          </w:tcPr>
          <w:p>
            <w:pPr>
              <w:pStyle w:val="TableContents"/>
              <w:spacing w:before="0" w:after="283"/>
              <w:jc w:val="left"/>
              <w:rPr/>
            </w:pPr>
            <w:r>
              <w:rPr/>
              <w:t> </w:t>
            </w:r>
          </w:p>
        </w:tc>
        <w:tc>
          <w:tcPr>
            <w:tcW w:w="1128"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tcMar>
              <w:top w:w="0" w:type="dxa"/>
              <w:bottom w:w="0" w:type="dxa"/>
            </w:tcMar>
            <w:vAlign w:val="bottom"/>
          </w:tcPr>
          <w:p>
            <w:pPr>
              <w:pStyle w:val="TableContents"/>
              <w:spacing w:before="0" w:after="283"/>
              <w:jc w:val="left"/>
              <w:rPr/>
            </w:pPr>
            <w:r>
              <w:rPr/>
              <w:t> </w:t>
            </w:r>
          </w:p>
        </w:tc>
      </w:tr>
      <w:tr>
        <w:trPr/>
        <w:tc>
          <w:tcPr>
            <w:tcW w:w="3189" w:type="dxa"/>
            <w:tcBorders/>
            <w:shd w:fill="FFFF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Price (Per MMBtu)</w:t>
            </w:r>
          </w:p>
        </w:tc>
        <w:tc>
          <w:tcPr>
            <w:tcW w:w="97" w:type="dxa"/>
            <w:tcBorders/>
            <w:shd w:fill="FFFFFF" w:val="clear"/>
            <w:tcMar>
              <w:top w:w="0" w:type="dxa"/>
              <w:bottom w:w="0" w:type="dxa"/>
            </w:tcMar>
            <w:vAlign w:val="bottom"/>
          </w:tcPr>
          <w:p>
            <w:pPr>
              <w:pStyle w:val="TableContents"/>
              <w:spacing w:before="0" w:after="283"/>
              <w:rPr/>
            </w:pPr>
            <w:r>
              <w:rPr/>
              <w:t> </w:t>
            </w:r>
          </w:p>
        </w:tc>
        <w:tc>
          <w:tcPr>
            <w:tcW w:w="12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5"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7.46</w:t>
            </w:r>
          </w:p>
        </w:tc>
        <w:tc>
          <w:tcPr>
            <w:tcW w:w="97" w:type="dxa"/>
            <w:tcBorders/>
            <w:shd w:fill="FFFFFF" w:val="clear"/>
            <w:tcMar>
              <w:top w:w="0" w:type="dxa"/>
              <w:bottom w:w="0" w:type="dxa"/>
            </w:tcMar>
            <w:vAlign w:val="bottom"/>
          </w:tcPr>
          <w:p>
            <w:pPr>
              <w:pStyle w:val="TableContents"/>
              <w:spacing w:before="0" w:after="283"/>
              <w:jc w:val="left"/>
              <w:rPr/>
            </w:pPr>
            <w:r>
              <w:rPr/>
              <w:t> </w:t>
            </w:r>
          </w:p>
        </w:tc>
        <w:tc>
          <w:tcPr>
            <w:tcW w:w="97" w:type="dxa"/>
            <w:tcBorders/>
            <w:shd w:fill="FFFFFF" w:val="clear"/>
            <w:tcMar>
              <w:top w:w="0" w:type="dxa"/>
              <w:bottom w:w="0" w:type="dxa"/>
            </w:tcMar>
            <w:vAlign w:val="bottom"/>
          </w:tcPr>
          <w:p>
            <w:pPr>
              <w:pStyle w:val="TableContents"/>
              <w:spacing w:before="0" w:after="283"/>
              <w:jc w:val="left"/>
              <w:rPr/>
            </w:pPr>
            <w:r>
              <w:rPr/>
              <w:t> </w:t>
            </w:r>
          </w:p>
        </w:tc>
        <w:tc>
          <w:tcPr>
            <w:tcW w:w="126" w:type="dxa"/>
            <w:tcBorders/>
            <w:shd w:fill="FFFFFF" w:val="clear"/>
            <w:tcMar>
              <w:top w:w="0" w:type="dxa"/>
              <w:bottom w:w="0" w:type="dxa"/>
            </w:tcMar>
            <w:vAlign w:val="bottom"/>
          </w:tcPr>
          <w:p>
            <w:pPr>
              <w:pStyle w:val="TableContents"/>
              <w:spacing w:before="0" w:after="283"/>
              <w:jc w:val="left"/>
              <w:rPr/>
            </w:pPr>
            <w:r>
              <w:rPr/>
              <w:t> </w:t>
            </w:r>
          </w:p>
        </w:tc>
        <w:tc>
          <w:tcPr>
            <w:tcW w:w="1128"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tcMar>
              <w:top w:w="0" w:type="dxa"/>
              <w:bottom w:w="0" w:type="dxa"/>
            </w:tcMar>
            <w:vAlign w:val="bottom"/>
          </w:tcPr>
          <w:p>
            <w:pPr>
              <w:pStyle w:val="TableContents"/>
              <w:spacing w:before="0" w:after="283"/>
              <w:jc w:val="left"/>
              <w:rPr/>
            </w:pPr>
            <w:r>
              <w:rPr/>
              <w:t> </w:t>
            </w:r>
          </w:p>
        </w:tc>
      </w:tr>
      <w:tr>
        <w:trPr/>
        <w:tc>
          <w:tcPr>
            <w:tcW w:w="3189" w:type="dxa"/>
            <w:tcBorders>
              <w:bottom w:val="double" w:sz="8"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 Amount ($ U.S., in thousands)</w:t>
            </w:r>
          </w:p>
        </w:tc>
        <w:tc>
          <w:tcPr>
            <w:tcW w:w="97" w:type="dxa"/>
            <w:tcBorders/>
            <w:shd w:fill="CCEEFF" w:val="clear"/>
            <w:tcMar>
              <w:top w:w="0" w:type="dxa"/>
              <w:bottom w:w="0" w:type="dxa"/>
            </w:tcMar>
            <w:vAlign w:val="bottom"/>
          </w:tcPr>
          <w:p>
            <w:pPr>
              <w:pStyle w:val="TableContents"/>
              <w:spacing w:before="0" w:after="283"/>
              <w:rPr/>
            </w:pPr>
            <w:r>
              <w:rPr/>
              <w:t> </w:t>
            </w:r>
          </w:p>
        </w:tc>
        <w:tc>
          <w:tcPr>
            <w:tcW w:w="126"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55"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3,431.2</w:t>
            </w:r>
          </w:p>
        </w:tc>
        <w:tc>
          <w:tcPr>
            <w:tcW w:w="97" w:type="dxa"/>
            <w:tcBorders/>
            <w:shd w:fill="CCEEFF" w:val="clear"/>
            <w:tcMar>
              <w:top w:w="0" w:type="dxa"/>
              <w:bottom w:w="0" w:type="dxa"/>
            </w:tcMar>
            <w:vAlign w:val="bottom"/>
          </w:tcPr>
          <w:p>
            <w:pPr>
              <w:pStyle w:val="TableContents"/>
              <w:spacing w:before="0" w:after="283"/>
              <w:jc w:val="left"/>
              <w:rPr/>
            </w:pPr>
            <w:r>
              <w:rPr/>
              <w:t> </w:t>
            </w:r>
          </w:p>
        </w:tc>
        <w:tc>
          <w:tcPr>
            <w:tcW w:w="97" w:type="dxa"/>
            <w:tcBorders/>
            <w:shd w:fill="CCEEFF" w:val="clear"/>
            <w:tcMar>
              <w:top w:w="0" w:type="dxa"/>
              <w:bottom w:w="0" w:type="dxa"/>
            </w:tcMar>
            <w:vAlign w:val="bottom"/>
          </w:tcPr>
          <w:p>
            <w:pPr>
              <w:pStyle w:val="TableContents"/>
              <w:spacing w:before="0" w:after="283"/>
              <w:jc w:val="left"/>
              <w:rPr/>
            </w:pPr>
            <w:r>
              <w:rPr/>
              <w:t> </w:t>
            </w:r>
          </w:p>
        </w:tc>
        <w:tc>
          <w:tcPr>
            <w:tcW w:w="126"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28"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2,223.6</w:t>
            </w:r>
          </w:p>
        </w:tc>
        <w:tc>
          <w:tcPr>
            <w:tcW w:w="108" w:type="dxa"/>
            <w:tcBorders/>
            <w:shd w:fill="CCEEFF"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tbl>
      <w:tblPr>
        <w:tblW w:w="3000" w:type="pct"/>
        <w:jc w:val="center"/>
        <w:tblInd w:w="0" w:type="dxa"/>
        <w:tblCellMar>
          <w:top w:w="28" w:type="dxa"/>
          <w:left w:w="0" w:type="dxa"/>
          <w:bottom w:w="28" w:type="dxa"/>
          <w:right w:w="0" w:type="dxa"/>
        </w:tblCellMar>
      </w:tblPr>
      <w:tblGrid>
        <w:gridCol w:w="3238"/>
        <w:gridCol w:w="97"/>
        <w:gridCol w:w="126"/>
        <w:gridCol w:w="1162"/>
        <w:gridCol w:w="97"/>
        <w:gridCol w:w="97"/>
        <w:gridCol w:w="126"/>
        <w:gridCol w:w="1071"/>
        <w:gridCol w:w="109"/>
      </w:tblGrid>
      <w:tr>
        <w:trPr/>
        <w:tc>
          <w:tcPr>
            <w:tcW w:w="6014" w:type="dxa"/>
            <w:gridSpan w:val="8"/>
            <w:tcBorders>
              <w:top w:val="single" w:sz="12" w:space="0" w:color="000000"/>
              <w:bottom w:val="single" w:sz="12" w:space="0" w:color="000000"/>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Commodity Price Sensitivity</w:t>
            </w:r>
          </w:p>
          <w:p>
            <w:pPr>
              <w:pStyle w:val="TableContents"/>
              <w:spacing w:before="0" w:after="0"/>
              <w:ind w:left="0" w:right="0" w:hanging="0"/>
              <w:jc w:val="center"/>
              <w:rPr>
                <w:rFonts w:ascii="times new roman" w:hAnsi="times new roman"/>
                <w:sz w:val="20"/>
              </w:rPr>
            </w:pPr>
            <w:r>
              <w:rPr>
                <w:rFonts w:ascii="times new roman" w:hAnsi="times new roman"/>
                <w:sz w:val="20"/>
              </w:rPr>
              <w:t>Natural Gas Future Contracts</w:t>
            </w:r>
          </w:p>
          <w:p>
            <w:pPr>
              <w:pStyle w:val="TableContents"/>
              <w:spacing w:before="0" w:after="0"/>
              <w:ind w:left="0" w:right="0" w:hanging="0"/>
              <w:jc w:val="center"/>
              <w:rPr>
                <w:rFonts w:ascii="times new roman" w:hAnsi="times new roman"/>
                <w:sz w:val="20"/>
              </w:rPr>
            </w:pPr>
            <w:r>
              <w:rPr>
                <w:rFonts w:ascii="times new roman" w:hAnsi="times new roman"/>
                <w:sz w:val="20"/>
              </w:rPr>
              <w:t>For the Year Ending July 31, 2011</w:t>
            </w:r>
          </w:p>
        </w:tc>
        <w:tc>
          <w:tcPr>
            <w:tcW w:w="109" w:type="dxa"/>
            <w:tcBorders>
              <w:top w:val="single" w:sz="12" w:space="0" w:color="000000"/>
            </w:tcBorders>
            <w:shd w:fill="auto" w:val="clear"/>
            <w:tcMar>
              <w:bottom w:w="0" w:type="dxa"/>
            </w:tcMar>
            <w:vAlign w:val="bottom"/>
          </w:tcPr>
          <w:p>
            <w:pPr>
              <w:pStyle w:val="TableContents"/>
              <w:spacing w:before="0" w:after="283"/>
              <w:jc w:val="left"/>
              <w:rPr/>
            </w:pPr>
            <w:r>
              <w:rPr/>
              <w:t> </w:t>
            </w:r>
          </w:p>
        </w:tc>
      </w:tr>
      <w:tr>
        <w:trPr/>
        <w:tc>
          <w:tcPr>
            <w:tcW w:w="3238" w:type="dxa"/>
            <w:tcBorders/>
            <w:shd w:fill="auto" w:val="clear"/>
            <w:tcMar>
              <w:top w:w="0" w:type="dxa"/>
              <w:bottom w:w="0" w:type="dxa"/>
            </w:tcMar>
            <w:vAlign w:val="bottom"/>
          </w:tcPr>
          <w:p>
            <w:pPr>
              <w:pStyle w:val="TableContents"/>
              <w:spacing w:before="0" w:after="283"/>
              <w:rPr/>
            </w:pPr>
            <w:r>
              <w:rPr/>
              <w:t xml:space="preserve">  </w:t>
            </w:r>
          </w:p>
        </w:tc>
        <w:tc>
          <w:tcPr>
            <w:tcW w:w="97" w:type="dxa"/>
            <w:tcBorders/>
            <w:shd w:fill="auto" w:val="clear"/>
            <w:tcMar>
              <w:top w:w="0" w:type="dxa"/>
              <w:bottom w:w="0" w:type="dxa"/>
            </w:tcMar>
            <w:vAlign w:val="bottom"/>
          </w:tcPr>
          <w:p>
            <w:pPr>
              <w:pStyle w:val="TableContents"/>
              <w:spacing w:before="0" w:after="283"/>
              <w:rPr/>
            </w:pPr>
            <w:r>
              <w:rPr/>
              <w:t> </w:t>
            </w:r>
          </w:p>
        </w:tc>
        <w:tc>
          <w:tcPr>
            <w:tcW w:w="1288" w:type="dxa"/>
            <w:gridSpan w:val="2"/>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Expected 2011 Maturity</w:t>
            </w:r>
          </w:p>
        </w:tc>
        <w:tc>
          <w:tcPr>
            <w:tcW w:w="97" w:type="dxa"/>
            <w:tcBorders/>
            <w:shd w:fill="auto" w:val="clear"/>
            <w:tcMar>
              <w:top w:w="0" w:type="dxa"/>
              <w:bottom w:w="0" w:type="dxa"/>
            </w:tcMar>
            <w:vAlign w:val="bottom"/>
          </w:tcPr>
          <w:p>
            <w:pPr>
              <w:pStyle w:val="TableContents"/>
              <w:spacing w:before="0" w:after="283"/>
              <w:jc w:val="left"/>
              <w:rPr/>
            </w:pPr>
            <w:r>
              <w:rPr/>
              <w:t> </w:t>
            </w:r>
          </w:p>
        </w:tc>
        <w:tc>
          <w:tcPr>
            <w:tcW w:w="97" w:type="dxa"/>
            <w:tcBorders/>
            <w:shd w:fill="auto" w:val="clear"/>
            <w:tcMar>
              <w:top w:w="0" w:type="dxa"/>
              <w:bottom w:w="0" w:type="dxa"/>
            </w:tcMar>
            <w:vAlign w:val="bottom"/>
          </w:tcPr>
          <w:p>
            <w:pPr>
              <w:pStyle w:val="TableContents"/>
              <w:spacing w:before="0" w:after="283"/>
              <w:rPr/>
            </w:pPr>
            <w:r>
              <w:rPr/>
              <w:t> </w:t>
            </w:r>
          </w:p>
        </w:tc>
        <w:tc>
          <w:tcPr>
            <w:tcW w:w="1197" w:type="dxa"/>
            <w:gridSpan w:val="2"/>
            <w:tcBorders>
              <w:bottom w:val="single" w:sz="12" w:space="0" w:color="000000"/>
            </w:tcBorders>
            <w:shd w:fill="auto" w:val="clear"/>
            <w:tcMar>
              <w:top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Fair Value</w:t>
            </w:r>
          </w:p>
        </w:tc>
        <w:tc>
          <w:tcPr>
            <w:tcW w:w="109" w:type="dxa"/>
            <w:tcBorders/>
            <w:shd w:fill="auto" w:val="clear"/>
            <w:tcMar>
              <w:top w:w="0" w:type="dxa"/>
              <w:bottom w:w="0" w:type="dxa"/>
            </w:tcMar>
            <w:vAlign w:val="bottom"/>
          </w:tcPr>
          <w:p>
            <w:pPr>
              <w:pStyle w:val="TableContents"/>
              <w:spacing w:before="0" w:after="283"/>
              <w:jc w:val="left"/>
              <w:rPr/>
            </w:pPr>
            <w:r>
              <w:rPr/>
              <w:t> </w:t>
            </w:r>
          </w:p>
        </w:tc>
      </w:tr>
      <w:tr>
        <w:trPr/>
        <w:tc>
          <w:tcPr>
            <w:tcW w:w="3238" w:type="dxa"/>
            <w:tcBorders/>
            <w:shd w:fill="CCEE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Natural Gas Future Volumes (MMBtu)</w:t>
            </w:r>
          </w:p>
        </w:tc>
        <w:tc>
          <w:tcPr>
            <w:tcW w:w="97" w:type="dxa"/>
            <w:tcBorders/>
            <w:shd w:fill="CCEEFF" w:val="clear"/>
            <w:tcMar>
              <w:top w:w="0" w:type="dxa"/>
              <w:bottom w:w="0" w:type="dxa"/>
            </w:tcMar>
            <w:vAlign w:val="bottom"/>
          </w:tcPr>
          <w:p>
            <w:pPr>
              <w:pStyle w:val="TableContents"/>
              <w:spacing w:before="0" w:after="283"/>
              <w:rPr/>
            </w:pPr>
            <w:r>
              <w:rPr/>
              <w:t> </w:t>
            </w:r>
          </w:p>
        </w:tc>
        <w:tc>
          <w:tcPr>
            <w:tcW w:w="126" w:type="dxa"/>
            <w:tcBorders/>
            <w:shd w:fill="CCEEFF" w:val="clear"/>
            <w:tcMar>
              <w:top w:w="0" w:type="dxa"/>
              <w:bottom w:w="0" w:type="dxa"/>
            </w:tcMar>
            <w:vAlign w:val="bottom"/>
          </w:tcPr>
          <w:p>
            <w:pPr>
              <w:pStyle w:val="TableContents"/>
              <w:spacing w:before="0" w:after="283"/>
              <w:jc w:val="left"/>
              <w:rPr/>
            </w:pPr>
            <w:r>
              <w:rPr/>
              <w:t> </w:t>
            </w:r>
          </w:p>
        </w:tc>
        <w:tc>
          <w:tcPr>
            <w:tcW w:w="1162"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160,000</w:t>
            </w:r>
          </w:p>
        </w:tc>
        <w:tc>
          <w:tcPr>
            <w:tcW w:w="97" w:type="dxa"/>
            <w:tcBorders/>
            <w:shd w:fill="CCEEFF" w:val="clear"/>
            <w:tcMar>
              <w:top w:w="0" w:type="dxa"/>
              <w:bottom w:w="0" w:type="dxa"/>
            </w:tcMar>
            <w:vAlign w:val="bottom"/>
          </w:tcPr>
          <w:p>
            <w:pPr>
              <w:pStyle w:val="TableContents"/>
              <w:spacing w:before="0" w:after="283"/>
              <w:jc w:val="left"/>
              <w:rPr/>
            </w:pPr>
            <w:r>
              <w:rPr/>
              <w:t> </w:t>
            </w:r>
          </w:p>
        </w:tc>
        <w:tc>
          <w:tcPr>
            <w:tcW w:w="97" w:type="dxa"/>
            <w:tcBorders/>
            <w:shd w:fill="CCEEFF" w:val="clear"/>
            <w:tcMar>
              <w:top w:w="0" w:type="dxa"/>
              <w:bottom w:w="0" w:type="dxa"/>
            </w:tcMar>
            <w:vAlign w:val="bottom"/>
          </w:tcPr>
          <w:p>
            <w:pPr>
              <w:pStyle w:val="TableContents"/>
              <w:spacing w:before="0" w:after="283"/>
              <w:jc w:val="left"/>
              <w:rPr/>
            </w:pPr>
            <w:r>
              <w:rPr/>
              <w:t> </w:t>
            </w:r>
          </w:p>
        </w:tc>
        <w:tc>
          <w:tcPr>
            <w:tcW w:w="126" w:type="dxa"/>
            <w:tcBorders/>
            <w:shd w:fill="CCEEFF" w:val="clear"/>
            <w:tcMar>
              <w:top w:w="0" w:type="dxa"/>
              <w:bottom w:w="0" w:type="dxa"/>
            </w:tcMar>
            <w:vAlign w:val="bottom"/>
          </w:tcPr>
          <w:p>
            <w:pPr>
              <w:pStyle w:val="TableContents"/>
              <w:spacing w:before="0" w:after="283"/>
              <w:jc w:val="left"/>
              <w:rPr/>
            </w:pPr>
            <w:r>
              <w:rPr/>
              <w:t> </w:t>
            </w:r>
          </w:p>
        </w:tc>
        <w:tc>
          <w:tcPr>
            <w:tcW w:w="1071" w:type="dxa"/>
            <w:tcBorders/>
            <w:shd w:fill="CCEE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CCEEFF" w:val="clear"/>
            <w:tcMar>
              <w:top w:w="0" w:type="dxa"/>
              <w:bottom w:w="0" w:type="dxa"/>
            </w:tcMar>
            <w:vAlign w:val="bottom"/>
          </w:tcPr>
          <w:p>
            <w:pPr>
              <w:pStyle w:val="TableContents"/>
              <w:spacing w:before="0" w:after="283"/>
              <w:jc w:val="left"/>
              <w:rPr/>
            </w:pPr>
            <w:r>
              <w:rPr/>
              <w:t> </w:t>
            </w:r>
          </w:p>
        </w:tc>
      </w:tr>
      <w:tr>
        <w:trPr/>
        <w:tc>
          <w:tcPr>
            <w:tcW w:w="3238" w:type="dxa"/>
            <w:tcBorders/>
            <w:shd w:fill="FFFFFF" w:val="clear"/>
            <w:tcMar>
              <w:top w:w="0" w:type="dxa"/>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Price (Per MMBtu)</w:t>
            </w:r>
          </w:p>
        </w:tc>
        <w:tc>
          <w:tcPr>
            <w:tcW w:w="97" w:type="dxa"/>
            <w:tcBorders/>
            <w:shd w:fill="FFFFFF" w:val="clear"/>
            <w:tcMar>
              <w:top w:w="0" w:type="dxa"/>
              <w:bottom w:w="0" w:type="dxa"/>
            </w:tcMar>
            <w:vAlign w:val="bottom"/>
          </w:tcPr>
          <w:p>
            <w:pPr>
              <w:pStyle w:val="TableContents"/>
              <w:spacing w:before="0" w:after="283"/>
              <w:rPr/>
            </w:pPr>
            <w:r>
              <w:rPr/>
              <w:t> </w:t>
            </w:r>
          </w:p>
        </w:tc>
        <w:tc>
          <w:tcPr>
            <w:tcW w:w="126" w:type="dxa"/>
            <w:tcBorders/>
            <w:shd w:fill="FFFFFF" w:val="clear"/>
            <w:tcMar>
              <w:top w:w="0" w:type="dxa"/>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2"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8.53</w:t>
            </w:r>
          </w:p>
        </w:tc>
        <w:tc>
          <w:tcPr>
            <w:tcW w:w="97" w:type="dxa"/>
            <w:tcBorders/>
            <w:shd w:fill="FFFFFF" w:val="clear"/>
            <w:tcMar>
              <w:top w:w="0" w:type="dxa"/>
              <w:bottom w:w="0" w:type="dxa"/>
            </w:tcMar>
            <w:vAlign w:val="bottom"/>
          </w:tcPr>
          <w:p>
            <w:pPr>
              <w:pStyle w:val="TableContents"/>
              <w:spacing w:before="0" w:after="283"/>
              <w:jc w:val="left"/>
              <w:rPr/>
            </w:pPr>
            <w:r>
              <w:rPr/>
              <w:t> </w:t>
            </w:r>
          </w:p>
        </w:tc>
        <w:tc>
          <w:tcPr>
            <w:tcW w:w="97" w:type="dxa"/>
            <w:tcBorders/>
            <w:shd w:fill="FFFFFF" w:val="clear"/>
            <w:tcMar>
              <w:top w:w="0" w:type="dxa"/>
              <w:bottom w:w="0" w:type="dxa"/>
            </w:tcMar>
            <w:vAlign w:val="bottom"/>
          </w:tcPr>
          <w:p>
            <w:pPr>
              <w:pStyle w:val="TableContents"/>
              <w:spacing w:before="0" w:after="283"/>
              <w:jc w:val="left"/>
              <w:rPr/>
            </w:pPr>
            <w:r>
              <w:rPr/>
              <w:t> </w:t>
            </w:r>
          </w:p>
        </w:tc>
        <w:tc>
          <w:tcPr>
            <w:tcW w:w="126" w:type="dxa"/>
            <w:tcBorders/>
            <w:shd w:fill="FFFFFF" w:val="clear"/>
            <w:tcMar>
              <w:top w:w="0" w:type="dxa"/>
              <w:bottom w:w="0" w:type="dxa"/>
            </w:tcMar>
            <w:vAlign w:val="bottom"/>
          </w:tcPr>
          <w:p>
            <w:pPr>
              <w:pStyle w:val="TableContents"/>
              <w:spacing w:before="0" w:after="283"/>
              <w:jc w:val="left"/>
              <w:rPr/>
            </w:pPr>
            <w:r>
              <w:rPr/>
              <w:t> </w:t>
            </w:r>
          </w:p>
        </w:tc>
        <w:tc>
          <w:tcPr>
            <w:tcW w:w="1071" w:type="dxa"/>
            <w:tcBorders/>
            <w:shd w:fill="FFFFFF" w:val="clear"/>
            <w:tcMar>
              <w:top w:w="0" w:type="dxa"/>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9" w:type="dxa"/>
            <w:tcBorders/>
            <w:shd w:fill="FFFFFF" w:val="clear"/>
            <w:tcMar>
              <w:top w:w="0" w:type="dxa"/>
              <w:bottom w:w="0" w:type="dxa"/>
            </w:tcMar>
            <w:vAlign w:val="bottom"/>
          </w:tcPr>
          <w:p>
            <w:pPr>
              <w:pStyle w:val="TableContents"/>
              <w:spacing w:before="0" w:after="283"/>
              <w:jc w:val="left"/>
              <w:rPr/>
            </w:pPr>
            <w:r>
              <w:rPr/>
              <w:t> </w:t>
            </w:r>
          </w:p>
        </w:tc>
      </w:tr>
      <w:tr>
        <w:trPr/>
        <w:tc>
          <w:tcPr>
            <w:tcW w:w="3238" w:type="dxa"/>
            <w:tcBorders>
              <w:bottom w:val="double" w:sz="8" w:space="0" w:color="000000"/>
            </w:tcBorders>
            <w:shd w:fill="CCEEFF" w:val="clear"/>
            <w:tcMar>
              <w:top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Contract Amount ($ U.S., in thousands)</w:t>
            </w:r>
          </w:p>
        </w:tc>
        <w:tc>
          <w:tcPr>
            <w:tcW w:w="97" w:type="dxa"/>
            <w:tcBorders/>
            <w:shd w:fill="CCEEFF" w:val="clear"/>
            <w:tcMar>
              <w:top w:w="0" w:type="dxa"/>
              <w:bottom w:w="0" w:type="dxa"/>
            </w:tcMar>
            <w:vAlign w:val="bottom"/>
          </w:tcPr>
          <w:p>
            <w:pPr>
              <w:pStyle w:val="TableContents"/>
              <w:spacing w:before="0" w:after="283"/>
              <w:rPr/>
            </w:pPr>
            <w:r>
              <w:rPr/>
              <w:t> </w:t>
            </w:r>
          </w:p>
        </w:tc>
        <w:tc>
          <w:tcPr>
            <w:tcW w:w="126"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62"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1,364.4</w:t>
            </w:r>
          </w:p>
        </w:tc>
        <w:tc>
          <w:tcPr>
            <w:tcW w:w="97" w:type="dxa"/>
            <w:tcBorders/>
            <w:shd w:fill="CCEEFF" w:val="clear"/>
            <w:tcMar>
              <w:top w:w="0" w:type="dxa"/>
              <w:bottom w:w="0" w:type="dxa"/>
            </w:tcMar>
            <w:vAlign w:val="bottom"/>
          </w:tcPr>
          <w:p>
            <w:pPr>
              <w:pStyle w:val="TableContents"/>
              <w:spacing w:before="0" w:after="283"/>
              <w:jc w:val="left"/>
              <w:rPr/>
            </w:pPr>
            <w:r>
              <w:rPr/>
              <w:t> </w:t>
            </w:r>
          </w:p>
        </w:tc>
        <w:tc>
          <w:tcPr>
            <w:tcW w:w="97" w:type="dxa"/>
            <w:tcBorders/>
            <w:shd w:fill="CCEEFF" w:val="clear"/>
            <w:tcMar>
              <w:top w:w="0" w:type="dxa"/>
              <w:bottom w:w="0" w:type="dxa"/>
            </w:tcMar>
            <w:vAlign w:val="bottom"/>
          </w:tcPr>
          <w:p>
            <w:pPr>
              <w:pStyle w:val="TableContents"/>
              <w:spacing w:before="0" w:after="283"/>
              <w:jc w:val="left"/>
              <w:rPr/>
            </w:pPr>
            <w:r>
              <w:rPr/>
              <w:t> </w:t>
            </w:r>
          </w:p>
        </w:tc>
        <w:tc>
          <w:tcPr>
            <w:tcW w:w="126" w:type="dxa"/>
            <w:tcBorders>
              <w:bottom w:val="double" w:sz="8" w:space="0" w:color="000000"/>
            </w:tcBorders>
            <w:shd w:fill="CCEEFF" w:val="clear"/>
            <w:tcMar>
              <w:top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1" w:type="dxa"/>
            <w:tcBorders>
              <w:bottom w:val="double" w:sz="8" w:space="0" w:color="000000"/>
            </w:tcBorders>
            <w:shd w:fill="CCEEFF" w:val="clear"/>
            <w:tcMar>
              <w:top w:w="0" w:type="dxa"/>
            </w:tcMar>
            <w:vAlign w:val="bottom"/>
          </w:tcPr>
          <w:p>
            <w:pPr>
              <w:pStyle w:val="TableContents"/>
              <w:spacing w:before="0" w:after="283"/>
              <w:jc w:val="right"/>
              <w:rPr>
                <w:rFonts w:ascii="times new roman" w:hAnsi="times new roman"/>
                <w:sz w:val="20"/>
              </w:rPr>
            </w:pPr>
            <w:r>
              <w:rPr>
                <w:rFonts w:ascii="times new roman" w:hAnsi="times new roman"/>
                <w:sz w:val="20"/>
              </w:rPr>
              <w:t>972.3</w:t>
            </w:r>
          </w:p>
        </w:tc>
        <w:tc>
          <w:tcPr>
            <w:tcW w:w="109" w:type="dxa"/>
            <w:tcBorders/>
            <w:shd w:fill="CCEEFF" w:val="clear"/>
            <w:tcMar>
              <w:top w:w="0" w:type="dxa"/>
              <w:bottom w:w="0" w:type="dxa"/>
            </w:tcMar>
            <w:vAlign w:val="bottom"/>
          </w:tcPr>
          <w:p>
            <w:pPr>
              <w:pStyle w:val="TableContents"/>
              <w:spacing w:before="0" w:after="283"/>
              <w:jc w:val="left"/>
              <w:rPr/>
            </w:pPr>
            <w:r>
              <w:rPr/>
              <w:t> </w:t>
            </w:r>
          </w:p>
        </w:tc>
      </w:tr>
    </w:tbl>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Factors that could influence the f</w:t>
      </w:r>
      <w:bookmarkStart w:id="392" w:name="22"/>
      <w:bookmarkEnd w:id="392"/>
      <w:r>
        <w:rPr>
          <w:rFonts w:ascii="Times New Roman" w:hAnsi="Times New Roman"/>
          <w:sz w:val="20"/>
        </w:rPr>
        <w:t>air value of the natural gas contracts, include, but are not limited to, the creditworthiness of our natural gas suppliers, the overall general economy, developments in world events, and the general demand for natural gas by the manufacturing sector, seasonality and the weather patterns throughout the United States and the world.  Some of these same events have allowed us to mitigate the impact of the natural gas contracts by the continued, and in some cases expanded, use of recycled oil in our manufacturing processes.  Accurate estimates of the impact that these contracts may have on our financial results are difficult to make due to the inherent uncertainty of future fluctuations in option contract prices in the natural gas options market.</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393" w:name="PGBRK20"/>
      <w:bookmarkStart w:id="394" w:name="PGBRK20"/>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95" w:name="FTR20"/>
      <w:bookmarkStart w:id="396" w:name="FTR20"/>
      <w:bookmarkEnd w:id="3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397" w:name="GLFTR20"/>
      <w:bookmarkEnd w:id="39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8" w:name="PN20"/>
      <w:bookmarkEnd w:id="398"/>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399" w:name="HDR20"/>
      <w:bookmarkStart w:id="400" w:name="HDR20"/>
      <w:bookmarkEnd w:id="4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01" w:name="GLHDR20"/>
      <w:bookmarkEnd w:id="40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4.  </w:t>
      </w:r>
      <w:bookmarkStart w:id="402" w:name="23"/>
      <w:bookmarkEnd w:id="402"/>
      <w:r>
        <w:rPr>
          <w:rFonts w:ascii="Times New Roman" w:hAnsi="Times New Roman"/>
          <w:b/>
          <w:sz w:val="20"/>
        </w:rPr>
        <w:t>CONTROLS AND PROCEDURES</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Evaluation of Disclosure Controls and Procedures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Management conducted an evaluation of the effectiveness of the design and operation of our disclosure controls and procedures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There were no changes in our internal control over financial reporting that occurred during the fiscal quarter ended October 31, 2009 that have materially affected, or are reasonably likely to materially affect, our internal control over financial reporting.</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Inherent Limitations on Effectiveness of Controls</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Our management, including the CEO and CFO, do not expect that our disclosure controls and procedures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403" w:name="PGBRK21"/>
      <w:bookmarkStart w:id="404" w:name="PGBRK21"/>
      <w:bookmarkEnd w:id="4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05" w:name="FTR21"/>
      <w:bookmarkStart w:id="406" w:name="FTR21"/>
      <w:bookmarkEnd w:id="4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07" w:name="GLFTR21"/>
      <w:bookmarkEnd w:id="407"/>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8" w:name="PN21"/>
      <w:bookmarkEnd w:id="408"/>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09" w:name="HDR21"/>
      <w:bookmarkStart w:id="410" w:name="HDR21"/>
      <w:bookmarkEnd w:id="4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11" w:name="GLHDR21"/>
      <w:bookmarkEnd w:id="41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PART II – OTHER INFORMATIO</w:t>
      </w:r>
      <w:bookmarkStart w:id="412" w:name="24"/>
      <w:bookmarkEnd w:id="412"/>
      <w:r>
        <w:rPr>
          <w:rFonts w:ascii="Times New Roman" w:hAnsi="Times New Roman"/>
          <w:b/>
          <w:sz w:val="20"/>
        </w:rPr>
        <w:t>N</w:t>
      </w:r>
    </w:p>
    <w:p>
      <w:pPr>
        <w:pStyle w:val="TextBody"/>
        <w:spacing w:before="0" w:after="0"/>
        <w:ind w:left="0" w:right="0" w:hanging="0"/>
        <w:jc w:val="center"/>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Items 1, 1A, 2, 3 4 and 5 of this Part II are either inapplicable or are answered in the negative and are omitted pursuant to the instructions to Part II.</w:t>
      </w:r>
    </w:p>
    <w:p>
      <w:pPr>
        <w:pStyle w:val="TextBody"/>
        <w:spacing w:before="0" w:after="0"/>
        <w:ind w:left="0" w:right="0" w:hanging="0"/>
        <w:jc w:val="center"/>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6.  EXHIBITS</w:t>
      </w:r>
    </w:p>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413" w:name="list8"/>
      <w:bookmarkStart w:id="414" w:name="list8"/>
      <w:bookmarkEnd w:id="414"/>
    </w:p>
    <w:tbl>
      <w:tblPr>
        <w:tblW w:w="5000" w:type="pct"/>
        <w:jc w:val="center"/>
        <w:tblInd w:w="0" w:type="dxa"/>
        <w:tblCellMar>
          <w:top w:w="0" w:type="dxa"/>
          <w:left w:w="0" w:type="dxa"/>
          <w:bottom w:w="0" w:type="dxa"/>
          <w:right w:w="0" w:type="dxa"/>
        </w:tblCellMar>
      </w:tblPr>
      <w:tblGrid>
        <w:gridCol w:w="2569"/>
        <w:gridCol w:w="7636"/>
      </w:tblGrid>
      <w:tr>
        <w:trPr/>
        <w:tc>
          <w:tcPr>
            <w:tcW w:w="2569" w:type="dxa"/>
            <w:tcBorders/>
            <w:shd w:fill="auto" w:val="clear"/>
          </w:tcPr>
          <w:p>
            <w:pPr>
              <w:pStyle w:val="TableContents"/>
              <w:spacing w:before="0" w:after="0"/>
              <w:jc w:val="right"/>
              <w:rPr>
                <w:rFonts w:ascii="Times New Roman" w:hAnsi="Times New Roman"/>
                <w:b/>
                <w:sz w:val="20"/>
              </w:rPr>
            </w:pPr>
            <w:r>
              <w:rPr>
                <w:rFonts w:ascii="Times New Roman" w:hAnsi="Times New Roman"/>
                <w:b/>
                <w:sz w:val="20"/>
              </w:rPr>
              <w:t>(a)  </w:t>
            </w:r>
          </w:p>
        </w:tc>
        <w:tc>
          <w:tcPr>
            <w:tcW w:w="7636" w:type="dxa"/>
            <w:tcBorders/>
            <w:shd w:fill="auto" w:val="clear"/>
          </w:tcPr>
          <w:p>
            <w:pPr>
              <w:pStyle w:val="TableContents"/>
              <w:spacing w:before="0" w:after="0"/>
              <w:ind w:left="0" w:right="0" w:hanging="0"/>
              <w:jc w:val="both"/>
              <w:rPr>
                <w:rFonts w:ascii="Times New Roman" w:hAnsi="Times New Roman"/>
                <w:b/>
                <w:sz w:val="20"/>
              </w:rPr>
            </w:pPr>
            <w:r>
              <w:rPr>
                <w:rFonts w:ascii="Times New Roman" w:hAnsi="Times New Roman"/>
                <w:b/>
                <w:sz w:val="20"/>
              </w:rPr>
              <w:t>EXHIBITS:</w:t>
            </w:r>
          </w:p>
        </w:tc>
      </w:tr>
    </w:tbl>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881"/>
        <w:gridCol w:w="4536"/>
        <w:gridCol w:w="251"/>
        <w:gridCol w:w="4537"/>
      </w:tblGrid>
      <w:tr>
        <w:trPr/>
        <w:tc>
          <w:tcPr>
            <w:tcW w:w="881"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Exhibit No.</w:t>
            </w:r>
          </w:p>
        </w:tc>
        <w:tc>
          <w:tcPr>
            <w:tcW w:w="4536" w:type="dxa"/>
            <w:tcBorders/>
            <w:shd w:fill="auto" w:val="clear"/>
            <w:vAlign w:val="bottom"/>
          </w:tcPr>
          <w:p>
            <w:pPr>
              <w:pStyle w:val="TableContents"/>
              <w:spacing w:before="0" w:after="0"/>
              <w:ind w:left="0" w:right="0" w:hanging="0"/>
              <w:jc w:val="left"/>
              <w:rPr/>
            </w:pPr>
            <w:r>
              <w:rPr/>
              <w:t xml:space="preserve">                                               </w:t>
            </w:r>
            <w:r>
              <w:rPr>
                <w:rFonts w:ascii="times new roman" w:hAnsi="times new roman"/>
                <w:sz w:val="20"/>
                <w:u w:val="single"/>
              </w:rPr>
              <w:t>Description</w:t>
            </w:r>
          </w:p>
        </w:tc>
        <w:tc>
          <w:tcPr>
            <w:tcW w:w="251" w:type="dxa"/>
            <w:tcBorders/>
            <w:shd w:fill="auto" w:val="clear"/>
          </w:tcPr>
          <w:p>
            <w:pPr>
              <w:pStyle w:val="TableContents"/>
              <w:spacing w:before="0" w:after="283"/>
              <w:rPr/>
            </w:pPr>
            <w:r>
              <w:rPr/>
              <w:t xml:space="preserve">  </w:t>
            </w:r>
          </w:p>
        </w:tc>
        <w:tc>
          <w:tcPr>
            <w:tcW w:w="4537" w:type="dxa"/>
            <w:tcBorders/>
            <w:shd w:fill="auto" w:val="clear"/>
            <w:vAlign w:val="bottom"/>
          </w:tcPr>
          <w:p>
            <w:pPr>
              <w:pStyle w:val="TableContents"/>
              <w:spacing w:before="0" w:after="0"/>
              <w:ind w:left="0" w:right="0" w:hanging="0"/>
              <w:jc w:val="left"/>
              <w:rPr/>
            </w:pPr>
            <w:r>
              <w:rPr/>
              <w:t xml:space="preserve">                      </w:t>
            </w:r>
            <w:r>
              <w:rPr>
                <w:rFonts w:ascii="times new roman" w:hAnsi="times new roman"/>
                <w:sz w:val="20"/>
                <w:u w:val="single"/>
              </w:rPr>
              <w:t>SEC Document Reference</w:t>
            </w:r>
          </w:p>
        </w:tc>
      </w:tr>
      <w:tr>
        <w:trPr/>
        <w:tc>
          <w:tcPr>
            <w:tcW w:w="881" w:type="dxa"/>
            <w:tcBorders/>
            <w:shd w:fill="auto" w:val="clear"/>
          </w:tcPr>
          <w:p>
            <w:pPr>
              <w:pStyle w:val="TableContents"/>
              <w:spacing w:before="0" w:after="0"/>
              <w:ind w:left="0" w:right="0" w:hanging="0"/>
              <w:jc w:val="center"/>
              <w:rPr/>
            </w:pPr>
            <w:hyperlink w:anchor="exh11.htm">
              <w:r>
                <w:rPr>
                  <w:rStyle w:val="InternetLink"/>
                  <w:rFonts w:ascii="times new roman" w:hAnsi="times new roman"/>
                  <w:sz w:val="20"/>
                </w:rPr>
                <w:t>11</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Statement re: Computation of Earnings per Share.</w:t>
            </w:r>
          </w:p>
        </w:tc>
        <w:tc>
          <w:tcPr>
            <w:tcW w:w="251" w:type="dxa"/>
            <w:tcBorders/>
            <w:shd w:fill="auto" w:val="clear"/>
          </w:tcPr>
          <w:p>
            <w:pPr>
              <w:pStyle w:val="TableContents"/>
              <w:spacing w:before="0" w:after="283"/>
              <w:rPr/>
            </w:pPr>
            <w:r>
              <w:rPr/>
              <w:t xml:space="preserve">  </w:t>
            </w:r>
          </w:p>
        </w:tc>
        <w:tc>
          <w:tcPr>
            <w:tcW w:w="45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1" w:type="dxa"/>
            <w:tcBorders/>
            <w:shd w:fill="auto" w:val="clear"/>
          </w:tcPr>
          <w:p>
            <w:pPr>
              <w:pStyle w:val="TableContents"/>
              <w:spacing w:before="0" w:after="283"/>
              <w:rPr/>
            </w:pPr>
            <w:r>
              <w:rPr/>
              <w:t xml:space="preserve">  </w:t>
            </w:r>
          </w:p>
        </w:tc>
        <w:tc>
          <w:tcPr>
            <w:tcW w:w="4537"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pPr>
            <w:hyperlink w:anchor="exh31.htm">
              <w:r>
                <w:rPr>
                  <w:rStyle w:val="InternetLink"/>
                  <w:rFonts w:ascii="times new roman" w:hAnsi="times new roman"/>
                  <w:sz w:val="20"/>
                </w:rPr>
                <w:t>31</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Rule 13a – 14(a).</w:t>
            </w:r>
          </w:p>
        </w:tc>
        <w:tc>
          <w:tcPr>
            <w:tcW w:w="251" w:type="dxa"/>
            <w:tcBorders/>
            <w:shd w:fill="auto" w:val="clear"/>
          </w:tcPr>
          <w:p>
            <w:pPr>
              <w:pStyle w:val="TableContents"/>
              <w:spacing w:before="0" w:after="283"/>
              <w:rPr/>
            </w:pPr>
            <w:r>
              <w:rPr/>
              <w:t xml:space="preserve">  </w:t>
            </w:r>
          </w:p>
        </w:tc>
        <w:tc>
          <w:tcPr>
            <w:tcW w:w="45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1" w:type="dxa"/>
            <w:tcBorders/>
            <w:shd w:fill="auto" w:val="clear"/>
          </w:tcPr>
          <w:p>
            <w:pPr>
              <w:pStyle w:val="TableContents"/>
              <w:spacing w:before="0" w:after="283"/>
              <w:rPr/>
            </w:pPr>
            <w:r>
              <w:rPr/>
              <w:t xml:space="preserve">  </w:t>
            </w:r>
          </w:p>
        </w:tc>
        <w:tc>
          <w:tcPr>
            <w:tcW w:w="4537" w:type="dxa"/>
            <w:tcBorders/>
            <w:shd w:fill="auto" w:val="clear"/>
          </w:tcPr>
          <w:p>
            <w:pPr>
              <w:pStyle w:val="TableContents"/>
              <w:spacing w:before="0" w:after="283"/>
              <w:rPr/>
            </w:pPr>
            <w:r>
              <w:rPr/>
              <w:t xml:space="preserve">  </w:t>
            </w:r>
          </w:p>
        </w:tc>
      </w:tr>
      <w:tr>
        <w:trPr/>
        <w:tc>
          <w:tcPr>
            <w:tcW w:w="881" w:type="dxa"/>
            <w:tcBorders/>
            <w:shd w:fill="auto" w:val="clear"/>
          </w:tcPr>
          <w:p>
            <w:pPr>
              <w:pStyle w:val="TableContents"/>
              <w:spacing w:before="0" w:after="0"/>
              <w:ind w:left="0" w:right="0" w:hanging="0"/>
              <w:jc w:val="center"/>
              <w:rPr/>
            </w:pPr>
            <w:hyperlink w:anchor="exh32.htm">
              <w:r>
                <w:rPr>
                  <w:rStyle w:val="InternetLink"/>
                  <w:rFonts w:ascii="times new roman" w:hAnsi="times new roman"/>
                  <w:sz w:val="20"/>
                </w:rPr>
                <w:t>32</w:t>
              </w:r>
            </w:hyperlink>
          </w:p>
        </w:tc>
        <w:tc>
          <w:tcPr>
            <w:tcW w:w="453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c>
          <w:tcPr>
            <w:tcW w:w="251" w:type="dxa"/>
            <w:tcBorders/>
            <w:shd w:fill="auto" w:val="clear"/>
          </w:tcPr>
          <w:p>
            <w:pPr>
              <w:pStyle w:val="TableContents"/>
              <w:spacing w:before="0" w:after="283"/>
              <w:rPr/>
            </w:pPr>
            <w:r>
              <w:rPr/>
              <w:t xml:space="preserve">  </w:t>
            </w:r>
          </w:p>
        </w:tc>
        <w:tc>
          <w:tcPr>
            <w:tcW w:w="453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Furnished herewith.</w:t>
            </w:r>
          </w:p>
        </w:tc>
      </w:tr>
      <w:tr>
        <w:trPr/>
        <w:tc>
          <w:tcPr>
            <w:tcW w:w="881" w:type="dxa"/>
            <w:tcBorders/>
            <w:shd w:fill="auto" w:val="clear"/>
          </w:tcPr>
          <w:p>
            <w:pPr>
              <w:pStyle w:val="TableContents"/>
              <w:spacing w:before="0" w:after="283"/>
              <w:rPr/>
            </w:pPr>
            <w:r>
              <w:rPr/>
              <w:t xml:space="preserve">  </w:t>
            </w:r>
          </w:p>
        </w:tc>
        <w:tc>
          <w:tcPr>
            <w:tcW w:w="4536" w:type="dxa"/>
            <w:tcBorders/>
            <w:shd w:fill="auto" w:val="clear"/>
          </w:tcPr>
          <w:p>
            <w:pPr>
              <w:pStyle w:val="TableContents"/>
              <w:spacing w:before="0" w:after="283"/>
              <w:rPr/>
            </w:pPr>
            <w:r>
              <w:rPr/>
              <w:t xml:space="preserve">  </w:t>
            </w:r>
          </w:p>
        </w:tc>
        <w:tc>
          <w:tcPr>
            <w:tcW w:w="251" w:type="dxa"/>
            <w:tcBorders/>
            <w:shd w:fill="auto" w:val="clear"/>
          </w:tcPr>
          <w:p>
            <w:pPr>
              <w:pStyle w:val="TableContents"/>
              <w:spacing w:before="0" w:after="283"/>
              <w:rPr/>
            </w:pPr>
            <w:r>
              <w:rPr/>
              <w:t xml:space="preserve">  </w:t>
            </w:r>
          </w:p>
        </w:tc>
        <w:tc>
          <w:tcPr>
            <w:tcW w:w="4537" w:type="dxa"/>
            <w:tcBorders/>
            <w:shd w:fill="auto" w:val="clear"/>
          </w:tcPr>
          <w:p>
            <w:pPr>
              <w:pStyle w:val="TableContents"/>
              <w:spacing w:before="0" w:after="283"/>
              <w:rPr/>
            </w:pPr>
            <w:r>
              <w:rPr/>
              <w:t xml:space="preserve">  </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415" w:name="PGBRK22"/>
      <w:bookmarkStart w:id="416" w:name="PGBRK22"/>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17" w:name="FTR22"/>
      <w:bookmarkStart w:id="418" w:name="FTR22"/>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19" w:name="GLFTR22"/>
      <w:bookmarkStart w:id="420" w:name="GLFTR22"/>
      <w:bookmarkEnd w:id="4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1" w:name="PN22"/>
      <w:bookmarkEnd w:id="421"/>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22" w:name="HDR22"/>
      <w:bookmarkStart w:id="423" w:name="HDR22"/>
      <w:bookmarkEnd w:id="4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24" w:name="GLHDR22"/>
      <w:bookmarkStart w:id="425" w:name="GLHDR22"/>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pPr>
      <w:r>
        <w:rPr/>
        <w:br/>
        <w:t> </w:t>
      </w:r>
    </w:p>
    <w:p>
      <w:pPr>
        <w:pStyle w:val="TextBody"/>
        <w:spacing w:before="0" w:after="0"/>
        <w:ind w:left="360" w:right="0" w:hanging="0"/>
        <w:jc w:val="left"/>
        <w:rPr>
          <w:rFonts w:ascii="Times New Roman" w:hAnsi="Times New Roman"/>
          <w:sz w:val="20"/>
          <w:u w:val="single"/>
        </w:rPr>
      </w:pPr>
      <w:r>
        <w:rPr>
          <w:rFonts w:ascii="Times New Roman" w:hAnsi="Times New Roman"/>
          <w:sz w:val="20"/>
          <w:u w:val="single"/>
        </w:rPr>
        <w:t>SIGNATUR</w:t>
      </w:r>
      <w:bookmarkStart w:id="426" w:name="25"/>
      <w:bookmarkEnd w:id="426"/>
      <w:r>
        <w:rPr>
          <w:rFonts w:ascii="Times New Roman" w:hAnsi="Times New Roman"/>
          <w:sz w:val="20"/>
          <w:u w:val="single"/>
        </w:rPr>
        <w:t>ES</w:t>
      </w:r>
    </w:p>
    <w:p>
      <w:pPr>
        <w:pStyle w:val="TextBody"/>
        <w:spacing w:before="0" w:after="0"/>
        <w:ind w:left="0" w:right="0" w:hanging="0"/>
        <w:jc w:val="center"/>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OIL-DRI CORPORATION OF AMERICA</w:t>
      </w:r>
    </w:p>
    <w:p>
      <w:pPr>
        <w:pStyle w:val="TextBody"/>
        <w:spacing w:before="0" w:after="0"/>
        <w:ind w:left="360" w:right="0" w:firstLine="360"/>
        <w:jc w:val="left"/>
        <w:rPr>
          <w:rFonts w:ascii="Times New Roman" w:hAnsi="Times New Roman"/>
          <w:sz w:val="20"/>
        </w:rPr>
      </w:pPr>
      <w:r>
        <w:rPr>
          <w:rFonts w:ascii="Times New Roman" w:hAnsi="Times New Roman"/>
          <w:sz w:val="20"/>
        </w:rPr>
        <w:t>(Registrant)</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360" w:right="0" w:hanging="0"/>
        <w:jc w:val="left"/>
        <w:rPr>
          <w:rFonts w:ascii="Times New Roman" w:hAnsi="Times New Roman"/>
          <w:sz w:val="20"/>
        </w:rPr>
      </w:pPr>
      <w:r>
        <w:rPr>
          <w:rFonts w:ascii="Times New Roman" w:hAnsi="Times New Roman"/>
          <w:sz w:val="20"/>
          <w:u w:val="single"/>
        </w:rPr>
        <w:t xml:space="preserve">BY /s/ Andrew N. Peterson                                 </w:t>
      </w:r>
      <w:r>
        <w:rPr>
          <w:rFonts w:ascii="Times New Roman" w:hAnsi="Times New Roman"/>
          <w:sz w:val="20"/>
        </w:rPr>
        <w:t>                                                           </w:t>
      </w:r>
    </w:p>
    <w:p>
      <w:pPr>
        <w:pStyle w:val="TextBody"/>
        <w:spacing w:before="0" w:after="0"/>
        <w:ind w:left="360" w:right="0" w:firstLine="360"/>
        <w:jc w:val="left"/>
        <w:rPr>
          <w:rFonts w:ascii="Times New Roman" w:hAnsi="Times New Roman"/>
          <w:sz w:val="20"/>
        </w:rPr>
      </w:pPr>
      <w:r>
        <w:rPr>
          <w:rFonts w:ascii="Times New Roman" w:hAnsi="Times New Roman"/>
          <w:sz w:val="20"/>
        </w:rPr>
        <w:t>Andrew N. Peterson</w:t>
      </w:r>
    </w:p>
    <w:p>
      <w:pPr>
        <w:pStyle w:val="TextBody"/>
        <w:spacing w:before="0" w:after="0"/>
        <w:ind w:left="360" w:right="0" w:firstLine="360"/>
        <w:jc w:val="left"/>
        <w:rPr>
          <w:rFonts w:ascii="Times New Roman" w:hAnsi="Times New Roman"/>
          <w:sz w:val="20"/>
        </w:rPr>
      </w:pPr>
      <w:r>
        <w:rPr>
          <w:rFonts w:ascii="Times New Roman" w:hAnsi="Times New Roman"/>
          <w:sz w:val="20"/>
        </w:rPr>
        <w:t>Vice President and Chief Financial Officer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360" w:right="0" w:hanging="0"/>
        <w:jc w:val="left"/>
        <w:rPr>
          <w:rFonts w:ascii="Times New Roman" w:hAnsi="Times New Roman"/>
          <w:sz w:val="20"/>
        </w:rPr>
      </w:pPr>
      <w:r>
        <w:rPr>
          <w:rFonts w:ascii="Times New Roman" w:hAnsi="Times New Roman"/>
          <w:sz w:val="20"/>
          <w:u w:val="single"/>
        </w:rPr>
        <w:t xml:space="preserve">BY /s/ Daniel S. Jaffee                                         </w:t>
      </w:r>
      <w:r>
        <w:rPr>
          <w:rFonts w:ascii="Times New Roman" w:hAnsi="Times New Roman"/>
          <w:sz w:val="20"/>
        </w:rPr>
        <w:t>                                                           </w:t>
      </w:r>
    </w:p>
    <w:p>
      <w:pPr>
        <w:pStyle w:val="TextBody"/>
        <w:spacing w:before="0" w:after="0"/>
        <w:ind w:left="360" w:right="0" w:firstLine="360"/>
        <w:jc w:val="left"/>
        <w:rPr>
          <w:rFonts w:ascii="Times New Roman" w:hAnsi="Times New Roman"/>
          <w:sz w:val="20"/>
        </w:rPr>
      </w:pPr>
      <w:r>
        <w:rPr>
          <w:rFonts w:ascii="Times New Roman" w:hAnsi="Times New Roman"/>
          <w:sz w:val="20"/>
        </w:rPr>
        <w:t>Daniel S. Jaffee</w:t>
      </w:r>
    </w:p>
    <w:p>
      <w:pPr>
        <w:pStyle w:val="TextBody"/>
        <w:spacing w:before="0" w:after="0"/>
        <w:ind w:left="360" w:right="0" w:firstLine="360"/>
        <w:jc w:val="left"/>
        <w:rPr>
          <w:rFonts w:ascii="Times New Roman" w:hAnsi="Times New Roman"/>
          <w:sz w:val="20"/>
        </w:rPr>
      </w:pPr>
      <w:r>
        <w:rPr>
          <w:rFonts w:ascii="Times New Roman" w:hAnsi="Times New Roman"/>
          <w:sz w:val="20"/>
        </w:rPr>
        <w:t>President and Chief Executive Officer</w:t>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0" w:right="0" w:hanging="0"/>
        <w:jc w:val="center"/>
        <w:rPr/>
      </w:pPr>
      <w:r>
        <w:rPr/>
      </w:r>
    </w:p>
    <w:p>
      <w:pPr>
        <w:pStyle w:val="TextBody"/>
        <w:spacing w:before="0" w:after="0"/>
        <w:ind w:left="360" w:right="0" w:hanging="0"/>
        <w:jc w:val="left"/>
        <w:rPr>
          <w:rFonts w:ascii="Times New Roman" w:hAnsi="Times New Roman"/>
          <w:sz w:val="20"/>
        </w:rPr>
      </w:pPr>
      <w:r>
        <w:rPr>
          <w:rFonts w:ascii="Times New Roman" w:hAnsi="Times New Roman"/>
          <w:sz w:val="20"/>
        </w:rPr>
        <w:t>Dated:  December 8, 2009</w:t>
      </w:r>
    </w:p>
    <w:p>
      <w:pPr>
        <w:pStyle w:val="TextBody"/>
        <w:spacing w:before="0" w:after="0"/>
        <w:ind w:left="0" w:right="0" w:hanging="0"/>
        <w:jc w:val="center"/>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427" w:name="PGBRK23"/>
      <w:bookmarkStart w:id="428" w:name="PGBRK23"/>
      <w:bookmarkEnd w:id="4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29" w:name="FTR23"/>
      <w:bookmarkStart w:id="430" w:name="FTR23"/>
      <w:bookmarkEnd w:id="4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color w:val="000000"/>
        </w:rPr>
      </w:pPr>
      <w:bookmarkStart w:id="431" w:name="GLFTR23"/>
      <w:bookmarkEnd w:id="431"/>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32" w:name="PN23"/>
      <w:bookmarkEnd w:id="432"/>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433" w:name="HDR23"/>
      <w:bookmarkStart w:id="434" w:name="HDR23"/>
      <w:bookmarkEnd w:id="4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color w:val="000000"/>
        </w:rPr>
      </w:pPr>
      <w:bookmarkStart w:id="435" w:name="GLHDR23"/>
      <w:bookmarkEnd w:id="435"/>
      <w:r>
        <w:rPr>
          <w:color w:val="000000"/>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before="0" w:after="0"/>
        <w:ind w:left="0" w:right="0" w:hanging="0"/>
        <w:jc w:val="cente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EX</w:t>
      </w:r>
      <w:bookmarkStart w:id="436" w:name="26"/>
      <w:bookmarkEnd w:id="436"/>
      <w:r>
        <w:rPr>
          <w:rFonts w:ascii="Times New Roman" w:hAnsi="Times New Roman"/>
          <w:b/>
          <w:sz w:val="20"/>
        </w:rPr>
        <w:t>HIBITS</w:t>
      </w:r>
    </w:p>
    <w:p>
      <w:pPr>
        <w:pStyle w:val="TextBody"/>
        <w:spacing w:before="0" w:after="0"/>
        <w:ind w:left="0" w:right="0" w:hanging="0"/>
        <w:jc w:val="center"/>
        <w:rPr/>
      </w:pPr>
      <w:r>
        <w:rPr/>
      </w:r>
    </w:p>
    <w:tbl>
      <w:tblPr>
        <w:tblW w:w="5000" w:type="pct"/>
        <w:jc w:val="center"/>
        <w:tblInd w:w="0" w:type="dxa"/>
        <w:tblCellMar>
          <w:top w:w="0" w:type="dxa"/>
          <w:left w:w="0" w:type="dxa"/>
          <w:bottom w:w="0" w:type="dxa"/>
          <w:right w:w="0" w:type="dxa"/>
        </w:tblCellMar>
      </w:tblPr>
      <w:tblGrid>
        <w:gridCol w:w="1189"/>
        <w:gridCol w:w="9016"/>
      </w:tblGrid>
      <w:tr>
        <w:trPr/>
        <w:tc>
          <w:tcPr>
            <w:tcW w:w="1189" w:type="dxa"/>
            <w:tcBorders/>
            <w:shd w:fill="auto" w:val="clear"/>
          </w:tcPr>
          <w:p>
            <w:pPr>
              <w:pStyle w:val="TableContents"/>
              <w:spacing w:before="0" w:after="0"/>
              <w:ind w:left="0" w:right="0" w:hanging="0"/>
              <w:jc w:val="center"/>
              <w:rPr>
                <w:rFonts w:ascii="times new roman" w:hAnsi="times new roman"/>
                <w:sz w:val="20"/>
                <w:u w:val="single"/>
              </w:rPr>
            </w:pPr>
            <w:r>
              <w:rPr>
                <w:rFonts w:ascii="times new roman" w:hAnsi="times new roman"/>
                <w:sz w:val="20"/>
                <w:u w:val="single"/>
              </w:rPr>
              <w:t>Exhibit No.</w:t>
            </w:r>
          </w:p>
        </w:tc>
        <w:tc>
          <w:tcPr>
            <w:tcW w:w="9016" w:type="dxa"/>
            <w:tcBorders/>
            <w:shd w:fill="auto" w:val="clear"/>
            <w:vAlign w:val="bottom"/>
          </w:tcPr>
          <w:p>
            <w:pPr>
              <w:pStyle w:val="TableContents"/>
              <w:spacing w:before="0" w:after="0"/>
              <w:ind w:left="0" w:right="0" w:hanging="0"/>
              <w:jc w:val="left"/>
              <w:rPr/>
            </w:pPr>
            <w:r>
              <w:rPr/>
              <w:t xml:space="preserve">                                        </w:t>
            </w:r>
            <w:r>
              <w:rPr>
                <w:rFonts w:ascii="times new roman" w:hAnsi="times new roman"/>
                <w:sz w:val="20"/>
                <w:u w:val="single"/>
              </w:rPr>
              <w:t>Description</w:t>
            </w:r>
          </w:p>
        </w:tc>
      </w:tr>
      <w:tr>
        <w:trPr/>
        <w:tc>
          <w:tcPr>
            <w:tcW w:w="1189" w:type="dxa"/>
            <w:tcBorders/>
            <w:shd w:fill="auto" w:val="clear"/>
          </w:tcPr>
          <w:p>
            <w:pPr>
              <w:pStyle w:val="TableContents"/>
              <w:spacing w:before="0" w:after="0"/>
              <w:ind w:left="0" w:right="0" w:hanging="0"/>
              <w:jc w:val="center"/>
              <w:rPr/>
            </w:pPr>
            <w:hyperlink w:anchor="exh11.htm">
              <w:r>
                <w:rPr>
                  <w:rStyle w:val="InternetLink"/>
                  <w:rFonts w:ascii="times new roman" w:hAnsi="times new roman"/>
                  <w:sz w:val="20"/>
                </w:rPr>
                <w:t>11</w:t>
              </w:r>
            </w:hyperlink>
          </w:p>
        </w:tc>
        <w:tc>
          <w:tcPr>
            <w:tcW w:w="90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Statement re: Computation of Earnings per Share.</w:t>
            </w:r>
          </w:p>
        </w:tc>
      </w:tr>
      <w:tr>
        <w:trPr/>
        <w:tc>
          <w:tcPr>
            <w:tcW w:w="1189" w:type="dxa"/>
            <w:tcBorders/>
            <w:shd w:fill="auto" w:val="clear"/>
          </w:tcPr>
          <w:p>
            <w:pPr>
              <w:pStyle w:val="TableContents"/>
              <w:spacing w:before="0" w:after="283"/>
              <w:rPr/>
            </w:pPr>
            <w:r>
              <w:rPr/>
              <w:t xml:space="preserve">  </w:t>
            </w:r>
          </w:p>
        </w:tc>
        <w:tc>
          <w:tcPr>
            <w:tcW w:w="9016" w:type="dxa"/>
            <w:tcBorders/>
            <w:shd w:fill="auto" w:val="clear"/>
          </w:tcPr>
          <w:p>
            <w:pPr>
              <w:pStyle w:val="TableContents"/>
              <w:spacing w:before="0" w:after="283"/>
              <w:rPr/>
            </w:pPr>
            <w:r>
              <w:rPr/>
              <w:t xml:space="preserve">  </w:t>
            </w:r>
          </w:p>
        </w:tc>
      </w:tr>
      <w:tr>
        <w:trPr/>
        <w:tc>
          <w:tcPr>
            <w:tcW w:w="1189" w:type="dxa"/>
            <w:tcBorders/>
            <w:shd w:fill="auto" w:val="clear"/>
          </w:tcPr>
          <w:p>
            <w:pPr>
              <w:pStyle w:val="TableContents"/>
              <w:spacing w:before="0" w:after="0"/>
              <w:ind w:left="0" w:right="0" w:hanging="0"/>
              <w:jc w:val="center"/>
              <w:rPr/>
            </w:pPr>
            <w:hyperlink w:anchor="exh31.htm">
              <w:r>
                <w:rPr>
                  <w:rStyle w:val="InternetLink"/>
                  <w:rFonts w:ascii="times new roman" w:hAnsi="times new roman"/>
                  <w:sz w:val="20"/>
                </w:rPr>
                <w:t>31</w:t>
              </w:r>
            </w:hyperlink>
          </w:p>
        </w:tc>
        <w:tc>
          <w:tcPr>
            <w:tcW w:w="90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Rule 13a – 14(a).</w:t>
            </w:r>
          </w:p>
        </w:tc>
      </w:tr>
      <w:tr>
        <w:trPr/>
        <w:tc>
          <w:tcPr>
            <w:tcW w:w="1189" w:type="dxa"/>
            <w:tcBorders/>
            <w:shd w:fill="auto" w:val="clear"/>
          </w:tcPr>
          <w:p>
            <w:pPr>
              <w:pStyle w:val="TableContents"/>
              <w:spacing w:before="0" w:after="283"/>
              <w:rPr/>
            </w:pPr>
            <w:r>
              <w:rPr/>
              <w:t xml:space="preserve">  </w:t>
            </w:r>
          </w:p>
        </w:tc>
        <w:tc>
          <w:tcPr>
            <w:tcW w:w="9016" w:type="dxa"/>
            <w:tcBorders/>
            <w:shd w:fill="auto" w:val="clear"/>
          </w:tcPr>
          <w:p>
            <w:pPr>
              <w:pStyle w:val="TableContents"/>
              <w:spacing w:before="0" w:after="283"/>
              <w:rPr/>
            </w:pPr>
            <w:r>
              <w:rPr/>
              <w:t xml:space="preserve">  </w:t>
            </w:r>
          </w:p>
        </w:tc>
      </w:tr>
      <w:tr>
        <w:trPr/>
        <w:tc>
          <w:tcPr>
            <w:tcW w:w="1189" w:type="dxa"/>
            <w:tcBorders/>
            <w:shd w:fill="auto" w:val="clear"/>
          </w:tcPr>
          <w:p>
            <w:pPr>
              <w:pStyle w:val="TableContents"/>
              <w:spacing w:before="0" w:after="0"/>
              <w:ind w:left="0" w:right="0" w:hanging="0"/>
              <w:jc w:val="center"/>
              <w:rPr/>
            </w:pPr>
            <w:hyperlink w:anchor="exh32.htm">
              <w:r>
                <w:rPr>
                  <w:rStyle w:val="InternetLink"/>
                  <w:rFonts w:ascii="times new roman" w:hAnsi="times new roman"/>
                  <w:sz w:val="20"/>
                </w:rPr>
                <w:t>32</w:t>
              </w:r>
            </w:hyperlink>
          </w:p>
        </w:tc>
        <w:tc>
          <w:tcPr>
            <w:tcW w:w="901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Certifications pursuant to Section 1350 of the Sarbanes-Oxley Act of 2002.</w:t>
            </w:r>
          </w:p>
        </w:tc>
      </w:tr>
    </w:tbl>
    <w:p>
      <w:pPr>
        <w:pStyle w:val="TextBody"/>
        <w:spacing w:before="0" w:after="0"/>
        <w:ind w:left="0" w:right="0" w:hanging="0"/>
        <w:jc w:val="center"/>
        <w:rPr/>
      </w:pPr>
      <w:r>
        <w:rPr/>
      </w:r>
    </w:p>
    <w:p>
      <w:pPr>
        <w:pStyle w:val="TextBody"/>
        <w:spacing w:before="0" w:after="0"/>
        <w:ind w:left="0" w:right="0" w:hanging="0"/>
        <w:jc w:val="center"/>
        <w:rPr/>
      </w:pPr>
      <w:r>
        <w:rPr/>
      </w:r>
    </w:p>
    <w:p>
      <w:pPr>
        <w:pStyle w:val="Normal"/>
        <w:spacing w:before="0" w:after="0"/>
        <w:jc w:val="center"/>
        <w:rPr>
          <w:sz w:val="4"/>
          <w:szCs w:val="4"/>
        </w:rPr>
      </w:pPr>
      <w:r>
        <w:rPr>
          <w:sz w:val="4"/>
          <w:szCs w:val="4"/>
        </w:rPr>
      </w:r>
      <w:bookmarkStart w:id="437" w:name="hangingindent3"/>
      <w:bookmarkStart w:id="438" w:name="hangingindent3"/>
      <w:bookmarkEnd w:id="438"/>
    </w:p>
    <w:tbl>
      <w:tblPr>
        <w:tblW w:w="5000" w:type="pct"/>
        <w:jc w:val="center"/>
        <w:tblInd w:w="0" w:type="dxa"/>
        <w:tblCellMar>
          <w:top w:w="0" w:type="dxa"/>
          <w:left w:w="0" w:type="dxa"/>
          <w:bottom w:w="0" w:type="dxa"/>
          <w:right w:w="0" w:type="dxa"/>
        </w:tblCellMar>
      </w:tblPr>
      <w:tblGrid>
        <w:gridCol w:w="432"/>
        <w:gridCol w:w="9773"/>
      </w:tblGrid>
      <w:tr>
        <w:trPr/>
        <w:tc>
          <w:tcPr>
            <w:tcW w:w="43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Note:</w:t>
            </w:r>
          </w:p>
        </w:tc>
        <w:tc>
          <w:tcPr>
            <w:tcW w:w="9773"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Stockholders may receive copies of the above listed exhibits, without fee, by written request to Investor Relations, Oil-Dri Corporation of America, 410 North Michigan Avenue, Suite 400, Chicago, Illinois  60611-4213, by telephone (312) 321-1515 or by e-mail to info@oildri.com.</w:t>
            </w:r>
          </w:p>
        </w:tc>
      </w:tr>
    </w:tbl>
    <w:p>
      <w:pPr>
        <w:pStyle w:val="TextBody"/>
        <w:spacing w:before="0" w:after="0"/>
        <w:ind w:left="0" w:right="0" w:hanging="0"/>
        <w:jc w:val="center"/>
        <w:rPr/>
      </w:pPr>
      <w:r>
        <w:rPr/>
        <w:b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single" w:sz="6" w:space="0" w:color="808080"/>
        </w:pBdr>
        <w:jc w:val="center"/>
        <w:rPr/>
      </w:pPr>
      <w:r>
        <w:rPr/>
      </w:r>
    </w:p>
    <w:p>
      <w:pPr>
        <w:pStyle w:val="HorizontalLine"/>
        <w:pBdr>
          <w:bottom w:val="single" w:sz="24" w:space="0" w:color="808080"/>
        </w:pBdr>
        <w:jc w:val="center"/>
        <w:rPr/>
      </w:pPr>
      <w:r>
        <w:rPr/>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spacing w:before="0" w:after="0"/>
        <w:ind w:left="0" w:right="0" w:hanging="0"/>
        <w:jc w:val="center"/>
        <w:rPr/>
      </w:pPr>
      <w:r>
        <w:rPr/>
        <w:t> </w:t>
      </w:r>
    </w:p>
    <w:p>
      <w:pPr>
        <w:pStyle w:val="TextBody"/>
        <w:ind w:left="0" w:right="0" w:hanging="0"/>
        <w:jc w:val="center"/>
        <w:rPr/>
      </w:pPr>
      <w:r>
        <w:rPr/>
        <w:t> </w:t>
      </w:r>
      <w:r>
        <w:br w:type="page"/>
      </w:r>
    </w:p>
    <w:p>
      <w:pPr>
        <w:pStyle w:val="TextBody"/>
        <w:spacing w:before="0" w:after="0"/>
        <w:rPr/>
      </w:pPr>
      <w:bookmarkStart w:id="439" w:name="exh11.htm"/>
      <w:bookmarkStart w:id="440" w:name="ksexh11"/>
      <w:bookmarkEnd w:id="439"/>
      <w:bookmarkEnd w:id="440"/>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br/>
        <w:t> </w:t>
      </w:r>
    </w:p>
    <w:p>
      <w:pPr>
        <w:pStyle w:val="TextBody"/>
        <w:spacing w:before="0" w:after="0"/>
        <w:ind w:left="0" w:right="0" w:hanging="0"/>
        <w:jc w:val="both"/>
        <w:rPr>
          <w:rFonts w:ascii="Times New Roman" w:hAnsi="Times New Roman"/>
          <w:b/>
          <w:sz w:val="20"/>
        </w:rPr>
      </w:pPr>
      <w:r>
        <w:rPr>
          <w:rFonts w:ascii="Times New Roman" w:hAnsi="Times New Roman"/>
          <w:b/>
          <w:sz w:val="20"/>
        </w:rPr>
        <w:t>Exhibit 11:</w:t>
      </w: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OIL-DRI CORPORATION OF AMERICA AND SUBSIDIARIES</w:t>
      </w:r>
    </w:p>
    <w:p>
      <w:pPr>
        <w:pStyle w:val="TextBody"/>
        <w:spacing w:before="0" w:after="0"/>
        <w:ind w:left="0" w:right="0" w:hanging="0"/>
        <w:jc w:val="center"/>
        <w:rPr>
          <w:rFonts w:ascii="Times New Roman" w:hAnsi="Times New Roman"/>
          <w:b/>
          <w:sz w:val="20"/>
        </w:rPr>
      </w:pPr>
      <w:r>
        <w:rPr>
          <w:rFonts w:ascii="Times New Roman" w:hAnsi="Times New Roman"/>
          <w:b/>
          <w:sz w:val="20"/>
        </w:rPr>
        <w:t>Computation of Earnings Per Share</w:t>
      </w:r>
    </w:p>
    <w:p>
      <w:pPr>
        <w:pStyle w:val="TextBody"/>
        <w:spacing w:before="0" w:after="0"/>
        <w:ind w:left="0" w:right="0" w:hanging="0"/>
        <w:jc w:val="center"/>
        <w:rPr>
          <w:rFonts w:ascii="Times New Roman" w:hAnsi="Times New Roman"/>
          <w:b/>
          <w:sz w:val="20"/>
        </w:rPr>
      </w:pPr>
      <w:r>
        <w:rPr>
          <w:rFonts w:ascii="Times New Roman" w:hAnsi="Times New Roman"/>
          <w:b/>
          <w:sz w:val="20"/>
        </w:rPr>
        <w:t>(in thousands except for per share amounts)</w:t>
      </w:r>
    </w:p>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7547"/>
        <w:gridCol w:w="109"/>
        <w:gridCol w:w="125"/>
        <w:gridCol w:w="977"/>
        <w:gridCol w:w="114"/>
        <w:gridCol w:w="109"/>
        <w:gridCol w:w="125"/>
        <w:gridCol w:w="977"/>
        <w:gridCol w:w="122"/>
      </w:tblGrid>
      <w:tr>
        <w:trPr/>
        <w:tc>
          <w:tcPr>
            <w:tcW w:w="754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2427"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October 31,</w:t>
            </w:r>
          </w:p>
        </w:tc>
        <w:tc>
          <w:tcPr>
            <w:tcW w:w="122" w:type="dxa"/>
            <w:tcBorders/>
            <w:shd w:fill="auto" w:val="clear"/>
            <w:vAlign w:val="bottom"/>
          </w:tcPr>
          <w:p>
            <w:pPr>
              <w:pStyle w:val="TableContents"/>
              <w:spacing w:before="0" w:after="283"/>
              <w:jc w:val="left"/>
              <w:rPr/>
            </w:pPr>
            <w:r>
              <w:rPr/>
              <w:t> </w:t>
            </w:r>
          </w:p>
        </w:tc>
      </w:tr>
      <w:tr>
        <w:trPr/>
        <w:tc>
          <w:tcPr>
            <w:tcW w:w="7547" w:type="dxa"/>
            <w:tcBorders/>
            <w:shd w:fill="auto" w:val="clear"/>
            <w:vAlign w:val="bottom"/>
          </w:tcPr>
          <w:p>
            <w:pPr>
              <w:pStyle w:val="TableContents"/>
              <w:spacing w:before="0" w:after="283"/>
              <w:rPr/>
            </w:pPr>
            <w:r>
              <w:rPr/>
              <w:t xml:space="preserve">  </w:t>
            </w:r>
          </w:p>
        </w:tc>
        <w:tc>
          <w:tcPr>
            <w:tcW w:w="109" w:type="dxa"/>
            <w:tcBorders/>
            <w:shd w:fill="auto" w:val="clear"/>
            <w:vAlign w:val="bottom"/>
          </w:tcPr>
          <w:p>
            <w:pPr>
              <w:pStyle w:val="TableContents"/>
              <w:spacing w:before="0" w:after="283"/>
              <w:rPr/>
            </w:pPr>
            <w:r>
              <w:rPr/>
              <w:t> </w:t>
            </w:r>
          </w:p>
        </w:tc>
        <w:tc>
          <w:tcPr>
            <w:tcW w:w="110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2009</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10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2008</w:t>
            </w:r>
          </w:p>
        </w:tc>
        <w:tc>
          <w:tcPr>
            <w:tcW w:w="122" w:type="dxa"/>
            <w:tcBorders/>
            <w:shd w:fill="auto" w:val="clear"/>
            <w:vAlign w:val="bottom"/>
          </w:tcPr>
          <w:p>
            <w:pPr>
              <w:pStyle w:val="TableContents"/>
              <w:spacing w:before="0" w:after="283"/>
              <w:jc w:val="left"/>
              <w:rPr/>
            </w:pPr>
            <w:r>
              <w:rPr/>
              <w:t> </w:t>
            </w:r>
          </w:p>
        </w:tc>
      </w:tr>
      <w:tr>
        <w:trPr/>
        <w:tc>
          <w:tcPr>
            <w:tcW w:w="7547"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77" w:type="dxa"/>
            <w:tcBorders/>
            <w:shd w:fill="auto" w:val="clear"/>
            <w:vAlign w:val="bottom"/>
          </w:tcPr>
          <w:p>
            <w:pPr>
              <w:pStyle w:val="TableContents"/>
              <w:spacing w:before="0" w:after="283"/>
              <w:jc w:val="right"/>
              <w:rPr/>
            </w:pPr>
            <w:r>
              <w:rPr/>
              <w:t> </w:t>
            </w:r>
          </w:p>
        </w:tc>
        <w:tc>
          <w:tcPr>
            <w:tcW w:w="114"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jc w:val="right"/>
              <w:rPr/>
            </w:pPr>
            <w:r>
              <w:rPr/>
              <w:t> </w:t>
            </w:r>
          </w:p>
        </w:tc>
        <w:tc>
          <w:tcPr>
            <w:tcW w:w="125" w:type="dxa"/>
            <w:tcBorders/>
            <w:shd w:fill="auto" w:val="clear"/>
            <w:vAlign w:val="bottom"/>
          </w:tcPr>
          <w:p>
            <w:pPr>
              <w:pStyle w:val="TableContents"/>
              <w:spacing w:before="0" w:after="283"/>
              <w:jc w:val="left"/>
              <w:rPr/>
            </w:pPr>
            <w:r>
              <w:rPr/>
              <w:t> </w:t>
            </w:r>
          </w:p>
        </w:tc>
        <w:tc>
          <w:tcPr>
            <w:tcW w:w="977" w:type="dxa"/>
            <w:tcBorders/>
            <w:shd w:fill="auto" w:val="clear"/>
            <w:vAlign w:val="bottom"/>
          </w:tcPr>
          <w:p>
            <w:pPr>
              <w:pStyle w:val="TableContents"/>
              <w:spacing w:before="0" w:after="283"/>
              <w:jc w:val="right"/>
              <w:rPr/>
            </w:pPr>
            <w:r>
              <w:rPr/>
              <w:t> </w:t>
            </w:r>
          </w:p>
        </w:tc>
        <w:tc>
          <w:tcPr>
            <w:tcW w:w="122" w:type="dxa"/>
            <w:tcBorders/>
            <w:shd w:fill="auto"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0"/>
              <w:ind w:left="0" w:right="0" w:hanging="0"/>
              <w:rPr/>
            </w:pPr>
            <w:r>
              <w:rPr/>
              <w:t> </w:t>
            </w:r>
          </w:p>
          <w:p>
            <w:pPr>
              <w:pStyle w:val="TableContents"/>
              <w:spacing w:before="0" w:after="0"/>
              <w:ind w:left="0" w:right="0" w:hanging="0"/>
              <w:rPr>
                <w:rFonts w:ascii="times new roman" w:hAnsi="times new roman"/>
                <w:sz w:val="20"/>
              </w:rPr>
            </w:pPr>
            <w:r>
              <w:rPr>
                <w:rFonts w:ascii="times new roman" w:hAnsi="times new roman"/>
                <w:sz w:val="20"/>
              </w:rPr>
              <w:t>Net income available to stockholders</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2,194</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2,246</w:t>
            </w:r>
          </w:p>
        </w:tc>
        <w:tc>
          <w:tcPr>
            <w:tcW w:w="122"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 xml:space="preserve">Less: Distributed and undistributed earnings allocated </w:t>
            </w:r>
          </w:p>
          <w:p>
            <w:pPr>
              <w:pStyle w:val="TableContents"/>
              <w:spacing w:before="0" w:after="0"/>
              <w:ind w:left="0" w:right="0" w:hanging="0"/>
              <w:jc w:val="both"/>
              <w:rPr>
                <w:rFonts w:ascii="times new roman" w:hAnsi="times new roman"/>
                <w:sz w:val="20"/>
              </w:rPr>
            </w:pPr>
            <w:r>
              <w:rPr>
                <w:rFonts w:ascii="times new roman" w:hAnsi="times new roman"/>
                <w:sz w:val="20"/>
              </w:rPr>
              <w:t>to nonvested stock</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(9</w:t>
            </w:r>
          </w:p>
        </w:tc>
        <w:tc>
          <w:tcPr>
            <w:tcW w:w="114" w:type="dxa"/>
            <w:tcBorders/>
            <w:shd w:fill="FFFFFF" w:val="cle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9"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547" w:type="dxa"/>
            <w:tcBorders/>
            <w:shd w:fill="CCEEFF" w:val="clear"/>
            <w:vAlign w:val="bottom"/>
          </w:tcPr>
          <w:p>
            <w:pPr>
              <w:pStyle w:val="TableContents"/>
              <w:spacing w:before="0" w:after="0"/>
              <w:ind w:left="0" w:right="0" w:hanging="0"/>
              <w:jc w:val="both"/>
              <w:rPr/>
            </w:pPr>
            <w:r>
              <w:rPr/>
              <w:t> </w:t>
            </w:r>
          </w:p>
          <w:p>
            <w:pPr>
              <w:pStyle w:val="TableContents"/>
              <w:spacing w:before="0" w:after="0"/>
              <w:ind w:left="0" w:right="0" w:hanging="0"/>
              <w:jc w:val="both"/>
              <w:rPr>
                <w:rFonts w:ascii="times new roman" w:hAnsi="times new roman"/>
                <w:sz w:val="20"/>
              </w:rPr>
            </w:pPr>
            <w:r>
              <w:rPr>
                <w:rFonts w:ascii="times new roman" w:hAnsi="times new roman"/>
                <w:sz w:val="20"/>
              </w:rPr>
              <w:t>Earnings available to common shareholders</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2,185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2,232</w:t>
            </w:r>
          </w:p>
        </w:tc>
        <w:tc>
          <w:tcPr>
            <w:tcW w:w="122"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0"/>
              <w:ind w:left="0" w:right="0" w:hanging="0"/>
              <w:jc w:val="both"/>
              <w:rPr/>
            </w:pPr>
            <w:r>
              <w:rPr/>
              <w:t> </w:t>
            </w:r>
          </w:p>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Shares Calculation</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7"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77"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Average shares outstanding –</w:t>
            </w:r>
          </w:p>
          <w:p>
            <w:pPr>
              <w:pStyle w:val="TableContents"/>
              <w:spacing w:before="0" w:after="0"/>
              <w:ind w:left="0" w:right="0" w:hanging="0"/>
              <w:jc w:val="both"/>
              <w:rPr/>
            </w:pPr>
            <w:r>
              <w:rPr/>
              <w:t>   </w:t>
            </w:r>
            <w:r>
              <w:rPr>
                <w:rFonts w:ascii="times new roman" w:hAnsi="times new roman"/>
                <w:sz w:val="20"/>
              </w:rPr>
              <w:t>Basic Common</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7"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5,193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5,128</w:t>
            </w:r>
          </w:p>
        </w:tc>
        <w:tc>
          <w:tcPr>
            <w:tcW w:w="122"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Average shares outstanding –</w:t>
            </w:r>
          </w:p>
          <w:p>
            <w:pPr>
              <w:pStyle w:val="TableContents"/>
              <w:spacing w:before="0" w:after="0"/>
              <w:ind w:left="0" w:right="0" w:hanging="0"/>
              <w:jc w:val="both"/>
              <w:rPr/>
            </w:pPr>
            <w:r>
              <w:rPr/>
              <w:t>   </w:t>
            </w:r>
            <w:r>
              <w:rPr>
                <w:rFonts w:ascii="times new roman" w:hAnsi="times new roman"/>
                <w:sz w:val="20"/>
              </w:rPr>
              <w:t>Basic Class B Common</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7" w:type="dxa"/>
            <w:tcBorders/>
            <w:shd w:fill="FFFFFF" w:val="clear"/>
            <w:vAlign w:val="bottom"/>
          </w:tcPr>
          <w:p>
            <w:pPr>
              <w:pStyle w:val="TableContents"/>
              <w:spacing w:before="0" w:after="283"/>
              <w:jc w:val="right"/>
              <w:rPr>
                <w:rFonts w:ascii="times new roman" w:hAnsi="times new roman"/>
                <w:b/>
                <w:sz w:val="20"/>
              </w:rPr>
            </w:pPr>
            <w:r>
              <w:rPr>
                <w:rFonts w:ascii="times new roman" w:hAnsi="times new roman"/>
                <w:b/>
                <w:sz w:val="20"/>
              </w:rPr>
              <w:t>1,880</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1,862</w:t>
            </w:r>
          </w:p>
        </w:tc>
        <w:tc>
          <w:tcPr>
            <w:tcW w:w="122" w:type="dxa"/>
            <w:tcBorders/>
            <w:shd w:fill="FFFFFF"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Potential Common Stock relating</w:t>
            </w:r>
          </w:p>
          <w:p>
            <w:pPr>
              <w:pStyle w:val="TableContents"/>
              <w:spacing w:before="0" w:after="0"/>
              <w:ind w:left="0" w:right="0" w:hanging="0"/>
              <w:jc w:val="both"/>
              <w:rPr/>
            </w:pPr>
            <w:r>
              <w:rPr/>
              <w:t>   </w:t>
            </w:r>
            <w:r>
              <w:rPr>
                <w:rFonts w:ascii="times new roman" w:hAnsi="times new roman"/>
                <w:sz w:val="20"/>
              </w:rPr>
              <w:t>to stock options</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175</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w:t>
            </w:r>
          </w:p>
        </w:tc>
        <w:tc>
          <w:tcPr>
            <w:tcW w:w="122"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Average shares outstanding –</w:t>
            </w:r>
          </w:p>
          <w:p>
            <w:pPr>
              <w:pStyle w:val="TableContents"/>
              <w:spacing w:before="0" w:after="0"/>
              <w:ind w:left="0" w:right="0" w:hanging="0"/>
              <w:jc w:val="both"/>
              <w:rPr/>
            </w:pPr>
            <w:r>
              <w:rPr/>
              <w:t>   </w:t>
            </w:r>
            <w:r>
              <w:rPr>
                <w:rFonts w:ascii="times new roman" w:hAnsi="times new roman"/>
                <w:sz w:val="20"/>
              </w:rPr>
              <w:t>Assuming dilution</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7,248</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9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7,191</w:t>
            </w:r>
          </w:p>
        </w:tc>
        <w:tc>
          <w:tcPr>
            <w:tcW w:w="122" w:type="dxa"/>
            <w:tcBorders/>
            <w:shd w:fill="FFFFFF"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w:t>
            </w:r>
          </w:p>
          <w:p>
            <w:pPr>
              <w:pStyle w:val="TableContents"/>
              <w:spacing w:before="0" w:after="0"/>
              <w:ind w:left="0" w:right="0" w:hanging="0"/>
              <w:jc w:val="both"/>
              <w:rPr/>
            </w:pPr>
            <w:r>
              <w:rPr/>
              <w:t>   </w:t>
            </w:r>
            <w:r>
              <w:rPr>
                <w:rFonts w:ascii="times new roman" w:hAnsi="times new roman"/>
                <w:sz w:val="20"/>
              </w:rPr>
              <w:t>Basic Common</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0.33</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0.34</w:t>
            </w:r>
          </w:p>
        </w:tc>
        <w:tc>
          <w:tcPr>
            <w:tcW w:w="122" w:type="dxa"/>
            <w:tcBorders/>
            <w:shd w:fill="CCEEFF" w:val="clear"/>
            <w:vAlign w:val="bottom"/>
          </w:tcPr>
          <w:p>
            <w:pPr>
              <w:pStyle w:val="TableContents"/>
              <w:spacing w:before="0" w:after="283"/>
              <w:jc w:val="left"/>
              <w:rPr/>
            </w:pPr>
            <w:r>
              <w:rPr/>
              <w:t> </w:t>
            </w:r>
          </w:p>
        </w:tc>
      </w:tr>
      <w:tr>
        <w:trPr/>
        <w:tc>
          <w:tcPr>
            <w:tcW w:w="7547"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w:t>
            </w:r>
          </w:p>
          <w:p>
            <w:pPr>
              <w:pStyle w:val="TableContents"/>
              <w:spacing w:before="0" w:after="0"/>
              <w:ind w:left="0" w:right="0" w:hanging="0"/>
              <w:jc w:val="both"/>
              <w:rPr/>
            </w:pPr>
            <w:r>
              <w:rPr/>
              <w:t>   </w:t>
            </w:r>
            <w:r>
              <w:rPr>
                <w:rFonts w:ascii="times new roman" w:hAnsi="times new roman"/>
                <w:sz w:val="20"/>
              </w:rPr>
              <w:t>Basic Class B Common</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0.25</w:t>
            </w:r>
          </w:p>
        </w:tc>
        <w:tc>
          <w:tcPr>
            <w:tcW w:w="114"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0.26</w:t>
            </w:r>
          </w:p>
        </w:tc>
        <w:tc>
          <w:tcPr>
            <w:tcW w:w="122" w:type="dxa"/>
            <w:tcBorders/>
            <w:shd w:fill="FFFFFF" w:val="clear"/>
            <w:vAlign w:val="bottom"/>
          </w:tcPr>
          <w:p>
            <w:pPr>
              <w:pStyle w:val="TableContents"/>
              <w:spacing w:before="0" w:after="283"/>
              <w:jc w:val="left"/>
              <w:rPr/>
            </w:pPr>
            <w:r>
              <w:rPr/>
              <w:t> </w:t>
            </w:r>
          </w:p>
        </w:tc>
      </w:tr>
      <w:tr>
        <w:trPr/>
        <w:tc>
          <w:tcPr>
            <w:tcW w:w="7547"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Income Per Share:</w:t>
            </w:r>
          </w:p>
          <w:p>
            <w:pPr>
              <w:pStyle w:val="TableContents"/>
              <w:spacing w:before="0" w:after="0"/>
              <w:ind w:left="0" w:right="0" w:hanging="0"/>
              <w:jc w:val="both"/>
              <w:rPr/>
            </w:pPr>
            <w:r>
              <w:rPr/>
              <w:t>  </w:t>
            </w:r>
            <w:r>
              <w:rPr>
                <w:rFonts w:ascii="times new roman" w:hAnsi="times new roman"/>
                <w:sz w:val="20"/>
              </w:rPr>
              <w:t>Diluted</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0.30</w:t>
            </w:r>
          </w:p>
        </w:tc>
        <w:tc>
          <w:tcPr>
            <w:tcW w:w="114"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0.31</w:t>
            </w:r>
          </w:p>
        </w:tc>
        <w:tc>
          <w:tcPr>
            <w:tcW w:w="122" w:type="dxa"/>
            <w:tcBorders/>
            <w:shd w:fill="CCEEFF" w:val="clear"/>
            <w:vAlign w:val="bottom"/>
          </w:tcPr>
          <w:p>
            <w:pPr>
              <w:pStyle w:val="TableContents"/>
              <w:spacing w:before="0" w:after="283"/>
              <w:jc w:val="left"/>
              <w:rPr/>
            </w:pPr>
            <w:r>
              <w:rPr/>
              <w:t> </w:t>
            </w:r>
          </w:p>
        </w:tc>
      </w:tr>
    </w:tbl>
    <w:p>
      <w:pPr>
        <w:pStyle w:val="TextBody"/>
        <w:spacing w:before="0" w:after="0"/>
        <w:rPr/>
      </w:pPr>
      <w:r>
        <w:rPr/>
        <w:b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w:t>
      </w:r>
    </w:p>
    <w:p>
      <w:pPr>
        <w:pStyle w:val="HorizontalLine"/>
        <w:pBdr>
          <w:bottom w:val="single" w:sz="6" w:space="0" w:color="808080"/>
        </w:pBdr>
        <w:rPr/>
      </w:pPr>
      <w:r>
        <w:rPr/>
      </w:r>
    </w:p>
    <w:p>
      <w:pPr>
        <w:pStyle w:val="HorizontalLine"/>
        <w:pBdr>
          <w:bottom w:val="single" w:sz="24" w:space="0" w:color="808080"/>
        </w:pBdr>
        <w:rPr/>
      </w:pPr>
      <w:r>
        <w:rPr/>
      </w:r>
      <w:r>
        <w:br w:type="page"/>
      </w:r>
    </w:p>
    <w:p>
      <w:pPr>
        <w:pStyle w:val="TextBody"/>
        <w:spacing w:before="0" w:after="0"/>
        <w:rPr/>
      </w:pPr>
      <w:bookmarkStart w:id="441" w:name="exh31.htm"/>
      <w:bookmarkStart w:id="442" w:name="ksexh31"/>
      <w:bookmarkEnd w:id="441"/>
      <w:bookmarkEnd w:id="442"/>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Exhibit 31:</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 PURSUANT TO RULE 13A -14(A) UNDER THE SECURITIES EXCHANGE ACT OF 1934, AS AMENDED</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Executive Officer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 of 2002)</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         I, Daniel S. Jaffee, certify that:</w:t>
      </w:r>
    </w:p>
    <w:p>
      <w:pPr>
        <w:pStyle w:val="TextBody"/>
        <w:spacing w:before="0" w:after="0"/>
        <w:ind w:left="0" w:right="0" w:hanging="0"/>
        <w:rPr/>
      </w:pPr>
      <w:r>
        <w:rPr/>
      </w:r>
    </w:p>
    <w:p>
      <w:pPr>
        <w:pStyle w:val="Normal"/>
        <w:spacing w:before="0" w:after="0"/>
        <w:rPr>
          <w:sz w:val="4"/>
          <w:szCs w:val="4"/>
        </w:rPr>
      </w:pPr>
      <w:r>
        <w:rPr>
          <w:sz w:val="4"/>
          <w:szCs w:val="4"/>
        </w:rPr>
      </w:r>
      <w:bookmarkStart w:id="443" w:name="hangingindent4"/>
      <w:bookmarkStart w:id="444" w:name="hangingindent4"/>
      <w:bookmarkEnd w:id="444"/>
    </w:p>
    <w:tbl>
      <w:tblPr>
        <w:tblW w:w="5000" w:type="pct"/>
        <w:jc w:val="center"/>
        <w:tblInd w:w="0" w:type="dxa"/>
        <w:tblCellMar>
          <w:top w:w="0" w:type="dxa"/>
          <w:left w:w="0" w:type="dxa"/>
          <w:bottom w:w="0" w:type="dxa"/>
          <w:right w:w="0" w:type="dxa"/>
        </w:tblCellMar>
      </w:tblPr>
      <w:tblGrid>
        <w:gridCol w:w="141"/>
        <w:gridCol w:w="200"/>
        <w:gridCol w:w="9864"/>
      </w:tblGrid>
      <w:tr>
        <w:trPr/>
        <w:tc>
          <w:tcPr>
            <w:tcW w:w="141"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before="0" w:after="0"/>
        <w:ind w:left="0" w:right="0" w:hanging="0"/>
        <w:rPr/>
      </w:pPr>
      <w:r>
        <w:rPr/>
      </w:r>
    </w:p>
    <w:p>
      <w:pPr>
        <w:pStyle w:val="Normal"/>
        <w:spacing w:before="0" w:after="0"/>
        <w:rPr>
          <w:sz w:val="4"/>
          <w:szCs w:val="4"/>
        </w:rPr>
      </w:pPr>
      <w:r>
        <w:rPr>
          <w:sz w:val="4"/>
          <w:szCs w:val="4"/>
        </w:rPr>
      </w:r>
      <w:bookmarkStart w:id="445" w:name="hangingindent5"/>
      <w:bookmarkStart w:id="446" w:name="hangingindent5"/>
      <w:bookmarkEnd w:id="446"/>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47" w:name="hangingindent6"/>
      <w:bookmarkStart w:id="448" w:name="hangingindent6"/>
      <w:bookmarkEnd w:id="448"/>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49" w:name="hangingindent7"/>
      <w:bookmarkStart w:id="450" w:name="hangingindent7"/>
      <w:bookmarkEnd w:id="450"/>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451" w:name="list9"/>
      <w:bookmarkStart w:id="452" w:name="list9"/>
      <w:bookmarkEnd w:id="452"/>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453" w:name="list10"/>
      <w:bookmarkStart w:id="454" w:name="list10"/>
      <w:bookmarkEnd w:id="454"/>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455" w:name="list11"/>
      <w:bookmarkStart w:id="456" w:name="list11"/>
      <w:bookmarkEnd w:id="456"/>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57" w:name="list12"/>
      <w:bookmarkStart w:id="458" w:name="list12"/>
      <w:bookmarkEnd w:id="458"/>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59" w:name="hangingindent8"/>
      <w:bookmarkStart w:id="460" w:name="hangingindent8"/>
      <w:bookmarkEnd w:id="460"/>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461" w:name="hangingindent9"/>
      <w:bookmarkStart w:id="462" w:name="hangingindent9"/>
      <w:bookmarkEnd w:id="462"/>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63" w:name="hangingindent10"/>
      <w:bookmarkStart w:id="464" w:name="hangingindent10"/>
      <w:bookmarkEnd w:id="464"/>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2"/>
        <w:gridCol w:w="203"/>
        <w:gridCol w:w="9390"/>
      </w:tblGrid>
      <w:tr>
        <w:trPr/>
        <w:tc>
          <w:tcPr>
            <w:tcW w:w="61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203" w:type="dxa"/>
            <w:tcBorders/>
            <w:shd w:fill="auto" w:val="clear"/>
          </w:tcPr>
          <w:p>
            <w:pPr>
              <w:pStyle w:val="TableContents"/>
              <w:spacing w:before="0" w:after="283"/>
              <w:rPr/>
            </w:pPr>
            <w:r>
              <w:rPr/>
              <w:t xml:space="preserve">  </w:t>
            </w:r>
          </w:p>
        </w:tc>
        <w:tc>
          <w:tcPr>
            <w:tcW w:w="9390"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 xml:space="preserve">December 8, 2009                                    </w:t>
            </w:r>
          </w:p>
        </w:tc>
      </w:tr>
      <w:tr>
        <w:trPr/>
        <w:tc>
          <w:tcPr>
            <w:tcW w:w="612"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203" w:type="dxa"/>
            <w:tcBorders/>
            <w:shd w:fill="auto" w:val="clear"/>
            <w:vAlign w:val="bottom"/>
          </w:tcPr>
          <w:p>
            <w:pPr>
              <w:pStyle w:val="TableContents"/>
              <w:spacing w:before="0" w:after="283"/>
              <w:rPr/>
            </w:pPr>
            <w:r>
              <w:rPr/>
              <w:t xml:space="preserve">  </w:t>
            </w:r>
          </w:p>
        </w:tc>
        <w:tc>
          <w:tcPr>
            <w:tcW w:w="9390" w:type="dxa"/>
            <w:tcBorders/>
            <w:shd w:fill="auto" w:val="clear"/>
            <w:vAlign w:val="bottom"/>
          </w:tcPr>
          <w:p>
            <w:pPr>
              <w:pStyle w:val="TableContents"/>
              <w:spacing w:before="0" w:after="0"/>
              <w:ind w:left="0" w:right="0" w:hanging="0"/>
              <w:jc w:val="both"/>
              <w:rPr/>
            </w:pPr>
            <w:r>
              <w:rPr>
                <w:rFonts w:ascii="times new roman" w:hAnsi="times new roman"/>
                <w:sz w:val="20"/>
                <w:u w:val="single"/>
              </w:rPr>
              <w:t xml:space="preserve">/s/ Daniel S. Jaffee                                 </w:t>
            </w:r>
            <w:r>
              <w:rPr/>
              <w:t xml:space="preserve">                         </w:t>
            </w:r>
          </w:p>
        </w:tc>
      </w:tr>
      <w:tr>
        <w:trPr/>
        <w:tc>
          <w:tcPr>
            <w:tcW w:w="612"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283"/>
              <w:rPr/>
            </w:pPr>
            <w:r>
              <w:rPr/>
              <w:t xml:space="preserve">  </w:t>
            </w:r>
          </w:p>
        </w:tc>
        <w:tc>
          <w:tcPr>
            <w:tcW w:w="939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Daniel S. Jaffee</w:t>
            </w:r>
          </w:p>
          <w:p>
            <w:pPr>
              <w:pStyle w:val="TableContents"/>
              <w:spacing w:before="0" w:after="0"/>
              <w:ind w:left="0" w:right="0" w:hanging="0"/>
              <w:jc w:val="both"/>
              <w:rPr>
                <w:rFonts w:ascii="times new roman" w:hAnsi="times new roman"/>
                <w:sz w:val="20"/>
              </w:rPr>
            </w:pPr>
            <w:r>
              <w:rPr>
                <w:rFonts w:ascii="times new roman" w:hAnsi="times new roman"/>
                <w:sz w:val="20"/>
              </w:rPr>
              <w:t>President and Chief Executive Officer</w:t>
            </w:r>
          </w:p>
        </w:tc>
      </w:tr>
    </w:tbl>
    <w:p>
      <w:pPr>
        <w:pStyle w:val="TextBody"/>
        <w:spacing w:before="0" w:after="0"/>
        <w:ind w:left="0" w:right="0" w:hanging="0"/>
        <w:jc w:val="left"/>
        <w:rPr/>
      </w:pPr>
      <w:r>
        <w:rPr/>
        <w:t> </w:t>
      </w:r>
    </w:p>
    <w:p>
      <w:pPr>
        <w:pStyle w:val="TextBody"/>
        <w:spacing w:before="0" w:after="0"/>
        <w:ind w:left="0" w:right="0" w:hanging="0"/>
        <w:jc w:val="left"/>
        <w:rPr/>
      </w:pPr>
      <w:r>
        <w:rPr/>
        <w:t> </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5" w:name="PGBRK24"/>
      <w:bookmarkStart w:id="466" w:name="PGBRK24"/>
      <w:bookmarkEnd w:id="4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7" w:name="FTR24"/>
      <w:bookmarkStart w:id="468" w:name="FTR24"/>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9" w:name="GLFTR24"/>
      <w:bookmarkStart w:id="470" w:name="GLFTR24"/>
      <w:bookmarkEnd w:id="4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1" w:name="PN24"/>
      <w:bookmarkEnd w:id="471"/>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 w:name="HDR24"/>
      <w:bookmarkStart w:id="473" w:name="HDR24"/>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4" w:name="GLHDR24"/>
      <w:bookmarkStart w:id="475" w:name="GLHDR24"/>
      <w:bookmarkEnd w:id="4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Exhibit 31 (continued):</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Principal Financial Officer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 of 2002)</w:t>
      </w:r>
    </w:p>
    <w:p>
      <w:pPr>
        <w:pStyle w:val="TextBody"/>
        <w:spacing w:before="0" w:after="0"/>
        <w:ind w:left="0" w:right="0" w:hanging="0"/>
        <w:rPr/>
      </w:pPr>
      <w:r>
        <w:rPr/>
      </w:r>
    </w:p>
    <w:p>
      <w:pPr>
        <w:pStyle w:val="TextBody"/>
        <w:spacing w:before="0" w:after="0"/>
        <w:ind w:left="360" w:right="0" w:hanging="0"/>
        <w:jc w:val="both"/>
        <w:rPr>
          <w:rFonts w:ascii="Times New Roman" w:hAnsi="Times New Roman"/>
          <w:sz w:val="20"/>
        </w:rPr>
      </w:pPr>
      <w:r>
        <w:rPr>
          <w:rFonts w:ascii="Times New Roman" w:hAnsi="Times New Roman"/>
          <w:sz w:val="20"/>
        </w:rPr>
        <w:t>I.         I, Andrew N. Peterson, certify that:</w:t>
      </w:r>
    </w:p>
    <w:p>
      <w:pPr>
        <w:pStyle w:val="TextBody"/>
        <w:spacing w:before="0" w:after="0"/>
        <w:ind w:left="0" w:right="0" w:hanging="0"/>
        <w:rPr/>
      </w:pPr>
      <w:r>
        <w:rPr/>
      </w:r>
    </w:p>
    <w:p>
      <w:pPr>
        <w:pStyle w:val="Normal"/>
        <w:spacing w:before="0" w:after="0"/>
        <w:rPr>
          <w:sz w:val="4"/>
          <w:szCs w:val="4"/>
        </w:rPr>
      </w:pPr>
      <w:r>
        <w:rPr>
          <w:sz w:val="4"/>
          <w:szCs w:val="4"/>
        </w:rPr>
      </w:r>
      <w:bookmarkStart w:id="476" w:name="hangingindent11"/>
      <w:bookmarkStart w:id="477" w:name="hangingindent11"/>
      <w:bookmarkEnd w:id="477"/>
    </w:p>
    <w:tbl>
      <w:tblPr>
        <w:tblW w:w="5000" w:type="pct"/>
        <w:jc w:val="center"/>
        <w:tblInd w:w="0" w:type="dxa"/>
        <w:tblCellMar>
          <w:top w:w="0" w:type="dxa"/>
          <w:left w:w="0" w:type="dxa"/>
          <w:bottom w:w="0" w:type="dxa"/>
          <w:right w:w="0" w:type="dxa"/>
        </w:tblCellMar>
      </w:tblPr>
      <w:tblGrid>
        <w:gridCol w:w="141"/>
        <w:gridCol w:w="200"/>
        <w:gridCol w:w="9864"/>
      </w:tblGrid>
      <w:tr>
        <w:trPr/>
        <w:tc>
          <w:tcPr>
            <w:tcW w:w="141" w:type="dxa"/>
            <w:tcBorders/>
            <w:shd w:fill="auto" w:val="clear"/>
          </w:tcPr>
          <w:p>
            <w:pPr>
              <w:pStyle w:val="TableContents"/>
              <w:spacing w:before="0" w:after="0"/>
              <w:rPr/>
            </w:pPr>
            <w:r>
              <w:rPr/>
              <w:t xml:space="preserve">  </w:t>
            </w:r>
          </w:p>
        </w:tc>
        <w:tc>
          <w:tcPr>
            <w:tcW w:w="20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86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I have reviewed this quarterly report on Form 10-Q of Oil-Dri Corporation of America (the “registrant”);</w:t>
            </w:r>
          </w:p>
        </w:tc>
      </w:tr>
    </w:tbl>
    <w:p>
      <w:pPr>
        <w:pStyle w:val="TextBody"/>
        <w:spacing w:before="0" w:after="0"/>
        <w:ind w:left="0" w:right="0" w:hanging="0"/>
        <w:rPr/>
      </w:pPr>
      <w:r>
        <w:rPr/>
      </w:r>
    </w:p>
    <w:p>
      <w:pPr>
        <w:pStyle w:val="Normal"/>
        <w:spacing w:before="0" w:after="0"/>
        <w:rPr>
          <w:sz w:val="4"/>
          <w:szCs w:val="4"/>
        </w:rPr>
      </w:pPr>
      <w:r>
        <w:rPr>
          <w:sz w:val="4"/>
          <w:szCs w:val="4"/>
        </w:rPr>
      </w:r>
      <w:bookmarkStart w:id="478" w:name="hangingindent12"/>
      <w:bookmarkStart w:id="479" w:name="hangingindent12"/>
      <w:bookmarkEnd w:id="479"/>
    </w:p>
    <w:tbl>
      <w:tblPr>
        <w:tblW w:w="5000" w:type="pct"/>
        <w:jc w:val="center"/>
        <w:tblInd w:w="0" w:type="dxa"/>
        <w:tblCellMar>
          <w:top w:w="0" w:type="dxa"/>
          <w:left w:w="0" w:type="dxa"/>
          <w:bottom w:w="0" w:type="dxa"/>
          <w:right w:w="0" w:type="dxa"/>
        </w:tblCellMar>
      </w:tblPr>
      <w:tblGrid>
        <w:gridCol w:w="82"/>
        <w:gridCol w:w="142"/>
        <w:gridCol w:w="9981"/>
      </w:tblGrid>
      <w:tr>
        <w:trPr/>
        <w:tc>
          <w:tcPr>
            <w:tcW w:w="82" w:type="dxa"/>
            <w:tcBorders/>
            <w:shd w:fill="auto" w:val="clear"/>
          </w:tcPr>
          <w:p>
            <w:pPr>
              <w:pStyle w:val="TableContents"/>
              <w:spacing w:before="0" w:after="0"/>
              <w:rPr/>
            </w:pPr>
            <w:r>
              <w:rPr/>
              <w:t xml:space="preserve">  </w:t>
            </w:r>
          </w:p>
        </w:tc>
        <w:tc>
          <w:tcPr>
            <w:tcW w:w="142"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2.</w:t>
            </w:r>
          </w:p>
        </w:tc>
        <w:tc>
          <w:tcPr>
            <w:tcW w:w="9981"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80" w:name="hangingindent13"/>
      <w:bookmarkStart w:id="481" w:name="hangingindent13"/>
      <w:bookmarkEnd w:id="481"/>
    </w:p>
    <w:tbl>
      <w:tblPr>
        <w:tblW w:w="5000" w:type="pct"/>
        <w:jc w:val="center"/>
        <w:tblInd w:w="0" w:type="dxa"/>
        <w:tblCellMar>
          <w:top w:w="0" w:type="dxa"/>
          <w:left w:w="0" w:type="dxa"/>
          <w:bottom w:w="0" w:type="dxa"/>
          <w:right w:w="0" w:type="dxa"/>
        </w:tblCellMar>
      </w:tblPr>
      <w:tblGrid>
        <w:gridCol w:w="85"/>
        <w:gridCol w:w="144"/>
        <w:gridCol w:w="9976"/>
      </w:tblGrid>
      <w:tr>
        <w:trPr/>
        <w:tc>
          <w:tcPr>
            <w:tcW w:w="85" w:type="dxa"/>
            <w:tcBorders/>
            <w:shd w:fill="auto" w:val="clear"/>
          </w:tcPr>
          <w:p>
            <w:pPr>
              <w:pStyle w:val="TableContents"/>
              <w:spacing w:before="0" w:after="0"/>
              <w:rPr/>
            </w:pPr>
            <w:r>
              <w:rPr/>
              <w:t xml:space="preserve">  </w:t>
            </w:r>
          </w:p>
        </w:tc>
        <w:tc>
          <w:tcPr>
            <w:tcW w:w="144"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3.</w:t>
            </w:r>
          </w:p>
        </w:tc>
        <w:tc>
          <w:tcPr>
            <w:tcW w:w="997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rPr/>
      </w:pPr>
      <w:r>
        <w:rPr/>
      </w:r>
    </w:p>
    <w:p>
      <w:pPr>
        <w:pStyle w:val="Normal"/>
        <w:spacing w:before="0" w:after="0"/>
        <w:rPr>
          <w:sz w:val="4"/>
          <w:szCs w:val="4"/>
        </w:rPr>
      </w:pPr>
      <w:r>
        <w:rPr>
          <w:sz w:val="4"/>
          <w:szCs w:val="4"/>
        </w:rPr>
      </w:r>
      <w:bookmarkStart w:id="482" w:name="hangingindent14"/>
      <w:bookmarkStart w:id="483" w:name="hangingindent14"/>
      <w:bookmarkEnd w:id="483"/>
    </w:p>
    <w:tbl>
      <w:tblPr>
        <w:tblW w:w="5000" w:type="pct"/>
        <w:jc w:val="center"/>
        <w:tblInd w:w="0" w:type="dxa"/>
        <w:tblCellMar>
          <w:top w:w="0" w:type="dxa"/>
          <w:left w:w="0" w:type="dxa"/>
          <w:bottom w:w="0" w:type="dxa"/>
          <w:right w:w="0" w:type="dxa"/>
        </w:tblCellMar>
      </w:tblPr>
      <w:tblGrid>
        <w:gridCol w:w="80"/>
        <w:gridCol w:w="141"/>
        <w:gridCol w:w="9984"/>
      </w:tblGrid>
      <w:tr>
        <w:trPr/>
        <w:tc>
          <w:tcPr>
            <w:tcW w:w="80" w:type="dxa"/>
            <w:tcBorders/>
            <w:shd w:fill="auto" w:val="clear"/>
          </w:tcPr>
          <w:p>
            <w:pPr>
              <w:pStyle w:val="TableContents"/>
              <w:spacing w:before="0" w:after="0"/>
              <w:rPr/>
            </w:pPr>
            <w:r>
              <w:rPr/>
              <w:t xml:space="preserve">  </w:t>
            </w:r>
          </w:p>
        </w:tc>
        <w:tc>
          <w:tcPr>
            <w:tcW w:w="141"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4.</w:t>
            </w:r>
          </w:p>
        </w:tc>
        <w:tc>
          <w:tcPr>
            <w:tcW w:w="998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rPr/>
      </w:pPr>
      <w:r>
        <w:rPr/>
      </w:r>
    </w:p>
    <w:p>
      <w:pPr>
        <w:pStyle w:val="Normal"/>
        <w:spacing w:before="0" w:after="0"/>
        <w:rPr>
          <w:sz w:val="4"/>
          <w:szCs w:val="4"/>
        </w:rPr>
      </w:pPr>
      <w:r>
        <w:rPr>
          <w:sz w:val="4"/>
          <w:szCs w:val="4"/>
        </w:rPr>
      </w:r>
      <w:bookmarkStart w:id="484" w:name="list13"/>
      <w:bookmarkStart w:id="485" w:name="list13"/>
      <w:bookmarkEnd w:id="485"/>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a.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spacing w:before="0" w:after="0"/>
        <w:ind w:left="0" w:right="0" w:hanging="0"/>
        <w:rPr/>
      </w:pPr>
      <w:r>
        <w:rPr/>
      </w:r>
    </w:p>
    <w:p>
      <w:pPr>
        <w:pStyle w:val="Normal"/>
        <w:spacing w:before="0" w:after="0"/>
        <w:rPr>
          <w:sz w:val="4"/>
          <w:szCs w:val="4"/>
        </w:rPr>
      </w:pPr>
      <w:r>
        <w:rPr>
          <w:sz w:val="4"/>
          <w:szCs w:val="4"/>
        </w:rPr>
      </w:r>
      <w:bookmarkStart w:id="486" w:name="list14"/>
      <w:bookmarkStart w:id="487" w:name="list14"/>
      <w:bookmarkEnd w:id="487"/>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b.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rPr/>
      </w:pPr>
      <w:r>
        <w:rPr/>
      </w:r>
    </w:p>
    <w:p>
      <w:pPr>
        <w:pStyle w:val="Normal"/>
        <w:spacing w:before="0" w:after="0"/>
        <w:rPr>
          <w:sz w:val="4"/>
          <w:szCs w:val="4"/>
        </w:rPr>
      </w:pPr>
      <w:r>
        <w:rPr>
          <w:sz w:val="4"/>
          <w:szCs w:val="4"/>
        </w:rPr>
      </w:r>
      <w:bookmarkStart w:id="488" w:name="list15"/>
      <w:bookmarkStart w:id="489" w:name="list15"/>
      <w:bookmarkEnd w:id="489"/>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c.  </w:t>
            </w:r>
          </w:p>
        </w:tc>
        <w:tc>
          <w:tcPr>
            <w:tcW w:w="9946"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90" w:name="list16"/>
      <w:bookmarkStart w:id="491" w:name="list16"/>
      <w:bookmarkEnd w:id="491"/>
    </w:p>
    <w:tbl>
      <w:tblPr>
        <w:tblW w:w="5000" w:type="pct"/>
        <w:jc w:val="left"/>
        <w:tblInd w:w="0" w:type="dxa"/>
        <w:tblCellMar>
          <w:top w:w="0" w:type="dxa"/>
          <w:left w:w="0" w:type="dxa"/>
          <w:bottom w:w="0" w:type="dxa"/>
          <w:right w:w="0" w:type="dxa"/>
        </w:tblCellMar>
      </w:tblPr>
      <w:tblGrid>
        <w:gridCol w:w="274"/>
        <w:gridCol w:w="9931"/>
      </w:tblGrid>
      <w:tr>
        <w:trPr/>
        <w:tc>
          <w:tcPr>
            <w:tcW w:w="27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d.  </w:t>
            </w:r>
          </w:p>
        </w:tc>
        <w:tc>
          <w:tcPr>
            <w:tcW w:w="993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92" w:name="hangingindent15"/>
      <w:bookmarkStart w:id="493" w:name="hangingindent15"/>
      <w:bookmarkEnd w:id="493"/>
    </w:p>
    <w:tbl>
      <w:tblPr>
        <w:tblW w:w="5000" w:type="pct"/>
        <w:jc w:val="center"/>
        <w:tblInd w:w="0" w:type="dxa"/>
        <w:tblCellMar>
          <w:top w:w="0" w:type="dxa"/>
          <w:left w:w="0" w:type="dxa"/>
          <w:bottom w:w="0" w:type="dxa"/>
          <w:right w:w="0" w:type="dxa"/>
        </w:tblCellMar>
      </w:tblPr>
      <w:tblGrid>
        <w:gridCol w:w="84"/>
        <w:gridCol w:w="143"/>
        <w:gridCol w:w="9978"/>
      </w:tblGrid>
      <w:tr>
        <w:trPr/>
        <w:tc>
          <w:tcPr>
            <w:tcW w:w="84" w:type="dxa"/>
            <w:tcBorders/>
            <w:shd w:fill="auto" w:val="clear"/>
          </w:tcPr>
          <w:p>
            <w:pPr>
              <w:pStyle w:val="TableContents"/>
              <w:spacing w:before="0" w:after="0"/>
              <w:rPr/>
            </w:pPr>
            <w:r>
              <w:rPr/>
              <w:t xml:space="preserve">  </w:t>
            </w:r>
          </w:p>
        </w:tc>
        <w:tc>
          <w:tcPr>
            <w:tcW w:w="143"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5.</w:t>
            </w:r>
          </w:p>
        </w:tc>
        <w:tc>
          <w:tcPr>
            <w:tcW w:w="9978"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494" w:name="hangingindent16"/>
      <w:bookmarkStart w:id="495" w:name="hangingindent16"/>
      <w:bookmarkEnd w:id="495"/>
    </w:p>
    <w:tbl>
      <w:tblPr>
        <w:tblW w:w="5000" w:type="pct"/>
        <w:jc w:val="center"/>
        <w:tblInd w:w="0" w:type="dxa"/>
        <w:tblCellMar>
          <w:top w:w="0" w:type="dxa"/>
          <w:left w:w="0" w:type="dxa"/>
          <w:bottom w:w="0" w:type="dxa"/>
          <w:right w:w="0" w:type="dxa"/>
        </w:tblCellMar>
      </w:tblPr>
      <w:tblGrid>
        <w:gridCol w:w="85"/>
        <w:gridCol w:w="155"/>
        <w:gridCol w:w="9965"/>
      </w:tblGrid>
      <w:tr>
        <w:trPr/>
        <w:tc>
          <w:tcPr>
            <w:tcW w:w="85" w:type="dxa"/>
            <w:tcBorders/>
            <w:shd w:fill="auto" w:val="clear"/>
          </w:tcPr>
          <w:p>
            <w:pPr>
              <w:pStyle w:val="TableContents"/>
              <w:spacing w:before="0" w:after="0"/>
              <w:rPr/>
            </w:pPr>
            <w:r>
              <w:rPr/>
              <w:t xml:space="preserve">  </w:t>
            </w:r>
          </w:p>
        </w:tc>
        <w:tc>
          <w:tcPr>
            <w:tcW w:w="15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a.</w:t>
            </w:r>
          </w:p>
        </w:tc>
        <w:tc>
          <w:tcPr>
            <w:tcW w:w="9965"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496" w:name="hangingindent17"/>
      <w:bookmarkStart w:id="497" w:name="hangingindent17"/>
      <w:bookmarkEnd w:id="497"/>
    </w:p>
    <w:tbl>
      <w:tblPr>
        <w:tblW w:w="5000" w:type="pct"/>
        <w:jc w:val="center"/>
        <w:tblInd w:w="0" w:type="dxa"/>
        <w:tblCellMar>
          <w:top w:w="0" w:type="dxa"/>
          <w:left w:w="0" w:type="dxa"/>
          <w:bottom w:w="0" w:type="dxa"/>
          <w:right w:w="0" w:type="dxa"/>
        </w:tblCellMar>
      </w:tblPr>
      <w:tblGrid>
        <w:gridCol w:w="101"/>
        <w:gridCol w:w="170"/>
        <w:gridCol w:w="9934"/>
      </w:tblGrid>
      <w:tr>
        <w:trPr/>
        <w:tc>
          <w:tcPr>
            <w:tcW w:w="101" w:type="dxa"/>
            <w:tcBorders/>
            <w:shd w:fill="auto" w:val="clear"/>
          </w:tcPr>
          <w:p>
            <w:pPr>
              <w:pStyle w:val="TableContents"/>
              <w:spacing w:before="0" w:after="0"/>
              <w:rPr/>
            </w:pPr>
            <w:r>
              <w:rPr/>
              <w:t xml:space="preserve">  </w:t>
            </w:r>
          </w:p>
        </w:tc>
        <w:tc>
          <w:tcPr>
            <w:tcW w:w="17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b.</w:t>
            </w:r>
          </w:p>
        </w:tc>
        <w:tc>
          <w:tcPr>
            <w:tcW w:w="9934"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rPr/>
      </w:pPr>
      <w:r>
        <w:rPr/>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22"/>
        <w:gridCol w:w="406"/>
        <w:gridCol w:w="9377"/>
      </w:tblGrid>
      <w:tr>
        <w:trPr/>
        <w:tc>
          <w:tcPr>
            <w:tcW w:w="42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Date:</w:t>
            </w:r>
          </w:p>
        </w:tc>
        <w:tc>
          <w:tcPr>
            <w:tcW w:w="406" w:type="dxa"/>
            <w:tcBorders/>
            <w:shd w:fill="auto" w:val="clear"/>
          </w:tcPr>
          <w:p>
            <w:pPr>
              <w:pStyle w:val="TableContents"/>
              <w:spacing w:before="0" w:after="283"/>
              <w:rPr/>
            </w:pPr>
            <w:r>
              <w:rPr/>
              <w:t xml:space="preserve">  </w:t>
            </w:r>
          </w:p>
        </w:tc>
        <w:tc>
          <w:tcPr>
            <w:tcW w:w="9377" w:type="dxa"/>
            <w:tcBorders/>
            <w:shd w:fill="auto" w:val="clear"/>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 xml:space="preserve">December 8, 2009                                            </w:t>
            </w:r>
          </w:p>
        </w:tc>
      </w:tr>
      <w:tr>
        <w:trPr/>
        <w:tc>
          <w:tcPr>
            <w:tcW w:w="422"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By:</w:t>
            </w:r>
          </w:p>
        </w:tc>
        <w:tc>
          <w:tcPr>
            <w:tcW w:w="406" w:type="dxa"/>
            <w:tcBorders/>
            <w:shd w:fill="auto" w:val="clear"/>
          </w:tcPr>
          <w:p>
            <w:pPr>
              <w:pStyle w:val="TableContents"/>
              <w:spacing w:before="0" w:after="283"/>
              <w:rPr/>
            </w:pPr>
            <w:r>
              <w:rPr/>
              <w:t xml:space="preserve">  </w:t>
            </w:r>
          </w:p>
        </w:tc>
        <w:tc>
          <w:tcPr>
            <w:tcW w:w="9377" w:type="dxa"/>
            <w:tcBorders/>
            <w:shd w:fill="auto" w:val="clear"/>
            <w:vAlign w:val="bottom"/>
          </w:tcPr>
          <w:p>
            <w:pPr>
              <w:pStyle w:val="TableContents"/>
              <w:spacing w:before="0" w:after="0"/>
              <w:ind w:left="0" w:right="0" w:hanging="0"/>
              <w:jc w:val="both"/>
              <w:rPr>
                <w:rFonts w:ascii="times new roman" w:hAnsi="times new roman"/>
                <w:sz w:val="20"/>
                <w:u w:val="single"/>
              </w:rPr>
            </w:pPr>
            <w:r>
              <w:rPr>
                <w:rFonts w:ascii="times new roman" w:hAnsi="times new roman"/>
                <w:sz w:val="20"/>
                <w:u w:val="single"/>
              </w:rPr>
              <w:t>/s/ Andrew N. Peterson                                </w:t>
            </w:r>
          </w:p>
        </w:tc>
      </w:tr>
      <w:tr>
        <w:trPr/>
        <w:tc>
          <w:tcPr>
            <w:tcW w:w="422" w:type="dxa"/>
            <w:tcBorders/>
            <w:shd w:fill="auto" w:val="clear"/>
          </w:tcPr>
          <w:p>
            <w:pPr>
              <w:pStyle w:val="TableContents"/>
              <w:spacing w:before="0" w:after="283"/>
              <w:rPr/>
            </w:pPr>
            <w:r>
              <w:rPr/>
              <w:t xml:space="preserve">  </w:t>
            </w:r>
          </w:p>
        </w:tc>
        <w:tc>
          <w:tcPr>
            <w:tcW w:w="406" w:type="dxa"/>
            <w:tcBorders/>
            <w:shd w:fill="auto" w:val="clear"/>
          </w:tcPr>
          <w:p>
            <w:pPr>
              <w:pStyle w:val="TableContents"/>
              <w:spacing w:before="0" w:after="283"/>
              <w:rPr/>
            </w:pPr>
            <w:r>
              <w:rPr/>
              <w:t xml:space="preserve">  </w:t>
            </w:r>
          </w:p>
        </w:tc>
        <w:tc>
          <w:tcPr>
            <w:tcW w:w="9377"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Andrew N. Peterson</w:t>
            </w:r>
          </w:p>
          <w:p>
            <w:pPr>
              <w:pStyle w:val="TableContents"/>
              <w:spacing w:before="0" w:after="0"/>
              <w:ind w:left="0" w:right="0" w:hanging="0"/>
              <w:jc w:val="both"/>
              <w:rPr>
                <w:rFonts w:ascii="times new roman" w:hAnsi="times new roman"/>
                <w:sz w:val="20"/>
              </w:rPr>
            </w:pPr>
            <w:r>
              <w:rPr>
                <w:rFonts w:ascii="times new roman" w:hAnsi="times new roman"/>
                <w:sz w:val="20"/>
              </w:rPr>
              <w:t>Vice President and Chief Financial Officer</w:t>
            </w:r>
          </w:p>
        </w:tc>
      </w:tr>
    </w:tbl>
    <w:p>
      <w:pPr>
        <w:pStyle w:val="TextBody"/>
        <w:spacing w:before="0" w:after="0"/>
        <w:rPr/>
      </w:pPr>
      <w:r>
        <w:rPr/>
        <w:b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2</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pStyle w:val="TextBody"/>
        <w:spacing w:before="0" w:after="0"/>
        <w:rPr/>
      </w:pPr>
      <w:r>
        <w:rPr/>
        <w:t> </w:t>
      </w:r>
    </w:p>
    <w:p>
      <w:pPr>
        <w:pStyle w:val="TextBody"/>
        <w:rPr/>
      </w:pPr>
      <w:r>
        <w:rPr/>
        <w:br/>
        <w:t> </w:t>
      </w:r>
      <w:r>
        <w:br w:type="page"/>
      </w:r>
    </w:p>
    <w:p>
      <w:pPr>
        <w:pStyle w:val="TextBody"/>
        <w:spacing w:before="0" w:after="0"/>
        <w:rPr/>
      </w:pPr>
      <w:bookmarkStart w:id="498" w:name="exh32.htm"/>
      <w:bookmarkStart w:id="499" w:name="ksexh32"/>
      <w:bookmarkEnd w:id="498"/>
      <w:bookmarkEnd w:id="499"/>
      <w:r>
        <w:rPr/>
        <w:t> </w:t>
      </w:r>
    </w:p>
    <w:p>
      <w:pPr>
        <w:pStyle w:val="HorizontalLine"/>
        <w:pBdr>
          <w:bottom w:val="single" w:sz="24" w:space="0" w:color="808080"/>
        </w:pBdr>
        <w:rPr/>
      </w:pPr>
      <w:r>
        <w:rPr/>
      </w:r>
    </w:p>
    <w:p>
      <w:pPr>
        <w:pStyle w:val="HorizontalLine"/>
        <w:pBdr>
          <w:bottom w:val="single" w:sz="6" w:space="0" w:color="808080"/>
        </w:pBdr>
        <w:rPr/>
      </w:pPr>
      <w:r>
        <w:rPr/>
      </w:r>
    </w:p>
    <w:p>
      <w:pPr>
        <w:pStyle w:val="TextBody"/>
        <w:spacing w:before="0" w:after="0"/>
        <w:rPr/>
      </w:pP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Exhibit 32: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CERTIFICATIONS PURSUANT TO 18 U.S.C. SECTION 1350 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THE SARBANES-OXLEY ACT OF 2002 CERTIFICATION</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October 31, 2009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December 8, 2009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Daniel S. Jaffee</w:t>
      </w:r>
    </w:p>
    <w:p>
      <w:pPr>
        <w:pStyle w:val="TextBody"/>
        <w:spacing w:before="0" w:after="0"/>
        <w:ind w:left="0" w:right="0" w:hanging="0"/>
        <w:jc w:val="left"/>
        <w:rPr>
          <w:rFonts w:ascii="Times New Roman" w:hAnsi="Times New Roman"/>
          <w:sz w:val="20"/>
        </w:rPr>
      </w:pP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Name: Daniel S. Jaffee</w:t>
      </w:r>
    </w:p>
    <w:p>
      <w:pPr>
        <w:pStyle w:val="TextBody"/>
        <w:spacing w:before="0" w:after="0"/>
        <w:ind w:left="0" w:right="0" w:hanging="0"/>
        <w:jc w:val="left"/>
        <w:rPr>
          <w:rFonts w:ascii="Times New Roman" w:hAnsi="Times New Roman"/>
          <w:sz w:val="20"/>
        </w:rPr>
      </w:pPr>
      <w:r>
        <w:rPr>
          <w:rFonts w:ascii="Times New Roman" w:hAnsi="Times New Roman"/>
          <w:sz w:val="20"/>
        </w:rPr>
        <w:t>Title: President and Chief Executive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Pursuant to 18 U.S.C. Section 1350, the undersigned officer of Oil-Dri Corporation of America (the “Company”) hereby certifies that to the best of my knowledge the Company’s Quarterly Report on Form 10-Q for the quarter ended October 31, 2009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Dated:  December 8, 2009</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Andrew N. Peterson</w:t>
      </w:r>
    </w:p>
    <w:p>
      <w:pPr>
        <w:pStyle w:val="TextBody"/>
        <w:spacing w:before="0" w:after="0"/>
        <w:ind w:left="0" w:right="0" w:hanging="0"/>
        <w:jc w:val="left"/>
        <w:rPr>
          <w:rFonts w:ascii="Times New Roman" w:hAnsi="Times New Roman"/>
          <w:sz w:val="20"/>
        </w:rPr>
      </w:pPr>
      <w:r>
        <w:rPr>
          <w:rFonts w:ascii="Times New Roman" w:hAnsi="Times New Roman"/>
          <w:sz w:val="20"/>
        </w:rPr>
        <w:t>-----------------------------</w:t>
      </w:r>
    </w:p>
    <w:p>
      <w:pPr>
        <w:pStyle w:val="TextBody"/>
        <w:spacing w:before="0" w:after="0"/>
        <w:ind w:left="0" w:right="0" w:hanging="0"/>
        <w:jc w:val="left"/>
        <w:rPr>
          <w:rFonts w:ascii="Times New Roman" w:hAnsi="Times New Roman"/>
          <w:sz w:val="20"/>
        </w:rPr>
      </w:pPr>
      <w:r>
        <w:rPr>
          <w:rFonts w:ascii="Times New Roman" w:hAnsi="Times New Roman"/>
          <w:sz w:val="20"/>
        </w:rPr>
        <w:t>Name: Andrew N. Peterson</w:t>
      </w:r>
    </w:p>
    <w:p>
      <w:pPr>
        <w:pStyle w:val="TextBody"/>
        <w:spacing w:before="0" w:after="0"/>
        <w:ind w:left="0" w:right="0" w:hanging="0"/>
        <w:jc w:val="left"/>
        <w:rPr>
          <w:rFonts w:ascii="Times New Roman" w:hAnsi="Times New Roman"/>
          <w:sz w:val="20"/>
        </w:rPr>
      </w:pPr>
      <w:r>
        <w:rPr>
          <w:rFonts w:ascii="Times New Roman" w:hAnsi="Times New Roman"/>
          <w:sz w:val="20"/>
        </w:rPr>
        <w:t>Title: Vice President and Chief Financial Officer</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signed original of this written statement required by Section 906 has been provided to Oil-Dri Corporation of America and will be retained by Oil-Dri Corporation of America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foregoing certification is being furnished solely pursuant to Section 906 of the Sarbanes-Oxley Act of 2002 (Section 1350, Chapter 63 of Title 18, United States Code) and is not being filed as part of the Report or as a separate disclosure document.</w:t>
      </w:r>
    </w:p>
    <w:p>
      <w:pPr>
        <w:pStyle w:val="TextBody"/>
        <w:spacing w:before="0" w:after="0"/>
        <w:ind w:left="0" w:right="0" w:hanging="0"/>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1</w:t>
      </w:r>
    </w:p>
    <w:p>
      <w:pPr>
        <w:pStyle w:val="HorizontalLine"/>
        <w:pBdr>
          <w:bottom w:val="single" w:sz="6" w:space="0" w:color="808080"/>
        </w:pBdr>
        <w:rPr/>
      </w:pPr>
      <w:r>
        <w:rPr/>
      </w:r>
    </w:p>
    <w:p>
      <w:pPr>
        <w:pStyle w:val="HorizontalLine"/>
        <w:pBdr>
          <w:bottom w:val="single" w:sz="24" w:space="0" w:color="808080"/>
        </w:pBdr>
        <w:rPr/>
      </w:pPr>
      <w:r>
        <w:rPr/>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b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13322</Words>
  <CharactersWithSpaces>88412</CharactersWithSpaces>
  <Paragraphs>3226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