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r>
      <w:tr>
        <w:trPr>
          <w:trHeight w:val="338"/>
        </w:trPr>
        <w:tc>
          <w:tcPr>
            <w:tcW w:w="2080" w:type="dxa"/>
            <w:vAlign w:val="bottom"/>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7"/>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For the Quarterly Period Ended January 31, 2015</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5"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Yes o  No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January 31, 2015.</w:t>
      </w:r>
    </w:p>
    <w:p>
      <w:pPr>
        <w:sectPr>
          <w:pgSz w:w="11900" w:h="16838" w:orient="portrait"/>
          <w:cols w:equalWidth="0" w:num="1">
            <w:col w:w="11380"/>
          </w:cols>
          <w:pgMar w:left="240" w:top="1165" w:right="27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Common Stock – 5,016,942 Shares and Class B Stock – 2,064,994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19</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27</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2014.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Cat’s Pride, Fresh &amp; Light and Oil-Dri are registered trademarks of Oil-Dri Corporation of America. Fresh &amp; Light Ultimate Care is a trademark of Oil-Dri Corporation of America.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16,230</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Accounts receivable, less allowance of $834 and $707</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32,255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at January 31, 2015 and July 31, 2014,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24,483</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1,570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2,221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77,028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83,516</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206,082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199,095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(126,380)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(124,199)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79,702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74,896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of $309 and $420 at January 31, 2015 and July 31, 2014,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Debt issuance costs,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$407 and $522 at January 31, 2015 and July 31 2014,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Licensing agreements and non-compete agreements,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of $1,238 and $1,145 at January 31, 2015 and July 31, 2014,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$1,428 and $764 at January 31, 2015 and July 31, 2014,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4,323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27,584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184,314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186,204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820"/>
              <w:spacing w:after="0"/>
              <w:rPr>
                <w:sz w:val="20"/>
                <w:szCs w:val="20"/>
                <w:color w:val="auto"/>
              </w:rPr>
            </w:pPr>
            <w:r>
              <w:rPr>
                <w:rFonts w:ascii="Arial" w:cs="Arial" w:eastAsia="Arial" w:hAnsi="Arial"/>
                <w:sz w:val="18"/>
                <w:szCs w:val="18"/>
                <w:b w:val="1"/>
                <w:bCs w:val="1"/>
                <w:color w:val="auto"/>
              </w:rPr>
              <w:t>LIABILITIES &amp; STOCKHOLDERS’ EQUITY</w:t>
            </w: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vMerge w:val="restart"/>
          </w:tcPr>
          <w:p>
            <w:pPr>
              <w:spacing w:after="0"/>
              <w:rPr>
                <w:sz w:val="20"/>
                <w:szCs w:val="20"/>
                <w:color w:val="auto"/>
              </w:rPr>
            </w:pPr>
            <w:r>
              <w:rPr>
                <w:rFonts w:ascii="Arial" w:cs="Arial" w:eastAsia="Arial" w:hAnsi="Arial"/>
                <w:sz w:val="18"/>
                <w:szCs w:val="18"/>
                <w:b w:val="1"/>
                <w:bCs w:val="1"/>
                <w:color w:val="auto"/>
                <w:w w:val="92"/>
              </w:rPr>
              <w:t>Current Liabilities</w:t>
            </w:r>
          </w:p>
        </w:tc>
        <w:tc>
          <w:tcPr>
            <w:tcW w:w="7320" w:type="dxa"/>
            <w:vAlign w:val="bottom"/>
            <w:gridSpan w:val="3"/>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73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Current maturities of notes payable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3,483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1,313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Salaries, wages and commissions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4,470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Trade promotions and advertising</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Freight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27,720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7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Deferred compensation</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9,624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49,667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52,396</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77,387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81,896</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87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Common Stock, par value $.10 per share, issued 7,934,093 shares at January 31, 2015</w:t>
            </w:r>
          </w:p>
        </w:tc>
        <w:tc>
          <w:tcPr>
            <w:tcW w:w="140" w:type="dxa"/>
            <w:vAlign w:val="bottom"/>
          </w:tcPr>
          <w:p>
            <w:pPr>
              <w:spacing w:after="0"/>
              <w:rPr>
                <w:sz w:val="19"/>
                <w:szCs w:val="19"/>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Arial" w:cs="Arial" w:eastAsia="Arial" w:hAnsi="Arial"/>
                <w:sz w:val="18"/>
                <w:szCs w:val="18"/>
                <w:color w:val="auto"/>
              </w:rPr>
              <w:t>and 7,917,393 shares at July 31, 2014</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Class B Stock, par value $.10 per share, issued 2,389,735 shares at January 31, 2015</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7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2,394,735 shares at July 31, 2014</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33,467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33,130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Restricted unearned stock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138,330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136,039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Unrealized gain on marketable securities</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Cumulative translation adjustment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40" w:type="dxa"/>
            <w:vAlign w:val="bottom"/>
            <w:tcBorders>
              <w:bottom w:val="single" w:sz="8" w:color="BFE4FF"/>
            </w:tcBorders>
          </w:tcPr>
          <w:p>
            <w:pPr>
              <w:spacing w:after="0"/>
              <w:rPr>
                <w:sz w:val="2"/>
                <w:szCs w:val="2"/>
                <w:color w:val="auto"/>
              </w:rPr>
            </w:pPr>
          </w:p>
        </w:tc>
        <w:tc>
          <w:tcPr>
            <w:tcW w:w="1440" w:type="dxa"/>
            <w:vAlign w:val="bottom"/>
            <w:tcBorders>
              <w:bottom w:val="single" w:sz="8" w:color="BFE4FF"/>
            </w:tcBorders>
          </w:tcPr>
          <w:p>
            <w:pPr>
              <w:spacing w:after="0"/>
              <w:rPr>
                <w:sz w:val="2"/>
                <w:szCs w:val="2"/>
                <w:color w:val="auto"/>
              </w:rPr>
            </w:pPr>
          </w:p>
        </w:tc>
        <w:tc>
          <w:tcPr>
            <w:tcW w:w="18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706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BFE4FF"/>
            </w:tcBorders>
            <w:shd w:val="clear" w:color="auto" w:fill="BFE4FF"/>
          </w:tcPr>
          <w:p>
            <w:pPr>
              <w:spacing w:after="0"/>
              <w:rPr>
                <w:sz w:val="22"/>
                <w:szCs w:val="22"/>
                <w:color w:val="auto"/>
              </w:rPr>
            </w:pPr>
          </w:p>
        </w:tc>
        <w:tc>
          <w:tcPr>
            <w:tcW w:w="8760" w:type="dxa"/>
            <w:vAlign w:val="bottom"/>
            <w:tcBorders>
              <w:bottom w:val="single" w:sz="8" w:color="BFE4FF"/>
            </w:tcBorders>
            <w:gridSpan w:val="4"/>
            <w:shd w:val="clear" w:color="auto" w:fill="BFE4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Less Treasury Stock, at cost (2,917,151 Common and 324,741 Class B shares at</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(55,451)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180"/>
              <w:spacing w:after="0"/>
              <w:rPr>
                <w:sz w:val="20"/>
                <w:szCs w:val="20"/>
                <w:color w:val="auto"/>
              </w:rPr>
            </w:pPr>
            <w:r>
              <w:rPr>
                <w:rFonts w:ascii="Arial" w:cs="Arial" w:eastAsia="Arial" w:hAnsi="Arial"/>
                <w:sz w:val="18"/>
                <w:szCs w:val="18"/>
                <w:color w:val="auto"/>
              </w:rPr>
              <w:t>January 31, 2015 and 2,915,651 Common and 324,741 Class B shares at July 31, 2014)</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106,927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104,308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Liabilities &amp;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184,314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186,204</w:t>
            </w:r>
          </w:p>
        </w:tc>
        <w:tc>
          <w:tcPr>
            <w:tcW w:w="0" w:type="dxa"/>
            <w:vAlign w:val="bottom"/>
          </w:tcPr>
          <w:p>
            <w:pPr>
              <w:spacing w:after="0"/>
              <w:rPr>
                <w:sz w:val="1"/>
                <w:szCs w:val="1"/>
                <w:color w:val="auto"/>
              </w:rPr>
            </w:pPr>
          </w:p>
        </w:tc>
      </w:tr>
      <w:tr>
        <w:trPr>
          <w:trHeight w:val="20"/>
        </w:trPr>
        <w:tc>
          <w:tcPr>
            <w:tcW w:w="880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1"/>
              </w:rPr>
              <w:t>(unaudited)</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2820" w:type="dxa"/>
            <w:vAlign w:val="bottom"/>
            <w:tcBorders>
              <w:bottom w:val="single" w:sz="8" w:color="auto"/>
            </w:tcBorders>
            <w:gridSpan w:val="6"/>
          </w:tcPr>
          <w:p>
            <w:pPr>
              <w:spacing w:after="0"/>
              <w:rPr>
                <w:sz w:val="2"/>
                <w:szCs w:val="2"/>
                <w:color w:val="auto"/>
              </w:rPr>
            </w:pPr>
          </w:p>
        </w:tc>
      </w:tr>
      <w:tr>
        <w:trPr>
          <w:trHeight w:val="218"/>
        </w:trPr>
        <w:tc>
          <w:tcPr>
            <w:tcW w:w="8560" w:type="dxa"/>
            <w:vAlign w:val="bottom"/>
          </w:tcPr>
          <w:p>
            <w:pPr>
              <w:spacing w:after="0"/>
              <w:rPr>
                <w:sz w:val="18"/>
                <w:szCs w:val="18"/>
                <w:color w:val="auto"/>
              </w:rPr>
            </w:pPr>
          </w:p>
        </w:tc>
        <w:tc>
          <w:tcPr>
            <w:tcW w:w="28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5"/>
              </w:rPr>
              <w:t>31,</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34"/>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130,687</w:t>
            </w: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132,851</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(101,685)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(99,458)</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29,002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33,393</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(21,561)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(23,317)</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7,441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10,076</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8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8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6,751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9,423</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4,917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7,168</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8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136,039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132,750</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Cash dividends declared and treasury stock issuances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138,330</w:t>
            </w: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137,422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0.75</w:t>
            </w: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0.56</w:t>
            </w:r>
          </w:p>
        </w:tc>
        <w:tc>
          <w:tcPr>
            <w:tcW w:w="6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0.69</w:t>
            </w: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4,951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4,967</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1,999</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7,023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6,991</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0.4000</w:t>
            </w: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0.3800</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0.3000</w:t>
            </w: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0.2850</w:t>
            </w:r>
          </w:p>
        </w:tc>
      </w:tr>
      <w:tr>
        <w:trPr>
          <w:trHeight w:val="27"/>
        </w:trPr>
        <w:tc>
          <w:tcPr>
            <w:tcW w:w="8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1"/>
              </w:rPr>
              <w:t>(unaudited)</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2820" w:type="dxa"/>
            <w:vAlign w:val="bottom"/>
            <w:tcBorders>
              <w:bottom w:val="single" w:sz="8" w:color="auto"/>
            </w:tcBorders>
            <w:gridSpan w:val="6"/>
          </w:tcPr>
          <w:p>
            <w:pPr>
              <w:spacing w:after="0"/>
              <w:rPr>
                <w:sz w:val="2"/>
                <w:szCs w:val="2"/>
                <w:color w:val="auto"/>
              </w:rPr>
            </w:pPr>
          </w:p>
        </w:tc>
      </w:tr>
      <w:tr>
        <w:trPr>
          <w:trHeight w:val="218"/>
        </w:trPr>
        <w:tc>
          <w:tcPr>
            <w:tcW w:w="8560" w:type="dxa"/>
            <w:vAlign w:val="bottom"/>
          </w:tcPr>
          <w:p>
            <w:pPr>
              <w:spacing w:after="0"/>
              <w:rPr>
                <w:sz w:val="18"/>
                <w:szCs w:val="18"/>
                <w:color w:val="auto"/>
              </w:rPr>
            </w:pPr>
          </w:p>
        </w:tc>
        <w:tc>
          <w:tcPr>
            <w:tcW w:w="28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5"/>
              </w:rPr>
              <w:t>31,</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34"/>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4,917</w:t>
            </w: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7,168</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8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loss on 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Pension and postretirement benefits (net of tax)</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4,558</w:t>
            </w: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6,985</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1"/>
              </w:rPr>
              <w:t>(unaudited)</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r>
      <w:tr>
        <w:trPr>
          <w:trHeight w:val="218"/>
        </w:trPr>
        <w:tc>
          <w:tcPr>
            <w:tcW w:w="8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34"/>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2"/>
              </w:rPr>
              <w:t>January 31,</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34"/>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64,643</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69,305</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(49,410)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(52,412)</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15,233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16,893</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(11,159)</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4,281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5,734</w:t>
            </w: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8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8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3,886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5,530</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97"/>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2,797</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4,281</w:t>
            </w:r>
          </w:p>
        </w:tc>
      </w:tr>
      <w:tr>
        <w:trPr>
          <w:trHeight w:val="284"/>
        </w:trPr>
        <w:tc>
          <w:tcPr>
            <w:tcW w:w="8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Basic Common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Basic Class B</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0.32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0.49</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Basic Common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4,979</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Basic Class B</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2,005</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7,007</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Basic Common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0.1900</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Basic Class B</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0.1500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0.1425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96"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1"/>
              </w:rPr>
              <w:t>(unaudited)</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r>
      <w:tr>
        <w:trPr>
          <w:trHeight w:val="218"/>
        </w:trPr>
        <w:tc>
          <w:tcPr>
            <w:tcW w:w="8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34"/>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2"/>
              </w:rPr>
              <w:t>January 31,</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34"/>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2,797</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4,281</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8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gain on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Pension and postretirement benefits (net of tax)</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Cumulative translation adjustment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4,116</w:t>
            </w:r>
          </w:p>
        </w:tc>
      </w:tr>
      <w:tr>
        <w:trPr>
          <w:trHeight w:val="20"/>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10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80" w:type="dxa"/>
            <w:vAlign w:val="bottom"/>
            <w:tcBorders>
              <w:bottom w:val="single" w:sz="8" w:color="auto"/>
            </w:tcBorders>
            <w:gridSpan w:val="5"/>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08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For the Six Months Ended January 31,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834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17"/>
                <w:szCs w:val="17"/>
                <w:color w:val="auto"/>
              </w:rPr>
            </w:pPr>
          </w:p>
        </w:tc>
        <w:tc>
          <w:tcPr>
            <w:tcW w:w="116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2014</w:t>
            </w: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7"/>
        </w:trPr>
        <w:tc>
          <w:tcPr>
            <w:tcW w:w="8340" w:type="dxa"/>
            <w:vAlign w:val="bottom"/>
            <w:gridSpan w:val="5"/>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4,917</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7,168</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5,936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4,860</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Non-cash stock compensation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656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560</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Provision for bad debts and cash discounts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Loss on the sale of fixed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Gain on sale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(Increase) Decrease in 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(5,919)</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822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(1,347)</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Arial" w:cs="Arial" w:eastAsia="Arial" w:hAnsi="Arial"/>
                <w:sz w:val="18"/>
                <w:szCs w:val="18"/>
                <w:color w:val="auto"/>
              </w:rPr>
              <w:t>Deferred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357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407</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Pension and postretirement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Adjustments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5,690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(4,768)</w:t>
            </w:r>
          </w:p>
        </w:tc>
      </w:tr>
      <w:tr>
        <w:trPr>
          <w:trHeight w:val="237"/>
        </w:trPr>
        <w:tc>
          <w:tcPr>
            <w:tcW w:w="40" w:type="dxa"/>
            <w:vAlign w:val="bottom"/>
          </w:tcPr>
          <w:p>
            <w:pPr>
              <w:spacing w:after="0"/>
              <w:rPr>
                <w:sz w:val="20"/>
                <w:szCs w:val="20"/>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10,607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2,400</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9"/>
        </w:trPr>
        <w:tc>
          <w:tcPr>
            <w:tcW w:w="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03"/>
        </w:trPr>
        <w:tc>
          <w:tcPr>
            <w:tcW w:w="834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(6,782)</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Acquisition of business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(12,505)</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(7,991)</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Dispositions of short-term investments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2,401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19,352</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sale of marketable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(7,967)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(8,410)</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9"/>
        </w:trPr>
        <w:tc>
          <w:tcPr>
            <w:tcW w:w="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03"/>
        </w:trPr>
        <w:tc>
          <w:tcPr>
            <w:tcW w:w="834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Principal payments on notes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 of treasury stock</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Proceeds from issuance of treasury stock</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(5,919)</w:t>
            </w:r>
          </w:p>
        </w:tc>
      </w:tr>
      <w:tr>
        <w:trPr>
          <w:trHeight w:val="237"/>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(11,953)</w:t>
            </w: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16,230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24,035</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12,763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12,082</w:t>
            </w: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08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1084"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(unaudited)</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8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08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For the Six Months Ended January 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included in Accounts payable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Capital expenditures included in Accrued expenses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10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2014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and six months ended January 31, 2015 are not necessarily an indication of the results that may be expected for the fiscal year ending July 31,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expenses and related disclosures. Estimates and assumptions are revised periodically. Actual results could differ from these estimates.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when risk of loss and title are transferred under the terms of our sales agreements with customers at a fixed and determinable price and collection of payment is probable. Trade promotion reserves are provided for sales incentives made directly to consumers, such as coupons, and sales incentives made to customers, such as slotting, discounts based on sales volume, cooperative marketing programs and other arrangements. Such trade promotion costs are netted against sales. Sales returns and allowances are not material.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advertising and marketing-related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an allowance for doubtful accounts based on our historical experience and a periodic review of our accounts receivable, including a review of the overall aging of accounts and analysis of specific customer accounts. A customer account is determined to be uncollectible when we have completed our internal collection procedures, including termination of shipments, direct customer contact and formal demand of payment.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thereby minimizing the costs associated with the reclamation process.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right="766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Recently Adopted Accounting Standards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tangible property regulations ("repair regulations") released by the Internal Revenue Service in September 2013 under Sections 162(a) and 263(a)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Internal Revenue Code were effective for our tax year beginning August 1, 2014. The repair regulations provide guidance regarding the timing of deductions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capitalization of amounts paid to acquire, produce or improve tangible property. We believe our accounting policies comply with the requirements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repair regulations and there is no material impact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Regulations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FASB issued guidance under ASC 250, </w:t>
      </w:r>
      <w:r>
        <w:rPr>
          <w:rFonts w:ascii="Arial" w:cs="Arial" w:eastAsia="Arial" w:hAnsi="Arial"/>
          <w:sz w:val="18"/>
          <w:szCs w:val="18"/>
          <w:i w:val="1"/>
          <w:iCs w:val="1"/>
          <w:color w:val="auto"/>
        </w:rPr>
        <w:t>Revenue from Contract with Customers</w:t>
      </w:r>
      <w:r>
        <w:rPr>
          <w:rFonts w:ascii="Arial" w:cs="Arial" w:eastAsia="Arial" w:hAnsi="Arial"/>
          <w:sz w:val="18"/>
          <w:szCs w:val="18"/>
          <w:color w:val="auto"/>
        </w:rPr>
        <w:t>, which establishes a single comprehensive revenue recognition model for all contracts with customers and will supersede most existing revenue guidance. This guidance requires entities to recognize revenue to depict the transfer of promised goods or services to customers in an amount that reflects the consideration to which the entity expects to be entitled to receive in exchange. Transition options include either a full or modified retrospective approach and early adoption is not permitted. This guidance will be effective at the beginning of our first quarter of fiscal 2017. We are currently evaluating the impact of the adoption of this requirement on our Consolidated Financial Statements.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ended July 31, 2017. We are currently evaluating the impact of the adoption of this requirement on our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62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24"/>
                <w:szCs w:val="24"/>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7"/>
        </w:trPr>
        <w:tc>
          <w:tcPr>
            <w:tcW w:w="192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14,326</w:t>
            </w:r>
          </w:p>
        </w:tc>
      </w:tr>
      <w:tr>
        <w:trPr>
          <w:trHeight w:val="243"/>
        </w:trPr>
        <w:tc>
          <w:tcPr>
            <w:tcW w:w="1920" w:type="dxa"/>
            <w:vAlign w:val="bottom"/>
          </w:tcPr>
          <w:p>
            <w:pPr>
              <w:spacing w:after="0"/>
              <w:rPr>
                <w:sz w:val="21"/>
                <w:szCs w:val="21"/>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5,226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5,402</w:t>
            </w:r>
          </w:p>
        </w:tc>
      </w:tr>
      <w:tr>
        <w:trPr>
          <w:trHeight w:val="27"/>
        </w:trPr>
        <w:tc>
          <w:tcPr>
            <w:tcW w:w="19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4,755</w:t>
            </w:r>
          </w:p>
        </w:tc>
      </w:tr>
      <w:tr>
        <w:trPr>
          <w:trHeight w:val="257"/>
        </w:trPr>
        <w:tc>
          <w:tcPr>
            <w:tcW w:w="1920" w:type="dxa"/>
            <w:vAlign w:val="bottom"/>
          </w:tcPr>
          <w:p>
            <w:pPr>
              <w:spacing w:after="0"/>
              <w:rPr>
                <w:sz w:val="22"/>
                <w:szCs w:val="22"/>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23,661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24,483</w:t>
            </w:r>
          </w:p>
        </w:tc>
      </w:tr>
      <w:tr>
        <w:trPr>
          <w:trHeight w:val="20"/>
        </w:trPr>
        <w:tc>
          <w:tcPr>
            <w:tcW w:w="19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detailed review of our inventory items to determine if an obsolescence reserve adjustment is necessary. The review surveys all of our operating facilities and sales groups to ensure that both historical issues and new market trends are considered. The obsolescence reserve not only considers specific items, but also takes into consideration the overall value of the inventory as of the balance sheet date. The inventory obsolescence reserve values at January 31, 2015 and July 31, 2014 were $483,000 and $390,000,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hierarchy are as follows:</w:t>
      </w:r>
    </w:p>
    <w:p>
      <w:pPr>
        <w:spacing w:after="0" w:line="127"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ind w:left="980" w:right="60" w:hanging="917"/>
        <w:spacing w:after="0" w:line="277" w:lineRule="auto"/>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unobservable. These inputs may reflect estimates of the assumptions that market participants would use in valuing the financial assets and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financial assets and liabilities that were measured at fair value by level within the fair value hierarchy:</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3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Fair Value at January 31, 2015</w:t>
            </w:r>
          </w:p>
        </w:tc>
        <w:tc>
          <w:tcPr>
            <w:tcW w:w="320" w:type="dxa"/>
            <w:vAlign w:val="bottom"/>
          </w:tcPr>
          <w:p>
            <w:pPr>
              <w:spacing w:after="0"/>
              <w:rPr>
                <w:sz w:val="20"/>
                <w:szCs w:val="20"/>
                <w:color w:val="auto"/>
              </w:rPr>
            </w:pPr>
          </w:p>
        </w:tc>
        <w:tc>
          <w:tcPr>
            <w:tcW w:w="2800" w:type="dxa"/>
            <w:vAlign w:val="bottom"/>
            <w:gridSpan w:val="4"/>
          </w:tcPr>
          <w:p>
            <w:pPr>
              <w:ind w:left="220"/>
              <w:spacing w:after="0"/>
              <w:rPr>
                <w:sz w:val="20"/>
                <w:szCs w:val="20"/>
                <w:color w:val="auto"/>
              </w:rPr>
            </w:pPr>
            <w:r>
              <w:rPr>
                <w:rFonts w:ascii="Arial" w:cs="Arial" w:eastAsia="Arial" w:hAnsi="Arial"/>
                <w:sz w:val="18"/>
                <w:szCs w:val="18"/>
                <w:b w:val="1"/>
                <w:bCs w:val="1"/>
                <w:color w:val="auto"/>
              </w:rPr>
              <w:t>Fair Value at July 31, 2014</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360" w:type="dxa"/>
            <w:vAlign w:val="bottom"/>
            <w:gridSpan w:val="5"/>
          </w:tcPr>
          <w:p>
            <w:pPr>
              <w:jc w:val="center"/>
              <w:ind w:right="114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3"/>
                <w:szCs w:val="23"/>
                <w:color w:val="auto"/>
              </w:rPr>
            </w:pPr>
          </w:p>
        </w:tc>
        <w:tc>
          <w:tcPr>
            <w:tcW w:w="280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 1</w:t>
            </w:r>
          </w:p>
        </w:tc>
        <w:tc>
          <w:tcPr>
            <w:tcW w:w="0" w:type="dxa"/>
            <w:vAlign w:val="bottom"/>
          </w:tcPr>
          <w:p>
            <w:pPr>
              <w:spacing w:after="0"/>
              <w:rPr>
                <w:sz w:val="1"/>
                <w:szCs w:val="1"/>
                <w:color w:val="auto"/>
              </w:rPr>
            </w:pPr>
          </w:p>
        </w:tc>
      </w:tr>
      <w:tr>
        <w:trPr>
          <w:trHeight w:val="27"/>
        </w:trPr>
        <w:tc>
          <w:tcPr>
            <w:tcW w:w="3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3,052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Marketable equity securities</w:t>
            </w:r>
          </w:p>
        </w:tc>
        <w:tc>
          <w:tcPr>
            <w:tcW w:w="98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Cash equivalents were classified as Level 1 of the fair value hierarchy because they were valued using quoted market prices in active markets. These cash instruments are primarily money market mutual funds and are included in cash and cash equivalents on the condensed Consolidated Balance Sheets.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Marketable equity securities were valued using quoted market prices in active markets and as such are classified as Level 1 in the fair value hierarchy. We owned stock in one publicly traded company at July 31, 2014, which was included in other assets on the condensed Consolidated Balance Sheets. We sold the stock of this company in the first quarter of fiscal 2015 after it was acquired by another company.</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Short-term investments on the condensed Consolidated Balance Sheets included U.S. Treasury securities and certificates of deposit. We intend and have the ability to hold our short-term investments to maturity; therefore, these investments were reported at amortized cost on the condensed Consolidated Balance Sheets, which approximated fair value as of January 31, 2015 and July 31, 2014. These balances are excluded from the above table.</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Accounts receivable and accounts payable balances on the condensed Consolidated Balance Sheets approximated their fair values at January 31, 2015 and July 31, 2014 due to the short maturity and nature of those balances; therefore, these balances are excluded from the above table.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Prepaid expenses and other assets on the condensed Consolidated Balance Sheets as of July 31, 2014 included a receivable of $255,000 related to our acquisition of certain assets of MFM Industries Inc. ("MFM") during fiscal 2014. This receivable is excluded from the above table. The receivable represented the estimated amount due to us upon the sale of the real property retained by MFM. We evaluated the value of this receivable during fiscal 2015 and reduced the balance to $114,500 as of the end of the first quarter of fiscal 2015. We received $116,000 in settlement upon sale of the land during the second quarter of fiscal 2015, thereby eliminating the receivable balance as of January 31, 2015.</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payable on the condensed Consolidated Balance Sheets are carried at the face amount of future maturities and are excluded from the above table. The estimated fair value of notes payable, including current maturities, was $20,039,000 and $23,940,000 as of January 31, 2015 and July 31, 2014, respectively.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for further information about goodwill and other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Intangible amortization expense was $400,000 and $337,000 in the second quarter of fiscal 2015 and 2014, respectively. Intangible amortization expense was $820,000 and $425,000 for the first six months of fiscal 2015 and 2014, respectively. Estimated intangible amortization for the remainder of fiscal 2015 is $788,000. Estimated intangible amortization for the next five fiscal years is as follows (in thousands):</w:t>
      </w:r>
    </w:p>
    <w:p>
      <w:pPr>
        <w:spacing w:after="0" w:line="99"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2016</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2017</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2018</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2019</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2020</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10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$376,000 that was determined to have an indefinite life and is not amortized.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annual goodwill impairment analysis was performed in the first quarter of fiscal 2015 and did not indicate any impairment.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Pension Benefits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87"/>
              </w:rPr>
              <w:t>(in thousands)</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3200" w:type="dxa"/>
            <w:vAlign w:val="bottom"/>
            <w:tcBorders>
              <w:bottom w:val="single" w:sz="8" w:color="auto"/>
            </w:tcBorders>
            <w:gridSpan w:val="7"/>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320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w w:val="91"/>
              </w:rPr>
              <w:t>For the Three Months Ended January</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5"/>
              </w:rPr>
              <w:t>31,</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5"/>
          </w:tcPr>
          <w:p>
            <w:pPr>
              <w:ind w:left="60"/>
              <w:spacing w:after="0"/>
              <w:rPr>
                <w:sz w:val="20"/>
                <w:szCs w:val="20"/>
                <w:color w:val="auto"/>
              </w:rPr>
            </w:pPr>
            <w:r>
              <w:rPr>
                <w:rFonts w:ascii="Arial" w:cs="Arial" w:eastAsia="Arial" w:hAnsi="Arial"/>
                <w:sz w:val="18"/>
                <w:szCs w:val="18"/>
                <w:b w:val="1"/>
                <w:bCs w:val="1"/>
                <w:color w:val="auto"/>
                <w:w w:val="91"/>
              </w:rPr>
              <w:t>For the Six Months Ended January 31,</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803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721</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(469)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1,083</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897</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68"/>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Postretirement Health Benefits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87"/>
              </w:rPr>
              <w:t>(in thousands)</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3200" w:type="dxa"/>
            <w:vAlign w:val="bottom"/>
            <w:tcBorders>
              <w:bottom w:val="single" w:sz="8" w:color="auto"/>
            </w:tcBorders>
            <w:gridSpan w:val="7"/>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320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w w:val="91"/>
              </w:rPr>
              <w:t>For the Three Months Ended January</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5"/>
              </w:rPr>
              <w:t>31,</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5"/>
          </w:tcPr>
          <w:p>
            <w:pPr>
              <w:ind w:left="60"/>
              <w:spacing w:after="0"/>
              <w:rPr>
                <w:sz w:val="20"/>
                <w:szCs w:val="20"/>
                <w:color w:val="auto"/>
              </w:rPr>
            </w:pPr>
            <w:r>
              <w:rPr>
                <w:rFonts w:ascii="Arial" w:cs="Arial" w:eastAsia="Arial" w:hAnsi="Arial"/>
                <w:sz w:val="18"/>
                <w:szCs w:val="18"/>
                <w:b w:val="1"/>
                <w:bCs w:val="1"/>
                <w:color w:val="auto"/>
                <w:w w:val="91"/>
              </w:rPr>
              <w:t>For the Six Months Ended January 31,</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transition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516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ectPr>
          <w:pgSz w:w="11900" w:h="16838" w:orient="portrait"/>
          <w:cols w:equalWidth="0" w:num="1">
            <w:col w:w="11420"/>
          </w:cols>
          <w:pgMar w:left="240" w:top="58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4" w:right="239" w:bottom="1440" w:gutter="0" w:footer="0" w:header="0"/>
          <w:type w:val="continuous"/>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contributed $350,000 and $581,000 to our pension plan during the second quarter and first six months of fiscal 2015, respectively. We estimate contributions will be $1,276,000 for the remainder of fiscal 2015. See Item 3. "Quantitative and Qualitative Disclosures About Market Risk" for a discussion of the potential impact of financial market fluctuations on pension plan assets and future funding contributions.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Assumptions used in the previous calculations were as follows: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5860" w:type="dxa"/>
            <w:vAlign w:val="bottom"/>
          </w:tcPr>
          <w:p>
            <w:pPr>
              <w:spacing w:after="0"/>
              <w:rPr>
                <w:sz w:val="24"/>
                <w:szCs w:val="24"/>
                <w:color w:val="auto"/>
              </w:rPr>
            </w:pPr>
          </w:p>
        </w:tc>
        <w:tc>
          <w:tcPr>
            <w:tcW w:w="2840" w:type="dxa"/>
            <w:vAlign w:val="bottom"/>
            <w:gridSpan w:val="4"/>
          </w:tcPr>
          <w:p>
            <w:pPr>
              <w:ind w:left="740"/>
              <w:spacing w:after="0"/>
              <w:rPr>
                <w:sz w:val="20"/>
                <w:szCs w:val="20"/>
                <w:color w:val="auto"/>
              </w:rPr>
            </w:pPr>
            <w:r>
              <w:rPr>
                <w:rFonts w:ascii="Arial" w:cs="Arial" w:eastAsia="Arial" w:hAnsi="Arial"/>
                <w:sz w:val="18"/>
                <w:szCs w:val="18"/>
                <w:b w:val="1"/>
                <w:bCs w:val="1"/>
                <w:color w:val="auto"/>
              </w:rPr>
              <w:t>Pension Benefits</w:t>
            </w:r>
          </w:p>
        </w:tc>
        <w:tc>
          <w:tcPr>
            <w:tcW w:w="27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6"/>
              </w:rPr>
              <w:t>Postretirement Health Benefits</w:t>
            </w:r>
          </w:p>
        </w:tc>
      </w:tr>
      <w:tr>
        <w:trPr>
          <w:trHeight w:val="27"/>
        </w:trPr>
        <w:tc>
          <w:tcPr>
            <w:tcW w:w="5860" w:type="dxa"/>
            <w:vAlign w:val="bottom"/>
          </w:tcPr>
          <w:p>
            <w:pPr>
              <w:spacing w:after="0"/>
              <w:rPr>
                <w:sz w:val="2"/>
                <w:szCs w:val="2"/>
                <w:color w:val="auto"/>
              </w:rPr>
            </w:pPr>
          </w:p>
        </w:tc>
        <w:tc>
          <w:tcPr>
            <w:tcW w:w="4720" w:type="dxa"/>
            <w:vAlign w:val="bottom"/>
            <w:tcBorders>
              <w:bottom w:val="single" w:sz="8" w:color="auto"/>
            </w:tcBorders>
            <w:gridSpan w:val="7"/>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4720" w:type="dxa"/>
            <w:vAlign w:val="bottom"/>
            <w:gridSpan w:val="7"/>
          </w:tcPr>
          <w:p>
            <w:pPr>
              <w:ind w:left="880"/>
              <w:spacing w:after="0"/>
              <w:rPr>
                <w:sz w:val="20"/>
                <w:szCs w:val="20"/>
                <w:color w:val="auto"/>
              </w:rPr>
            </w:pPr>
            <w:r>
              <w:rPr>
                <w:rFonts w:ascii="Arial" w:cs="Arial" w:eastAsia="Arial" w:hAnsi="Arial"/>
                <w:sz w:val="18"/>
                <w:szCs w:val="18"/>
                <w:b w:val="1"/>
                <w:bCs w:val="1"/>
                <w:color w:val="auto"/>
                <w:w w:val="91"/>
              </w:rPr>
              <w:t>For the Three and Six Months Ended January 31,</w:t>
            </w:r>
          </w:p>
        </w:tc>
        <w:tc>
          <w:tcPr>
            <w:tcW w:w="84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5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8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7.5%. The graded trend rate is expected to decrease to an ultimate rate of 5.0% in fiscal 2024.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operating segments are also our reportable segments.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2014.</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4"/>
          </w:tcPr>
          <w:p>
            <w:pPr>
              <w:jc w:val="right"/>
              <w:ind w:right="1070"/>
              <w:spacing w:after="0"/>
              <w:rPr>
                <w:sz w:val="20"/>
                <w:szCs w:val="20"/>
                <w:color w:val="auto"/>
              </w:rPr>
            </w:pPr>
            <w:r>
              <w:rPr>
                <w:rFonts w:ascii="Arial" w:cs="Arial" w:eastAsia="Arial" w:hAnsi="Arial"/>
                <w:sz w:val="18"/>
                <w:szCs w:val="18"/>
                <w:b w:val="1"/>
                <w:bCs w:val="1"/>
                <w:color w:val="auto"/>
              </w:rPr>
              <w:t>Assets</w:t>
            </w:r>
          </w:p>
        </w:tc>
      </w:tr>
      <w:tr>
        <w:trPr>
          <w:trHeight w:val="27"/>
        </w:trPr>
        <w:tc>
          <w:tcPr>
            <w:tcW w:w="8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8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8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July 31, 2014</w:t>
            </w:r>
          </w:p>
        </w:tc>
      </w:tr>
      <w:tr>
        <w:trPr>
          <w:trHeight w:val="27"/>
        </w:trPr>
        <w:tc>
          <w:tcPr>
            <w:tcW w:w="8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r>
      <w:tr>
        <w:trPr>
          <w:trHeight w:val="237"/>
        </w:trPr>
        <w:tc>
          <w:tcPr>
            <w:tcW w:w="8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55,716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53,823</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95,768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95,712</w:t>
            </w:r>
          </w:p>
        </w:tc>
      </w:tr>
      <w:tr>
        <w:trPr>
          <w:trHeight w:val="27"/>
        </w:trPr>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32,830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36,669</w:t>
            </w:r>
          </w:p>
        </w:tc>
      </w:tr>
      <w:tr>
        <w:trPr>
          <w:trHeight w:val="257"/>
        </w:trPr>
        <w:tc>
          <w:tcPr>
            <w:tcW w:w="848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184,314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186,204</w:t>
            </w: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gridSpan w:val="14"/>
          </w:tcPr>
          <w:p>
            <w:pPr>
              <w:ind w:left="100"/>
              <w:spacing w:after="0"/>
              <w:rPr>
                <w:sz w:val="20"/>
                <w:szCs w:val="20"/>
                <w:color w:val="auto"/>
              </w:rPr>
            </w:pPr>
            <w:r>
              <w:rPr>
                <w:rFonts w:ascii="Arial" w:cs="Arial" w:eastAsia="Arial" w:hAnsi="Arial"/>
                <w:sz w:val="18"/>
                <w:szCs w:val="18"/>
                <w:b w:val="1"/>
                <w:bCs w:val="1"/>
                <w:color w:val="auto"/>
                <w:w w:val="92"/>
              </w:rPr>
              <w:t>For the Six Months Ended January 31,</w:t>
            </w:r>
          </w:p>
        </w:tc>
        <w:tc>
          <w:tcPr>
            <w:tcW w:w="9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9"/>
          </w:tcPr>
          <w:p>
            <w:pPr>
              <w:jc w:val="right"/>
              <w:ind w:right="80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Income</w:t>
            </w:r>
          </w:p>
        </w:tc>
        <w:tc>
          <w:tcPr>
            <w:tcW w:w="9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9"/>
              </w:rPr>
              <w:t>2015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8"/>
          </w:tcPr>
          <w:p>
            <w:pPr>
              <w:jc w:val="right"/>
              <w:ind w:right="56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46,695</w:t>
            </w:r>
          </w:p>
        </w:tc>
        <w:tc>
          <w:tcPr>
            <w:tcW w:w="3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center"/>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83,992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83,672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2,148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4,257</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130,687</w:t>
            </w:r>
          </w:p>
        </w:tc>
        <w:tc>
          <w:tcPr>
            <w:tcW w:w="3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132,851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23"/>
        </w:trPr>
        <w:tc>
          <w:tcPr>
            <w:tcW w:w="640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(9,825)</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(2,255)</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4,917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gridSpan w:val="2"/>
            <w:shd w:val="clear" w:color="auto" w:fill="CCEEFF"/>
          </w:tcPr>
          <w:p>
            <w:pPr>
              <w:jc w:val="center"/>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7,168</w:t>
            </w:r>
          </w:p>
        </w:tc>
      </w:tr>
      <w:tr>
        <w:trPr>
          <w:trHeight w:val="20"/>
        </w:trPr>
        <w:tc>
          <w:tcPr>
            <w:tcW w:w="6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689"/>
        </w:trPr>
        <w:tc>
          <w:tcPr>
            <w:tcW w:w="6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15"/>
          </w:tcPr>
          <w:p>
            <w:pPr>
              <w:ind w:left="100"/>
              <w:spacing w:after="0"/>
              <w:rPr>
                <w:sz w:val="20"/>
                <w:szCs w:val="20"/>
                <w:color w:val="auto"/>
              </w:rPr>
            </w:pPr>
            <w:r>
              <w:rPr>
                <w:rFonts w:ascii="Arial" w:cs="Arial" w:eastAsia="Arial" w:hAnsi="Arial"/>
                <w:sz w:val="18"/>
                <w:szCs w:val="18"/>
                <w:b w:val="1"/>
                <w:bCs w:val="1"/>
                <w:color w:val="auto"/>
              </w:rPr>
              <w:t>For the Three Months Ended January 31,</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gridSpan w:val="8"/>
          </w:tcPr>
          <w:p>
            <w:pPr>
              <w:jc w:val="right"/>
              <w:ind w:right="560"/>
              <w:spacing w:after="0"/>
              <w:rPr>
                <w:sz w:val="20"/>
                <w:szCs w:val="20"/>
                <w:color w:val="auto"/>
              </w:rPr>
            </w:pPr>
            <w:r>
              <w:rPr>
                <w:rFonts w:ascii="Arial" w:cs="Arial" w:eastAsia="Arial" w:hAnsi="Arial"/>
                <w:sz w:val="18"/>
                <w:szCs w:val="18"/>
                <w:b w:val="1"/>
                <w:bCs w:val="1"/>
                <w:color w:val="auto"/>
                <w:w w:val="88"/>
              </w:rPr>
              <w:t>Net Sales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88"/>
              </w:rPr>
              <w:t>Income</w:t>
            </w:r>
          </w:p>
        </w:tc>
        <w:tc>
          <w:tcPr>
            <w:tcW w:w="9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7"/>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8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23,047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25,264</w:t>
            </w: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7,443</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7,993</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41,596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44,041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2,982</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64,643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69,305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r>
      <w:tr>
        <w:trPr>
          <w:trHeight w:val="237"/>
        </w:trPr>
        <w:tc>
          <w:tcPr>
            <w:tcW w:w="640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4,281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5,734</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7"/>
        </w:trPr>
        <w:tc>
          <w:tcPr>
            <w:tcW w:w="64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3,886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5,530</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2,797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4,281</w:t>
            </w:r>
          </w:p>
        </w:tc>
      </w:tr>
      <w:tr>
        <w:trPr>
          <w:trHeight w:val="20"/>
        </w:trPr>
        <w:tc>
          <w:tcPr>
            <w:tcW w:w="6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restricted shares have been issued under the 2006 Plan as described in the restricted stock section below.</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42"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 summary of stock option transactions is shown below:</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0"/>
        </w:trPr>
        <w:tc>
          <w:tcPr>
            <w:tcW w:w="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Remaining</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Aggregate Intrinsic</w:t>
            </w:r>
          </w:p>
        </w:tc>
      </w:tr>
      <w:tr>
        <w:trPr>
          <w:trHeight w:val="234"/>
        </w:trPr>
        <w:tc>
          <w:tcPr>
            <w:tcW w:w="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0"/>
              </w:rPr>
              <w:t>Number of 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Value</w:t>
            </w:r>
          </w:p>
        </w:tc>
      </w:tr>
      <w:tr>
        <w:trPr>
          <w:trHeight w:val="270"/>
        </w:trPr>
        <w:tc>
          <w:tcPr>
            <w:tcW w:w="8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3"/>
                <w:szCs w:val="23"/>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(in thousands)</w:t>
            </w: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July 31, 2014</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43"/>
        </w:trPr>
        <w:tc>
          <w:tcPr>
            <w:tcW w:w="8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January 31, 2015</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r>
      <w:tr>
        <w:trPr>
          <w:trHeight w:val="20"/>
        </w:trPr>
        <w:tc>
          <w:tcPr>
            <w:tcW w:w="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stock options exercised in the second quarter of either fiscal 2015 or 2014. The amount of cash received from the exercise of stock options during the first three months of fiscal 2015 was $15,000 and the related tax benefit was $3,000. The amount of cash received from the exercise of stock options during the first three months of fiscal 2014 was $51,000 and the related tax benefit was $24,000.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in the first six months of either fiscal 2015 or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of our non-vested restricted stock as of January 31, 2015 was issued under the 2006 Plan with vesting periods between two years and five years.</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2006 Plan, 2,000 restricted shares of Common Stock were granted in the second quarter of fiscal year 2015. No restricted shares were granted in the second quarter of fiscal 2014.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Stock-based compensation expense related to non-vested restricted stock in the second quarter of fiscal years 2015 and 2014 was $348,000 and $319,000, respectively. In the first six months of fiscal years 2015 and 2014, the stock-based compensation expense related to non-vested restricted stock was $656,000 and $560,000,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3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2014</w:t>
            </w:r>
          </w:p>
        </w:tc>
        <w:tc>
          <w:tcPr>
            <w:tcW w:w="47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Granted</w:t>
            </w:r>
          </w:p>
        </w:tc>
        <w:tc>
          <w:tcPr>
            <w:tcW w:w="472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January 31, 2015</w:t>
            </w:r>
          </w:p>
        </w:tc>
        <w:tc>
          <w:tcPr>
            <w:tcW w:w="4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17</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income by component as of January 31, 2015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Unrealized Gain</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(Loss) on</w:t>
            </w:r>
          </w:p>
        </w:tc>
        <w:tc>
          <w:tcPr>
            <w:tcW w:w="22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Pension and</w:t>
            </w:r>
          </w:p>
        </w:tc>
        <w:tc>
          <w:tcPr>
            <w:tcW w:w="580" w:type="dxa"/>
            <w:vAlign w:val="bottom"/>
          </w:tcPr>
          <w:p>
            <w:pPr>
              <w:spacing w:after="0"/>
              <w:rPr>
                <w:sz w:val="18"/>
                <w:szCs w:val="18"/>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Cumulative</w:t>
            </w:r>
          </w:p>
        </w:tc>
        <w:tc>
          <w:tcPr>
            <w:tcW w:w="28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ind w:right="350"/>
              <w:spacing w:after="0"/>
              <w:rPr>
                <w:sz w:val="20"/>
                <w:szCs w:val="20"/>
                <w:color w:val="auto"/>
              </w:rPr>
            </w:pPr>
            <w:r>
              <w:rPr>
                <w:rFonts w:ascii="Arial" w:cs="Arial" w:eastAsia="Arial" w:hAnsi="Arial"/>
                <w:sz w:val="18"/>
                <w:szCs w:val="18"/>
                <w:b w:val="1"/>
                <w:bCs w:val="1"/>
                <w:color w:val="auto"/>
                <w:w w:val="95"/>
              </w:rPr>
              <w:t>Marketable</w:t>
            </w:r>
          </w:p>
        </w:tc>
        <w:tc>
          <w:tcPr>
            <w:tcW w:w="22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Postretirement</w:t>
            </w:r>
          </w:p>
        </w:tc>
        <w:tc>
          <w:tcPr>
            <w:tcW w:w="580" w:type="dxa"/>
            <w:vAlign w:val="bottom"/>
          </w:tcPr>
          <w:p>
            <w:pPr>
              <w:spacing w:after="0"/>
              <w:rPr>
                <w:sz w:val="18"/>
                <w:szCs w:val="18"/>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Translation</w:t>
            </w:r>
          </w:p>
        </w:tc>
        <w:tc>
          <w:tcPr>
            <w:tcW w:w="28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Securities</w:t>
            </w:r>
          </w:p>
        </w:tc>
        <w:tc>
          <w:tcPr>
            <w:tcW w:w="2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Health Benefits</w:t>
            </w:r>
          </w:p>
        </w:tc>
        <w:tc>
          <w:tcPr>
            <w:tcW w:w="580" w:type="dxa"/>
            <w:vAlign w:val="bottom"/>
          </w:tcPr>
          <w:p>
            <w:pPr>
              <w:spacing w:after="0"/>
              <w:rPr>
                <w:sz w:val="20"/>
                <w:szCs w:val="20"/>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Adjustment</w:t>
            </w:r>
          </w:p>
        </w:tc>
        <w:tc>
          <w:tcPr>
            <w:tcW w:w="28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Income</w:t>
            </w: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(8,263)</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3"/>
              </w:rPr>
              <w:t>Other comprehensive loss before reclassifications, net</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of tax</w:t>
            </w:r>
          </w:p>
        </w:tc>
        <w:tc>
          <w:tcPr>
            <w:tcW w:w="16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(437)</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 a)</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b)</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3"/>
              </w:rPr>
              <w:t>Net current-period other comprehensive income (loss),</w:t>
            </w: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16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192</w:t>
            </w:r>
          </w:p>
        </w:tc>
        <w:tc>
          <w:tcPr>
            <w:tcW w:w="5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(437)</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31,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is included in the condensed Consolidated Statements of Income on the Other, net line item.</w:t>
      </w:r>
    </w:p>
    <w:p>
      <w:pPr>
        <w:spacing w:after="0" w:line="225" w:lineRule="exact"/>
        <w:rPr>
          <w:rFonts w:ascii="Arial" w:cs="Arial" w:eastAsia="Arial" w:hAnsi="Arial"/>
          <w:sz w:val="18"/>
          <w:szCs w:val="18"/>
          <w:color w:val="auto"/>
        </w:rPr>
      </w:pPr>
    </w:p>
    <w:p>
      <w:pPr>
        <w:ind w:firstLine="8"/>
        <w:spacing w:after="0" w:line="277" w:lineRule="auto"/>
        <w:tabs>
          <w:tab w:leader="none" w:pos="208"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is net of tax expense of $117,000. Amount is included in the components of net periodic benefit cost for the pension and postretirement health plans. See Note 6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2014.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notes to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2015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net sales for the six months ended January 31, 2015 were $130,687,000, a decrease of 2% from net sales of $132,851,000 for the six months ended January 31, 2014. Consolidated net income for the first six months of of fiscal 2015 was $4,917,000, compared to $7,168,000 for the first six months of fiscal 2014. Operating income declined for both our Retail and Wholesale Products Group and our Business to Business Products Group. Diluted net income per share was $0.69 for the first six months of fiscal 2015, compared to $1.01 for the first six months of fiscal 2014.</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for the first six months of fiscal 2015 were flat for our Retail and Wholesale Products Group; however sales declined for our Business to Business Products Group due to lower sales of fluids purification and co-packaged cat litter products.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Consolidated gross profit as a percentage of net sales for the first six months of fiscal 2015 was 22%, which was lower than the 25% reported for the first six months of fiscal 2014. Gross profit declined due primarily to higher manufacturing and packaging costs per ton and an unfavorable product mix. The increase in manufacturing costs per ton was driven by reduced fixed cost absorption due to fewer tons produced and increased labor, benefits and depreciation costs. Depreciation costs increased as we continue to invest in machinery and equipment at our plants. Partially offsetting these cost increases was a 16% decline in the cost per manufactured ton for natural gas used to operate kilns that dry our clay. Freight costs per ton were essentially flat as lower diesel fuel costs were mostly offset by increased cost pressures, including heightened regulations, in the freight industry. The packaging cost increase and product mix change are discussed by operating segment below.</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selling, general and administrative expenses were lower for the first six months of fiscal 2015 compared to the first six months of fiscal 2014. Selling, general and administrative expenses as a percentage of net sales were also lower at 16% compared to 18% for the first six months of fiscal 2015 and 2014, respectively. The discussions of the segments' operating incomes below describe the change in the selling, general and administrative expenses that were allocated to the operating segments, particularly lower advertising costs in the Retail and Wholesale Products Group. The remaining unallocated corporate expenses in the first six months of fiscal 2015 included a lower estimated annual incentive plan bonus accrual as compared to the prior year. The incentive bonus expense was based on performance targets that were established for the fiscal year. Expenses in the first six months of fiscal 2014 also included costs related to the MFM acquisition.</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was $120,000 lower for the first six months of fiscal 2015 compared to the same period in fiscal 2014 due to a reduction of notes payable and the capitalization of interest on a capital project.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Our effective tax rate was 27% of pre-tax income in the first six months of fiscal 2015, which was higher than the 24% rate for the first six months of fiscal 2014. Our effective tax rate was based on the estimated level of our taxable income for the year and the assessment of various deductions, including depletion.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of the Business to Business Products Group for the first six months of fiscal 2015 were $46,695,000, a decrease of $2,484,000, or 5%, from net sales of $49,179,000 for the first six months of fiscal 2014. Net sales of fluid purification products were down approximately 9% as a result of fewer tons sold. Usage of our product by edible oil producers declined due primarily to natural variations in the quality and characteristics of the soybean crop. Our co-packaged traditional coarse cat litter net sales were also down approximately 10% compared to the first six months of the prior year. Partially offsetting these declines was approximately 8% higher sales of animal health and nutrition products. Sales of animal health and nutrition products increased due primarily to sales by our subsidiary in China (Amlan Trading (Shenzhen) Company, Ltd.) and a favorable product sales mix (defined as a greater proportion of sales from products with a higher selling price). Net sales of products used by agricultural chemical producers were essentially even with the same period of the prior year.</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Business to Business Products Group’s operating income for the first six months of fiscal 2015 was $14,314,000, a decrease of $1,330,000, or 9%, from operating income of $15,644,000 for the first six months of fiscal 2014. Operating income was negatively impacted by the reduced sales described above, but was positively impacted by the lower cost per manufactured ton for natural gas used to operate kilns that dry our clay. See further discussion of manufacturing and freight costs in “Consolidated Results” above. Packaging costs per ton were similar to the prior year.</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Business to Business Products Group were up slightly compared to the first six months of fiscal 2014. Our subsidiary in China was fully operational in the first six months of fiscal 2015 with additional sales personnel and related costs, which in turn reduced commissions paid to outside distributors.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sales of the Retail and Wholesale Products Group for the first six months of fiscal 2015 were $83,992,000, an increase of $320,000 from net sales of $83,672,000 for the first six months of fiscal 2014. Net sales increased for industrial absorbents products, were essentially flat for both cat litter products and our United Kingdom subsidiary, and declined for our Canadian subsidiary. Our foreign subsidiaries are discussed under “Foreign Operations” below. An 11% increase in sales of industrial absorbents was attributed primarily to more tons sold and a higher average selling price. Sales of both branded and generic floor absorbents increased to existing customers. Overall cat litter net sales and tons sold were similar to the first six months of the prior year. Private label cat litter sales increased approximately 18%. Additional sales from the acquisition of MFM in the second quarter of fiscal 2014 were included in the full six months sales of fiscal 2015, which more than offset a a continued decline in the coarse litter market. Our branded cat litter net sales decrease of approximately12% was attributed primarily to our competitors' introduction of new products, increased advertising and aggressive price discounts. In addition, our trade spending was higher for Cat's Pride Fresh &amp; Light products (trade spending is reported as a reduction of sales). We introduced our new Cat's Pride Fresh &amp; Light Ultimate Care and new lightweight weight private label cat litter products at the end of the second quarter. We anticipate these products will provide opportunities for sales growth in the second half of fiscal 2015.</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Retail and Wholesale Products Group's operating income for the first six months of fiscal 2015 was $2,148,000, a decrease of $2,109,000, or 50%, from operating income of $4,257,000 for the first six months of fiscal 2014. Operating income was diminished by the increased proportion of total cat litter sales derived from private label cat litter, which generally has a lower gross profit than branded cat litter. Higher non-fuel manufacturing and packaging costs further reduced operating income. See discussion of manufacturing and freight costs in “Consolidated Results” above. Packaging costs rose approximately 7% due to higher prices for plastics commodities, particularly resin, used for many of our cat litter products. We have yet to realize the benefits of the recent drop in resin prices, but we expect some relief later in fiscal 2015. These unfavorable effects more than offset the benefits of lower selling general and administrative expenses, discussed below, and the lower cost per manufactured ton for natural gas used to operate kilns that dry our clay.</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expenses for the Retail and Wholesale Products Group were 12% lower than the first six months of fiscal 2014 due to lower advertising expenses, which were partially offset by higher amortization of intangible assets related to the MFM acquisition.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first six months of fiscal 2015 were $5,867,000, a 5% increase compared to net sales of $5,582,000 during the first six months of fiscal 2014. The net sales increase was attributed primarily to our subsidiary in China, which more than offset lower cat litter sales by our Canadian subsidiary. Net sales by our foreign subsidiaries represented 4% of our consolidated net sales during the first six months of both fiscal years 2015 and 2014.</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subsidiaries reported a net loss of $662,000 for the first six months of fiscal 2015 compared to a net loss of $242,000 for the first six months of fiscal 2014. The net loss increased due primarily to a reported loss at our new subsidiary in China, which is still being integrated into the market, and foreign currency exchange losses that resulted from the strength of the U.S. Dollar.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Identifiable assets of our foreign subsidiaries as of January 31, 2015 were $7,677,000, compared to $7,504,000 as of January 31, 2014. The increase was due primarily to higher inventories and deferred income taxes, which were partially offset by lower net fixed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2015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net sales for the three months ended January 31, 2015 were $64,643,000, a decrease of 7% from net sales of $69,305,000 for the three months ended January 31, 2014. Consolidated net income for the second quarter of fiscal 2015 was $2,797,000, compared to $4,281,000 for the second quarter of fiscal 2014. Operating income declined for both our Retail and Wholesale Products Group and our Business to Business Products Group. Diluted net income per share was $0.39 for the second quarter of fiscal 2015, compared to $0.60 for the second quarter of fiscal 2014.</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sales for the second quarter of fiscal 2015 declined for our Retail and Wholesale Products Group due primarily to lower sales of cat litter products, which more than offset an increase in sales of industrial absorbents. Sales also declined for our Business to Business Products Group due primarily to lower sales of fluid purification, co-packaged cat litter and agricultural chemical carrier products, which offset higher sales of animal health and nutrition products.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gross profit as a percentage of net sales for the second quarter of fiscal 2015 was 24%, the same as for the second quarter of fiscal 2014. Gross profit was positively impacted by a 23% decline in the cost per manufactured ton for natural gas used to operate kilns that dry our clay, which was offset by an increase in other manufacturing costs. The increase in manufacturing costs per ton was attributed to reduced fixed cost absorption due to fewer tons produced and increased labor, benefits and depreciation costs. Depreciation costs increased as we continue to invest in machinery and equipment at our plants. Gross profit was also negatively impacted by an unfavorable product mix and higher packaging costs, as described by operating segment below. Freight costs per ton were essentially flat as lower diesel fuel costs were mostly offset by increased cost pressures, including heightened regulations, in the freight industry.</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selling, general and administrative expenses were lower for the second quarter of fiscal 2015 compared to the second quarter of fiscal 2014; however, as a percent of sales they were slightly higher at 17% compared to 16% for the second quarter of fiscal 2014 and 2015, respectively. The discussion of the segments' operating incomes below describes the change in the selling, general and administrative expenses that were allocated to the operating segments. The remaining unallocated corporate expenses in the second quarter of fiscal 2015 included a lower estimated annual incentive bonus accrual as compared to the prior year.The incentive bonus expense was based on performance targets that were established for the fiscal year. Expenses in the second quarter of fiscal 2014 also included costs related to the MFM acquisition.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$78,000 lower for the second quarter of fiscal 2015 compared to the same period in fiscal 2014 due primarily to a reduction of notes payable and the capitalization of interest on a capital project.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effective tax rate was 28% of pre-tax income in the second quarter of fiscal 2015 compared to 23% in the second quarter of fiscal 2014. Our effective tax rate was based on the estimated level of our taxable income for the year and the assessment of various deductions, including depletion.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Business to Business Products Group for the second quarter of fiscal 2015 were $23,047,000, a decrease of $2,217,000, or 9%, from net sales of $25,264,000 for the second quarter of fiscal 2014. Net sales of fluid purification products were approximately 12% lower primarily as a result of fewer tons sold. Usage of our product by edible oil producers declined due primarily to natural variations in the quality and characteristics of the soybean crop. Our co-packaged traditional coarse cat litter net sales were also down approximately 12% compared to the second quarter of the prior year. Sales were down approximately 8% for products used as agricultural chemical carriers by corn rootworm pesticide producers. Partially offsetting these declines were approximately 5% higher sales of animal health and nutrition products. Sales of animal health and nutrition products increased due primarily to sales by our subsidiary in China and a favorable product sales mix.</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second quarter of fiscal 2015 was $7,443,000, a decrease of $550,000, or 7%, from operating income of $7,993,000 in the second quarter of fiscal 2014. Operating income was negatively impacted by the reduced sales described above, but was positively impacted by the lower cost per manufactured ton for natural gas used to operate kilns that dry our clay. See further discussion of manufacturing and freight costs in “Consolidated Results” above.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Business to Business Products Group were flat compared to the second quarter of fiscal 2014. Our subsidiary in China was fully operational in the second quarter of fiscal 2015 with additional sales personnel and related costs, which in turn reduced commissions paid to outside distributors.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of the Retail and Wholesale Products Group for the second quarter of fiscal 2015 were $41,596,000, a decrease of $2,445,000, or 6%, from net sales of $44,041,000 for the second quarter of fiscal 2014. Net sales declined for cat litter products and for our Canadian subsidiary, but increased for industrial absorbents products and for our United Kingdom subsidiary. Our foreign subsidiaries are discussed under “Foreign Operations” below. An 11% increase in sales of industrial absorbents was attributed primarily to more tons sold and a higher average selling price for both branded and generic floor absorbents. Overall cat litter net sales and tons sold were down compared to the second quarter of the prior year. Our branded cat litter net sales decrease of approximately 12% was attributed primarily to our competitors' introduction of new products, increased advertising and aggressive price discounts. Our private label cat litter sales declined approximately 3% due to similar competitive pressures and a continued decline in the coarse litter market. We introduced our new Cat's Pride Fresh &amp; Light Ultimate Care and new lightweight weight private label cat litter products at the end of the second quarter. We anticipate these products will provide opportunities for sales growth in the second half of fiscal 2015.</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Retail and Wholesale Products Group reported operating income of $1,262,000 for the second quarter of fiscal 2015, a decrease of $1,720,000, or 58%, from operating income of $2,982,000 for the second quarter of fiscal 2014. The decrease in sales described above contributed to the lower operating income. The increased proportion of total cat litter sales derived from private label cat litter, which generally has a lower gross profit than branded cat litter, further diminished operating income. Higher non-fuel manufacturing, packaging and selling and administrative costs also negatively impacted operating income. See discussion of manufacturing and freight costs in “Consolidated Results” above. Packaging costs rose approximately 8% due to higher prices for plastics commodities, particularly resin, used for many of our cat litter products. We have yet to realize the benefits of the recent drop in resin prices, but we expect some relief later in fiscal 2015. These negative factors more than offset the benefit of a lower cost per manufactured ton for natural gas used to operate kilns that dry our clay.</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Retail and Wholesale Products Group were 10% higher than the second quarter of fiscal 2014 due primarily to increased product development costs and additional amortization of intangible assets related to the MFM acquisition in the second quarter of fiscal 2014. These cost increases were partially offset by lower advertising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second quarter of fiscal 2015 were $2,746,000, a 5% increase compared to net sales of $2,604,000 during the second quarter of fiscal 2014. The net sales increase was attributed primarily to our subsidiary in China, which more than offset lower cat litter sales by our Canadian subsidiary. Net sales by our foreign subsidiaries represented approximately 4% of our consolidated net sales during the second quarter of both fiscal years 2015 and 2014.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Our foreign subsidiaries reported a net loss of $420,000 for the second quarter of fiscal 2015 compared to a net loss of $125,000 for the second quarter of fiscal 2014. The net loss increased due primarily to a reported loss at our new subsidiary in China, which is still being integrated into the market, and foreign currency exchange losses that resulted from the strength of the U.S. Dollar.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principal capital requirements include: funding working capital needs; purchasing and upgrading equipment, facilities and real estate; supporting new product development; investing in infrastructure; repurchasing Common Stock; paying dividends; and business acquisitions. During the first six months of fiscal 2015, we principally used cash generated from operations and from previous debt issuances to fund these requirements. We also have the ability to borrow under our credit facilities; however, we have not borrowed under the credit agreement in recent years. Cash and cash equivalents decreased $3,467,000 during the first six months of fiscal 2015 to $12,763,000 as of January 31,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condensed Consolidated Statements of Cash Flows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Six Months Ended January 31,</w:t>
            </w:r>
          </w:p>
        </w:tc>
      </w:tr>
      <w:tr>
        <w:trPr>
          <w:trHeight w:val="27"/>
        </w:trPr>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(7,967)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(8,410)</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(5,919)</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(11,953)</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six months of fiscal years 2015 and 2014, were as follows: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less allowance for doubtful accounts, increased $1,258,000 in the first six months of fiscal 2015 compared to an increase of $5,874,000 in the first six months of fiscal 2014. Sales in the second quarter of fiscal 2015 were lower than in the second quarter of fiscal 2014. The change in both periods is also subject to the timing of sales and collections and the payment terms provided to various customers.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decreased $822,000 in the first six months of fiscal 2015 compared to an increase of $1,347,000 in the same period in fiscal 2014. Finished goods inventory was down in the first six months of fiscal 2015 as lower sales required fewer tons to be held in inventory. The lower finished goods inventory was partially offset by an increase in additives inventories due to favorable purchasing opportunities. In the first six months of fiscal 2014, finished goods inventory was up primarily due to higher costs and increased tons in inventory. Packaging inventories were also up due to higher costs and production projections for certain products.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Prepaid expenses decreased $1,628,000 in the first six months of fiscal 2015 compared to an increase of $725,000 in the first six months of fiscal 2014. The decrease in the first six months of fiscal 2015 was due primarily to a reclassification of prepaid rents and royalties to other long-term assets and a decrease in prepaid income taxes. These decreases were partially offset by increases in both prepaid insurance and prepaid advertising. The increase in prepaid expenses in the first six months of fiscal 2014 was due primarily to increases in both prepaid insurance and prepaid advertising.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assets increased $1,205,000 in the first six months of fiscal 2015 compared to an increase of $312,000 in the first six months of fiscal 2014. The increase in the first six months of fiscal 2015 was due primarily to the reclassification of prepaid rents and royalties from current prepaid expenses. The cash surrender value of life insurance on key employees also increased in both periods.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payable decreased $1,232,000 in the first six months of fiscal 2015 compared to an increase of $381,000 in the first six months of fiscal 2014. Trade and freight payables varied in both periods due to timing of payments, fluctuations in the cost of goods and services we purchased, production volume levels and vendor payment terms. In the first six months of fiscal 2014, an increase in trade accounts payable was partially offset by a decrease in accrued income taxes.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Accrued expenses decreased $867,000 in the first six months of fiscal 2015 compared to a decrease of $3,558,000 in the first six months of fiscal 2014. The purchase of plant equipment previously under a capital lease decreased accrued expense in the first six months of fiscal 2015. Accrued salaries included the discretionary incentive bonus accrual, which in the first six months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both fiscal 2015 and 2014 decreased by the payout of the prior fiscal year's bonus and increased by a lesser amount for the fiscal year's first six months' accrual. The payout in the first six months of fiscal 2014 was substantially higher than the payout in the first six months of fiscal 2015. Accrued trade promotions and advertising in the first six months of both fiscal 2015 and 2014 varied due to the timing of marketing programs. Similar to accounts payable, accrued plant expenses fluctuated due to timing of payments, fluctuations in the cost of goods and services we purchased, production volume levels and vendor payment terms.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Deferred compensation increased $357,000 in the first six months of fiscal 2015 compared to an increase of $407,000 in the first six months of fiscal 2014. Deferred compensation balances in both periods were reduced by scheduled payouts and were increased by employee deferrals and interest earned on accumulated balances.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Pension and other postretirement liabilities increased $519,000 in the first six months of fiscal 2015 compared to an increase of $528,000 in the first six months of fiscal 2014. The liability for both periods was determined based on annual actuarial valuations using various assumptions. See Note 6 of the notes to condensed Consolidated Financial Statements for further discussion of our postretirement benefit obligations.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liabilities increased $172,000 in the first six months of fiscal 2015 compared to an increase of $243,000 in the first six months of fiscal 2014. Our mine site reclamation liability increased in the first six months of both fiscal 2014 and 2015. A reclassification of the uncertain tax positions accrual to long-term also contributed to the increase for the first six months of fiscal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used in investing activities was $7,967,000 in the first six months of fiscal 2015 compared to net cash used in investing activities of $8,410,000 in the first six months of fiscal 2014. In the first six months of fiscal 2014, $12,505,000 of cash was used in the acquisition of MFM, plus an additional $500,000 was classified as restricted cash held in escrow at January 31, 2014. The final restricted cash disbursement was made and the remaining balance was returned to operating cash in the first six months of fiscal 2015. Cash used for capital expenditures of $9,920,000 and $6,782,000 in the first six months of fiscal 2015 and 2014, respectively, was primarily for new processing and packaging equipment as well as equipment replacement at our manufacturing facilities. Disposition of investment securities exceeded purchases by $1,701,000 and $11,361,000 in the first six months of fiscal 2015 and 2014, respectively. Purchases and dispositions of investment securities in both periods are subject to variations in the timing of investment maturities and the operating cash needs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used in financing activities was $6,092,000 in the first six months of fiscal 2015 compared to cash used in financing activities of $5,919,000 in the first six months of fiscal 2014. Scheduled payments on long-term debt in the first six months of fiscal 2015 and 2014 were both $3,500,000. Dividend payments in the first six months of fiscal 2015 were $2,623,000 compared to $2,478,000 paid during the same period of fiscal 2014 due to a dividend increase.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$1,154,000 as of January 31, 2015 were lower than the January 31, 2014 balances of $1,250,000. See further discussion in “Foreign Operations” above.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4, 2014, we signed a fourth amendment to our credit agreement with BMO Harris Bank N.A. (“BMO Harris”), to extend the term to December 4, 2019. The new agreement provides for a $25,000,0000 unsecured revolving credit agreement, including a maximum of $5,000,000 for foreign letters of credit. The remaining terms are substantially unchanged from our previous agreement with BMO Harris, including the provision that we may select a variable rate based on either the BMO Harris prime rate or a LIBOR-based rate, plus a margin which varies depending on our debt to earnings ratio, or a fixed rate as agreed between us and BMO Harris. At January 31, 2015, the variable rates would have been 3.25% for the BMO Harris prime-based rate or 1.63%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six months ended January 31, 2015 and 2014, and we were in compliance with its covenants.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January 31, 2015, we had remaining authority to repurchase 309,613 shares of Common Stock under a repurchase plan approved by our Board of Directors. These repurchases may be made on the open market (pursuant to Rule 10b5-1 plans or otherwise) or in negotiated transactions. The timing and amount of shares repurchased will be determined by our management.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70" w:lineRule="auto"/>
        <w:rPr>
          <w:sz w:val="20"/>
          <w:szCs w:val="20"/>
          <w:color w:val="auto"/>
        </w:rPr>
      </w:pPr>
      <w:r>
        <w:rPr>
          <w:rFonts w:ascii="Arial" w:cs="Arial" w:eastAsia="Arial" w:hAnsi="Arial"/>
          <w:sz w:val="17"/>
          <w:szCs w:val="17"/>
          <w:color w:val="auto"/>
        </w:rPr>
        <w:t>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dividend payments and debt service obligations for at least the next 12 months. We believe cash requirements for capital expenditures in fiscal 2015 will be comparable to fiscal 2014 due to projects at our manufacturing facilities. Our cash requirements are subject to change as business conditions warrant and opportunities arise. 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tables in the following subsection summarize our contractual obligations and commercial commitments (in thousands) as of January 31, 2015 for the time-frames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6"/>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99"/>
        </w:trPr>
        <w:tc>
          <w:tcPr>
            <w:tcW w:w="4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080"/>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18,900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on Notes Payable</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5,778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27,276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9,799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7,717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3,679</w:t>
            </w: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made total contributions to our defined benefit pension plan of $581,000 during the first six months of fiscal 2015. We estimate contributions of approximately $1,276,000 will be made during the remainder of fiscal 2015.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12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Less Than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1 – 3 Years</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4 – 5 Years</w:t>
            </w: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tangible property regulations ("repair regulations") released by the Internal Revenue Service in September 2013 under Sections 162(a) and 263(a)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Internal Revenue Code were effective for our tax year beginning August 1, 2014. The repair regulations provide guidance regarding the timing of deductions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capitalization of amounts paid to acquire, produce or improve tangible property. We believe our accounting policies comply with the requirements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repair regulations and there is no material impact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Regulations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FASB issued guidance under ASC 250, </w:t>
      </w:r>
      <w:r>
        <w:rPr>
          <w:rFonts w:ascii="Arial" w:cs="Arial" w:eastAsia="Arial" w:hAnsi="Arial"/>
          <w:sz w:val="18"/>
          <w:szCs w:val="18"/>
          <w:i w:val="1"/>
          <w:iCs w:val="1"/>
          <w:color w:val="auto"/>
        </w:rPr>
        <w:t>Revenue from Contract with Customers</w:t>
      </w:r>
      <w:r>
        <w:rPr>
          <w:rFonts w:ascii="Arial" w:cs="Arial" w:eastAsia="Arial" w:hAnsi="Arial"/>
          <w:sz w:val="18"/>
          <w:szCs w:val="18"/>
          <w:color w:val="auto"/>
        </w:rPr>
        <w:t>, which establishes a single comprehensive revenue recognition model for all contracts with customers and will supersede most existing revenue guidance. This guidance requires entities to recognize revenue to depict the transfer of promised goods or services to customers in an amount that reflects the consideration to which the entity expects to be entitled to receive in exchange. Transition options include either a full or modified retrospective approach and early adoption is not permitted. This guidance will be effective at the beginning of our first quarter of fiscal 2017. We are currently evaluating the impact of the adoption of this requirement on our Consolidated Financial Statements.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ended July 31, 2017. We are currently evaluating the impact of the adoption of this requirement on our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foreign currency fluctuation risk, primarily the U.S. Dollar relative to the British Pound, Euro, Canadian Dollar and Chinese Yuan Renminbi, as related to certain accounts receivable and to our foreign operations. We are also subject to translation exposure of our foreign subsidiaries’ financial statements. In recent years, our foreign subsidiaries have not generated a substantial portion of our consolidated sales or net income. In addition, a small portion of our consolidated accounts receivable are denominated in foreign currencies. In the first six months of fiscal 2015, we did not enter into any hedge contracts in an attempt to offset any adverse effect of changes in currency exchange rates. We believe that the overall foreign currency fluctuation risk is not material to our Consolidated Financial Statements.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We have not purchased any natural gas contracts for our planned kiln fuel needs for fiscal 2015. We continue to purchase natural gas at spot rates on a month to month basis.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January 31, 2015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Items 1, 1A, 2, 3 and 5 of this Part II are either inapplicable or are answered in the negative and are omitted pursuant to the instructions to Part II.</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5700" w:type="dxa"/>
            <w:vAlign w:val="bottom"/>
            <w:gridSpan w:val="2"/>
          </w:tcPr>
          <w:p>
            <w:pPr>
              <w:ind w:left="2380"/>
              <w:spacing w:after="0"/>
              <w:rPr>
                <w:sz w:val="20"/>
                <w:szCs w:val="20"/>
                <w:color w:val="auto"/>
              </w:rPr>
            </w:pPr>
            <w:r>
              <w:rPr>
                <w:rFonts w:ascii="Arial" w:cs="Arial" w:eastAsia="Arial" w:hAnsi="Arial"/>
                <w:sz w:val="18"/>
                <w:szCs w:val="18"/>
                <w:color w:val="auto"/>
              </w:rPr>
              <w:t>Description</w:t>
            </w:r>
          </w:p>
        </w:tc>
        <w:tc>
          <w:tcPr>
            <w:tcW w:w="4560" w:type="dxa"/>
            <w:vAlign w:val="bottom"/>
          </w:tcPr>
          <w:p>
            <w:pPr>
              <w:ind w:left="132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507"/>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Statement re: Computation of Earnings per Share.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13a–14(a).</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w w:val="95"/>
              </w:rPr>
              <w:t>Certifications pursuant to Section 1350 of the Sarbanes-Oxley Act of 2002.</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4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Mine Safety Disclosures</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91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Pr>
          <w:p>
            <w:pPr>
              <w:ind w:left="446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March 10, 2015</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320"/>
          </w:cols>
          <w:pgMar w:left="580" w:top="584" w:right="9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68865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40" w:lineRule="exact"/>
        <w:rPr>
          <w:sz w:val="20"/>
          <w:szCs w:val="20"/>
          <w:color w:val="auto"/>
        </w:rPr>
      </w:pPr>
    </w:p>
    <w:p>
      <w:pPr>
        <w:ind w:left="1620" w:hanging="51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 re: Computation of Earnings per Share.</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Certifications pursuant to Rule 13a–14(a).</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4600" w:type="dxa"/>
            <w:vAlign w:val="bottom"/>
          </w:tcPr>
          <w:p>
            <w:pPr>
              <w:ind w:left="160"/>
              <w:spacing w:after="0"/>
              <w:rPr>
                <w:sz w:val="20"/>
                <w:szCs w:val="20"/>
                <w:color w:val="auto"/>
              </w:rPr>
            </w:pPr>
            <w:r>
              <w:rPr>
                <w:rFonts w:ascii="Arial" w:cs="Arial" w:eastAsia="Arial" w:hAnsi="Arial"/>
                <w:sz w:val="18"/>
                <w:szCs w:val="18"/>
                <w:color w:val="auto"/>
              </w:rPr>
              <w:t>Mine Safety Disclosures</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38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432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20" w:type="dxa"/>
            <w:vAlign w:val="bottom"/>
            <w:gridSpan w:val="5"/>
          </w:tcPr>
          <w:p>
            <w:pPr>
              <w:ind w:left="40"/>
              <w:spacing w:after="0"/>
              <w:rPr>
                <w:sz w:val="20"/>
                <w:szCs w:val="20"/>
                <w:color w:val="auto"/>
              </w:rPr>
            </w:pPr>
            <w:r>
              <w:rPr>
                <w:rFonts w:ascii="Arial" w:cs="Arial" w:eastAsia="Arial" w:hAnsi="Arial"/>
                <w:sz w:val="18"/>
                <w:szCs w:val="18"/>
                <w:b w:val="1"/>
                <w:bCs w:val="1"/>
                <w:color w:val="auto"/>
                <w:w w:val="96"/>
              </w:rPr>
              <w:t>For the Three Months Ended</w:t>
            </w:r>
          </w:p>
        </w:tc>
        <w:tc>
          <w:tcPr>
            <w:tcW w:w="120" w:type="dxa"/>
            <w:vAlign w:val="bottom"/>
          </w:tcPr>
          <w:p>
            <w:pPr>
              <w:spacing w:after="0"/>
              <w:rPr>
                <w:sz w:val="18"/>
                <w:szCs w:val="18"/>
                <w:color w:val="auto"/>
              </w:rPr>
            </w:pPr>
          </w:p>
        </w:tc>
        <w:tc>
          <w:tcPr>
            <w:tcW w:w="21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0"/>
              </w:rPr>
              <w:t>For the Six Months Ended</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4"/>
          </w:tcPr>
          <w:p>
            <w:pPr>
              <w:ind w:left="460"/>
              <w:spacing w:after="0"/>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20"/>
                <w:szCs w:val="20"/>
                <w:color w:val="auto"/>
              </w:rPr>
            </w:pPr>
          </w:p>
        </w:tc>
        <w:tc>
          <w:tcPr>
            <w:tcW w:w="21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available to stockholders</w:t>
            </w:r>
          </w:p>
        </w:tc>
        <w:tc>
          <w:tcPr>
            <w:tcW w:w="2200" w:type="dxa"/>
            <w:vAlign w:val="bottom"/>
            <w:tcBorders>
              <w:bottom w:val="single" w:sz="8" w:color="CCEEFF"/>
            </w:tcBorders>
            <w:gridSpan w:val="2"/>
            <w:shd w:val="clear" w:color="auto" w:fill="CCEEFF"/>
          </w:tcPr>
          <w:p>
            <w:pPr>
              <w:ind w:left="19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2,797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7,168</w:t>
            </w:r>
          </w:p>
        </w:tc>
        <w:tc>
          <w:tcPr>
            <w:tcW w:w="0" w:type="dxa"/>
            <w:vAlign w:val="bottom"/>
          </w:tcPr>
          <w:p>
            <w:pPr>
              <w:spacing w:after="0"/>
              <w:rPr>
                <w:sz w:val="1"/>
                <w:szCs w:val="1"/>
                <w:color w:val="auto"/>
              </w:rPr>
            </w:pPr>
          </w:p>
        </w:tc>
      </w:tr>
      <w:tr>
        <w:trPr>
          <w:trHeight w:val="229"/>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Less: Distributed and undistributed earnings allocated</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to non-vested restricted stock</w:t>
            </w: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Earnings available to common shareholders</w:t>
            </w:r>
          </w:p>
        </w:tc>
        <w:tc>
          <w:tcPr>
            <w:tcW w:w="2200" w:type="dxa"/>
            <w:vAlign w:val="bottom"/>
            <w:gridSpan w:val="2"/>
            <w:shd w:val="clear" w:color="auto" w:fill="CCEEFF"/>
          </w:tcPr>
          <w:p>
            <w:pPr>
              <w:ind w:left="19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2,757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4,845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Shares Calculation</w:t>
            </w:r>
          </w:p>
        </w:tc>
        <w:tc>
          <w:tcPr>
            <w:tcW w:w="1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gridSpan w:val="3"/>
            <w:vMerge w:val="continue"/>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34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shares outstanding - Basic Common</w:t>
            </w:r>
          </w:p>
        </w:tc>
        <w:tc>
          <w:tcPr>
            <w:tcW w:w="1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4,953</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4,951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Average shares outstanding - Basic Class B Common</w:t>
            </w:r>
          </w:p>
        </w:tc>
        <w:tc>
          <w:tcPr>
            <w:tcW w:w="1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Potential Common Stock relating to stock options and</w:t>
            </w:r>
          </w:p>
        </w:tc>
        <w:tc>
          <w:tcPr>
            <w:tcW w:w="1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w:t>
            </w:r>
          </w:p>
        </w:tc>
        <w:tc>
          <w:tcPr>
            <w:tcW w:w="1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vMerge w:val="continue"/>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vMerge w:val="continue"/>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97"/>
        </w:trPr>
        <w:tc>
          <w:tcPr>
            <w:tcW w:w="48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Average shares outstanding - Assuming dilution</w:t>
            </w:r>
          </w:p>
        </w:tc>
        <w:tc>
          <w:tcPr>
            <w:tcW w:w="19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7,030</w:t>
            </w: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7,007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7,023</w:t>
            </w: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6,991</w:t>
            </w:r>
          </w:p>
        </w:tc>
        <w:tc>
          <w:tcPr>
            <w:tcW w:w="0" w:type="dxa"/>
            <w:vAlign w:val="bottom"/>
          </w:tcPr>
          <w:p>
            <w:pPr>
              <w:spacing w:after="0"/>
              <w:rPr>
                <w:sz w:val="1"/>
                <w:szCs w:val="1"/>
                <w:color w:val="auto"/>
              </w:rPr>
            </w:pPr>
          </w:p>
        </w:tc>
      </w:tr>
      <w:tr>
        <w:trPr>
          <w:trHeight w:val="251"/>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Basic Common</w:t>
            </w:r>
          </w:p>
        </w:tc>
        <w:tc>
          <w:tcPr>
            <w:tcW w:w="1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 Per Share: Basic Class B Common</w:t>
            </w:r>
          </w:p>
        </w:tc>
        <w:tc>
          <w:tcPr>
            <w:tcW w:w="19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0.32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0.56</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51"/>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Diluted</w:t>
            </w:r>
          </w:p>
        </w:tc>
        <w:tc>
          <w:tcPr>
            <w:tcW w:w="2200" w:type="dxa"/>
            <w:vAlign w:val="bottom"/>
            <w:gridSpan w:val="2"/>
            <w:shd w:val="clear" w:color="auto" w:fill="CCEEFF"/>
          </w:tcPr>
          <w:p>
            <w:pPr>
              <w:ind w:left="19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March 10, 2015</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March 10, 2015</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March 10, 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March 10, 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January 31, 2015.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ind w:left="340"/>
              <w:spacing w:after="0"/>
              <w:rPr>
                <w:sz w:val="20"/>
                <w:szCs w:val="20"/>
                <w:color w:val="auto"/>
              </w:rPr>
            </w:pPr>
            <w:r>
              <w:rPr>
                <w:rFonts w:ascii="Arial" w:cs="Arial" w:eastAsia="Arial" w:hAnsi="Arial"/>
                <w:sz w:val="18"/>
                <w:szCs w:val="18"/>
                <w:color w:val="auto"/>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1,630</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807</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January 31, 2015.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decimal"/>
      <w:start w:val="31"/>
    </w:lvl>
  </w:abstractNum>
  <w:abstractNum w:abstractNumId="5">
    <w:nsid w:val="2EB141F2"/>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6">
    <w:nsid w:val="41B71EF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2020-01-22T20:18:57Z</dcterms:created>
  <dcterms:modified xsi:type="dcterms:W3CDTF">2020-01-22T20:18:57Z</dcterms:modified>
</cp:coreProperties>
</file>