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1"/>
          <w:szCs w:val="21"/>
          <w:color w:val="auto"/>
        </w:rPr>
        <w:t>UNITED STATES</w:t>
      </w:r>
    </w:p>
    <w:p>
      <w:pPr>
        <w:spacing w:after="0" w:line="20" w:lineRule="exact"/>
        <w:rPr>
          <w:sz w:val="24"/>
          <w:szCs w:val="24"/>
          <w:color w:val="auto"/>
        </w:rPr>
      </w:pPr>
    </w:p>
    <w:p>
      <w:pPr>
        <w:jc w:val="center"/>
        <w:ind w:right="-1220"/>
        <w:spacing w:after="0"/>
        <w:rPr>
          <w:sz w:val="20"/>
          <w:szCs w:val="20"/>
          <w:color w:val="auto"/>
        </w:rPr>
      </w:pPr>
      <w:r>
        <w:rPr>
          <w:rFonts w:ascii="Arial" w:cs="Arial" w:eastAsia="Arial" w:hAnsi="Arial"/>
          <w:sz w:val="20"/>
          <w:szCs w:val="20"/>
          <w:color w:val="auto"/>
        </w:rPr>
        <w:t>SECURITIES AND EXCHANGE COMMISSION</w:t>
      </w:r>
    </w:p>
    <w:p>
      <w:pPr>
        <w:spacing w:after="0" w:line="13"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Washington, D.C. 20549</w:t>
      </w:r>
    </w:p>
    <w:p>
      <w:pPr>
        <w:spacing w:after="0" w:line="227"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SCHEDULE 13G</w:t>
      </w:r>
    </w:p>
    <w:p>
      <w:pPr>
        <w:spacing w:after="0" w:line="245"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Under the Securities Exchange Act of 1934</w:t>
      </w:r>
    </w:p>
    <w:p>
      <w:pPr>
        <w:spacing w:after="0" w:line="245"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(Amendment No. 21)</w:t>
      </w:r>
    </w:p>
    <w:p>
      <w:pPr>
        <w:spacing w:after="0" w:line="245"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OIL DRI CORP OF AMERICA</w:t>
      </w:r>
    </w:p>
    <w:p>
      <w:pPr>
        <w:spacing w:after="0" w:line="245"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(Name of Issuer)</w:t>
      </w:r>
    </w:p>
    <w:p>
      <w:pPr>
        <w:spacing w:after="0" w:line="245" w:lineRule="exact"/>
        <w:rPr>
          <w:sz w:val="24"/>
          <w:szCs w:val="24"/>
          <w:color w:val="auto"/>
        </w:rPr>
      </w:pPr>
    </w:p>
    <w:p>
      <w:pPr>
        <w:ind w:left="4880"/>
        <w:spacing w:after="0"/>
        <w:rPr>
          <w:sz w:val="20"/>
          <w:szCs w:val="20"/>
          <w:color w:val="auto"/>
        </w:rPr>
      </w:pPr>
      <w:r>
        <w:rPr>
          <w:rFonts w:ascii="Arial" w:cs="Arial" w:eastAsia="Arial" w:hAnsi="Arial"/>
          <w:sz w:val="21"/>
          <w:szCs w:val="21"/>
          <w:color w:val="auto"/>
        </w:rPr>
        <w:t>COMMON STOCK</w:t>
      </w:r>
    </w:p>
    <w:p>
      <w:pPr>
        <w:spacing w:after="0" w:line="245" w:lineRule="exact"/>
        <w:rPr>
          <w:sz w:val="24"/>
          <w:szCs w:val="24"/>
          <w:color w:val="auto"/>
        </w:rPr>
      </w:pPr>
    </w:p>
    <w:p>
      <w:pPr>
        <w:ind w:left="4860"/>
        <w:spacing w:after="0"/>
        <w:rPr>
          <w:sz w:val="20"/>
          <w:szCs w:val="20"/>
          <w:color w:val="auto"/>
        </w:rPr>
      </w:pPr>
      <w:r>
        <w:rPr>
          <w:rFonts w:ascii="Arial" w:cs="Arial" w:eastAsia="Arial" w:hAnsi="Arial"/>
          <w:sz w:val="21"/>
          <w:szCs w:val="21"/>
          <w:color w:val="auto"/>
        </w:rPr>
        <w:t>(Title of Class of Securities)</w:t>
      </w:r>
    </w:p>
    <w:p>
      <w:pPr>
        <w:spacing w:after="0" w:line="245" w:lineRule="exact"/>
        <w:rPr>
          <w:sz w:val="24"/>
          <w:szCs w:val="24"/>
          <w:color w:val="auto"/>
        </w:rPr>
      </w:pPr>
    </w:p>
    <w:p>
      <w:pPr>
        <w:ind w:left="5240"/>
        <w:spacing w:after="0"/>
        <w:rPr>
          <w:sz w:val="20"/>
          <w:szCs w:val="20"/>
          <w:color w:val="auto"/>
        </w:rPr>
      </w:pPr>
      <w:r>
        <w:rPr>
          <w:rFonts w:ascii="Arial" w:cs="Arial" w:eastAsia="Arial" w:hAnsi="Arial"/>
          <w:sz w:val="21"/>
          <w:szCs w:val="21"/>
          <w:color w:val="auto"/>
        </w:rPr>
        <w:t>677864100</w:t>
      </w:r>
    </w:p>
    <w:p>
      <w:pPr>
        <w:spacing w:after="0" w:line="245"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(CUSIP Number)</w:t>
      </w:r>
    </w:p>
    <w:p>
      <w:pPr>
        <w:spacing w:after="0" w:line="245"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December 31, 2015</w:t>
      </w:r>
    </w:p>
    <w:p>
      <w:pPr>
        <w:spacing w:after="0" w:line="245" w:lineRule="exact"/>
        <w:rPr>
          <w:sz w:val="24"/>
          <w:szCs w:val="24"/>
          <w:color w:val="auto"/>
        </w:rPr>
      </w:pPr>
    </w:p>
    <w:p>
      <w:pPr>
        <w:ind w:left="3580"/>
        <w:spacing w:after="0"/>
        <w:rPr>
          <w:sz w:val="20"/>
          <w:szCs w:val="20"/>
          <w:color w:val="auto"/>
        </w:rPr>
      </w:pPr>
      <w:r>
        <w:rPr>
          <w:rFonts w:ascii="Arial" w:cs="Arial" w:eastAsia="Arial" w:hAnsi="Arial"/>
          <w:sz w:val="19"/>
          <w:szCs w:val="19"/>
          <w:color w:val="auto"/>
        </w:rPr>
        <w:t>(Date of Event which Requires Filing of Statement)</w:t>
      </w:r>
    </w:p>
    <w:p>
      <w:pPr>
        <w:spacing w:after="0" w:line="268"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56" w:lineRule="exact"/>
        <w:rPr>
          <w:sz w:val="24"/>
          <w:szCs w:val="24"/>
          <w:color w:val="auto"/>
        </w:rPr>
      </w:pPr>
    </w:p>
    <w:p>
      <w:pPr>
        <w:jc w:val="both"/>
        <w:ind w:left="660" w:right="8299" w:hanging="652"/>
        <w:spacing w:after="0" w:line="597" w:lineRule="auto"/>
        <w:tabs>
          <w:tab w:leader="none" w:pos="305"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 - 1(b) Rule 13d - 1(c) Rule 13d - 1(d)</w:t>
      </w:r>
    </w:p>
    <w:p>
      <w:pPr>
        <w:sectPr>
          <w:pgSz w:w="11900" w:h="16838" w:orient="portrait"/>
          <w:cols w:equalWidth="0" w:num="1">
            <w:col w:w="10219"/>
          </w:cols>
          <w:pgMar w:left="240" w:top="234" w:right="1440" w:bottom="1440" w:gutter="0" w:footer="0" w:header="0"/>
        </w:sectPr>
      </w:pPr>
    </w:p>
    <w:bookmarkStart w:id="1" w:name="page2"/>
    <w:bookmarkEnd w:id="1"/>
    <w:p>
      <w:pPr>
        <w:spacing w:after="0"/>
        <w:rPr>
          <w:sz w:val="20"/>
          <w:szCs w:val="20"/>
          <w:color w:val="auto"/>
        </w:rPr>
      </w:pPr>
      <w:r>
        <w:rPr>
          <w:rFonts w:ascii="Arial" w:cs="Arial" w:eastAsia="Arial" w:hAnsi="Arial"/>
          <w:sz w:val="21"/>
          <w:szCs w:val="21"/>
          <w:color w:val="auto"/>
        </w:rPr>
        <w:t>1 Name of Reporting Person</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T. ROWE PRICE ASSOCIATES, INC.</w:t>
      </w:r>
    </w:p>
    <w:p>
      <w:pPr>
        <w:spacing w:after="0" w:line="20" w:lineRule="exact"/>
        <w:rPr>
          <w:sz w:val="20"/>
          <w:szCs w:val="20"/>
          <w:color w:val="auto"/>
        </w:rPr>
      </w:pPr>
    </w:p>
    <w:p>
      <w:pPr>
        <w:ind w:left="500"/>
        <w:spacing w:after="0"/>
        <w:rPr>
          <w:sz w:val="20"/>
          <w:szCs w:val="20"/>
          <w:color w:val="auto"/>
        </w:rPr>
      </w:pPr>
      <w:r>
        <w:rPr>
          <w:rFonts w:ascii="Arial" w:cs="Arial" w:eastAsia="Arial" w:hAnsi="Arial"/>
          <w:sz w:val="21"/>
          <w:szCs w:val="21"/>
          <w:color w:val="auto"/>
        </w:rPr>
        <w:t>52-0556948</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color w:val="auto"/>
        </w:rPr>
        <w:t>2 Check the Appropriate Box if a Member of a Group</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NOT APPLICABLE</w:t>
      </w:r>
    </w:p>
    <w:p>
      <w:pPr>
        <w:spacing w:after="0" w:line="245" w:lineRule="exact"/>
        <w:rPr>
          <w:sz w:val="20"/>
          <w:szCs w:val="20"/>
          <w:color w:val="auto"/>
        </w:rPr>
      </w:pPr>
    </w:p>
    <w:p>
      <w:pPr>
        <w:ind w:left="480" w:hanging="472"/>
        <w:spacing w:after="0"/>
        <w:tabs>
          <w:tab w:leader="none" w:pos="480" w:val="left"/>
        </w:tabs>
        <w:numPr>
          <w:ilvl w:val="0"/>
          <w:numId w:val="2"/>
        </w:numPr>
        <w:rPr>
          <w:rFonts w:ascii="Arial" w:cs="Arial" w:eastAsia="Arial" w:hAnsi="Arial"/>
          <w:sz w:val="21"/>
          <w:szCs w:val="21"/>
          <w:color w:val="auto"/>
        </w:rPr>
      </w:pPr>
      <w:r>
        <w:rPr>
          <w:rFonts w:ascii="Arial" w:cs="Arial" w:eastAsia="Arial" w:hAnsi="Arial"/>
          <w:sz w:val="21"/>
          <w:szCs w:val="21"/>
          <w:color w:val="auto"/>
        </w:rPr>
        <w:t>SEC Use Only</w:t>
      </w:r>
    </w:p>
    <w:p>
      <w:pPr>
        <w:spacing w:after="0" w:line="19" w:lineRule="exact"/>
        <w:rPr>
          <w:rFonts w:ascii="Arial" w:cs="Arial" w:eastAsia="Arial" w:hAnsi="Arial"/>
          <w:sz w:val="21"/>
          <w:szCs w:val="21"/>
          <w:color w:val="auto"/>
        </w:rPr>
      </w:pPr>
    </w:p>
    <w:p>
      <w:pPr>
        <w:ind w:left="480"/>
        <w:spacing w:after="0"/>
        <w:rPr>
          <w:rFonts w:ascii="Arial" w:cs="Arial" w:eastAsia="Arial" w:hAnsi="Arial"/>
          <w:sz w:val="21"/>
          <w:szCs w:val="21"/>
          <w:color w:val="auto"/>
        </w:rPr>
      </w:pPr>
      <w:r>
        <w:rPr>
          <w:rFonts w:ascii="Arial" w:cs="Arial" w:eastAsia="Arial" w:hAnsi="Arial"/>
          <w:sz w:val="21"/>
          <w:szCs w:val="21"/>
          <w:color w:val="auto"/>
        </w:rPr>
        <w:t>______________________________</w:t>
      </w:r>
    </w:p>
    <w:p>
      <w:pPr>
        <w:spacing w:after="0" w:line="227" w:lineRule="exact"/>
        <w:rPr>
          <w:sz w:val="20"/>
          <w:szCs w:val="20"/>
          <w:color w:val="auto"/>
        </w:rPr>
      </w:pPr>
    </w:p>
    <w:p>
      <w:pPr>
        <w:ind w:left="480" w:hanging="472"/>
        <w:spacing w:after="0"/>
        <w:tabs>
          <w:tab w:leader="none" w:pos="480" w:val="left"/>
        </w:tabs>
        <w:numPr>
          <w:ilvl w:val="0"/>
          <w:numId w:val="3"/>
        </w:numPr>
        <w:rPr>
          <w:rFonts w:ascii="Arial" w:cs="Arial" w:eastAsia="Arial" w:hAnsi="Arial"/>
          <w:sz w:val="21"/>
          <w:szCs w:val="21"/>
          <w:color w:val="auto"/>
        </w:rPr>
      </w:pPr>
      <w:r>
        <w:rPr>
          <w:rFonts w:ascii="Arial" w:cs="Arial" w:eastAsia="Arial" w:hAnsi="Arial"/>
          <w:sz w:val="21"/>
          <w:szCs w:val="21"/>
          <w:color w:val="auto"/>
        </w:rPr>
        <w:t>Citizenship or Place of Organization</w:t>
      </w:r>
    </w:p>
    <w:p>
      <w:pPr>
        <w:spacing w:after="0" w:line="244" w:lineRule="exact"/>
        <w:rPr>
          <w:rFonts w:ascii="Arial" w:cs="Arial" w:eastAsia="Arial" w:hAnsi="Arial"/>
          <w:sz w:val="21"/>
          <w:szCs w:val="21"/>
          <w:color w:val="auto"/>
        </w:rPr>
      </w:pPr>
    </w:p>
    <w:p>
      <w:pPr>
        <w:ind w:left="480"/>
        <w:spacing w:after="0"/>
        <w:rPr>
          <w:rFonts w:ascii="Arial" w:cs="Arial" w:eastAsia="Arial" w:hAnsi="Arial"/>
          <w:sz w:val="21"/>
          <w:szCs w:val="21"/>
          <w:color w:val="auto"/>
        </w:rPr>
      </w:pPr>
      <w:r>
        <w:rPr>
          <w:rFonts w:ascii="Arial" w:cs="Arial" w:eastAsia="Arial" w:hAnsi="Arial"/>
          <w:sz w:val="21"/>
          <w:szCs w:val="21"/>
          <w:color w:val="auto"/>
        </w:rPr>
        <w:t>MARYLAND</w:t>
      </w:r>
    </w:p>
    <w:p>
      <w:pPr>
        <w:spacing w:after="0" w:line="245" w:lineRule="exact"/>
        <w:rPr>
          <w:sz w:val="20"/>
          <w:szCs w:val="20"/>
          <w:color w:val="auto"/>
        </w:rPr>
      </w:pPr>
    </w:p>
    <w:p>
      <w:pPr>
        <w:ind w:right="4319"/>
        <w:spacing w:after="0" w:line="506" w:lineRule="auto"/>
        <w:rPr>
          <w:sz w:val="20"/>
          <w:szCs w:val="20"/>
          <w:color w:val="auto"/>
        </w:rPr>
      </w:pPr>
      <w:r>
        <w:rPr>
          <w:rFonts w:ascii="Arial" w:cs="Arial" w:eastAsia="Arial" w:hAnsi="Arial"/>
          <w:sz w:val="21"/>
          <w:szCs w:val="21"/>
          <w:color w:val="auto"/>
        </w:rPr>
        <w:t>Number of Shares Beneficially Owned by Each Reporting Person With 5 Sole Voting Power* 52,750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80" w:hanging="472"/>
        <w:spacing w:after="0"/>
        <w:tabs>
          <w:tab w:leader="none" w:pos="480" w:val="left"/>
        </w:tabs>
        <w:numPr>
          <w:ilvl w:val="0"/>
          <w:numId w:val="4"/>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w:t>
      </w:r>
    </w:p>
    <w:p>
      <w:pPr>
        <w:spacing w:after="0" w:line="256" w:lineRule="exact"/>
        <w:rPr>
          <w:sz w:val="20"/>
          <w:szCs w:val="20"/>
          <w:color w:val="auto"/>
        </w:rPr>
      </w:pPr>
    </w:p>
    <w:p>
      <w:pPr>
        <w:ind w:left="480"/>
        <w:spacing w:after="0"/>
        <w:rPr>
          <w:sz w:val="20"/>
          <w:szCs w:val="20"/>
          <w:color w:val="auto"/>
        </w:rPr>
      </w:pPr>
      <w:r>
        <w:rPr>
          <w:rFonts w:ascii="Arial" w:cs="Arial" w:eastAsia="Arial" w:hAnsi="Arial"/>
          <w:sz w:val="21"/>
          <w:szCs w:val="21"/>
          <w:color w:val="auto"/>
        </w:rPr>
        <w:t>609,250</w:t>
      </w:r>
    </w:p>
    <w:p>
      <w:pPr>
        <w:spacing w:after="0" w:line="245" w:lineRule="exact"/>
        <w:rPr>
          <w:sz w:val="20"/>
          <w:szCs w:val="20"/>
          <w:color w:val="auto"/>
        </w:rPr>
      </w:pPr>
    </w:p>
    <w:p>
      <w:pPr>
        <w:ind w:left="480" w:hanging="472"/>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w:t>
      </w:r>
    </w:p>
    <w:p>
      <w:pPr>
        <w:spacing w:after="0" w:line="279"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21"/>
          <w:szCs w:val="21"/>
          <w:color w:val="auto"/>
        </w:rPr>
        <w:t>NOT APPLICABLE</w:t>
      </w:r>
    </w:p>
    <w:p>
      <w:pPr>
        <w:spacing w:after="0" w:line="244"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21"/>
          <w:szCs w:val="21"/>
          <w:color w:val="auto"/>
        </w:rPr>
      </w:pPr>
      <w:r>
        <w:rPr>
          <w:rFonts w:ascii="Arial" w:cs="Arial" w:eastAsia="Arial" w:hAnsi="Arial"/>
          <w:sz w:val="21"/>
          <w:szCs w:val="21"/>
          <w:color w:val="auto"/>
        </w:rPr>
        <w:t>Percent of Class Represented by Amount in Row 9</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12.0%</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12 Type of Reporting Person</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IA</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*Any shares reported in Items 5 and 6 are also reported in Item 7.</w:t>
      </w:r>
    </w:p>
    <w:p>
      <w:pPr>
        <w:sectPr>
          <w:pgSz w:w="11900" w:h="16838" w:orient="portrait"/>
          <w:cols w:equalWidth="0" w:num="1">
            <w:col w:w="10219"/>
          </w:cols>
          <w:pgMar w:left="240" w:top="477" w:right="1440" w:bottom="1440" w:gutter="0" w:footer="0" w:header="0"/>
        </w:sectPr>
      </w:pPr>
    </w:p>
    <w:bookmarkStart w:id="2" w:name="page3"/>
    <w:bookmarkEnd w:id="2"/>
    <w:p>
      <w:pPr>
        <w:spacing w:after="0"/>
        <w:rPr>
          <w:sz w:val="20"/>
          <w:szCs w:val="20"/>
          <w:color w:val="auto"/>
        </w:rPr>
      </w:pPr>
      <w:r>
        <w:rPr>
          <w:rFonts w:ascii="Arial" w:cs="Arial" w:eastAsia="Arial" w:hAnsi="Arial"/>
          <w:sz w:val="21"/>
          <w:szCs w:val="21"/>
          <w:color w:val="auto"/>
        </w:rPr>
        <w:t>1 Name of Reporting Person</w:t>
      </w:r>
    </w:p>
    <w:p>
      <w:pPr>
        <w:spacing w:after="0" w:line="245" w:lineRule="exact"/>
        <w:rPr>
          <w:sz w:val="20"/>
          <w:szCs w:val="20"/>
          <w:color w:val="auto"/>
        </w:rPr>
      </w:pPr>
    </w:p>
    <w:p>
      <w:pPr>
        <w:ind w:left="460"/>
        <w:spacing w:after="0"/>
        <w:rPr>
          <w:sz w:val="20"/>
          <w:szCs w:val="20"/>
          <w:color w:val="auto"/>
        </w:rPr>
      </w:pPr>
      <w:r>
        <w:rPr>
          <w:rFonts w:ascii="Arial" w:cs="Arial" w:eastAsia="Arial" w:hAnsi="Arial"/>
          <w:sz w:val="21"/>
          <w:szCs w:val="21"/>
          <w:color w:val="auto"/>
        </w:rPr>
        <w:t>T. ROWE PRICE SMALL-CAP VALUE FUND, INC.</w:t>
      </w:r>
    </w:p>
    <w:p>
      <w:pPr>
        <w:spacing w:after="0" w:line="20" w:lineRule="exact"/>
        <w:rPr>
          <w:sz w:val="20"/>
          <w:szCs w:val="20"/>
          <w:color w:val="auto"/>
        </w:rPr>
      </w:pPr>
    </w:p>
    <w:p>
      <w:pPr>
        <w:ind w:left="460"/>
        <w:spacing w:after="0"/>
        <w:rPr>
          <w:sz w:val="20"/>
          <w:szCs w:val="20"/>
          <w:color w:val="auto"/>
        </w:rPr>
      </w:pPr>
      <w:r>
        <w:rPr>
          <w:rFonts w:ascii="Arial" w:cs="Arial" w:eastAsia="Arial" w:hAnsi="Arial"/>
          <w:sz w:val="21"/>
          <w:szCs w:val="21"/>
          <w:color w:val="auto"/>
        </w:rPr>
        <w:t>52-1575325</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color w:val="auto"/>
        </w:rPr>
        <w:t>2 Check the Appropriate Box if a Member of a Group</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NOT APPLICABLE</w:t>
      </w:r>
    </w:p>
    <w:p>
      <w:pPr>
        <w:spacing w:after="0" w:line="245" w:lineRule="exact"/>
        <w:rPr>
          <w:sz w:val="20"/>
          <w:szCs w:val="20"/>
          <w:color w:val="auto"/>
        </w:rPr>
      </w:pPr>
    </w:p>
    <w:p>
      <w:pPr>
        <w:ind w:left="480" w:hanging="472"/>
        <w:spacing w:after="0"/>
        <w:tabs>
          <w:tab w:leader="none" w:pos="480" w:val="left"/>
        </w:tabs>
        <w:numPr>
          <w:ilvl w:val="0"/>
          <w:numId w:val="6"/>
        </w:numPr>
        <w:rPr>
          <w:rFonts w:ascii="Arial" w:cs="Arial" w:eastAsia="Arial" w:hAnsi="Arial"/>
          <w:sz w:val="21"/>
          <w:szCs w:val="21"/>
          <w:color w:val="auto"/>
        </w:rPr>
      </w:pPr>
      <w:r>
        <w:rPr>
          <w:rFonts w:ascii="Arial" w:cs="Arial" w:eastAsia="Arial" w:hAnsi="Arial"/>
          <w:sz w:val="21"/>
          <w:szCs w:val="21"/>
          <w:color w:val="auto"/>
        </w:rPr>
        <w:t>SEC Use Only</w:t>
      </w:r>
    </w:p>
    <w:p>
      <w:pPr>
        <w:spacing w:after="0" w:line="19" w:lineRule="exact"/>
        <w:rPr>
          <w:rFonts w:ascii="Arial" w:cs="Arial" w:eastAsia="Arial" w:hAnsi="Arial"/>
          <w:sz w:val="21"/>
          <w:szCs w:val="21"/>
          <w:color w:val="auto"/>
        </w:rPr>
      </w:pPr>
    </w:p>
    <w:p>
      <w:pPr>
        <w:ind w:left="480"/>
        <w:spacing w:after="0"/>
        <w:rPr>
          <w:rFonts w:ascii="Arial" w:cs="Arial" w:eastAsia="Arial" w:hAnsi="Arial"/>
          <w:sz w:val="21"/>
          <w:szCs w:val="21"/>
          <w:color w:val="auto"/>
        </w:rPr>
      </w:pPr>
      <w:r>
        <w:rPr>
          <w:rFonts w:ascii="Arial" w:cs="Arial" w:eastAsia="Arial" w:hAnsi="Arial"/>
          <w:sz w:val="21"/>
          <w:szCs w:val="21"/>
          <w:color w:val="auto"/>
        </w:rPr>
        <w:t>______________________________</w:t>
      </w:r>
    </w:p>
    <w:p>
      <w:pPr>
        <w:spacing w:after="0" w:line="227" w:lineRule="exact"/>
        <w:rPr>
          <w:sz w:val="20"/>
          <w:szCs w:val="20"/>
          <w:color w:val="auto"/>
        </w:rPr>
      </w:pPr>
    </w:p>
    <w:p>
      <w:pPr>
        <w:ind w:left="480" w:hanging="472"/>
        <w:spacing w:after="0"/>
        <w:tabs>
          <w:tab w:leader="none" w:pos="480" w:val="left"/>
        </w:tabs>
        <w:numPr>
          <w:ilvl w:val="0"/>
          <w:numId w:val="7"/>
        </w:numPr>
        <w:rPr>
          <w:rFonts w:ascii="Arial" w:cs="Arial" w:eastAsia="Arial" w:hAnsi="Arial"/>
          <w:sz w:val="21"/>
          <w:szCs w:val="21"/>
          <w:color w:val="auto"/>
        </w:rPr>
      </w:pPr>
      <w:r>
        <w:rPr>
          <w:rFonts w:ascii="Arial" w:cs="Arial" w:eastAsia="Arial" w:hAnsi="Arial"/>
          <w:sz w:val="21"/>
          <w:szCs w:val="21"/>
          <w:color w:val="auto"/>
        </w:rPr>
        <w:t>Citizenship or Place of Organization</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Maryland</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Number of Shares Beneficially Owned by Each Reporting Person With</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5 Sole Voting Power* 556,500</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6 Shared Voting Power* -0-</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7 Sole Dispositive Power* </w:t>
      </w:r>
      <w:r>
        <w:rPr>
          <w:rFonts w:ascii="Arial" w:cs="Arial" w:eastAsia="Arial" w:hAnsi="Arial"/>
          <w:sz w:val="20"/>
          <w:szCs w:val="20"/>
          <w:color w:val="auto"/>
        </w:rPr>
        <w:t>-0-</w:t>
      </w: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color w:val="auto"/>
        </w:rPr>
        <w:t>8 Shared Dispositive Power -0-</w:t>
      </w:r>
    </w:p>
    <w:p>
      <w:pPr>
        <w:spacing w:after="0" w:line="245" w:lineRule="exact"/>
        <w:rPr>
          <w:sz w:val="20"/>
          <w:szCs w:val="20"/>
          <w:color w:val="auto"/>
        </w:rPr>
      </w:pPr>
    </w:p>
    <w:p>
      <w:pPr>
        <w:ind w:left="480" w:right="5340" w:hanging="472"/>
        <w:spacing w:after="0" w:line="483" w:lineRule="auto"/>
        <w:tabs>
          <w:tab w:leader="none" w:pos="478" w:val="left"/>
        </w:tabs>
        <w:numPr>
          <w:ilvl w:val="0"/>
          <w:numId w:val="8"/>
        </w:numPr>
        <w:rPr>
          <w:rFonts w:ascii="Arial" w:cs="Arial" w:eastAsia="Arial" w:hAnsi="Arial"/>
          <w:sz w:val="21"/>
          <w:szCs w:val="21"/>
          <w:color w:val="auto"/>
        </w:rPr>
      </w:pPr>
      <w:r>
        <w:rPr>
          <w:rFonts w:ascii="Arial" w:cs="Arial" w:eastAsia="Arial" w:hAnsi="Arial"/>
          <w:sz w:val="21"/>
          <w:szCs w:val="21"/>
          <w:color w:val="auto"/>
        </w:rPr>
        <w:t>Aggregate Amount Beneficially Owned by Each Reporting Person 556,500</w:t>
      </w:r>
    </w:p>
    <w:p>
      <w:pPr>
        <w:ind w:left="480" w:hanging="472"/>
        <w:spacing w:after="0"/>
        <w:tabs>
          <w:tab w:leader="none" w:pos="480" w:val="left"/>
        </w:tabs>
        <w:numPr>
          <w:ilvl w:val="0"/>
          <w:numId w:val="9"/>
        </w:numPr>
        <w:rPr>
          <w:rFonts w:ascii="Arial" w:cs="Arial" w:eastAsia="Arial" w:hAnsi="Arial"/>
          <w:sz w:val="21"/>
          <w:szCs w:val="21"/>
          <w:color w:val="auto"/>
        </w:rPr>
      </w:pPr>
      <w:r>
        <w:rPr>
          <w:rFonts w:ascii="Arial" w:cs="Arial" w:eastAsia="Arial" w:hAnsi="Arial"/>
          <w:sz w:val="21"/>
          <w:szCs w:val="21"/>
          <w:color w:val="auto"/>
        </w:rPr>
        <w:t>Check Box if the Aggregate Amount in Row (9) Excludes Certain Shares</w:t>
      </w:r>
    </w:p>
    <w:p>
      <w:pPr>
        <w:spacing w:after="0" w:line="244" w:lineRule="exact"/>
        <w:rPr>
          <w:rFonts w:ascii="Arial" w:cs="Arial" w:eastAsia="Arial" w:hAnsi="Arial"/>
          <w:sz w:val="21"/>
          <w:szCs w:val="21"/>
          <w:color w:val="auto"/>
        </w:rPr>
      </w:pPr>
    </w:p>
    <w:p>
      <w:pPr>
        <w:ind w:left="480"/>
        <w:spacing w:after="0"/>
        <w:rPr>
          <w:rFonts w:ascii="Arial" w:cs="Arial" w:eastAsia="Arial" w:hAnsi="Arial"/>
          <w:sz w:val="21"/>
          <w:szCs w:val="21"/>
          <w:color w:val="auto"/>
        </w:rPr>
      </w:pPr>
      <w:r>
        <w:rPr>
          <w:rFonts w:ascii="Arial" w:cs="Arial" w:eastAsia="Arial" w:hAnsi="Arial"/>
          <w:sz w:val="21"/>
          <w:szCs w:val="21"/>
          <w:color w:val="auto"/>
        </w:rPr>
        <w:t>NOT APPLICABLE</w:t>
      </w:r>
    </w:p>
    <w:p>
      <w:pPr>
        <w:spacing w:after="0" w:line="244" w:lineRule="exact"/>
        <w:rPr>
          <w:rFonts w:ascii="Arial" w:cs="Arial" w:eastAsia="Arial" w:hAnsi="Arial"/>
          <w:sz w:val="21"/>
          <w:szCs w:val="21"/>
          <w:color w:val="auto"/>
        </w:rPr>
      </w:pPr>
    </w:p>
    <w:p>
      <w:pPr>
        <w:ind w:left="260" w:hanging="252"/>
        <w:spacing w:after="0"/>
        <w:tabs>
          <w:tab w:leader="none" w:pos="260" w:val="left"/>
        </w:tabs>
        <w:numPr>
          <w:ilvl w:val="0"/>
          <w:numId w:val="9"/>
        </w:numPr>
        <w:rPr>
          <w:rFonts w:ascii="Arial" w:cs="Arial" w:eastAsia="Arial" w:hAnsi="Arial"/>
          <w:sz w:val="21"/>
          <w:szCs w:val="21"/>
          <w:color w:val="auto"/>
        </w:rPr>
      </w:pPr>
      <w:r>
        <w:rPr>
          <w:rFonts w:ascii="Arial" w:cs="Arial" w:eastAsia="Arial" w:hAnsi="Arial"/>
          <w:sz w:val="21"/>
          <w:szCs w:val="21"/>
          <w:color w:val="auto"/>
        </w:rPr>
        <w:t>Percent of Class Represented by Amount in Row 9</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11.0%</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12 Type of Reporting Person</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IV</w:t>
      </w:r>
    </w:p>
    <w:p>
      <w:pPr>
        <w:spacing w:after="0" w:line="20"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*The aggregate amount reported on this page is also included in the aggregate amount reported by T. Rowe Price Associates, Inc. on this Schedule 13G.</w:t>
      </w:r>
    </w:p>
    <w:p>
      <w:pPr>
        <w:sectPr>
          <w:pgSz w:w="11900" w:h="16838" w:orient="portrait"/>
          <w:cols w:equalWidth="0" w:num="1">
            <w:col w:w="11340"/>
          </w:cols>
          <w:pgMar w:left="240" w:top="477" w:right="319" w:bottom="1440" w:gutter="0" w:footer="0" w:header="0"/>
        </w:sectPr>
      </w:pPr>
    </w:p>
    <w:bookmarkStart w:id="3" w:name="page4"/>
    <w:bookmarkEnd w:id="3"/>
    <w:p>
      <w:pPr>
        <w:spacing w:after="0"/>
        <w:rPr>
          <w:sz w:val="20"/>
          <w:szCs w:val="20"/>
          <w:color w:val="auto"/>
        </w:rPr>
      </w:pPr>
      <w:r>
        <w:rPr>
          <w:rFonts w:ascii="Arial" w:cs="Arial" w:eastAsia="Arial" w:hAnsi="Arial"/>
          <w:sz w:val="21"/>
          <w:szCs w:val="21"/>
          <w:color w:val="auto"/>
        </w:rPr>
        <w:t>Item 1(a) Name of Issuer:</w:t>
      </w:r>
    </w:p>
    <w:p>
      <w:pPr>
        <w:spacing w:after="0" w:line="20" w:lineRule="exact"/>
        <w:rPr>
          <w:sz w:val="20"/>
          <w:szCs w:val="20"/>
          <w:color w:val="auto"/>
        </w:rPr>
      </w:pPr>
    </w:p>
    <w:p>
      <w:pPr>
        <w:ind w:left="1380"/>
        <w:spacing w:after="0"/>
        <w:rPr>
          <w:sz w:val="20"/>
          <w:szCs w:val="20"/>
          <w:color w:val="auto"/>
        </w:rPr>
      </w:pPr>
      <w:r>
        <w:rPr>
          <w:rFonts w:ascii="Arial" w:cs="Arial" w:eastAsia="Arial" w:hAnsi="Arial"/>
          <w:sz w:val="21"/>
          <w:szCs w:val="21"/>
          <w:color w:val="auto"/>
        </w:rPr>
        <w:t>Reference is made to page 1 of this Schedule 13G</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color w:val="auto"/>
        </w:rPr>
        <w:t>Item 1(b) Address of Issuer's Principal Executive Offices:</w:t>
      </w:r>
    </w:p>
    <w:p>
      <w:pPr>
        <w:spacing w:after="0" w:line="245" w:lineRule="exact"/>
        <w:rPr>
          <w:sz w:val="20"/>
          <w:szCs w:val="20"/>
          <w:color w:val="auto"/>
        </w:rPr>
      </w:pPr>
    </w:p>
    <w:p>
      <w:pPr>
        <w:ind w:left="1400"/>
        <w:spacing w:after="0"/>
        <w:rPr>
          <w:sz w:val="20"/>
          <w:szCs w:val="20"/>
          <w:color w:val="auto"/>
        </w:rPr>
      </w:pPr>
      <w:r>
        <w:rPr>
          <w:rFonts w:ascii="Arial" w:cs="Arial" w:eastAsia="Arial" w:hAnsi="Arial"/>
          <w:sz w:val="21"/>
          <w:szCs w:val="21"/>
          <w:color w:val="auto"/>
        </w:rPr>
        <w:t>410 North Michigan Avenue, Suite 400, Chicago, Illinois 60611-4213</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Item 2(a) Name of Person(s) Filing:</w:t>
      </w:r>
    </w:p>
    <w:p>
      <w:pPr>
        <w:spacing w:after="0" w:line="245" w:lineRule="exact"/>
        <w:rPr>
          <w:sz w:val="20"/>
          <w:szCs w:val="20"/>
          <w:color w:val="auto"/>
        </w:rPr>
      </w:pPr>
    </w:p>
    <w:p>
      <w:pPr>
        <w:ind w:left="1680" w:hanging="294"/>
        <w:spacing w:after="0"/>
        <w:tabs>
          <w:tab w:leader="none" w:pos="16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T. Rowe Price Associates, Inc. ("Price Associates")</w:t>
      </w:r>
    </w:p>
    <w:p>
      <w:pPr>
        <w:spacing w:after="0" w:line="244" w:lineRule="exact"/>
        <w:rPr>
          <w:rFonts w:ascii="Arial" w:cs="Arial" w:eastAsia="Arial" w:hAnsi="Arial"/>
          <w:sz w:val="21"/>
          <w:szCs w:val="21"/>
          <w:color w:val="auto"/>
        </w:rPr>
      </w:pPr>
    </w:p>
    <w:p>
      <w:pPr>
        <w:ind w:left="1680" w:hanging="294"/>
        <w:spacing w:after="0"/>
        <w:tabs>
          <w:tab w:leader="none" w:pos="16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T. Rowe Price Small-Cap Value Fund, Inc.</w:t>
      </w:r>
    </w:p>
    <w:p>
      <w:pPr>
        <w:spacing w:after="0" w:line="245" w:lineRule="exact"/>
        <w:rPr>
          <w:sz w:val="20"/>
          <w:szCs w:val="20"/>
          <w:color w:val="auto"/>
        </w:rPr>
      </w:pPr>
    </w:p>
    <w:p>
      <w:pPr>
        <w:ind w:left="1300" w:hanging="1296"/>
        <w:spacing w:after="0" w:line="264" w:lineRule="auto"/>
        <w:rPr>
          <w:sz w:val="20"/>
          <w:szCs w:val="20"/>
          <w:color w:val="auto"/>
        </w:rPr>
      </w:pPr>
      <w:r>
        <w:rPr>
          <w:rFonts w:ascii="Arial" w:cs="Arial" w:eastAsia="Arial" w:hAnsi="Arial"/>
          <w:sz w:val="21"/>
          <w:szCs w:val="21"/>
          <w:color w:val="auto"/>
        </w:rPr>
        <w:t>X Attached as Exhibit A is a copy of an agreement between the Persons Filing (as specified hereinabove) that this Schedule 13G is being filed on behalf of each of them.</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color w:val="auto"/>
        </w:rPr>
        <w:t>Item 2(b) Address of Principal Business Office:</w:t>
      </w:r>
    </w:p>
    <w:p>
      <w:pPr>
        <w:spacing w:after="0" w:line="245" w:lineRule="exact"/>
        <w:rPr>
          <w:sz w:val="20"/>
          <w:szCs w:val="20"/>
          <w:color w:val="auto"/>
        </w:rPr>
      </w:pPr>
    </w:p>
    <w:p>
      <w:pPr>
        <w:ind w:left="1400"/>
        <w:spacing w:after="0"/>
        <w:rPr>
          <w:sz w:val="20"/>
          <w:szCs w:val="20"/>
          <w:color w:val="auto"/>
        </w:rPr>
      </w:pPr>
      <w:r>
        <w:rPr>
          <w:rFonts w:ascii="Arial" w:cs="Arial" w:eastAsia="Arial" w:hAnsi="Arial"/>
          <w:sz w:val="21"/>
          <w:szCs w:val="21"/>
          <w:color w:val="auto"/>
        </w:rPr>
        <w:t>100 E. Pratt Street, Baltimore, Maryland 21202</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Item 2(c) Citizenship or Place of Organization:</w:t>
      </w:r>
    </w:p>
    <w:p>
      <w:pPr>
        <w:spacing w:after="0" w:line="245" w:lineRule="exact"/>
        <w:rPr>
          <w:sz w:val="20"/>
          <w:szCs w:val="20"/>
          <w:color w:val="auto"/>
        </w:rPr>
      </w:pPr>
    </w:p>
    <w:p>
      <w:pPr>
        <w:ind w:left="1680" w:hanging="290"/>
        <w:spacing w:after="0"/>
        <w:tabs>
          <w:tab w:leader="none" w:pos="1680" w:val="left"/>
        </w:tabs>
        <w:numPr>
          <w:ilvl w:val="0"/>
          <w:numId w:val="11"/>
        </w:numPr>
        <w:rPr>
          <w:rFonts w:ascii="Arial" w:cs="Arial" w:eastAsia="Arial" w:hAnsi="Arial"/>
          <w:sz w:val="21"/>
          <w:szCs w:val="21"/>
          <w:color w:val="auto"/>
        </w:rPr>
      </w:pPr>
      <w:r>
        <w:rPr>
          <w:rFonts w:ascii="Arial" w:cs="Arial" w:eastAsia="Arial" w:hAnsi="Arial"/>
          <w:sz w:val="21"/>
          <w:szCs w:val="21"/>
          <w:color w:val="auto"/>
        </w:rPr>
        <w:t>Maryland</w:t>
      </w:r>
    </w:p>
    <w:p>
      <w:pPr>
        <w:spacing w:after="0" w:line="244" w:lineRule="exact"/>
        <w:rPr>
          <w:rFonts w:ascii="Arial" w:cs="Arial" w:eastAsia="Arial" w:hAnsi="Arial"/>
          <w:sz w:val="21"/>
          <w:szCs w:val="21"/>
          <w:color w:val="auto"/>
        </w:rPr>
      </w:pPr>
    </w:p>
    <w:p>
      <w:pPr>
        <w:ind w:left="1680" w:hanging="290"/>
        <w:spacing w:after="0"/>
        <w:tabs>
          <w:tab w:leader="none" w:pos="1680" w:val="left"/>
        </w:tabs>
        <w:numPr>
          <w:ilvl w:val="0"/>
          <w:numId w:val="11"/>
        </w:numPr>
        <w:rPr>
          <w:rFonts w:ascii="Arial" w:cs="Arial" w:eastAsia="Arial" w:hAnsi="Arial"/>
          <w:sz w:val="21"/>
          <w:szCs w:val="21"/>
          <w:color w:val="auto"/>
        </w:rPr>
      </w:pPr>
      <w:r>
        <w:rPr>
          <w:rFonts w:ascii="Arial" w:cs="Arial" w:eastAsia="Arial" w:hAnsi="Arial"/>
          <w:sz w:val="21"/>
          <w:szCs w:val="21"/>
          <w:color w:val="auto"/>
        </w:rPr>
        <w:t>Maryland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380" w:hanging="1372"/>
        <w:spacing w:after="0"/>
        <w:tabs>
          <w:tab w:leader="none" w:pos="1380" w:val="left"/>
        </w:tabs>
        <w:numPr>
          <w:ilvl w:val="0"/>
          <w:numId w:val="12"/>
        </w:numPr>
        <w:rPr>
          <w:rFonts w:ascii="Arial" w:cs="Arial" w:eastAsia="Arial" w:hAnsi="Arial"/>
          <w:sz w:val="21"/>
          <w:szCs w:val="21"/>
          <w:color w:val="auto"/>
        </w:rPr>
      </w:pPr>
      <w:r>
        <w:rPr>
          <w:rFonts w:ascii="Arial" w:cs="Arial" w:eastAsia="Arial" w:hAnsi="Arial"/>
          <w:sz w:val="21"/>
          <w:szCs w:val="21"/>
          <w:color w:val="auto"/>
        </w:rPr>
        <w:t>Investment Adviser registered under Section 203 of the Investment Advisers Act of 1940</w:t>
      </w:r>
    </w:p>
    <w:p>
      <w:pPr>
        <w:spacing w:after="0" w:line="244" w:lineRule="exact"/>
        <w:rPr>
          <w:rFonts w:ascii="Arial" w:cs="Arial" w:eastAsia="Arial" w:hAnsi="Arial"/>
          <w:sz w:val="21"/>
          <w:szCs w:val="21"/>
          <w:color w:val="auto"/>
        </w:rPr>
      </w:pPr>
    </w:p>
    <w:p>
      <w:pPr>
        <w:ind w:right="2580" w:firstLine="8"/>
        <w:spacing w:after="0" w:line="543" w:lineRule="auto"/>
        <w:tabs>
          <w:tab w:leader="none" w:pos="1378" w:val="left"/>
        </w:tabs>
        <w:numPr>
          <w:ilvl w:val="0"/>
          <w:numId w:val="12"/>
        </w:numPr>
        <w:rPr>
          <w:rFonts w:ascii="Arial" w:cs="Arial" w:eastAsia="Arial" w:hAnsi="Arial"/>
          <w:sz w:val="20"/>
          <w:szCs w:val="20"/>
          <w:color w:val="auto"/>
        </w:rPr>
      </w:pPr>
      <w:r>
        <w:rPr>
          <w:rFonts w:ascii="Arial" w:cs="Arial" w:eastAsia="Arial" w:hAnsi="Arial"/>
          <w:sz w:val="20"/>
          <w:szCs w:val="20"/>
          <w:color w:val="auto"/>
        </w:rPr>
        <w:t>Investment Company registered under Section 8 of the Investment Company Act of 1940 Item 4 Reference is made to Items 5-11 on the preceding pages of this Schedule 13G.</w:t>
      </w:r>
    </w:p>
    <w:p>
      <w:pPr>
        <w:sectPr>
          <w:pgSz w:w="11900" w:h="16838" w:orient="portrait"/>
          <w:cols w:equalWidth="0" w:num="1">
            <w:col w:w="11360"/>
          </w:cols>
          <w:pgMar w:left="240" w:top="477" w:right="299" w:bottom="1440" w:gutter="0" w:footer="0" w:header="0"/>
        </w:sectPr>
      </w:pPr>
    </w:p>
    <w:bookmarkStart w:id="4" w:name="page5"/>
    <w:bookmarkEnd w:id="4"/>
    <w:p>
      <w:pPr>
        <w:spacing w:after="0"/>
        <w:rPr>
          <w:sz w:val="20"/>
          <w:szCs w:val="20"/>
          <w:color w:val="auto"/>
        </w:rPr>
      </w:pPr>
      <w:r>
        <w:rPr>
          <w:rFonts w:ascii="Arial" w:cs="Arial" w:eastAsia="Arial" w:hAnsi="Arial"/>
          <w:sz w:val="21"/>
          <w:szCs w:val="21"/>
          <w:color w:val="auto"/>
        </w:rPr>
        <w:t>Item 5 Ownership of Five Percent or Less of a Class.</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X Not Applicable.</w:t>
      </w:r>
    </w:p>
    <w:p>
      <w:pPr>
        <w:spacing w:after="0" w:line="245" w:lineRule="exact"/>
        <w:rPr>
          <w:sz w:val="20"/>
          <w:szCs w:val="20"/>
          <w:color w:val="auto"/>
        </w:rPr>
      </w:pPr>
    </w:p>
    <w:p>
      <w:pPr>
        <w:ind w:left="1040" w:right="180"/>
        <w:spacing w:after="0" w:line="264" w:lineRule="auto"/>
        <w:rPr>
          <w:sz w:val="20"/>
          <w:szCs w:val="20"/>
          <w:color w:val="auto"/>
        </w:rPr>
      </w:pPr>
      <w:r>
        <w:rPr>
          <w:rFonts w:ascii="Arial" w:cs="Arial" w:eastAsia="Arial" w:hAnsi="Arial"/>
          <w:sz w:val="21"/>
          <w:szCs w:val="21"/>
          <w:color w:val="auto"/>
        </w:rPr>
        <w:t>This statement is being filed to report the fact that, as of the date of this report, the reporting person(s) has (have) ceased to be the beneficial owner of more than five percent of the class of securities.</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color w:val="auto"/>
        </w:rPr>
        <w:t>Item 6 Ownership of More than Five Percent on Behalf of Another Person</w:t>
      </w:r>
    </w:p>
    <w:p>
      <w:pPr>
        <w:spacing w:after="0" w:line="245" w:lineRule="exact"/>
        <w:rPr>
          <w:sz w:val="20"/>
          <w:szCs w:val="20"/>
          <w:color w:val="auto"/>
        </w:rPr>
      </w:pPr>
    </w:p>
    <w:p>
      <w:pPr>
        <w:ind w:left="1300" w:hanging="887"/>
        <w:spacing w:after="0" w:line="253" w:lineRule="auto"/>
        <w:tabs>
          <w:tab w:leader="none" w:pos="1300" w:val="left"/>
        </w:tabs>
        <w:numPr>
          <w:ilvl w:val="0"/>
          <w:numId w:val="13"/>
        </w:numPr>
        <w:rPr>
          <w:rFonts w:ascii="Arial" w:cs="Arial" w:eastAsia="Arial" w:hAnsi="Arial"/>
          <w:sz w:val="21"/>
          <w:szCs w:val="21"/>
          <w:color w:val="auto"/>
        </w:rPr>
      </w:pPr>
      <w:r>
        <w:rPr>
          <w:rFonts w:ascii="Arial" w:cs="Arial" w:eastAsia="Arial" w:hAnsi="Arial"/>
          <w:sz w:val="21"/>
          <w:szCs w:val="21"/>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08" w:lineRule="exact"/>
        <w:rPr>
          <w:rFonts w:ascii="Arial" w:cs="Arial" w:eastAsia="Arial" w:hAnsi="Arial"/>
          <w:sz w:val="21"/>
          <w:szCs w:val="21"/>
          <w:color w:val="auto"/>
        </w:rPr>
      </w:pPr>
    </w:p>
    <w:p>
      <w:pPr>
        <w:ind w:left="1300" w:right="280"/>
        <w:spacing w:after="0" w:line="249" w:lineRule="auto"/>
        <w:rPr>
          <w:rFonts w:ascii="Arial" w:cs="Arial" w:eastAsia="Arial" w:hAnsi="Arial"/>
          <w:sz w:val="21"/>
          <w:szCs w:val="21"/>
          <w:color w:val="auto"/>
        </w:rPr>
      </w:pPr>
      <w:r>
        <w:rPr>
          <w:rFonts w:ascii="Arial" w:cs="Arial" w:eastAsia="Arial" w:hAnsi="Arial"/>
          <w:sz w:val="21"/>
          <w:szCs w:val="21"/>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13" w:lineRule="exact"/>
        <w:rPr>
          <w:rFonts w:ascii="Arial" w:cs="Arial" w:eastAsia="Arial" w:hAnsi="Arial"/>
          <w:sz w:val="21"/>
          <w:szCs w:val="21"/>
          <w:color w:val="auto"/>
        </w:rPr>
      </w:pPr>
    </w:p>
    <w:p>
      <w:pPr>
        <w:jc w:val="both"/>
        <w:ind w:left="1300" w:right="340"/>
        <w:spacing w:after="0" w:line="271" w:lineRule="auto"/>
        <w:rPr>
          <w:rFonts w:ascii="Arial" w:cs="Arial" w:eastAsia="Arial" w:hAnsi="Arial"/>
          <w:sz w:val="21"/>
          <w:szCs w:val="21"/>
          <w:color w:val="auto"/>
        </w:rPr>
      </w:pPr>
      <w:r>
        <w:rPr>
          <w:rFonts w:ascii="Arial" w:cs="Arial" w:eastAsia="Arial" w:hAnsi="Arial"/>
          <w:sz w:val="20"/>
          <w:szCs w:val="20"/>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193" w:lineRule="exact"/>
        <w:rPr>
          <w:rFonts w:ascii="Arial" w:cs="Arial" w:eastAsia="Arial" w:hAnsi="Arial"/>
          <w:sz w:val="21"/>
          <w:szCs w:val="21"/>
          <w:color w:val="auto"/>
        </w:rPr>
      </w:pPr>
    </w:p>
    <w:p>
      <w:pPr>
        <w:ind w:left="1300" w:hanging="887"/>
        <w:spacing w:after="0" w:line="249" w:lineRule="auto"/>
        <w:tabs>
          <w:tab w:leader="none" w:pos="1300" w:val="left"/>
        </w:tabs>
        <w:numPr>
          <w:ilvl w:val="0"/>
          <w:numId w:val="13"/>
        </w:numPr>
        <w:rPr>
          <w:rFonts w:ascii="Arial" w:cs="Arial" w:eastAsia="Arial" w:hAnsi="Arial"/>
          <w:sz w:val="21"/>
          <w:szCs w:val="21"/>
          <w:color w:val="auto"/>
        </w:rPr>
      </w:pPr>
      <w:r>
        <w:rPr>
          <w:rFonts w:ascii="Arial" w:cs="Arial" w:eastAsia="Arial" w:hAnsi="Arial"/>
          <w:sz w:val="21"/>
          <w:szCs w:val="21"/>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3" w:lineRule="exact"/>
        <w:rPr>
          <w:sz w:val="20"/>
          <w:szCs w:val="20"/>
          <w:color w:val="auto"/>
        </w:rPr>
      </w:pPr>
    </w:p>
    <w:p>
      <w:pPr>
        <w:ind w:left="1040" w:right="680" w:hanging="1040"/>
        <w:spacing w:after="0" w:line="264" w:lineRule="auto"/>
        <w:rPr>
          <w:sz w:val="20"/>
          <w:szCs w:val="20"/>
          <w:color w:val="auto"/>
        </w:rPr>
      </w:pPr>
      <w:r>
        <w:rPr>
          <w:rFonts w:ascii="Arial" w:cs="Arial" w:eastAsia="Arial" w:hAnsi="Arial"/>
          <w:sz w:val="21"/>
          <w:szCs w:val="21"/>
          <w:color w:val="auto"/>
        </w:rPr>
        <w:t>Item 7 Identification and Classification of the Subsidiary Which Acquired the Security Being Reported on By the Parent Holding Company.</w:t>
      </w:r>
    </w:p>
    <w:p>
      <w:pPr>
        <w:spacing w:after="0" w:line="198" w:lineRule="exact"/>
        <w:rPr>
          <w:sz w:val="20"/>
          <w:szCs w:val="20"/>
          <w:color w:val="auto"/>
        </w:rPr>
      </w:pPr>
    </w:p>
    <w:p>
      <w:pPr>
        <w:ind w:left="1040"/>
        <w:spacing w:after="0"/>
        <w:rPr>
          <w:sz w:val="20"/>
          <w:szCs w:val="20"/>
          <w:color w:val="auto"/>
        </w:rPr>
      </w:pPr>
      <w:r>
        <w:rPr>
          <w:rFonts w:ascii="Arial" w:cs="Arial" w:eastAsia="Arial" w:hAnsi="Arial"/>
          <w:sz w:val="21"/>
          <w:szCs w:val="21"/>
          <w:color w:val="auto"/>
        </w:rPr>
        <w:t>Not Applicable.</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Item 8 Identification and Classification of Members of the Group.</w:t>
      </w:r>
    </w:p>
    <w:p>
      <w:pPr>
        <w:spacing w:after="0" w:line="245" w:lineRule="exact"/>
        <w:rPr>
          <w:sz w:val="20"/>
          <w:szCs w:val="20"/>
          <w:color w:val="auto"/>
        </w:rPr>
      </w:pPr>
    </w:p>
    <w:p>
      <w:pPr>
        <w:ind w:left="1040"/>
        <w:spacing w:after="0"/>
        <w:rPr>
          <w:sz w:val="20"/>
          <w:szCs w:val="20"/>
          <w:color w:val="auto"/>
        </w:rPr>
      </w:pPr>
      <w:r>
        <w:rPr>
          <w:rFonts w:ascii="Arial" w:cs="Arial" w:eastAsia="Arial" w:hAnsi="Arial"/>
          <w:sz w:val="21"/>
          <w:szCs w:val="21"/>
          <w:color w:val="auto"/>
        </w:rPr>
        <w:t>Not Applicable.</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Item 9 Notice of Dissolution of Group.</w:t>
      </w:r>
    </w:p>
    <w:p>
      <w:pPr>
        <w:spacing w:after="0" w:line="245" w:lineRule="exact"/>
        <w:rPr>
          <w:sz w:val="20"/>
          <w:szCs w:val="20"/>
          <w:color w:val="auto"/>
        </w:rPr>
      </w:pPr>
    </w:p>
    <w:p>
      <w:pPr>
        <w:ind w:left="1060"/>
        <w:spacing w:after="0"/>
        <w:rPr>
          <w:sz w:val="20"/>
          <w:szCs w:val="20"/>
          <w:color w:val="auto"/>
        </w:rPr>
      </w:pPr>
      <w:r>
        <w:rPr>
          <w:rFonts w:ascii="Arial" w:cs="Arial" w:eastAsia="Arial" w:hAnsi="Arial"/>
          <w:sz w:val="21"/>
          <w:szCs w:val="21"/>
          <w:color w:val="auto"/>
        </w:rPr>
        <w:t>Not Applicable.</w:t>
      </w:r>
    </w:p>
    <w:p>
      <w:pPr>
        <w:sectPr>
          <w:pgSz w:w="11900" w:h="16838" w:orient="portrait"/>
          <w:cols w:equalWidth="0" w:num="1">
            <w:col w:w="11400"/>
          </w:cols>
          <w:pgMar w:left="240" w:top="477" w:right="259" w:bottom="1440" w:gutter="0" w:footer="0" w:header="0"/>
        </w:sectPr>
      </w:pPr>
    </w:p>
    <w:bookmarkStart w:id="5" w:name="page6"/>
    <w:bookmarkEnd w:id="5"/>
    <w:p>
      <w:pPr>
        <w:spacing w:after="0"/>
        <w:rPr>
          <w:sz w:val="20"/>
          <w:szCs w:val="20"/>
          <w:color w:val="auto"/>
        </w:rPr>
      </w:pPr>
      <w:r>
        <w:rPr>
          <w:rFonts w:ascii="Arial" w:cs="Arial" w:eastAsia="Arial" w:hAnsi="Arial"/>
          <w:sz w:val="21"/>
          <w:szCs w:val="21"/>
          <w:color w:val="auto"/>
        </w:rPr>
        <w:t>Item 10 Certification.</w:t>
      </w:r>
    </w:p>
    <w:p>
      <w:pPr>
        <w:spacing w:after="0" w:line="245" w:lineRule="exact"/>
        <w:rPr>
          <w:sz w:val="20"/>
          <w:szCs w:val="20"/>
          <w:color w:val="auto"/>
        </w:rPr>
      </w:pPr>
    </w:p>
    <w:p>
      <w:pPr>
        <w:ind w:left="1260"/>
        <w:spacing w:after="0" w:line="260" w:lineRule="auto"/>
        <w:rPr>
          <w:sz w:val="20"/>
          <w:szCs w:val="20"/>
          <w:color w:val="auto"/>
        </w:rPr>
      </w:pPr>
      <w:r>
        <w:rPr>
          <w:rFonts w:ascii="Arial" w:cs="Arial" w:eastAsia="Arial" w:hAnsi="Arial"/>
          <w:sz w:val="20"/>
          <w:szCs w:val="20"/>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color w:val="auto"/>
        </w:rPr>
        <w:t>Signature.</w:t>
      </w:r>
    </w:p>
    <w:p>
      <w:pPr>
        <w:spacing w:after="0" w:line="245" w:lineRule="exact"/>
        <w:rPr>
          <w:sz w:val="20"/>
          <w:szCs w:val="20"/>
          <w:color w:val="auto"/>
        </w:rPr>
      </w:pPr>
    </w:p>
    <w:p>
      <w:pPr>
        <w:ind w:left="1260" w:right="680"/>
        <w:spacing w:after="0" w:line="264" w:lineRule="auto"/>
        <w:rPr>
          <w:sz w:val="20"/>
          <w:szCs w:val="20"/>
          <w:color w:val="auto"/>
        </w:rPr>
      </w:pPr>
      <w:r>
        <w:rPr>
          <w:rFonts w:ascii="Arial" w:cs="Arial" w:eastAsia="Arial" w:hAnsi="Arial"/>
          <w:sz w:val="21"/>
          <w:szCs w:val="21"/>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color w:val="auto"/>
        </w:rPr>
        <w:t>T. ROWE PRICE ASSOCIATES, INC.</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Date: February 16, 2016</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Signature: /s/ David Oestreicher</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Name &amp; Title: David Oestreicher, Vice President</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1"/>
          <w:szCs w:val="21"/>
          <w:color w:val="auto"/>
        </w:rPr>
        <w:t>T. ROWE PRICE SMALL-CAP VALUE</w:t>
      </w:r>
    </w:p>
    <w:p>
      <w:pPr>
        <w:spacing w:after="0" w:line="20" w:lineRule="exact"/>
        <w:rPr>
          <w:sz w:val="20"/>
          <w:szCs w:val="20"/>
          <w:color w:val="auto"/>
        </w:rPr>
      </w:pPr>
    </w:p>
    <w:p>
      <w:pPr>
        <w:ind w:left="1000"/>
        <w:spacing w:after="0"/>
        <w:rPr>
          <w:sz w:val="20"/>
          <w:szCs w:val="20"/>
          <w:color w:val="auto"/>
        </w:rPr>
      </w:pPr>
      <w:r>
        <w:rPr>
          <w:rFonts w:ascii="Arial" w:cs="Arial" w:eastAsia="Arial" w:hAnsi="Arial"/>
          <w:sz w:val="21"/>
          <w:szCs w:val="21"/>
          <w:color w:val="auto"/>
        </w:rPr>
        <w:t>FUND, INC.</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Date: February 16, 2016</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Signature: /s/ David Oestreicher</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Name &amp; Title: David Oestreicher, Vice President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1"/>
          <w:szCs w:val="21"/>
          <w:color w:val="auto"/>
        </w:rPr>
        <w:t>12/31/2015</w:t>
      </w:r>
    </w:p>
    <w:p>
      <w:pPr>
        <w:sectPr>
          <w:pgSz w:w="11900" w:h="16838" w:orient="portrait"/>
          <w:cols w:equalWidth="0" w:num="1">
            <w:col w:w="11360"/>
          </w:cols>
          <w:pgMar w:left="240" w:top="477" w:right="299" w:bottom="1440" w:gutter="0" w:footer="0" w:header="0"/>
        </w:sectPr>
      </w:pPr>
    </w:p>
    <w:bookmarkStart w:id="6" w:name="page7"/>
    <w:bookmarkEnd w:id="6"/>
    <w:p>
      <w:pPr>
        <w:spacing w:after="0"/>
        <w:rPr>
          <w:sz w:val="20"/>
          <w:szCs w:val="20"/>
          <w:color w:val="auto"/>
        </w:rPr>
      </w:pPr>
      <w:r>
        <w:rPr>
          <w:rFonts w:ascii="Arial" w:cs="Arial" w:eastAsia="Arial" w:hAnsi="Arial"/>
          <w:sz w:val="21"/>
          <w:szCs w:val="21"/>
          <w:color w:val="auto"/>
        </w:rPr>
        <w:t>EXHIBIT A</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1"/>
          <w:szCs w:val="21"/>
          <w:color w:val="auto"/>
        </w:rPr>
        <w:t>AGREEMENT</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JOINT FILING OF SCHEDULE 13G</w:t>
      </w:r>
    </w:p>
    <w:p>
      <w:pPr>
        <w:spacing w:after="0" w:line="200" w:lineRule="exact"/>
        <w:rPr>
          <w:sz w:val="20"/>
          <w:szCs w:val="20"/>
          <w:color w:val="auto"/>
        </w:rPr>
      </w:pPr>
    </w:p>
    <w:p>
      <w:pPr>
        <w:spacing w:after="0" w:line="288" w:lineRule="exact"/>
        <w:rPr>
          <w:sz w:val="20"/>
          <w:szCs w:val="20"/>
          <w:color w:val="auto"/>
        </w:rPr>
      </w:pPr>
    </w:p>
    <w:p>
      <w:pPr>
        <w:ind w:firstLine="648"/>
        <w:spacing w:after="0" w:line="249" w:lineRule="auto"/>
        <w:rPr>
          <w:sz w:val="20"/>
          <w:szCs w:val="20"/>
          <w:color w:val="auto"/>
        </w:rPr>
      </w:pPr>
      <w:r>
        <w:rPr>
          <w:rFonts w:ascii="Arial" w:cs="Arial" w:eastAsia="Arial" w:hAnsi="Arial"/>
          <w:sz w:val="21"/>
          <w:szCs w:val="21"/>
          <w:color w:val="auto"/>
        </w:rPr>
        <w:t>Price Associates, Inc. (an investment adviser registered under the Investment Advisers Act of 1940), and T. Rowe Price Small-Cap Value Fund, Inc., all of which are Maryland corporations, hereby agree to file jointly the statement on Schedule 13G to which this Agreement is attached, and any amendments thereto which may be deemed necessary, pursuant to Regulation 13D-G under the Securities Exchange Act of 1934.</w:t>
      </w:r>
    </w:p>
    <w:p>
      <w:pPr>
        <w:spacing w:after="0" w:line="213" w:lineRule="exact"/>
        <w:rPr>
          <w:sz w:val="20"/>
          <w:szCs w:val="20"/>
          <w:color w:val="auto"/>
        </w:rPr>
      </w:pPr>
    </w:p>
    <w:p>
      <w:pPr>
        <w:ind w:right="20" w:firstLine="734"/>
        <w:spacing w:after="0" w:line="249" w:lineRule="auto"/>
        <w:rPr>
          <w:sz w:val="20"/>
          <w:szCs w:val="20"/>
          <w:color w:val="auto"/>
        </w:rPr>
      </w:pPr>
      <w:r>
        <w:rPr>
          <w:rFonts w:ascii="Arial" w:cs="Arial" w:eastAsia="Arial" w:hAnsi="Arial"/>
          <w:sz w:val="21"/>
          <w:szCs w:val="21"/>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spacing w:after="0" w:line="213" w:lineRule="exact"/>
        <w:rPr>
          <w:sz w:val="20"/>
          <w:szCs w:val="20"/>
          <w:color w:val="auto"/>
        </w:rPr>
      </w:pPr>
    </w:p>
    <w:p>
      <w:pPr>
        <w:ind w:right="140" w:firstLine="734"/>
        <w:spacing w:after="0" w:line="264" w:lineRule="auto"/>
        <w:rPr>
          <w:sz w:val="20"/>
          <w:szCs w:val="20"/>
          <w:color w:val="auto"/>
        </w:rPr>
      </w:pPr>
      <w:r>
        <w:rPr>
          <w:rFonts w:ascii="Arial" w:cs="Arial" w:eastAsia="Arial" w:hAnsi="Arial"/>
          <w:sz w:val="21"/>
          <w:szCs w:val="21"/>
          <w:color w:val="auto"/>
        </w:rPr>
        <w:t>It is understood and agreed that a copy of this Agreement shall be attached as an exhibit to the statement on Schedule 13G, and any amendments hereto, filed on behalf of each of the parties hereto.</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color w:val="auto"/>
        </w:rPr>
        <w:t>T. ROWE PRICE ASSOCIATES, INC.</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Date: February 16, 2016</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Signature: /s/ David Oestreicher</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Name &amp; Title: David Oestreicher, Vice President</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1"/>
          <w:szCs w:val="21"/>
          <w:color w:val="auto"/>
        </w:rPr>
        <w:t>T. ROWE PRICE SMALL-CAP VALUE</w:t>
      </w:r>
    </w:p>
    <w:p>
      <w:pPr>
        <w:spacing w:after="0" w:line="20" w:lineRule="exact"/>
        <w:rPr>
          <w:sz w:val="20"/>
          <w:szCs w:val="20"/>
          <w:color w:val="auto"/>
        </w:rPr>
      </w:pPr>
    </w:p>
    <w:p>
      <w:pPr>
        <w:ind w:left="1000"/>
        <w:spacing w:after="0"/>
        <w:rPr>
          <w:sz w:val="20"/>
          <w:szCs w:val="20"/>
          <w:color w:val="auto"/>
        </w:rPr>
      </w:pPr>
      <w:r>
        <w:rPr>
          <w:rFonts w:ascii="Arial" w:cs="Arial" w:eastAsia="Arial" w:hAnsi="Arial"/>
          <w:sz w:val="21"/>
          <w:szCs w:val="21"/>
          <w:color w:val="auto"/>
        </w:rPr>
        <w:t>FUND, INC.</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Date: February 16, 2016</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Signature: /s/ David Oestreicher</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Name &amp; Title: David Oestreicher, Vice President</w:t>
      </w:r>
    </w:p>
    <w:sectPr>
      <w:pgSz w:w="11900" w:h="16838" w:orient="portrait"/>
      <w:cols w:equalWidth="0" w:num="1">
        <w:col w:w="11400"/>
      </w:cols>
      <w:pgMar w:left="240" w:top="47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lowerRoman"/>
      <w:start w:val="10"/>
    </w:lvl>
  </w:abstractNum>
  <w:abstractNum w:abstractNumId="1">
    <w:nsid w:val="79E2A9E3"/>
    <w:multiLevelType w:val="hybridMultilevel"/>
    <w:lvl w:ilvl="0">
      <w:lvlJc w:val="left"/>
      <w:lvlText w:val="3"/>
      <w:numFmt w:val="bullet"/>
      <w:start w:val="1"/>
    </w:lvl>
  </w:abstractNum>
  <w:abstractNum w:abstractNumId="2">
    <w:nsid w:val="7545E146"/>
    <w:multiLevelType w:val="hybridMultilevel"/>
    <w:lvl w:ilvl="0">
      <w:lvlJc w:val="left"/>
      <w:lvlText w:val="4"/>
      <w:numFmt w:val="bullet"/>
      <w:start w:val="1"/>
    </w:lvl>
  </w:abstractNum>
  <w:abstractNum w:abstractNumId="3">
    <w:nsid w:val="515F007C"/>
    <w:multiLevelType w:val="hybridMultilevel"/>
    <w:lvl w:ilvl="0">
      <w:lvlJc w:val="left"/>
      <w:lvlText w:val="9"/>
      <w:numFmt w:val="bullet"/>
      <w:start w:val="1"/>
    </w:lvl>
  </w:abstractNum>
  <w:abstractNum w:abstractNumId="4">
    <w:nsid w:val="5BD062C2"/>
    <w:multiLevelType w:val="hybridMultilevel"/>
    <w:lvl w:ilvl="0">
      <w:lvlJc w:val="left"/>
      <w:lvlText w:val="%1"/>
      <w:numFmt w:val="decimal"/>
      <w:start w:val="10"/>
    </w:lvl>
  </w:abstractNum>
  <w:abstractNum w:abstractNumId="5">
    <w:nsid w:val="12200854"/>
    <w:multiLevelType w:val="hybridMultilevel"/>
    <w:lvl w:ilvl="0">
      <w:lvlJc w:val="left"/>
      <w:lvlText w:val="3"/>
      <w:numFmt w:val="bullet"/>
      <w:start w:val="1"/>
    </w:lvl>
  </w:abstractNum>
  <w:abstractNum w:abstractNumId="6">
    <w:nsid w:val="4DB127F8"/>
    <w:multiLevelType w:val="hybridMultilevel"/>
    <w:lvl w:ilvl="0">
      <w:lvlJc w:val="left"/>
      <w:lvlText w:val="4"/>
      <w:numFmt w:val="bullet"/>
      <w:start w:val="1"/>
    </w:lvl>
  </w:abstractNum>
  <w:abstractNum w:abstractNumId="7">
    <w:nsid w:val="216231B"/>
    <w:multiLevelType w:val="hybridMultilevel"/>
    <w:lvl w:ilvl="0">
      <w:lvlJc w:val="left"/>
      <w:lvlText w:val="9"/>
      <w:numFmt w:val="bullet"/>
      <w:start w:val="1"/>
    </w:lvl>
  </w:abstractNum>
  <w:abstractNum w:abstractNumId="8">
    <w:nsid w:val="1F16E9E8"/>
    <w:multiLevelType w:val="hybridMultilevel"/>
    <w:lvl w:ilvl="0">
      <w:lvlJc w:val="left"/>
      <w:lvlText w:val="%1"/>
      <w:numFmt w:val="decimal"/>
      <w:start w:val="10"/>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X"/>
      <w:numFmt w:val="bullet"/>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2020-01-19T13:43:34Z</dcterms:created>
  <dcterms:modified xsi:type="dcterms:W3CDTF">2020-01-19T13:43:34Z</dcterms:modified>
</cp:coreProperties>
</file>