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166370</wp:posOffset>
            </wp:positionH>
            <wp:positionV relativeFrom="page">
              <wp:posOffset>328930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243205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080"/>
              <w:spacing w:after="0"/>
              <w:rPr>
                <w:sz w:val="20"/>
                <w:szCs w:val="20"/>
                <w:color w:val="auto"/>
              </w:rPr>
            </w:pPr>
            <w:r>
              <w:rPr>
                <w:rFonts w:ascii="Arial" w:cs="Arial" w:eastAsia="Arial" w:hAnsi="Arial"/>
                <w:sz w:val="18"/>
                <w:szCs w:val="18"/>
                <w:color w:val="auto"/>
                <w:w w:val="89"/>
              </w:rPr>
              <w:t>December 12, 2017</w:t>
            </w:r>
          </w:p>
        </w:tc>
      </w:tr>
      <w:tr>
        <w:trPr>
          <w:trHeight w:val="837"/>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87"/>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405"/>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73660</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1" w:name="page2"/>
    <w:bookmarkEnd w:id="1"/>
    <w:p>
      <w:pPr>
        <w:ind w:left="200"/>
        <w:spacing w:after="0"/>
        <w:rPr>
          <w:sz w:val="20"/>
          <w:szCs w:val="20"/>
          <w:color w:val="auto"/>
        </w:rPr>
      </w:pPr>
      <w:r>
        <w:rPr>
          <w:rFonts w:ascii="Arial" w:cs="Arial" w:eastAsia="Arial" w:hAnsi="Arial"/>
          <w:sz w:val="18"/>
          <w:szCs w:val="18"/>
          <w:b w:val="1"/>
          <w:bCs w:val="1"/>
          <w:u w:val="single" w:color="auto"/>
          <w:color w:val="auto"/>
        </w:rPr>
        <w:t>Item 5.07</w:t>
      </w:r>
      <w:r>
        <w:rPr>
          <w:rFonts w:ascii="Arial" w:cs="Arial" w:eastAsia="Arial" w:hAnsi="Arial"/>
          <w:sz w:val="18"/>
          <w:szCs w:val="18"/>
          <w:b w:val="1"/>
          <w:bCs w:val="1"/>
          <w:color w:val="auto"/>
        </w:rPr>
        <w:t xml:space="preserve">  Submission of Matters to a Vote of Security Holders.</w:t>
      </w:r>
    </w:p>
    <w:p>
      <w:pPr>
        <w:spacing w:after="0" w:line="256" w:lineRule="exact"/>
        <w:rPr>
          <w:sz w:val="20"/>
          <w:szCs w:val="20"/>
          <w:color w:val="auto"/>
        </w:rPr>
      </w:pPr>
    </w:p>
    <w:p>
      <w:pPr>
        <w:ind w:right="20" w:firstLine="351"/>
        <w:spacing w:after="0" w:line="308" w:lineRule="auto"/>
        <w:rPr>
          <w:sz w:val="20"/>
          <w:szCs w:val="20"/>
          <w:color w:val="auto"/>
        </w:rPr>
      </w:pPr>
      <w:r>
        <w:rPr>
          <w:rFonts w:ascii="Arial" w:cs="Arial" w:eastAsia="Arial" w:hAnsi="Arial"/>
          <w:sz w:val="17"/>
          <w:szCs w:val="17"/>
          <w:color w:val="auto"/>
        </w:rPr>
        <w:t>Oil-Dri Corporation of America (the “Company”) held its annual meeting of stockholders on December 12, 2017. See the Company’s 2017 Proxy Statement for more information on the proposals presented at the meeting, the relevant portions of which are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ELECTION OF DIRECTORS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stockholders elected all of the nominees for director recommended by the Company’s Board of Directors (the “Board”). The voting results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Director</w:t>
            </w:r>
          </w:p>
        </w:tc>
        <w:tc>
          <w:tcPr>
            <w:tcW w:w="140" w:type="dxa"/>
            <w:vAlign w:val="bottom"/>
            <w:shd w:val="clear" w:color="auto" w:fill="CCEEFF"/>
          </w:tcPr>
          <w:p>
            <w:pPr>
              <w:spacing w:after="0"/>
              <w:rPr>
                <w:sz w:val="22"/>
                <w:szCs w:val="22"/>
                <w:color w:val="auto"/>
              </w:rPr>
            </w:pPr>
          </w:p>
        </w:tc>
        <w:tc>
          <w:tcPr>
            <w:tcW w:w="2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For</w:t>
            </w:r>
          </w:p>
        </w:tc>
        <w:tc>
          <w:tcPr>
            <w:tcW w:w="120" w:type="dxa"/>
            <w:vAlign w:val="bottom"/>
            <w:shd w:val="clear" w:color="auto" w:fill="CCEEFF"/>
          </w:tcPr>
          <w:p>
            <w:pPr>
              <w:spacing w:after="0"/>
              <w:rPr>
                <w:sz w:val="22"/>
                <w:szCs w:val="22"/>
                <w:color w:val="auto"/>
              </w:rPr>
            </w:pPr>
          </w:p>
        </w:tc>
        <w:tc>
          <w:tcPr>
            <w:tcW w:w="2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Withheld</w:t>
            </w:r>
          </w:p>
        </w:tc>
        <w:tc>
          <w:tcPr>
            <w:tcW w:w="100" w:type="dxa"/>
            <w:vAlign w:val="bottom"/>
            <w:shd w:val="clear" w:color="auto" w:fill="CCEEFF"/>
          </w:tcPr>
          <w:p>
            <w:pPr>
              <w:spacing w:after="0"/>
              <w:rPr>
                <w:sz w:val="22"/>
                <w:szCs w:val="22"/>
                <w:color w:val="auto"/>
              </w:rPr>
            </w:pPr>
          </w:p>
        </w:tc>
        <w:tc>
          <w:tcPr>
            <w:tcW w:w="2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Broker Non-Votes</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J. Steven Cole</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24,595,889</w:t>
            </w:r>
          </w:p>
        </w:tc>
        <w:tc>
          <w:tcPr>
            <w:tcW w:w="120" w:type="dxa"/>
            <w:vAlign w:val="bottom"/>
          </w:tcPr>
          <w:p>
            <w:pPr>
              <w:spacing w:after="0"/>
              <w:rPr>
                <w:sz w:val="21"/>
                <w:szCs w:val="21"/>
                <w:color w:val="auto"/>
              </w:rPr>
            </w:pP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813,443</w:t>
            </w:r>
          </w:p>
        </w:tc>
        <w:tc>
          <w:tcPr>
            <w:tcW w:w="100" w:type="dxa"/>
            <w:vAlign w:val="bottom"/>
          </w:tcPr>
          <w:p>
            <w:pPr>
              <w:spacing w:after="0"/>
              <w:rPr>
                <w:sz w:val="21"/>
                <w:szCs w:val="21"/>
                <w:color w:val="auto"/>
              </w:rPr>
            </w:pPr>
          </w:p>
        </w:tc>
        <w:tc>
          <w:tcPr>
            <w:tcW w:w="2840" w:type="dxa"/>
            <w:vAlign w:val="bottom"/>
          </w:tcPr>
          <w:p>
            <w:pPr>
              <w:jc w:val="right"/>
              <w:ind w:right="10"/>
              <w:spacing w:after="0"/>
              <w:rPr>
                <w:sz w:val="20"/>
                <w:szCs w:val="20"/>
                <w:color w:val="auto"/>
              </w:rPr>
            </w:pPr>
            <w:r>
              <w:rPr>
                <w:rFonts w:ascii="Arial" w:cs="Arial" w:eastAsia="Arial" w:hAnsi="Arial"/>
                <w:sz w:val="18"/>
                <w:szCs w:val="18"/>
                <w:color w:val="auto"/>
              </w:rPr>
              <w:t>790,968</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Daniel S. Jaffee</w:t>
            </w:r>
          </w:p>
        </w:tc>
        <w:tc>
          <w:tcPr>
            <w:tcW w:w="2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24,152,217</w:t>
            </w: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1,257,115</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790,968</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Richard M. Jaffee</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23,496,037</w:t>
            </w:r>
          </w:p>
        </w:tc>
        <w:tc>
          <w:tcPr>
            <w:tcW w:w="120" w:type="dxa"/>
            <w:vAlign w:val="bottom"/>
          </w:tcPr>
          <w:p>
            <w:pPr>
              <w:spacing w:after="0"/>
              <w:rPr>
                <w:sz w:val="21"/>
                <w:szCs w:val="21"/>
                <w:color w:val="auto"/>
              </w:rPr>
            </w:pP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1,913,295</w:t>
            </w:r>
          </w:p>
        </w:tc>
        <w:tc>
          <w:tcPr>
            <w:tcW w:w="100" w:type="dxa"/>
            <w:vAlign w:val="bottom"/>
          </w:tcPr>
          <w:p>
            <w:pPr>
              <w:spacing w:after="0"/>
              <w:rPr>
                <w:sz w:val="21"/>
                <w:szCs w:val="21"/>
                <w:color w:val="auto"/>
              </w:rPr>
            </w:pPr>
          </w:p>
        </w:tc>
        <w:tc>
          <w:tcPr>
            <w:tcW w:w="2840" w:type="dxa"/>
            <w:vAlign w:val="bottom"/>
          </w:tcPr>
          <w:p>
            <w:pPr>
              <w:jc w:val="right"/>
              <w:ind w:right="10"/>
              <w:spacing w:after="0"/>
              <w:rPr>
                <w:sz w:val="20"/>
                <w:szCs w:val="20"/>
                <w:color w:val="auto"/>
              </w:rPr>
            </w:pPr>
            <w:r>
              <w:rPr>
                <w:rFonts w:ascii="Arial" w:cs="Arial" w:eastAsia="Arial" w:hAnsi="Arial"/>
                <w:sz w:val="18"/>
                <w:szCs w:val="18"/>
                <w:color w:val="auto"/>
              </w:rPr>
              <w:t>790,968</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Joseph C. Miller</w:t>
            </w:r>
          </w:p>
        </w:tc>
        <w:tc>
          <w:tcPr>
            <w:tcW w:w="2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23,404,730</w:t>
            </w: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2,004,602</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790,968</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Michael A. Nemeroff</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23,265,780</w:t>
            </w:r>
          </w:p>
        </w:tc>
        <w:tc>
          <w:tcPr>
            <w:tcW w:w="120" w:type="dxa"/>
            <w:vAlign w:val="bottom"/>
          </w:tcPr>
          <w:p>
            <w:pPr>
              <w:spacing w:after="0"/>
              <w:rPr>
                <w:sz w:val="21"/>
                <w:szCs w:val="21"/>
                <w:color w:val="auto"/>
              </w:rPr>
            </w:pP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2,143,552</w:t>
            </w:r>
          </w:p>
        </w:tc>
        <w:tc>
          <w:tcPr>
            <w:tcW w:w="100" w:type="dxa"/>
            <w:vAlign w:val="bottom"/>
          </w:tcPr>
          <w:p>
            <w:pPr>
              <w:spacing w:after="0"/>
              <w:rPr>
                <w:sz w:val="21"/>
                <w:szCs w:val="21"/>
                <w:color w:val="auto"/>
              </w:rPr>
            </w:pPr>
          </w:p>
        </w:tc>
        <w:tc>
          <w:tcPr>
            <w:tcW w:w="2840" w:type="dxa"/>
            <w:vAlign w:val="bottom"/>
          </w:tcPr>
          <w:p>
            <w:pPr>
              <w:jc w:val="right"/>
              <w:ind w:right="10"/>
              <w:spacing w:after="0"/>
              <w:rPr>
                <w:sz w:val="20"/>
                <w:szCs w:val="20"/>
                <w:color w:val="auto"/>
              </w:rPr>
            </w:pPr>
            <w:r>
              <w:rPr>
                <w:rFonts w:ascii="Arial" w:cs="Arial" w:eastAsia="Arial" w:hAnsi="Arial"/>
                <w:sz w:val="18"/>
                <w:szCs w:val="18"/>
                <w:color w:val="auto"/>
              </w:rPr>
              <w:t>790,968</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George C. Roeth</w:t>
            </w:r>
          </w:p>
        </w:tc>
        <w:tc>
          <w:tcPr>
            <w:tcW w:w="2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24,664,697</w:t>
            </w: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744,635</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790,968</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Allan H. Selig</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24,592,935</w:t>
            </w:r>
          </w:p>
        </w:tc>
        <w:tc>
          <w:tcPr>
            <w:tcW w:w="120" w:type="dxa"/>
            <w:vAlign w:val="bottom"/>
          </w:tcPr>
          <w:p>
            <w:pPr>
              <w:spacing w:after="0"/>
              <w:rPr>
                <w:sz w:val="21"/>
                <w:szCs w:val="21"/>
                <w:color w:val="auto"/>
              </w:rPr>
            </w:pP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816,397</w:t>
            </w:r>
          </w:p>
        </w:tc>
        <w:tc>
          <w:tcPr>
            <w:tcW w:w="100" w:type="dxa"/>
            <w:vAlign w:val="bottom"/>
          </w:tcPr>
          <w:p>
            <w:pPr>
              <w:spacing w:after="0"/>
              <w:rPr>
                <w:sz w:val="21"/>
                <w:szCs w:val="21"/>
                <w:color w:val="auto"/>
              </w:rPr>
            </w:pPr>
          </w:p>
        </w:tc>
        <w:tc>
          <w:tcPr>
            <w:tcW w:w="2840" w:type="dxa"/>
            <w:vAlign w:val="bottom"/>
          </w:tcPr>
          <w:p>
            <w:pPr>
              <w:jc w:val="right"/>
              <w:ind w:right="10"/>
              <w:spacing w:after="0"/>
              <w:rPr>
                <w:sz w:val="20"/>
                <w:szCs w:val="20"/>
                <w:color w:val="auto"/>
              </w:rPr>
            </w:pPr>
            <w:r>
              <w:rPr>
                <w:rFonts w:ascii="Arial" w:cs="Arial" w:eastAsia="Arial" w:hAnsi="Arial"/>
                <w:sz w:val="18"/>
                <w:szCs w:val="18"/>
                <w:color w:val="auto"/>
              </w:rPr>
              <w:t>790,968</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Paul E. Suckow</w:t>
            </w:r>
          </w:p>
        </w:tc>
        <w:tc>
          <w:tcPr>
            <w:tcW w:w="2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24,698,229</w:t>
            </w: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711,103</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790,968</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Lawrence E. Washow</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24,700,901</w:t>
            </w:r>
          </w:p>
        </w:tc>
        <w:tc>
          <w:tcPr>
            <w:tcW w:w="120" w:type="dxa"/>
            <w:vAlign w:val="bottom"/>
          </w:tcPr>
          <w:p>
            <w:pPr>
              <w:spacing w:after="0"/>
              <w:rPr>
                <w:sz w:val="21"/>
                <w:szCs w:val="21"/>
                <w:color w:val="auto"/>
              </w:rPr>
            </w:pP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708,431</w:t>
            </w:r>
          </w:p>
        </w:tc>
        <w:tc>
          <w:tcPr>
            <w:tcW w:w="100" w:type="dxa"/>
            <w:vAlign w:val="bottom"/>
          </w:tcPr>
          <w:p>
            <w:pPr>
              <w:spacing w:after="0"/>
              <w:rPr>
                <w:sz w:val="21"/>
                <w:szCs w:val="21"/>
                <w:color w:val="auto"/>
              </w:rPr>
            </w:pPr>
          </w:p>
        </w:tc>
        <w:tc>
          <w:tcPr>
            <w:tcW w:w="2840" w:type="dxa"/>
            <w:vAlign w:val="bottom"/>
          </w:tcPr>
          <w:p>
            <w:pPr>
              <w:jc w:val="right"/>
              <w:ind w:right="10"/>
              <w:spacing w:after="0"/>
              <w:rPr>
                <w:sz w:val="20"/>
                <w:szCs w:val="20"/>
                <w:color w:val="auto"/>
              </w:rPr>
            </w:pPr>
            <w:r>
              <w:rPr>
                <w:rFonts w:ascii="Arial" w:cs="Arial" w:eastAsia="Arial" w:hAnsi="Arial"/>
                <w:sz w:val="18"/>
                <w:szCs w:val="18"/>
                <w:color w:val="auto"/>
              </w:rPr>
              <w:t>790,968</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RATIFICATION OF THE APPOINTMENT OF INDEPENDENT AUDITOR</w:t>
      </w:r>
    </w:p>
    <w:p>
      <w:pPr>
        <w:spacing w:after="0" w:line="229"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The stockholders ratified the appointment of Grant Thornton LLP as independent auditor for the fiscal year ending July 31, 2018. The voting results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w:t>
            </w:r>
          </w:p>
        </w:tc>
        <w:tc>
          <w:tcPr>
            <w:tcW w:w="5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26,107,475</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Against</w:t>
            </w:r>
          </w:p>
        </w:tc>
        <w:tc>
          <w:tcPr>
            <w:tcW w:w="5880" w:type="dxa"/>
            <w:vAlign w:val="bottom"/>
          </w:tcPr>
          <w:p>
            <w:pPr>
              <w:jc w:val="right"/>
              <w:ind w:right="10"/>
              <w:spacing w:after="0"/>
              <w:rPr>
                <w:sz w:val="20"/>
                <w:szCs w:val="20"/>
                <w:color w:val="auto"/>
              </w:rPr>
            </w:pPr>
            <w:r>
              <w:rPr>
                <w:rFonts w:ascii="Arial" w:cs="Arial" w:eastAsia="Arial" w:hAnsi="Arial"/>
                <w:sz w:val="18"/>
                <w:szCs w:val="18"/>
                <w:color w:val="auto"/>
              </w:rPr>
              <w:t>91,207</w:t>
            </w:r>
          </w:p>
        </w:tc>
      </w:tr>
      <w:tr>
        <w:trPr>
          <w:trHeight w:val="27"/>
        </w:trPr>
        <w:tc>
          <w:tcPr>
            <w:tcW w:w="5540" w:type="dxa"/>
            <w:vAlign w:val="bottom"/>
          </w:tcPr>
          <w:p>
            <w:pPr>
              <w:spacing w:after="0"/>
              <w:rPr>
                <w:sz w:val="2"/>
                <w:szCs w:val="2"/>
                <w:color w:val="auto"/>
              </w:rPr>
            </w:pPr>
          </w:p>
        </w:tc>
        <w:tc>
          <w:tcPr>
            <w:tcW w:w="5880" w:type="dxa"/>
            <w:vAlign w:val="bottom"/>
          </w:tcPr>
          <w:p>
            <w:pPr>
              <w:spacing w:after="0"/>
              <w:rPr>
                <w:sz w:val="2"/>
                <w:szCs w:val="2"/>
                <w:color w:val="auto"/>
              </w:rPr>
            </w:pPr>
          </w:p>
        </w:tc>
      </w:tr>
      <w:tr>
        <w:trPr>
          <w:trHeight w:val="243"/>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Abstain</w:t>
            </w:r>
          </w:p>
        </w:tc>
        <w:tc>
          <w:tcPr>
            <w:tcW w:w="5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1,618</w:t>
            </w:r>
          </w:p>
        </w:tc>
      </w:tr>
      <w:tr>
        <w:trPr>
          <w:trHeight w:val="27"/>
        </w:trPr>
        <w:tc>
          <w:tcPr>
            <w:tcW w:w="5540" w:type="dxa"/>
            <w:vAlign w:val="bottom"/>
            <w:shd w:val="clear" w:color="auto" w:fill="CCEEFF"/>
          </w:tcPr>
          <w:p>
            <w:pPr>
              <w:spacing w:after="0"/>
              <w:rPr>
                <w:sz w:val="2"/>
                <w:szCs w:val="2"/>
                <w:color w:val="auto"/>
              </w:rPr>
            </w:pPr>
          </w:p>
        </w:tc>
        <w:tc>
          <w:tcPr>
            <w:tcW w:w="588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jc w:val="both"/>
        <w:ind w:right="100"/>
        <w:spacing w:after="0" w:line="282" w:lineRule="auto"/>
        <w:rPr>
          <w:sz w:val="20"/>
          <w:szCs w:val="20"/>
          <w:color w:val="auto"/>
        </w:rPr>
      </w:pPr>
      <w:r>
        <w:rPr>
          <w:rFonts w:ascii="Arial" w:cs="Arial" w:eastAsia="Arial" w:hAnsi="Arial"/>
          <w:sz w:val="18"/>
          <w:szCs w:val="18"/>
          <w:b w:val="1"/>
          <w:bCs w:val="1"/>
          <w:color w:val="auto"/>
        </w:rPr>
        <w:t>PROPOSAL 3: APPROVAL, ON AN ADVISORY BASIS, OF THE COMPENSATION OF THE NAMED EXECUTIVE OFFICERS DISCLOSED IN THE COMPANY’S 2017 PROXY STATEMENT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stockholders, in an advisory vote, approved the compensation of the named executive officers as disclosed in the Company’s 2017 Proxy Statement.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voting results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w:t>
            </w:r>
          </w:p>
        </w:tc>
        <w:tc>
          <w:tcPr>
            <w:tcW w:w="5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25,330,831</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Against</w:t>
            </w:r>
          </w:p>
        </w:tc>
        <w:tc>
          <w:tcPr>
            <w:tcW w:w="5500" w:type="dxa"/>
            <w:vAlign w:val="bottom"/>
          </w:tcPr>
          <w:p>
            <w:pPr>
              <w:jc w:val="right"/>
              <w:ind w:right="10"/>
              <w:spacing w:after="0"/>
              <w:rPr>
                <w:sz w:val="20"/>
                <w:szCs w:val="20"/>
                <w:color w:val="auto"/>
              </w:rPr>
            </w:pPr>
            <w:r>
              <w:rPr>
                <w:rFonts w:ascii="Arial" w:cs="Arial" w:eastAsia="Arial" w:hAnsi="Arial"/>
                <w:sz w:val="18"/>
                <w:szCs w:val="18"/>
                <w:color w:val="auto"/>
              </w:rPr>
              <w:t>66,756</w:t>
            </w:r>
          </w:p>
        </w:tc>
      </w:tr>
      <w:tr>
        <w:trPr>
          <w:trHeight w:val="27"/>
        </w:trPr>
        <w:tc>
          <w:tcPr>
            <w:tcW w:w="5920" w:type="dxa"/>
            <w:vAlign w:val="bottom"/>
          </w:tcPr>
          <w:p>
            <w:pPr>
              <w:spacing w:after="0"/>
              <w:rPr>
                <w:sz w:val="2"/>
                <w:szCs w:val="2"/>
                <w:color w:val="auto"/>
              </w:rPr>
            </w:pPr>
          </w:p>
        </w:tc>
        <w:tc>
          <w:tcPr>
            <w:tcW w:w="550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Abstain</w:t>
            </w:r>
          </w:p>
        </w:tc>
        <w:tc>
          <w:tcPr>
            <w:tcW w:w="5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11,745</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Broker Non-Votes</w:t>
            </w:r>
          </w:p>
        </w:tc>
        <w:tc>
          <w:tcPr>
            <w:tcW w:w="5500" w:type="dxa"/>
            <w:vAlign w:val="bottom"/>
          </w:tcPr>
          <w:p>
            <w:pPr>
              <w:jc w:val="right"/>
              <w:ind w:right="10"/>
              <w:spacing w:after="0"/>
              <w:rPr>
                <w:sz w:val="20"/>
                <w:szCs w:val="20"/>
                <w:color w:val="auto"/>
              </w:rPr>
            </w:pPr>
            <w:r>
              <w:rPr>
                <w:rFonts w:ascii="Arial" w:cs="Arial" w:eastAsia="Arial" w:hAnsi="Arial"/>
                <w:sz w:val="18"/>
                <w:szCs w:val="18"/>
                <w:color w:val="auto"/>
              </w:rPr>
              <w:t>790,968</w:t>
            </w:r>
          </w:p>
        </w:tc>
      </w:tr>
    </w:tbl>
    <w:p>
      <w:pPr>
        <w:spacing w:after="0" w:line="225" w:lineRule="exact"/>
        <w:rPr>
          <w:sz w:val="20"/>
          <w:szCs w:val="20"/>
          <w:color w:val="auto"/>
        </w:rPr>
      </w:pPr>
    </w:p>
    <w:p>
      <w:pPr>
        <w:ind w:right="1500"/>
        <w:spacing w:after="0" w:line="282" w:lineRule="auto"/>
        <w:rPr>
          <w:sz w:val="20"/>
          <w:szCs w:val="20"/>
          <w:color w:val="auto"/>
        </w:rPr>
      </w:pPr>
      <w:r>
        <w:rPr>
          <w:rFonts w:ascii="Arial" w:cs="Arial" w:eastAsia="Arial" w:hAnsi="Arial"/>
          <w:sz w:val="18"/>
          <w:szCs w:val="18"/>
          <w:b w:val="1"/>
          <w:bCs w:val="1"/>
          <w:color w:val="auto"/>
        </w:rPr>
        <w:t>PROPOSAL 4: SELECTION, ON AN ADVISORY BASIS, OF THE FREQUENCY OF FUTURE ADVISORY VOTES ON THE COMPENSATION OF THE NAMED EXECUTIVE OFFICERS</w:t>
      </w:r>
    </w:p>
    <w:p>
      <w:pPr>
        <w:spacing w:after="0" w:line="16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stockholders, in an advisory vote, selected “three years” as the frequency for future advisory votes on the compensation of the named executive officers. The voting results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One Year</w:t>
            </w:r>
          </w:p>
        </w:tc>
        <w:tc>
          <w:tcPr>
            <w:tcW w:w="5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2,322,617</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Two Years</w:t>
            </w:r>
          </w:p>
        </w:tc>
        <w:tc>
          <w:tcPr>
            <w:tcW w:w="5500" w:type="dxa"/>
            <w:vAlign w:val="bottom"/>
          </w:tcPr>
          <w:p>
            <w:pPr>
              <w:jc w:val="right"/>
              <w:ind w:right="10"/>
              <w:spacing w:after="0"/>
              <w:rPr>
                <w:sz w:val="20"/>
                <w:szCs w:val="20"/>
                <w:color w:val="auto"/>
              </w:rPr>
            </w:pPr>
            <w:r>
              <w:rPr>
                <w:rFonts w:ascii="Arial" w:cs="Arial" w:eastAsia="Arial" w:hAnsi="Arial"/>
                <w:sz w:val="18"/>
                <w:szCs w:val="18"/>
                <w:color w:val="auto"/>
              </w:rPr>
              <w:t>41,909</w:t>
            </w:r>
          </w:p>
        </w:tc>
      </w:tr>
      <w:tr>
        <w:trPr>
          <w:trHeight w:val="27"/>
        </w:trPr>
        <w:tc>
          <w:tcPr>
            <w:tcW w:w="5920" w:type="dxa"/>
            <w:vAlign w:val="bottom"/>
          </w:tcPr>
          <w:p>
            <w:pPr>
              <w:spacing w:after="0"/>
              <w:rPr>
                <w:sz w:val="2"/>
                <w:szCs w:val="2"/>
                <w:color w:val="auto"/>
              </w:rPr>
            </w:pPr>
          </w:p>
        </w:tc>
        <w:tc>
          <w:tcPr>
            <w:tcW w:w="550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Years</w:t>
            </w:r>
          </w:p>
        </w:tc>
        <w:tc>
          <w:tcPr>
            <w:tcW w:w="5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23,033,230</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Abstain</w:t>
            </w:r>
          </w:p>
        </w:tc>
        <w:tc>
          <w:tcPr>
            <w:tcW w:w="5500" w:type="dxa"/>
            <w:vAlign w:val="bottom"/>
          </w:tcPr>
          <w:p>
            <w:pPr>
              <w:jc w:val="right"/>
              <w:ind w:right="10"/>
              <w:spacing w:after="0"/>
              <w:rPr>
                <w:sz w:val="20"/>
                <w:szCs w:val="20"/>
                <w:color w:val="auto"/>
              </w:rPr>
            </w:pPr>
            <w:r>
              <w:rPr>
                <w:rFonts w:ascii="Arial" w:cs="Arial" w:eastAsia="Arial" w:hAnsi="Arial"/>
                <w:sz w:val="18"/>
                <w:szCs w:val="18"/>
                <w:color w:val="auto"/>
              </w:rPr>
              <w:t>11,576</w:t>
            </w:r>
          </w:p>
        </w:tc>
      </w:tr>
      <w:tr>
        <w:trPr>
          <w:trHeight w:val="27"/>
        </w:trPr>
        <w:tc>
          <w:tcPr>
            <w:tcW w:w="5920" w:type="dxa"/>
            <w:vAlign w:val="bottom"/>
          </w:tcPr>
          <w:p>
            <w:pPr>
              <w:spacing w:after="0"/>
              <w:rPr>
                <w:sz w:val="2"/>
                <w:szCs w:val="2"/>
                <w:color w:val="auto"/>
              </w:rPr>
            </w:pPr>
          </w:p>
        </w:tc>
        <w:tc>
          <w:tcPr>
            <w:tcW w:w="5500" w:type="dxa"/>
            <w:vAlign w:val="bottom"/>
          </w:tcPr>
          <w:p>
            <w:pPr>
              <w:spacing w:after="0"/>
              <w:rPr>
                <w:sz w:val="2"/>
                <w:szCs w:val="2"/>
                <w:color w:val="auto"/>
              </w:rPr>
            </w:pPr>
          </w:p>
        </w:tc>
      </w:tr>
      <w:tr>
        <w:trPr>
          <w:trHeight w:val="243"/>
        </w:trPr>
        <w:tc>
          <w:tcPr>
            <w:tcW w:w="5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Broker Non-Votes</w:t>
            </w:r>
          </w:p>
        </w:tc>
        <w:tc>
          <w:tcPr>
            <w:tcW w:w="5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790,968</w:t>
            </w:r>
          </w:p>
        </w:tc>
      </w:tr>
      <w:tr>
        <w:trPr>
          <w:trHeight w:val="27"/>
        </w:trPr>
        <w:tc>
          <w:tcPr>
            <w:tcW w:w="5920" w:type="dxa"/>
            <w:vAlign w:val="bottom"/>
            <w:shd w:val="clear" w:color="auto" w:fill="CCEEFF"/>
          </w:tcPr>
          <w:p>
            <w:pPr>
              <w:spacing w:after="0"/>
              <w:rPr>
                <w:sz w:val="2"/>
                <w:szCs w:val="2"/>
                <w:color w:val="auto"/>
              </w:rPr>
            </w:pPr>
          </w:p>
        </w:tc>
        <w:tc>
          <w:tcPr>
            <w:tcW w:w="550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742" w:right="239" w:bottom="144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t>In accordance with the Board’s recommendation and the stockholder vote results on above Proposal 4, the Board has determined that the Company will conduct future advisory votes on the compensation of the named executive officers on a triennial basis.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Item 5.02</w:t>
      </w:r>
      <w:r>
        <w:rPr>
          <w:rFonts w:ascii="Arial" w:cs="Arial" w:eastAsia="Arial" w:hAnsi="Arial"/>
          <w:sz w:val="18"/>
          <w:szCs w:val="18"/>
          <w:b w:val="1"/>
          <w:bCs w:val="1"/>
          <w:color w:val="auto"/>
        </w:rPr>
        <w:t xml:space="preserve">  Departure of Directors or Certain Officers; Election of Directors; Appointment of Certain Officers;</w:t>
      </w:r>
    </w:p>
    <w:p>
      <w:pPr>
        <w:spacing w:after="0" w:line="27"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Compensatory Arrangements of Certain Officers.</w:t>
      </w:r>
    </w:p>
    <w:p>
      <w:pPr>
        <w:spacing w:after="0" w:line="238" w:lineRule="exact"/>
        <w:rPr>
          <w:sz w:val="20"/>
          <w:szCs w:val="20"/>
          <w:color w:val="auto"/>
        </w:rPr>
      </w:pPr>
    </w:p>
    <w:p>
      <w:pPr>
        <w:jc w:val="both"/>
        <w:ind w:firstLine="8"/>
        <w:spacing w:after="0" w:line="279" w:lineRule="auto"/>
        <w:tabs>
          <w:tab w:leader="none" w:pos="456" w:val="left"/>
        </w:tabs>
        <w:numPr>
          <w:ilvl w:val="0"/>
          <w:numId w:val="2"/>
        </w:numPr>
        <w:rPr>
          <w:rFonts w:ascii="Arial" w:cs="Arial" w:eastAsia="Arial" w:hAnsi="Arial"/>
          <w:sz w:val="17"/>
          <w:szCs w:val="17"/>
          <w:color w:val="auto"/>
        </w:rPr>
      </w:pPr>
      <w:r>
        <w:rPr>
          <w:rFonts w:ascii="Arial" w:cs="Arial" w:eastAsia="Arial" w:hAnsi="Arial"/>
          <w:sz w:val="17"/>
          <w:szCs w:val="17"/>
          <w:color w:val="auto"/>
        </w:rPr>
        <w:t>At its meeting on December 12, 2017, the Board appointed named executive officer, Douglas A. Graham, to the new position of Vice President, Legal Policy and Regulatory Affairs, in which he will lead the Company’s regulatory, compliance, real and intellectual property and litigation functions. The Board promoted Laura G. Scheland, Assistant General Counsel and Assistant Secretary of the Company since April 2013, to the executive officer role of Vice President, General Counsel and Secretary, which was previously held by Mr. Graham since March 2011.</w:t>
      </w:r>
    </w:p>
    <w:p>
      <w:pPr>
        <w:spacing w:after="0" w:line="330" w:lineRule="exact"/>
        <w:rPr>
          <w:sz w:val="20"/>
          <w:szCs w:val="20"/>
          <w:color w:val="auto"/>
        </w:rPr>
      </w:pPr>
    </w:p>
    <w:p>
      <w:pPr>
        <w:ind w:left="300"/>
        <w:spacing w:after="0"/>
        <w:tabs>
          <w:tab w:leader="none" w:pos="1300" w:val="left"/>
        </w:tabs>
        <w:rPr>
          <w:sz w:val="20"/>
          <w:szCs w:val="20"/>
          <w:color w:val="auto"/>
        </w:rPr>
      </w:pPr>
      <w:r>
        <w:rPr>
          <w:rFonts w:ascii="Arial" w:cs="Arial" w:eastAsia="Arial" w:hAnsi="Arial"/>
          <w:sz w:val="18"/>
          <w:szCs w:val="18"/>
          <w:b w:val="1"/>
          <w:bCs w:val="1"/>
          <w:u w:val="single" w:color="auto"/>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r>
        <w:rPr>
          <w:rFonts w:ascii="Arial" w:cs="Arial" w:eastAsia="Arial" w:hAnsi="Arial"/>
          <w:sz w:val="16"/>
          <w:szCs w:val="16"/>
          <w:color w:val="auto"/>
        </w:rPr>
        <w:t>.</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December 12, 2017, the Board approved an amendment to Article III of the by-laws of the Company to add a new Section 14 to provide for the designation of Directors Emeritus and a Chairman Emeritus. The amendment is effective immediately.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summary of the amendment does not purport to be complete and is subject to, and qualified in its entirety by reference to the amendment, a copy of which is attached hereto as Exhibit 3.1 and is incorporated herein by reference.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Also on December 12, 2017, the Company’s Board of Directors declared quarterly cash dividends of $0.23 per share of the Company’s Common Stock and 0.173 per share of the Company’s Class B Stock. The dividends will be payable on March 2, 2018, to stockholders of record at the close of business on February 16, 2018. A copy of the Company’s press release announcing these matters is attached as Exhibit 99.1 and the information contained therein is incorporated herein by reference.</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800" w:type="dxa"/>
            <w:vAlign w:val="bottom"/>
          </w:tcPr>
          <w:p>
            <w:pPr>
              <w:spacing w:after="0"/>
              <w:rPr>
                <w:sz w:val="18"/>
                <w:szCs w:val="18"/>
                <w:color w:val="auto"/>
              </w:rPr>
            </w:pPr>
          </w:p>
        </w:tc>
      </w:t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800" w:type="dxa"/>
            <w:vAlign w:val="bottom"/>
          </w:tcPr>
          <w:p>
            <w:pPr>
              <w:ind w:left="4060"/>
              <w:spacing w:after="0"/>
              <w:rPr>
                <w:sz w:val="20"/>
                <w:szCs w:val="20"/>
                <w:color w:val="auto"/>
              </w:rPr>
            </w:pPr>
            <w:r>
              <w:rPr>
                <w:rFonts w:ascii="Arial" w:cs="Arial" w:eastAsia="Arial" w:hAnsi="Arial"/>
                <w:sz w:val="18"/>
                <w:szCs w:val="18"/>
                <w:color w:val="auto"/>
              </w:rPr>
              <w:t>Description of Exhibits</w:t>
            </w:r>
          </w:p>
        </w:tc>
      </w:tr>
      <w:tr>
        <w:trPr>
          <w:trHeight w:val="27"/>
        </w:trPr>
        <w:tc>
          <w:tcPr>
            <w:tcW w:w="12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507"/>
        </w:trPr>
        <w:tc>
          <w:tcPr>
            <w:tcW w:w="1260" w:type="dxa"/>
            <w:vAlign w:val="bottom"/>
          </w:tcPr>
          <w:p>
            <w:pPr>
              <w:ind w:left="4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Amendment of By-laws, approved by Board of Directors on December 12, 2017</w:t>
            </w:r>
          </w:p>
        </w:tc>
      </w:tr>
      <w:tr>
        <w:trPr>
          <w:trHeight w:val="270"/>
        </w:trPr>
        <w:tc>
          <w:tcPr>
            <w:tcW w:w="1260" w:type="dxa"/>
            <w:vAlign w:val="bottom"/>
          </w:tcPr>
          <w:p>
            <w:pPr>
              <w:ind w:left="4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dated December 13, 2017 (Cash Dividends)</w:t>
            </w:r>
          </w:p>
        </w:tc>
      </w:tr>
    </w:tbl>
    <w:p>
      <w:pPr>
        <w:sectPr>
          <w:pgSz w:w="11900" w:h="16838" w:orient="portrait"/>
          <w:cols w:equalWidth="0" w:num="1">
            <w:col w:w="11420"/>
          </w:cols>
          <w:pgMar w:left="240" w:top="584" w:right="239" w:bottom="1440" w:gutter="0" w:footer="0" w:header="0"/>
        </w:sectPr>
      </w:pPr>
    </w:p>
    <w:bookmarkStart w:id="3" w:name="page4"/>
    <w:bookmarkEnd w:id="3"/>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Laura G. Scheland</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 President, General Counsel and Secretary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13, 2017</w:t>
      </w:r>
    </w:p>
    <w:p>
      <w:pPr>
        <w:sectPr>
          <w:pgSz w:w="11900" w:h="16838" w:orient="portrait"/>
          <w:cols w:equalWidth="0" w:num="1">
            <w:col w:w="11020"/>
          </w:cols>
          <w:pgMar w:left="240" w:top="580" w:right="639" w:bottom="1440" w:gutter="0" w:footer="0" w:header="0"/>
        </w:sectPr>
      </w:pPr>
    </w:p>
    <w:bookmarkStart w:id="4" w:name="page5"/>
    <w:bookmarkEnd w:id="4"/>
    <w:p>
      <w:pPr>
        <w:ind w:left="5180"/>
        <w:spacing w:after="0"/>
        <w:rPr>
          <w:sz w:val="20"/>
          <w:szCs w:val="20"/>
          <w:color w:val="auto"/>
        </w:rPr>
      </w:pPr>
      <w:r>
        <w:rPr>
          <w:rFonts w:ascii="Arial" w:cs="Arial" w:eastAsia="Arial" w:hAnsi="Arial"/>
          <w:sz w:val="17"/>
          <w:szCs w:val="17"/>
          <w:u w:val="single" w:color="auto"/>
          <w:color w:val="auto"/>
        </w:rPr>
        <w:t>Exhibit Index</w:t>
      </w:r>
    </w:p>
    <w:p>
      <w:pPr>
        <w:sectPr>
          <w:pgSz w:w="11900" w:h="16838" w:orient="portrait"/>
          <w:cols w:equalWidth="0" w:num="1">
            <w:col w:w="10179"/>
          </w:cols>
          <w:pgMar w:left="280" w:top="5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37465</wp:posOffset>
            </wp:positionV>
            <wp:extent cx="8058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-2580640</wp:posOffset>
            </wp:positionH>
            <wp:positionV relativeFrom="paragraph">
              <wp:posOffset>46355</wp:posOffset>
            </wp:positionV>
            <wp:extent cx="6226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4920" w:space="720"/>
            <w:col w:w="4539"/>
          </w:cols>
          <w:pgMar w:left="280" w:top="584" w:right="1440" w:bottom="1440" w:gutter="0" w:footer="0" w:header="0"/>
          <w:type w:val="continuous"/>
        </w:sectPr>
      </w:pPr>
    </w:p>
    <w:p>
      <w:pPr>
        <w:spacing w:after="0" w:line="155" w:lineRule="exact"/>
        <w:rPr>
          <w:sz w:val="20"/>
          <w:szCs w:val="20"/>
          <w:color w:val="auto"/>
        </w:rPr>
      </w:pPr>
    </w:p>
    <w:p>
      <w:pPr>
        <w:jc w:val="right"/>
        <w:ind w:right="2779"/>
        <w:spacing w:after="0"/>
        <w:tabs>
          <w:tab w:leader="none" w:pos="578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hyperlink w:anchor="page6">
        <w:r>
          <w:rPr>
            <w:rFonts w:ascii="Arial" w:cs="Arial" w:eastAsia="Arial" w:hAnsi="Arial"/>
            <w:sz w:val="16"/>
            <w:szCs w:val="16"/>
            <w:u w:val="single" w:color="auto"/>
            <w:color w:val="0000FF"/>
          </w:rPr>
          <w:t>Amendment of By-laws, approved by Board of Directors on December 12, 2017</w:t>
        </w:r>
      </w:hyperlink>
    </w:p>
    <w:p>
      <w:pPr>
        <w:spacing w:after="0" w:line="63" w:lineRule="exact"/>
        <w:rPr>
          <w:sz w:val="20"/>
          <w:szCs w:val="20"/>
          <w:color w:val="auto"/>
        </w:rPr>
      </w:pPr>
    </w:p>
    <w:p>
      <w:pPr>
        <w:ind w:left="800"/>
        <w:spacing w:after="0"/>
        <w:tabs>
          <w:tab w:leader="none" w:pos="158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7">
        <w:r>
          <w:rPr>
            <w:rFonts w:ascii="Arial" w:cs="Arial" w:eastAsia="Arial" w:hAnsi="Arial"/>
            <w:sz w:val="15"/>
            <w:szCs w:val="15"/>
            <w:u w:val="single" w:color="auto"/>
            <w:color w:val="0000FF"/>
          </w:rPr>
          <w:t>Press Release dated December 13, 2017 (Cash Dividends)</w:t>
        </w:r>
      </w:hyperlink>
    </w:p>
    <w:p>
      <w:pPr>
        <w:sectPr>
          <w:pgSz w:w="11900" w:h="16838" w:orient="portrait"/>
          <w:cols w:equalWidth="0" w:num="1">
            <w:col w:w="10179"/>
          </w:cols>
          <w:pgMar w:left="280" w:top="584" w:right="1440"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of By-laws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WHEREAS, the corporation’s board of directors deems it advisable and in the best interests of the corporation to have the right and authority to retain the services of former directors of the corporation on an advisory basis, and desires to amend the by-laws of the corporation to provide accordingly for the designation of Directors Emeritus and a Chairman Emeritus; and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Article IX, Section 9 of the by-laws of the corporation provides that the board of directors may amend the by-laws of the corporation.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BE IT RESOLVED, that the board of directors amends Article III of the by-laws of the corporation to add the following new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14 after Section 13 therein, as follows:</w:t>
      </w:r>
    </w:p>
    <w:p>
      <w:pPr>
        <w:spacing w:after="0" w:line="211" w:lineRule="exact"/>
        <w:rPr>
          <w:sz w:val="20"/>
          <w:szCs w:val="20"/>
          <w:color w:val="auto"/>
        </w:rPr>
      </w:pPr>
    </w:p>
    <w:p>
      <w:pPr>
        <w:ind w:left="660" w:right="40" w:firstLine="648"/>
        <w:spacing w:after="0" w:line="285" w:lineRule="auto"/>
        <w:rPr>
          <w:sz w:val="20"/>
          <w:szCs w:val="20"/>
          <w:color w:val="auto"/>
        </w:rPr>
      </w:pP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w:t>
      </w:r>
      <w:r>
        <w:rPr>
          <w:rFonts w:ascii="Arial" w:cs="Arial" w:eastAsia="Arial" w:hAnsi="Arial"/>
          <w:sz w:val="16"/>
          <w:szCs w:val="16"/>
          <w:u w:val="single" w:color="auto"/>
          <w:color w:val="auto"/>
        </w:rPr>
        <w:t>Director Emeritus and Chairman Emeritus</w:t>
      </w:r>
      <w:r>
        <w:rPr>
          <w:rFonts w:ascii="Arial" w:cs="Arial" w:eastAsia="Arial" w:hAnsi="Arial"/>
          <w:sz w:val="16"/>
          <w:szCs w:val="16"/>
          <w:color w:val="auto"/>
        </w:rPr>
        <w:t>. The board of directors may, from time to time in its discretion, by majority vote, designate one or more of its former directors a Director Emeritus or, in the case of a former Chairman of the Board, one Chairman Emeritus. Each such designation shall be for a one-year term or until such Director Emeritus’ or Chairman Emeritus’ earlier death, resignation, retirement or removal (for any reason or no reason by a majority of the board of directors). Each Director Emeritus and Chairman Emeritus may be re-appointed for one or more additional one-year terms. Directors Emeritus and the Chairman Emeritus may attend board meetings as and when invited by the board and attend meetings of any committee of the board as and when invited by the committee, but they shall not be entitled to notice of any such meetings or to vote or be counted for quorum purposes at any such meetings. If present, Directors Emeritus and the Chairman Emeritus may participate in the discussions occurring at such meetings. Any person holding the position of Director Emeritus or Chairman Emeritus shall not be considered a director or officer for any purpose, including the corporation’s Certificate of Incorporation and by-laws, applicable federal securities laws and the DGCL, and a Director Emeritus or Chairman Emeritus shall have no power or authority to manage the affairs of the Company. Directors Emeritus and the Chairman Emeritus shall not have any of the responsibilities or liabilities of a director or officer of the corporation under the DGCL, nor any of a director’s or officer’s rights, powers or privileges in their capacities as Directors Emeritus or Chairman Emeritus. Reference in these by-laws to “directors” or “officers” shall not mean or include Directors Emeritus or the Chairman Emeritus. Directors Emeritus and the Chairman Emeritus shall remain subject to the reporting requirements of Section 16 of the Securities Exchange Act of 1934, as amended, and shall remain subject to all of the corporation’s policies applicable to directors. A Director Emeritus and the Chairman Emeritus shall be entitled to benefits and protections in accordance Article VII of these by-laws (“Indemnification”).</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410 N. Michigan Ave. Chicago, Illinois 60611, U.S.A</w:t>
      </w:r>
    </w:p>
    <w:p>
      <w:pPr>
        <w:spacing w:after="0" w:line="178"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Board of Directors Declares Quarterly Dividends</w:t>
      </w:r>
    </w:p>
    <w:p>
      <w:pPr>
        <w:spacing w:after="0" w:line="266" w:lineRule="exact"/>
        <w:rPr>
          <w:sz w:val="20"/>
          <w:szCs w:val="20"/>
          <w:color w:val="auto"/>
        </w:rPr>
      </w:pPr>
    </w:p>
    <w:p>
      <w:pPr>
        <w:ind w:right="380"/>
        <w:spacing w:after="0" w:line="253" w:lineRule="auto"/>
        <w:rPr>
          <w:sz w:val="20"/>
          <w:szCs w:val="20"/>
          <w:color w:val="auto"/>
        </w:rPr>
      </w:pPr>
      <w:r>
        <w:rPr>
          <w:rFonts w:ascii="Arial" w:cs="Arial" w:eastAsia="Arial" w:hAnsi="Arial"/>
          <w:sz w:val="22"/>
          <w:szCs w:val="22"/>
          <w:color w:val="auto"/>
        </w:rPr>
        <w:t>CHICAGO-(December 13, 2017)-The Board of Directors of Oil-Dri Corporation of America (NYSE: ODC) yesterday declared quarterly cash dividends of $0.23 per share of the Company’s Common Stock and $0.173 per share of the Company’s Class B Stock.</w:t>
      </w:r>
    </w:p>
    <w:p>
      <w:pPr>
        <w:spacing w:after="0" w:line="186" w:lineRule="exact"/>
        <w:rPr>
          <w:sz w:val="20"/>
          <w:szCs w:val="20"/>
          <w:color w:val="auto"/>
        </w:rPr>
      </w:pPr>
    </w:p>
    <w:p>
      <w:pPr>
        <w:ind w:right="200"/>
        <w:spacing w:after="0" w:line="253" w:lineRule="auto"/>
        <w:rPr>
          <w:sz w:val="20"/>
          <w:szCs w:val="20"/>
          <w:color w:val="auto"/>
        </w:rPr>
      </w:pPr>
      <w:r>
        <w:rPr>
          <w:rFonts w:ascii="Arial" w:cs="Arial" w:eastAsia="Arial" w:hAnsi="Arial"/>
          <w:sz w:val="22"/>
          <w:szCs w:val="22"/>
          <w:color w:val="auto"/>
        </w:rPr>
        <w:t>The dividends declared will be payable on March 2, 2018 to stockholders of record at the close of business on February 16, 2018. The Company has paid cash dividends continuously since 1974 and has increased dividends annually for fourteen consecutive years.</w:t>
      </w:r>
    </w:p>
    <w:p>
      <w:pPr>
        <w:spacing w:after="0" w:line="18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The Company expects to release earnings for its second quarter of fiscal 2018 after the close of the U.S. stock market on Friday, March 9, 2018 and to host an Investor Teleconference on Monday, March 12, 2018. Teleconference details will be communicated via web alert and posted on the Events page of the Company’s website (investors.oildri.com/events) approximately one week prior to the call.</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85"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i w:val="1"/>
          <w:iCs w:val="1"/>
          <w:color w:val="auto"/>
        </w:rPr>
        <w:t>While Oil-Dri’s founding product was granular clay floor absorbents, it has since greatly diversified its portfolio. The Company’s mission to “Create Value from Sorbent Minerals” is supported by its wide array of consumer and business to business product offerings. In 2016, Oil-Dri celebrated its seventy-fifth year of business and looks forward to the next milestone.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sectPr>
      <w:pgSz w:w="11900" w:h="16838" w:orient="portrait"/>
      <w:cols w:equalWidth="0" w:num="1">
        <w:col w:w="11420"/>
      </w:cols>
      <w:pgMar w:left="240" w:top="8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2020-01-19T01:22:30Z</dcterms:created>
  <dcterms:modified xsi:type="dcterms:W3CDTF">2020-01-19T01:22:30Z</dcterms:modified>
</cp:coreProperties>
</file>