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77"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400" w:type="dxa"/>
            <w:vAlign w:val="bottom"/>
          </w:tcPr>
          <w:p>
            <w:pPr>
              <w:spacing w:after="0"/>
              <w:rPr>
                <w:sz w:val="20"/>
                <w:szCs w:val="20"/>
                <w:color w:val="auto"/>
              </w:rPr>
            </w:pPr>
            <w:r>
              <w:rPr>
                <w:rFonts w:ascii="Arial" w:cs="Arial" w:eastAsia="Arial" w:hAnsi="Arial"/>
                <w:sz w:val="18"/>
                <w:szCs w:val="18"/>
                <w:color w:val="auto"/>
              </w:rPr>
              <w:t>Date of Report (Date of earliest event reported)</w:t>
            </w:r>
          </w:p>
        </w:tc>
        <w:tc>
          <w:tcPr>
            <w:tcW w:w="1720" w:type="dxa"/>
            <w:vAlign w:val="bottom"/>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December 13, 2011</w:t>
            </w:r>
          </w:p>
        </w:tc>
        <w:tc>
          <w:tcPr>
            <w:tcW w:w="34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682"/>
        </w:trPr>
        <w:tc>
          <w:tcPr>
            <w:tcW w:w="440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2"/>
          </w:tcPr>
          <w:p>
            <w:pPr>
              <w:jc w:val="center"/>
              <w:ind w:right="830"/>
              <w:spacing w:after="0"/>
              <w:rPr>
                <w:sz w:val="20"/>
                <w:szCs w:val="20"/>
                <w:color w:val="auto"/>
              </w:rPr>
            </w:pPr>
            <w:r>
              <w:rPr>
                <w:rFonts w:ascii="Arial" w:cs="Arial" w:eastAsia="Arial" w:hAnsi="Arial"/>
                <w:sz w:val="18"/>
                <w:szCs w:val="18"/>
                <w:b w:val="1"/>
                <w:bCs w:val="1"/>
                <w:color w:val="auto"/>
                <w:w w:val="94"/>
              </w:rPr>
              <w:t>Oil-Dri Corporation of America</w:t>
            </w:r>
          </w:p>
        </w:tc>
        <w:tc>
          <w:tcPr>
            <w:tcW w:w="34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7940" w:type="dxa"/>
            <w:vAlign w:val="bottom"/>
            <w:gridSpan w:val="3"/>
          </w:tcPr>
          <w:p>
            <w:pPr>
              <w:jc w:val="center"/>
              <w:ind w:left="3410"/>
              <w:spacing w:after="0"/>
              <w:rPr>
                <w:sz w:val="20"/>
                <w:szCs w:val="20"/>
                <w:color w:val="auto"/>
              </w:rPr>
            </w:pPr>
            <w:r>
              <w:rPr>
                <w:rFonts w:ascii="Arial" w:cs="Arial" w:eastAsia="Arial" w:hAnsi="Arial"/>
                <w:sz w:val="18"/>
                <w:szCs w:val="18"/>
                <w:color w:val="auto"/>
                <w:w w:val="90"/>
              </w:rPr>
              <w:t>(Exact name of registrant as specified in its charter)</w:t>
            </w:r>
          </w:p>
        </w:tc>
        <w:tc>
          <w:tcPr>
            <w:tcW w:w="34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68"/>
        </w:trPr>
        <w:tc>
          <w:tcPr>
            <w:tcW w:w="4400" w:type="dxa"/>
            <w:vAlign w:val="bottom"/>
            <w:tcBorders>
              <w:bottom w:val="single" w:sz="8" w:color="auto"/>
            </w:tcBorders>
          </w:tcPr>
          <w:p>
            <w:pPr>
              <w:jc w:val="center"/>
              <w:ind w:right="590"/>
              <w:spacing w:after="0"/>
              <w:rPr>
                <w:sz w:val="20"/>
                <w:szCs w:val="20"/>
                <w:color w:val="auto"/>
              </w:rPr>
            </w:pPr>
            <w:r>
              <w:rPr>
                <w:rFonts w:ascii="Arial" w:cs="Arial" w:eastAsia="Arial" w:hAnsi="Arial"/>
                <w:sz w:val="18"/>
                <w:szCs w:val="18"/>
                <w:b w:val="1"/>
                <w:bCs w:val="1"/>
                <w:color w:val="auto"/>
                <w:w w:val="91"/>
              </w:rPr>
              <w:t>Delaware</w:t>
            </w:r>
          </w:p>
        </w:tc>
        <w:tc>
          <w:tcPr>
            <w:tcW w:w="1720" w:type="dxa"/>
            <w:vAlign w:val="bottom"/>
            <w:tcBorders>
              <w:bottom w:val="single" w:sz="8" w:color="auto"/>
            </w:tcBorders>
          </w:tcPr>
          <w:p>
            <w:pPr>
              <w:jc w:val="center"/>
              <w:ind w:left="770"/>
              <w:spacing w:after="0"/>
              <w:rPr>
                <w:sz w:val="20"/>
                <w:szCs w:val="20"/>
                <w:color w:val="auto"/>
              </w:rPr>
            </w:pPr>
            <w:r>
              <w:rPr>
                <w:rFonts w:ascii="Arial" w:cs="Arial" w:eastAsia="Arial" w:hAnsi="Arial"/>
                <w:sz w:val="18"/>
                <w:szCs w:val="18"/>
                <w:b w:val="1"/>
                <w:bCs w:val="1"/>
                <w:color w:val="auto"/>
                <w:w w:val="90"/>
              </w:rPr>
              <w:t>001-12622</w:t>
            </w:r>
          </w:p>
        </w:tc>
        <w:tc>
          <w:tcPr>
            <w:tcW w:w="18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tcPr>
          <w:p>
            <w:pPr>
              <w:jc w:val="right"/>
              <w:ind w:right="1350"/>
              <w:spacing w:after="0"/>
              <w:rPr>
                <w:sz w:val="20"/>
                <w:szCs w:val="20"/>
                <w:color w:val="auto"/>
              </w:rPr>
            </w:pPr>
            <w:r>
              <w:rPr>
                <w:rFonts w:ascii="Arial" w:cs="Arial" w:eastAsia="Arial" w:hAnsi="Arial"/>
                <w:sz w:val="18"/>
                <w:szCs w:val="18"/>
                <w:b w:val="1"/>
                <w:bCs w:val="1"/>
                <w:color w:val="auto"/>
              </w:rPr>
              <w:t>36-2048898</w:t>
            </w:r>
          </w:p>
        </w:tc>
        <w:tc>
          <w:tcPr>
            <w:tcW w:w="20" w:type="dxa"/>
            <w:vAlign w:val="bottom"/>
          </w:tcPr>
          <w:p>
            <w:pPr>
              <w:spacing w:after="0"/>
              <w:rPr>
                <w:sz w:val="24"/>
                <w:szCs w:val="24"/>
                <w:color w:val="auto"/>
              </w:rPr>
            </w:pPr>
          </w:p>
        </w:tc>
      </w:tr>
      <w:tr>
        <w:trPr>
          <w:trHeight w:val="230"/>
        </w:trPr>
        <w:tc>
          <w:tcPr>
            <w:tcW w:w="4400" w:type="dxa"/>
            <w:vAlign w:val="bottom"/>
          </w:tcPr>
          <w:p>
            <w:pPr>
              <w:jc w:val="center"/>
              <w:ind w:right="590"/>
              <w:spacing w:after="0"/>
              <w:rPr>
                <w:sz w:val="20"/>
                <w:szCs w:val="20"/>
                <w:color w:val="auto"/>
              </w:rPr>
            </w:pPr>
            <w:r>
              <w:rPr>
                <w:rFonts w:ascii="Arial" w:cs="Arial" w:eastAsia="Arial" w:hAnsi="Arial"/>
                <w:sz w:val="18"/>
                <w:szCs w:val="18"/>
                <w:color w:val="auto"/>
                <w:w w:val="92"/>
              </w:rPr>
              <w:t>(State or other jurisdiction of incorporation)</w:t>
            </w:r>
          </w:p>
        </w:tc>
        <w:tc>
          <w:tcPr>
            <w:tcW w:w="3540" w:type="dxa"/>
            <w:vAlign w:val="bottom"/>
            <w:gridSpan w:val="2"/>
          </w:tcPr>
          <w:p>
            <w:pPr>
              <w:jc w:val="center"/>
              <w:ind w:right="870"/>
              <w:spacing w:after="0"/>
              <w:rPr>
                <w:sz w:val="20"/>
                <w:szCs w:val="20"/>
                <w:color w:val="auto"/>
              </w:rPr>
            </w:pPr>
            <w:r>
              <w:rPr>
                <w:rFonts w:ascii="Arial" w:cs="Arial" w:eastAsia="Arial" w:hAnsi="Arial"/>
                <w:sz w:val="18"/>
                <w:szCs w:val="18"/>
                <w:color w:val="auto"/>
                <w:w w:val="92"/>
              </w:rPr>
              <w:t>(Commission File Number)</w:t>
            </w:r>
          </w:p>
        </w:tc>
        <w:tc>
          <w:tcPr>
            <w:tcW w:w="3480" w:type="dxa"/>
            <w:vAlign w:val="bottom"/>
          </w:tcPr>
          <w:p>
            <w:pPr>
              <w:jc w:val="right"/>
              <w:ind w:right="550"/>
              <w:spacing w:after="0"/>
              <w:rPr>
                <w:sz w:val="20"/>
                <w:szCs w:val="20"/>
                <w:color w:val="auto"/>
              </w:rPr>
            </w:pPr>
            <w:r>
              <w:rPr>
                <w:rFonts w:ascii="Arial" w:cs="Arial" w:eastAsia="Arial" w:hAnsi="Arial"/>
                <w:sz w:val="18"/>
                <w:szCs w:val="18"/>
                <w:color w:val="auto"/>
              </w:rPr>
              <w:t>(IRS Employer Identification No.)</w:t>
            </w:r>
          </w:p>
        </w:tc>
        <w:tc>
          <w:tcPr>
            <w:tcW w:w="20" w:type="dxa"/>
            <w:vAlign w:val="bottom"/>
          </w:tcPr>
          <w:p>
            <w:pPr>
              <w:spacing w:after="0"/>
              <w:rPr>
                <w:sz w:val="20"/>
                <w:szCs w:val="20"/>
                <w:color w:val="auto"/>
              </w:rPr>
            </w:pPr>
          </w:p>
        </w:tc>
      </w:tr>
      <w:tr>
        <w:trPr>
          <w:trHeight w:val="670"/>
        </w:trPr>
        <w:tc>
          <w:tcPr>
            <w:tcW w:w="4400" w:type="dxa"/>
            <w:vAlign w:val="bottom"/>
          </w:tcPr>
          <w:p>
            <w:pPr>
              <w:jc w:val="center"/>
              <w:ind w:left="1310"/>
              <w:spacing w:after="0"/>
              <w:rPr>
                <w:sz w:val="20"/>
                <w:szCs w:val="20"/>
                <w:color w:val="auto"/>
              </w:rPr>
            </w:pPr>
            <w:r>
              <w:rPr>
                <w:rFonts w:ascii="Arial" w:cs="Arial" w:eastAsia="Arial" w:hAnsi="Arial"/>
                <w:sz w:val="18"/>
                <w:szCs w:val="18"/>
                <w:b w:val="1"/>
                <w:bCs w:val="1"/>
                <w:color w:val="auto"/>
                <w:w w:val="91"/>
              </w:rPr>
              <w:t>410 North Michigan Avenue</w:t>
            </w:r>
          </w:p>
        </w:tc>
        <w:tc>
          <w:tcPr>
            <w:tcW w:w="17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4400" w:type="dxa"/>
            <w:vAlign w:val="bottom"/>
          </w:tcPr>
          <w:p>
            <w:pPr>
              <w:jc w:val="center"/>
              <w:ind w:left="1290"/>
              <w:spacing w:after="0"/>
              <w:rPr>
                <w:sz w:val="20"/>
                <w:szCs w:val="20"/>
                <w:color w:val="auto"/>
              </w:rPr>
            </w:pPr>
            <w:r>
              <w:rPr>
                <w:rFonts w:ascii="Arial" w:cs="Arial" w:eastAsia="Arial" w:hAnsi="Arial"/>
                <w:sz w:val="18"/>
                <w:szCs w:val="18"/>
                <w:b w:val="1"/>
                <w:bCs w:val="1"/>
                <w:color w:val="auto"/>
                <w:w w:val="88"/>
              </w:rPr>
              <w:t>Suite 400</w:t>
            </w:r>
          </w:p>
        </w:tc>
        <w:tc>
          <w:tcPr>
            <w:tcW w:w="17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4400" w:type="dxa"/>
            <w:vAlign w:val="bottom"/>
            <w:tcBorders>
              <w:bottom w:val="single" w:sz="8" w:color="auto"/>
            </w:tcBorders>
          </w:tcPr>
          <w:p>
            <w:pPr>
              <w:jc w:val="center"/>
              <w:ind w:left="1290"/>
              <w:spacing w:after="0"/>
              <w:rPr>
                <w:sz w:val="20"/>
                <w:szCs w:val="20"/>
                <w:color w:val="auto"/>
              </w:rPr>
            </w:pPr>
            <w:r>
              <w:rPr>
                <w:rFonts w:ascii="Arial" w:cs="Arial" w:eastAsia="Arial" w:hAnsi="Arial"/>
                <w:sz w:val="18"/>
                <w:szCs w:val="18"/>
                <w:b w:val="1"/>
                <w:bCs w:val="1"/>
                <w:color w:val="auto"/>
                <w:w w:val="91"/>
              </w:rPr>
              <w:t>Chicago, Illinois</w:t>
            </w:r>
          </w:p>
        </w:tc>
        <w:tc>
          <w:tcPr>
            <w:tcW w:w="17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60611-4213</w:t>
            </w:r>
          </w:p>
        </w:tc>
      </w:tr>
      <w:tr>
        <w:trPr>
          <w:trHeight w:val="230"/>
        </w:trPr>
        <w:tc>
          <w:tcPr>
            <w:tcW w:w="4400" w:type="dxa"/>
            <w:vAlign w:val="bottom"/>
          </w:tcPr>
          <w:p>
            <w:pPr>
              <w:jc w:val="center"/>
              <w:ind w:left="1290"/>
              <w:spacing w:after="0"/>
              <w:rPr>
                <w:sz w:val="20"/>
                <w:szCs w:val="20"/>
                <w:color w:val="auto"/>
              </w:rPr>
            </w:pPr>
            <w:r>
              <w:rPr>
                <w:rFonts w:ascii="Arial" w:cs="Arial" w:eastAsia="Arial" w:hAnsi="Arial"/>
                <w:sz w:val="18"/>
                <w:szCs w:val="18"/>
                <w:color w:val="auto"/>
                <w:w w:val="92"/>
              </w:rPr>
              <w:t>(Address of principal executive offices)</w:t>
            </w:r>
          </w:p>
        </w:tc>
        <w:tc>
          <w:tcPr>
            <w:tcW w:w="17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500" w:type="dxa"/>
            <w:vAlign w:val="bottom"/>
            <w:gridSpan w:val="2"/>
          </w:tcPr>
          <w:p>
            <w:pPr>
              <w:jc w:val="right"/>
              <w:ind w:right="20"/>
              <w:spacing w:after="0"/>
              <w:rPr>
                <w:sz w:val="20"/>
                <w:szCs w:val="20"/>
                <w:color w:val="auto"/>
              </w:rPr>
            </w:pPr>
            <w:r>
              <w:rPr>
                <w:rFonts w:ascii="Arial" w:cs="Arial" w:eastAsia="Arial" w:hAnsi="Arial"/>
                <w:sz w:val="18"/>
                <w:szCs w:val="18"/>
                <w:color w:val="auto"/>
              </w:rPr>
              <w:t>(Zip Code)</w:t>
            </w:r>
          </w:p>
        </w:tc>
      </w:tr>
      <w:tr>
        <w:trPr>
          <w:trHeight w:val="452"/>
        </w:trPr>
        <w:tc>
          <w:tcPr>
            <w:tcW w:w="4400" w:type="dxa"/>
            <w:vAlign w:val="bottom"/>
          </w:tcPr>
          <w:p>
            <w:pPr>
              <w:jc w:val="center"/>
              <w:ind w:right="610"/>
              <w:spacing w:after="0"/>
              <w:rPr>
                <w:sz w:val="20"/>
                <w:szCs w:val="20"/>
                <w:color w:val="auto"/>
              </w:rPr>
            </w:pPr>
            <w:r>
              <w:rPr>
                <w:rFonts w:ascii="Arial" w:cs="Arial" w:eastAsia="Arial" w:hAnsi="Arial"/>
                <w:sz w:val="18"/>
                <w:szCs w:val="18"/>
                <w:color w:val="auto"/>
                <w:w w:val="89"/>
              </w:rPr>
              <w:t>Registrant’s telephone number, including area code</w:t>
            </w:r>
          </w:p>
        </w:tc>
        <w:tc>
          <w:tcPr>
            <w:tcW w:w="1720" w:type="dxa"/>
            <w:vAlign w:val="bottom"/>
          </w:tcPr>
          <w:p>
            <w:pPr>
              <w:spacing w:after="0"/>
              <w:rPr>
                <w:sz w:val="24"/>
                <w:szCs w:val="24"/>
                <w:color w:val="auto"/>
              </w:rPr>
            </w:pPr>
          </w:p>
        </w:tc>
        <w:tc>
          <w:tcPr>
            <w:tcW w:w="1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(312) 321-1515</w:t>
            </w:r>
          </w:p>
        </w:tc>
        <w:tc>
          <w:tcPr>
            <w:tcW w:w="34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Arial" w:cs="Arial" w:eastAsia="Arial" w:hAnsi="Arial"/>
          <w:sz w:val="18"/>
          <w:szCs w:val="18"/>
          <w:color w:val="auto"/>
        </w:rPr>
      </w:pPr>
    </w:p>
    <w:p>
      <w:pPr>
        <w:ind w:left="600" w:hanging="592"/>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Arial" w:cs="Arial" w:eastAsia="Arial" w:hAnsi="Arial"/>
          <w:sz w:val="18"/>
          <w:szCs w:val="18"/>
          <w:color w:val="auto"/>
        </w:rPr>
      </w:pPr>
    </w:p>
    <w:p>
      <w:pPr>
        <w:ind w:left="600" w:hanging="592"/>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Arial" w:cs="Arial" w:eastAsia="Arial" w:hAnsi="Arial"/>
          <w:sz w:val="18"/>
          <w:szCs w:val="18"/>
          <w:color w:val="auto"/>
        </w:rPr>
      </w:pPr>
    </w:p>
    <w:p>
      <w:pPr>
        <w:ind w:left="600" w:hanging="592"/>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15" w:right="2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u w:val="single" w:color="auto"/>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56" w:lineRule="exact"/>
        <w:rPr>
          <w:sz w:val="20"/>
          <w:szCs w:val="20"/>
          <w:color w:val="auto"/>
        </w:rPr>
      </w:pPr>
    </w:p>
    <w:p>
      <w:pPr>
        <w:ind w:right="140" w:firstLine="324"/>
        <w:spacing w:after="0" w:line="308" w:lineRule="auto"/>
        <w:rPr>
          <w:sz w:val="20"/>
          <w:szCs w:val="20"/>
          <w:color w:val="auto"/>
        </w:rPr>
      </w:pPr>
      <w:r>
        <w:rPr>
          <w:rFonts w:ascii="Arial" w:cs="Arial" w:eastAsia="Arial" w:hAnsi="Arial"/>
          <w:sz w:val="17"/>
          <w:szCs w:val="17"/>
          <w:color w:val="auto"/>
        </w:rPr>
        <w:t>Oil-Dri Corporation of America (the “Registrant”) held its annual meeting of stockholders on December 13, 2011. See the Registrant’s Proxy Statement for more information on the proposals presented at the meeting, the relevant portions of which are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ELECTION OF DIRECTORS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stockholders elected all of the Board’s nominees for director. The voting results were as follows:</w:t>
      </w:r>
    </w:p>
    <w:p>
      <w:pPr>
        <w:spacing w:after="0" w:line="252" w:lineRule="exact"/>
        <w:rPr>
          <w:sz w:val="20"/>
          <w:szCs w:val="20"/>
          <w:color w:val="auto"/>
        </w:rPr>
      </w:pPr>
    </w:p>
    <w:tbl>
      <w:tblPr>
        <w:tblLayout w:type="fixed"/>
        <w:tblInd w:w="860" w:type="dxa"/>
        <w:tblCellMar>
          <w:top w:w="0" w:type="dxa"/>
          <w:left w:w="0" w:type="dxa"/>
          <w:bottom w:w="0" w:type="dxa"/>
          <w:right w:w="0" w:type="dxa"/>
        </w:tblCellMar>
      </w:tblPr>
      <w:tr>
        <w:trPr>
          <w:trHeight w:val="237"/>
        </w:trPr>
        <w:tc>
          <w:tcPr>
            <w:tcW w:w="29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2900" w:type="dxa"/>
            <w:vAlign w:val="bottom"/>
          </w:tcPr>
          <w:p>
            <w:pPr>
              <w:jc w:val="right"/>
              <w:ind w:right="570"/>
              <w:spacing w:after="0"/>
              <w:rPr>
                <w:sz w:val="20"/>
                <w:szCs w:val="20"/>
                <w:color w:val="auto"/>
              </w:rPr>
            </w:pPr>
            <w:r>
              <w:rPr>
                <w:rFonts w:ascii="Arial" w:cs="Arial" w:eastAsia="Arial" w:hAnsi="Arial"/>
                <w:sz w:val="18"/>
                <w:szCs w:val="18"/>
                <w:color w:val="auto"/>
              </w:rPr>
              <w:t>For</w:t>
            </w:r>
          </w:p>
        </w:tc>
        <w:tc>
          <w:tcPr>
            <w:tcW w:w="1960" w:type="dxa"/>
            <w:vAlign w:val="bottom"/>
          </w:tcPr>
          <w:p>
            <w:pPr>
              <w:jc w:val="right"/>
              <w:ind w:right="490"/>
              <w:spacing w:after="0"/>
              <w:rPr>
                <w:sz w:val="20"/>
                <w:szCs w:val="20"/>
                <w:color w:val="auto"/>
              </w:rPr>
            </w:pPr>
            <w:r>
              <w:rPr>
                <w:rFonts w:ascii="Arial" w:cs="Arial" w:eastAsia="Arial" w:hAnsi="Arial"/>
                <w:sz w:val="18"/>
                <w:szCs w:val="18"/>
                <w:color w:val="auto"/>
              </w:rPr>
              <w:t>Withheld</w:t>
            </w:r>
          </w:p>
        </w:tc>
        <w:tc>
          <w:tcPr>
            <w:tcW w:w="1880" w:type="dxa"/>
            <w:vAlign w:val="bottom"/>
          </w:tcPr>
          <w:p>
            <w:pPr>
              <w:jc w:val="right"/>
              <w:spacing w:after="0"/>
              <w:rPr>
                <w:sz w:val="20"/>
                <w:szCs w:val="20"/>
                <w:color w:val="auto"/>
              </w:rPr>
            </w:pPr>
            <w:r>
              <w:rPr>
                <w:rFonts w:ascii="Arial" w:cs="Arial" w:eastAsia="Arial" w:hAnsi="Arial"/>
                <w:sz w:val="18"/>
                <w:szCs w:val="18"/>
                <w:color w:val="auto"/>
              </w:rPr>
              <w:t>Broker Non-Votes</w:t>
            </w:r>
          </w:p>
        </w:tc>
      </w:tr>
      <w:tr>
        <w:trPr>
          <w:trHeight w:val="216"/>
        </w:trPr>
        <w:tc>
          <w:tcPr>
            <w:tcW w:w="20" w:type="dxa"/>
            <w:vAlign w:val="bottom"/>
          </w:tcPr>
          <w:p>
            <w:pPr>
              <w:spacing w:after="0"/>
              <w:rPr>
                <w:sz w:val="18"/>
                <w:szCs w:val="18"/>
                <w:color w:val="auto"/>
              </w:rPr>
            </w:pPr>
          </w:p>
        </w:tc>
        <w:tc>
          <w:tcPr>
            <w:tcW w:w="294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J. Steven Cole</w:t>
            </w:r>
          </w:p>
        </w:tc>
        <w:tc>
          <w:tcPr>
            <w:tcW w:w="2900" w:type="dxa"/>
            <w:vAlign w:val="bottom"/>
            <w:tcBorders>
              <w:top w:val="single" w:sz="8" w:color="auto"/>
            </w:tcBorders>
            <w:shd w:val="clear" w:color="auto" w:fill="CCFFCC"/>
          </w:tcPr>
          <w:p>
            <w:pPr>
              <w:jc w:val="right"/>
              <w:ind w:right="570"/>
              <w:spacing w:after="0"/>
              <w:rPr>
                <w:sz w:val="20"/>
                <w:szCs w:val="20"/>
                <w:color w:val="auto"/>
              </w:rPr>
            </w:pPr>
            <w:r>
              <w:rPr>
                <w:rFonts w:ascii="Arial" w:cs="Arial" w:eastAsia="Arial" w:hAnsi="Arial"/>
                <w:sz w:val="18"/>
                <w:szCs w:val="18"/>
                <w:color w:val="auto"/>
              </w:rPr>
              <w:t>22,910,498</w:t>
            </w:r>
          </w:p>
        </w:tc>
        <w:tc>
          <w:tcPr>
            <w:tcW w:w="1960" w:type="dxa"/>
            <w:vAlign w:val="bottom"/>
            <w:tcBorders>
              <w:top w:val="single" w:sz="8" w:color="auto"/>
            </w:tcBorders>
            <w:shd w:val="clear" w:color="auto" w:fill="CCFFCC"/>
          </w:tcPr>
          <w:p>
            <w:pPr>
              <w:jc w:val="right"/>
              <w:ind w:right="490"/>
              <w:spacing w:after="0"/>
              <w:rPr>
                <w:sz w:val="20"/>
                <w:szCs w:val="20"/>
                <w:color w:val="auto"/>
              </w:rPr>
            </w:pPr>
            <w:r>
              <w:rPr>
                <w:rFonts w:ascii="Arial" w:cs="Arial" w:eastAsia="Arial" w:hAnsi="Arial"/>
                <w:sz w:val="18"/>
                <w:szCs w:val="18"/>
                <w:color w:val="auto"/>
              </w:rPr>
              <w:t>72,584</w:t>
            </w:r>
          </w:p>
        </w:tc>
        <w:tc>
          <w:tcPr>
            <w:tcW w:w="18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519,595</w:t>
            </w: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Arnold W. Donald</w:t>
            </w:r>
          </w:p>
        </w:tc>
        <w:tc>
          <w:tcPr>
            <w:tcW w:w="2900" w:type="dxa"/>
            <w:vAlign w:val="bottom"/>
          </w:tcPr>
          <w:p>
            <w:pPr>
              <w:jc w:val="right"/>
              <w:ind w:right="570"/>
              <w:spacing w:after="0"/>
              <w:rPr>
                <w:sz w:val="20"/>
                <w:szCs w:val="20"/>
                <w:color w:val="auto"/>
              </w:rPr>
            </w:pPr>
            <w:r>
              <w:rPr>
                <w:rFonts w:ascii="Arial" w:cs="Arial" w:eastAsia="Arial" w:hAnsi="Arial"/>
                <w:sz w:val="18"/>
                <w:szCs w:val="18"/>
                <w:color w:val="auto"/>
              </w:rPr>
              <w:t>22,910,565</w:t>
            </w:r>
          </w:p>
        </w:tc>
        <w:tc>
          <w:tcPr>
            <w:tcW w:w="1960" w:type="dxa"/>
            <w:vAlign w:val="bottom"/>
          </w:tcPr>
          <w:p>
            <w:pPr>
              <w:jc w:val="right"/>
              <w:ind w:right="490"/>
              <w:spacing w:after="0"/>
              <w:rPr>
                <w:sz w:val="20"/>
                <w:szCs w:val="20"/>
                <w:color w:val="auto"/>
              </w:rPr>
            </w:pPr>
            <w:r>
              <w:rPr>
                <w:rFonts w:ascii="Arial" w:cs="Arial" w:eastAsia="Arial" w:hAnsi="Arial"/>
                <w:sz w:val="18"/>
                <w:szCs w:val="18"/>
                <w:color w:val="auto"/>
              </w:rPr>
              <w:t>72,517</w:t>
            </w:r>
          </w:p>
        </w:tc>
        <w:tc>
          <w:tcPr>
            <w:tcW w:w="1880" w:type="dxa"/>
            <w:vAlign w:val="bottom"/>
          </w:tcPr>
          <w:p>
            <w:pPr>
              <w:jc w:val="right"/>
              <w:spacing w:after="0"/>
              <w:rPr>
                <w:sz w:val="20"/>
                <w:szCs w:val="20"/>
                <w:color w:val="auto"/>
              </w:rPr>
            </w:pPr>
            <w:r>
              <w:rPr>
                <w:rFonts w:ascii="Arial" w:cs="Arial" w:eastAsia="Arial" w:hAnsi="Arial"/>
                <w:sz w:val="18"/>
                <w:szCs w:val="18"/>
                <w:color w:val="auto"/>
              </w:rPr>
              <w:t>519,595</w:t>
            </w:r>
          </w:p>
        </w:tc>
      </w:tr>
      <w:tr>
        <w:trPr>
          <w:trHeight w:val="216"/>
        </w:trPr>
        <w:tc>
          <w:tcPr>
            <w:tcW w:w="20" w:type="dxa"/>
            <w:vAlign w:val="bottom"/>
          </w:tcPr>
          <w:p>
            <w:pPr>
              <w:spacing w:after="0"/>
              <w:rPr>
                <w:sz w:val="18"/>
                <w:szCs w:val="18"/>
                <w:color w:val="auto"/>
              </w:rPr>
            </w:pPr>
          </w:p>
        </w:tc>
        <w:tc>
          <w:tcPr>
            <w:tcW w:w="2940" w:type="dxa"/>
            <w:vAlign w:val="bottom"/>
            <w:shd w:val="clear" w:color="auto" w:fill="CCFFCC"/>
          </w:tcPr>
          <w:p>
            <w:pPr>
              <w:spacing w:after="0"/>
              <w:rPr>
                <w:sz w:val="20"/>
                <w:szCs w:val="20"/>
                <w:color w:val="auto"/>
              </w:rPr>
            </w:pPr>
            <w:r>
              <w:rPr>
                <w:rFonts w:ascii="Arial" w:cs="Arial" w:eastAsia="Arial" w:hAnsi="Arial"/>
                <w:sz w:val="18"/>
                <w:szCs w:val="18"/>
                <w:color w:val="auto"/>
              </w:rPr>
              <w:t>Daniel S. Jaffee</w:t>
            </w:r>
          </w:p>
        </w:tc>
        <w:tc>
          <w:tcPr>
            <w:tcW w:w="2900" w:type="dxa"/>
            <w:vAlign w:val="bottom"/>
            <w:shd w:val="clear" w:color="auto" w:fill="CCFFCC"/>
          </w:tcPr>
          <w:p>
            <w:pPr>
              <w:jc w:val="right"/>
              <w:ind w:right="570"/>
              <w:spacing w:after="0"/>
              <w:rPr>
                <w:sz w:val="20"/>
                <w:szCs w:val="20"/>
                <w:color w:val="auto"/>
              </w:rPr>
            </w:pPr>
            <w:r>
              <w:rPr>
                <w:rFonts w:ascii="Arial" w:cs="Arial" w:eastAsia="Arial" w:hAnsi="Arial"/>
                <w:sz w:val="18"/>
                <w:szCs w:val="18"/>
                <w:color w:val="auto"/>
              </w:rPr>
              <w:t>21,944,989</w:t>
            </w:r>
          </w:p>
        </w:tc>
        <w:tc>
          <w:tcPr>
            <w:tcW w:w="1960" w:type="dxa"/>
            <w:vAlign w:val="bottom"/>
            <w:shd w:val="clear" w:color="auto" w:fill="CCFFCC"/>
          </w:tcPr>
          <w:p>
            <w:pPr>
              <w:jc w:val="right"/>
              <w:ind w:right="490"/>
              <w:spacing w:after="0"/>
              <w:rPr>
                <w:sz w:val="20"/>
                <w:szCs w:val="20"/>
                <w:color w:val="auto"/>
              </w:rPr>
            </w:pPr>
            <w:r>
              <w:rPr>
                <w:rFonts w:ascii="Arial" w:cs="Arial" w:eastAsia="Arial" w:hAnsi="Arial"/>
                <w:sz w:val="18"/>
                <w:szCs w:val="18"/>
                <w:color w:val="auto"/>
              </w:rPr>
              <w:t>1,038,093</w:t>
            </w:r>
          </w:p>
        </w:tc>
        <w:tc>
          <w:tcPr>
            <w:tcW w:w="1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519,595</w:t>
            </w: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Richard M. Jaffee</w:t>
            </w:r>
          </w:p>
        </w:tc>
        <w:tc>
          <w:tcPr>
            <w:tcW w:w="2900" w:type="dxa"/>
            <w:vAlign w:val="bottom"/>
          </w:tcPr>
          <w:p>
            <w:pPr>
              <w:jc w:val="right"/>
              <w:ind w:right="570"/>
              <w:spacing w:after="0"/>
              <w:rPr>
                <w:sz w:val="20"/>
                <w:szCs w:val="20"/>
                <w:color w:val="auto"/>
              </w:rPr>
            </w:pPr>
            <w:r>
              <w:rPr>
                <w:rFonts w:ascii="Arial" w:cs="Arial" w:eastAsia="Arial" w:hAnsi="Arial"/>
                <w:sz w:val="18"/>
                <w:szCs w:val="18"/>
                <w:color w:val="auto"/>
              </w:rPr>
              <w:t>21,942,183</w:t>
            </w:r>
          </w:p>
        </w:tc>
        <w:tc>
          <w:tcPr>
            <w:tcW w:w="1960" w:type="dxa"/>
            <w:vAlign w:val="bottom"/>
          </w:tcPr>
          <w:p>
            <w:pPr>
              <w:jc w:val="right"/>
              <w:ind w:right="490"/>
              <w:spacing w:after="0"/>
              <w:rPr>
                <w:sz w:val="20"/>
                <w:szCs w:val="20"/>
                <w:color w:val="auto"/>
              </w:rPr>
            </w:pPr>
            <w:r>
              <w:rPr>
                <w:rFonts w:ascii="Arial" w:cs="Arial" w:eastAsia="Arial" w:hAnsi="Arial"/>
                <w:sz w:val="18"/>
                <w:szCs w:val="18"/>
                <w:color w:val="auto"/>
              </w:rPr>
              <w:t>1,040,899</w:t>
            </w:r>
          </w:p>
        </w:tc>
        <w:tc>
          <w:tcPr>
            <w:tcW w:w="1880" w:type="dxa"/>
            <w:vAlign w:val="bottom"/>
          </w:tcPr>
          <w:p>
            <w:pPr>
              <w:jc w:val="right"/>
              <w:spacing w:after="0"/>
              <w:rPr>
                <w:sz w:val="20"/>
                <w:szCs w:val="20"/>
                <w:color w:val="auto"/>
              </w:rPr>
            </w:pPr>
            <w:r>
              <w:rPr>
                <w:rFonts w:ascii="Arial" w:cs="Arial" w:eastAsia="Arial" w:hAnsi="Arial"/>
                <w:sz w:val="18"/>
                <w:szCs w:val="18"/>
                <w:color w:val="auto"/>
              </w:rPr>
              <w:t>519,595</w:t>
            </w:r>
          </w:p>
        </w:tc>
      </w:tr>
      <w:tr>
        <w:trPr>
          <w:trHeight w:val="216"/>
        </w:trPr>
        <w:tc>
          <w:tcPr>
            <w:tcW w:w="20" w:type="dxa"/>
            <w:vAlign w:val="bottom"/>
          </w:tcPr>
          <w:p>
            <w:pPr>
              <w:spacing w:after="0"/>
              <w:rPr>
                <w:sz w:val="18"/>
                <w:szCs w:val="18"/>
                <w:color w:val="auto"/>
              </w:rPr>
            </w:pPr>
          </w:p>
        </w:tc>
        <w:tc>
          <w:tcPr>
            <w:tcW w:w="2940" w:type="dxa"/>
            <w:vAlign w:val="bottom"/>
            <w:shd w:val="clear" w:color="auto" w:fill="CCFFCC"/>
          </w:tcPr>
          <w:p>
            <w:pPr>
              <w:spacing w:after="0"/>
              <w:rPr>
                <w:sz w:val="20"/>
                <w:szCs w:val="20"/>
                <w:color w:val="auto"/>
              </w:rPr>
            </w:pPr>
            <w:r>
              <w:rPr>
                <w:rFonts w:ascii="Arial" w:cs="Arial" w:eastAsia="Arial" w:hAnsi="Arial"/>
                <w:sz w:val="18"/>
                <w:szCs w:val="18"/>
                <w:color w:val="auto"/>
              </w:rPr>
              <w:t>Joseph C. Miller</w:t>
            </w:r>
          </w:p>
        </w:tc>
        <w:tc>
          <w:tcPr>
            <w:tcW w:w="2900" w:type="dxa"/>
            <w:vAlign w:val="bottom"/>
            <w:shd w:val="clear" w:color="auto" w:fill="CCFFCC"/>
          </w:tcPr>
          <w:p>
            <w:pPr>
              <w:jc w:val="right"/>
              <w:ind w:right="570"/>
              <w:spacing w:after="0"/>
              <w:rPr>
                <w:sz w:val="20"/>
                <w:szCs w:val="20"/>
                <w:color w:val="auto"/>
              </w:rPr>
            </w:pPr>
            <w:r>
              <w:rPr>
                <w:rFonts w:ascii="Arial" w:cs="Arial" w:eastAsia="Arial" w:hAnsi="Arial"/>
                <w:sz w:val="18"/>
                <w:szCs w:val="18"/>
                <w:color w:val="auto"/>
              </w:rPr>
              <w:t>21,192,985</w:t>
            </w:r>
          </w:p>
        </w:tc>
        <w:tc>
          <w:tcPr>
            <w:tcW w:w="1960" w:type="dxa"/>
            <w:vAlign w:val="bottom"/>
            <w:shd w:val="clear" w:color="auto" w:fill="CCFFCC"/>
          </w:tcPr>
          <w:p>
            <w:pPr>
              <w:jc w:val="right"/>
              <w:ind w:right="490"/>
              <w:spacing w:after="0"/>
              <w:rPr>
                <w:sz w:val="20"/>
                <w:szCs w:val="20"/>
                <w:color w:val="auto"/>
              </w:rPr>
            </w:pPr>
            <w:r>
              <w:rPr>
                <w:rFonts w:ascii="Arial" w:cs="Arial" w:eastAsia="Arial" w:hAnsi="Arial"/>
                <w:sz w:val="18"/>
                <w:szCs w:val="18"/>
                <w:color w:val="auto"/>
              </w:rPr>
              <w:t>1,790,097</w:t>
            </w:r>
          </w:p>
        </w:tc>
        <w:tc>
          <w:tcPr>
            <w:tcW w:w="1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519,595</w:t>
            </w: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Michael A. Nemeroff</w:t>
            </w:r>
          </w:p>
        </w:tc>
        <w:tc>
          <w:tcPr>
            <w:tcW w:w="2900" w:type="dxa"/>
            <w:vAlign w:val="bottom"/>
          </w:tcPr>
          <w:p>
            <w:pPr>
              <w:jc w:val="right"/>
              <w:ind w:right="570"/>
              <w:spacing w:after="0"/>
              <w:rPr>
                <w:sz w:val="20"/>
                <w:szCs w:val="20"/>
                <w:color w:val="auto"/>
              </w:rPr>
            </w:pPr>
            <w:r>
              <w:rPr>
                <w:rFonts w:ascii="Arial" w:cs="Arial" w:eastAsia="Arial" w:hAnsi="Arial"/>
                <w:sz w:val="18"/>
                <w:szCs w:val="18"/>
                <w:color w:val="auto"/>
              </w:rPr>
              <w:t>21,191,277</w:t>
            </w:r>
          </w:p>
        </w:tc>
        <w:tc>
          <w:tcPr>
            <w:tcW w:w="1960" w:type="dxa"/>
            <w:vAlign w:val="bottom"/>
          </w:tcPr>
          <w:p>
            <w:pPr>
              <w:jc w:val="right"/>
              <w:ind w:right="490"/>
              <w:spacing w:after="0"/>
              <w:rPr>
                <w:sz w:val="20"/>
                <w:szCs w:val="20"/>
                <w:color w:val="auto"/>
              </w:rPr>
            </w:pPr>
            <w:r>
              <w:rPr>
                <w:rFonts w:ascii="Arial" w:cs="Arial" w:eastAsia="Arial" w:hAnsi="Arial"/>
                <w:sz w:val="18"/>
                <w:szCs w:val="18"/>
                <w:color w:val="auto"/>
              </w:rPr>
              <w:t>1,791,805</w:t>
            </w:r>
          </w:p>
        </w:tc>
        <w:tc>
          <w:tcPr>
            <w:tcW w:w="1880" w:type="dxa"/>
            <w:vAlign w:val="bottom"/>
          </w:tcPr>
          <w:p>
            <w:pPr>
              <w:jc w:val="right"/>
              <w:spacing w:after="0"/>
              <w:rPr>
                <w:sz w:val="20"/>
                <w:szCs w:val="20"/>
                <w:color w:val="auto"/>
              </w:rPr>
            </w:pPr>
            <w:r>
              <w:rPr>
                <w:rFonts w:ascii="Arial" w:cs="Arial" w:eastAsia="Arial" w:hAnsi="Arial"/>
                <w:sz w:val="18"/>
                <w:szCs w:val="18"/>
                <w:color w:val="auto"/>
              </w:rPr>
              <w:t>519,595</w:t>
            </w:r>
          </w:p>
        </w:tc>
      </w:tr>
      <w:tr>
        <w:trPr>
          <w:trHeight w:val="216"/>
        </w:trPr>
        <w:tc>
          <w:tcPr>
            <w:tcW w:w="20" w:type="dxa"/>
            <w:vAlign w:val="bottom"/>
          </w:tcPr>
          <w:p>
            <w:pPr>
              <w:spacing w:after="0"/>
              <w:rPr>
                <w:sz w:val="18"/>
                <w:szCs w:val="18"/>
                <w:color w:val="auto"/>
              </w:rPr>
            </w:pPr>
          </w:p>
        </w:tc>
        <w:tc>
          <w:tcPr>
            <w:tcW w:w="2940" w:type="dxa"/>
            <w:vAlign w:val="bottom"/>
            <w:shd w:val="clear" w:color="auto" w:fill="CCFFCC"/>
          </w:tcPr>
          <w:p>
            <w:pPr>
              <w:spacing w:after="0"/>
              <w:rPr>
                <w:sz w:val="20"/>
                <w:szCs w:val="20"/>
                <w:color w:val="auto"/>
              </w:rPr>
            </w:pPr>
            <w:r>
              <w:rPr>
                <w:rFonts w:ascii="Arial" w:cs="Arial" w:eastAsia="Arial" w:hAnsi="Arial"/>
                <w:sz w:val="18"/>
                <w:szCs w:val="18"/>
                <w:color w:val="auto"/>
              </w:rPr>
              <w:t>Allan H. Selig</w:t>
            </w:r>
          </w:p>
        </w:tc>
        <w:tc>
          <w:tcPr>
            <w:tcW w:w="2900" w:type="dxa"/>
            <w:vAlign w:val="bottom"/>
            <w:shd w:val="clear" w:color="auto" w:fill="CCFFCC"/>
          </w:tcPr>
          <w:p>
            <w:pPr>
              <w:jc w:val="right"/>
              <w:ind w:right="570"/>
              <w:spacing w:after="0"/>
              <w:rPr>
                <w:sz w:val="20"/>
                <w:szCs w:val="20"/>
                <w:color w:val="auto"/>
              </w:rPr>
            </w:pPr>
            <w:r>
              <w:rPr>
                <w:rFonts w:ascii="Arial" w:cs="Arial" w:eastAsia="Arial" w:hAnsi="Arial"/>
                <w:sz w:val="18"/>
                <w:szCs w:val="18"/>
                <w:color w:val="auto"/>
              </w:rPr>
              <w:t>22,897,913</w:t>
            </w:r>
          </w:p>
        </w:tc>
        <w:tc>
          <w:tcPr>
            <w:tcW w:w="1960" w:type="dxa"/>
            <w:vAlign w:val="bottom"/>
            <w:shd w:val="clear" w:color="auto" w:fill="CCFFCC"/>
          </w:tcPr>
          <w:p>
            <w:pPr>
              <w:jc w:val="right"/>
              <w:ind w:right="490"/>
              <w:spacing w:after="0"/>
              <w:rPr>
                <w:sz w:val="20"/>
                <w:szCs w:val="20"/>
                <w:color w:val="auto"/>
              </w:rPr>
            </w:pPr>
            <w:r>
              <w:rPr>
                <w:rFonts w:ascii="Arial" w:cs="Arial" w:eastAsia="Arial" w:hAnsi="Arial"/>
                <w:sz w:val="18"/>
                <w:szCs w:val="18"/>
                <w:color w:val="auto"/>
              </w:rPr>
              <w:t>85,169</w:t>
            </w:r>
          </w:p>
        </w:tc>
        <w:tc>
          <w:tcPr>
            <w:tcW w:w="1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519,595</w:t>
            </w:r>
          </w:p>
        </w:tc>
      </w:tr>
      <w:tr>
        <w:trPr>
          <w:trHeight w:val="230"/>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Paul E. Suckow</w:t>
            </w:r>
          </w:p>
        </w:tc>
        <w:tc>
          <w:tcPr>
            <w:tcW w:w="2900" w:type="dxa"/>
            <w:vAlign w:val="bottom"/>
          </w:tcPr>
          <w:p>
            <w:pPr>
              <w:jc w:val="right"/>
              <w:ind w:right="570"/>
              <w:spacing w:after="0"/>
              <w:rPr>
                <w:sz w:val="20"/>
                <w:szCs w:val="20"/>
                <w:color w:val="auto"/>
              </w:rPr>
            </w:pPr>
            <w:r>
              <w:rPr>
                <w:rFonts w:ascii="Arial" w:cs="Arial" w:eastAsia="Arial" w:hAnsi="Arial"/>
                <w:sz w:val="18"/>
                <w:szCs w:val="18"/>
                <w:color w:val="auto"/>
              </w:rPr>
              <w:t>22,930,398</w:t>
            </w:r>
          </w:p>
        </w:tc>
        <w:tc>
          <w:tcPr>
            <w:tcW w:w="1960" w:type="dxa"/>
            <w:vAlign w:val="bottom"/>
          </w:tcPr>
          <w:p>
            <w:pPr>
              <w:jc w:val="right"/>
              <w:ind w:right="490"/>
              <w:spacing w:after="0"/>
              <w:rPr>
                <w:sz w:val="20"/>
                <w:szCs w:val="20"/>
                <w:color w:val="auto"/>
              </w:rPr>
            </w:pPr>
            <w:r>
              <w:rPr>
                <w:rFonts w:ascii="Arial" w:cs="Arial" w:eastAsia="Arial" w:hAnsi="Arial"/>
                <w:sz w:val="18"/>
                <w:szCs w:val="18"/>
                <w:color w:val="auto"/>
              </w:rPr>
              <w:t>52,684</w:t>
            </w:r>
          </w:p>
        </w:tc>
        <w:tc>
          <w:tcPr>
            <w:tcW w:w="1880" w:type="dxa"/>
            <w:vAlign w:val="bottom"/>
          </w:tcPr>
          <w:p>
            <w:pPr>
              <w:jc w:val="right"/>
              <w:spacing w:after="0"/>
              <w:rPr>
                <w:sz w:val="20"/>
                <w:szCs w:val="20"/>
                <w:color w:val="auto"/>
              </w:rPr>
            </w:pPr>
            <w:r>
              <w:rPr>
                <w:rFonts w:ascii="Arial" w:cs="Arial" w:eastAsia="Arial" w:hAnsi="Arial"/>
                <w:sz w:val="18"/>
                <w:szCs w:val="18"/>
                <w:color w:val="auto"/>
              </w:rPr>
              <w:t>519,595</w:t>
            </w: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RATIFICATION OF THE APPOINTMENT OF INDEPENDENT AUDITOR</w:t>
      </w:r>
    </w:p>
    <w:p>
      <w:pPr>
        <w:spacing w:after="0" w:line="256"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The stockholders ratified the appointment of PricewaterhouseCoopers LLP as independent auditor for the fiscal year ending July 31, 2012. The voting results were as follows:</w:t>
      </w:r>
    </w:p>
    <w:p>
      <w:pPr>
        <w:spacing w:after="0" w:line="212"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80" w:type="dxa"/>
            <w:vAlign w:val="bottom"/>
            <w:shd w:val="clear" w:color="auto" w:fill="CCFFCC"/>
          </w:tcPr>
          <w:p>
            <w:pPr>
              <w:spacing w:after="0"/>
              <w:rPr>
                <w:sz w:val="20"/>
                <w:szCs w:val="20"/>
                <w:color w:val="auto"/>
              </w:rPr>
            </w:pPr>
            <w:r>
              <w:rPr>
                <w:rFonts w:ascii="Arial" w:cs="Arial" w:eastAsia="Arial" w:hAnsi="Arial"/>
                <w:sz w:val="18"/>
                <w:szCs w:val="18"/>
                <w:color w:val="auto"/>
              </w:rPr>
              <w:t>For</w:t>
            </w:r>
          </w:p>
        </w:tc>
        <w:tc>
          <w:tcPr>
            <w:tcW w:w="46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23,455,060</w:t>
            </w: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Against</w:t>
            </w:r>
          </w:p>
        </w:tc>
        <w:tc>
          <w:tcPr>
            <w:tcW w:w="4600" w:type="dxa"/>
            <w:vAlign w:val="bottom"/>
          </w:tcPr>
          <w:p>
            <w:pPr>
              <w:jc w:val="right"/>
              <w:spacing w:after="0"/>
              <w:rPr>
                <w:sz w:val="20"/>
                <w:szCs w:val="20"/>
                <w:color w:val="auto"/>
              </w:rPr>
            </w:pPr>
            <w:r>
              <w:rPr>
                <w:rFonts w:ascii="Arial" w:cs="Arial" w:eastAsia="Arial" w:hAnsi="Arial"/>
                <w:sz w:val="18"/>
                <w:szCs w:val="18"/>
                <w:color w:val="auto"/>
              </w:rPr>
              <w:t>38,403</w:t>
            </w:r>
          </w:p>
        </w:tc>
      </w:tr>
      <w:tr>
        <w:trPr>
          <w:trHeight w:val="216"/>
        </w:trPr>
        <w:tc>
          <w:tcPr>
            <w:tcW w:w="20" w:type="dxa"/>
            <w:vAlign w:val="bottom"/>
          </w:tcPr>
          <w:p>
            <w:pPr>
              <w:spacing w:after="0"/>
              <w:rPr>
                <w:sz w:val="18"/>
                <w:szCs w:val="18"/>
                <w:color w:val="auto"/>
              </w:rPr>
            </w:pPr>
          </w:p>
        </w:tc>
        <w:tc>
          <w:tcPr>
            <w:tcW w:w="5080" w:type="dxa"/>
            <w:vAlign w:val="bottom"/>
            <w:shd w:val="clear" w:color="auto" w:fill="CCFFCC"/>
          </w:tcPr>
          <w:p>
            <w:pPr>
              <w:spacing w:after="0"/>
              <w:rPr>
                <w:sz w:val="20"/>
                <w:szCs w:val="20"/>
                <w:color w:val="auto"/>
              </w:rPr>
            </w:pPr>
            <w:r>
              <w:rPr>
                <w:rFonts w:ascii="Arial" w:cs="Arial" w:eastAsia="Arial" w:hAnsi="Arial"/>
                <w:sz w:val="18"/>
                <w:szCs w:val="18"/>
                <w:color w:val="auto"/>
              </w:rPr>
              <w:t>Abstain</w:t>
            </w:r>
          </w:p>
        </w:tc>
        <w:tc>
          <w:tcPr>
            <w:tcW w:w="46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9,214</w:t>
            </w:r>
          </w:p>
        </w:tc>
      </w:tr>
      <w:tr>
        <w:trPr>
          <w:trHeight w:val="230"/>
        </w:trPr>
        <w:tc>
          <w:tcPr>
            <w:tcW w:w="2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Broker Non-Votes</w:t>
            </w:r>
          </w:p>
        </w:tc>
        <w:tc>
          <w:tcPr>
            <w:tcW w:w="4600" w:type="dxa"/>
            <w:vAlign w:val="bottom"/>
          </w:tcPr>
          <w:p>
            <w:pPr>
              <w:jc w:val="right"/>
              <w:spacing w:after="0"/>
              <w:rPr>
                <w:sz w:val="20"/>
                <w:szCs w:val="20"/>
                <w:color w:val="auto"/>
              </w:rPr>
            </w:pPr>
            <w:r>
              <w:rPr>
                <w:rFonts w:ascii="Arial" w:cs="Arial" w:eastAsia="Arial" w:hAnsi="Arial"/>
                <w:sz w:val="18"/>
                <w:szCs w:val="18"/>
                <w:color w:val="auto"/>
              </w:rPr>
              <w:t>N/A</w:t>
            </w:r>
          </w:p>
        </w:tc>
      </w:tr>
    </w:tbl>
    <w:p>
      <w:pPr>
        <w:spacing w:after="0" w:line="200" w:lineRule="exact"/>
        <w:rPr>
          <w:sz w:val="20"/>
          <w:szCs w:val="20"/>
          <w:color w:val="auto"/>
        </w:rPr>
      </w:pPr>
    </w:p>
    <w:p>
      <w:pPr>
        <w:spacing w:after="0" w:line="254"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ITEM 3: APPROVAL OF THE NAMED EXECUTIVE OFFICER COMPENSATION AS DISCLOSED IN THE EXECUTIVE COMPENSATION SECTION OF THE PROXY STATEMENT</w:t>
      </w:r>
    </w:p>
    <w:p>
      <w:pPr>
        <w:spacing w:after="0" w:line="193"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stockholders, in an advisory vote, approved the named executive officer compensation as disclosed in the Registrant’s 2011 Proxy Statement. The voting results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5080" w:type="dxa"/>
            <w:vAlign w:val="bottom"/>
            <w:shd w:val="clear" w:color="auto" w:fill="CCFFCC"/>
          </w:tcPr>
          <w:p>
            <w:pPr>
              <w:spacing w:after="0"/>
              <w:rPr>
                <w:sz w:val="20"/>
                <w:szCs w:val="20"/>
                <w:color w:val="auto"/>
              </w:rPr>
            </w:pPr>
            <w:r>
              <w:rPr>
                <w:rFonts w:ascii="Arial" w:cs="Arial" w:eastAsia="Arial" w:hAnsi="Arial"/>
                <w:sz w:val="18"/>
                <w:szCs w:val="18"/>
                <w:color w:val="auto"/>
              </w:rPr>
              <w:t>For</w:t>
            </w:r>
          </w:p>
        </w:tc>
        <w:tc>
          <w:tcPr>
            <w:tcW w:w="46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21,700,625</w:t>
            </w: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Against</w:t>
            </w:r>
          </w:p>
        </w:tc>
        <w:tc>
          <w:tcPr>
            <w:tcW w:w="4600" w:type="dxa"/>
            <w:vAlign w:val="bottom"/>
          </w:tcPr>
          <w:p>
            <w:pPr>
              <w:jc w:val="right"/>
              <w:spacing w:after="0"/>
              <w:rPr>
                <w:sz w:val="20"/>
                <w:szCs w:val="20"/>
                <w:color w:val="auto"/>
              </w:rPr>
            </w:pPr>
            <w:r>
              <w:rPr>
                <w:rFonts w:ascii="Arial" w:cs="Arial" w:eastAsia="Arial" w:hAnsi="Arial"/>
                <w:sz w:val="18"/>
                <w:szCs w:val="18"/>
                <w:color w:val="auto"/>
              </w:rPr>
              <w:t>480,402</w:t>
            </w:r>
          </w:p>
        </w:tc>
        <w:tc>
          <w:tcPr>
            <w:tcW w:w="8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5080" w:type="dxa"/>
            <w:vAlign w:val="bottom"/>
            <w:shd w:val="clear" w:color="auto" w:fill="CCFFCC"/>
          </w:tcPr>
          <w:p>
            <w:pPr>
              <w:spacing w:after="0"/>
              <w:rPr>
                <w:sz w:val="20"/>
                <w:szCs w:val="20"/>
                <w:color w:val="auto"/>
              </w:rPr>
            </w:pPr>
            <w:r>
              <w:rPr>
                <w:rFonts w:ascii="Arial" w:cs="Arial" w:eastAsia="Arial" w:hAnsi="Arial"/>
                <w:sz w:val="18"/>
                <w:szCs w:val="18"/>
                <w:color w:val="auto"/>
              </w:rPr>
              <w:t>Abstain</w:t>
            </w:r>
          </w:p>
        </w:tc>
        <w:tc>
          <w:tcPr>
            <w:tcW w:w="46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802,055</w:t>
            </w:r>
          </w:p>
        </w:tc>
        <w:tc>
          <w:tcPr>
            <w:tcW w:w="860" w:type="dxa"/>
            <w:vAlign w:val="bottom"/>
          </w:tcPr>
          <w:p>
            <w:pPr>
              <w:spacing w:after="0"/>
              <w:rPr>
                <w:sz w:val="18"/>
                <w:szCs w:val="18"/>
                <w:color w:val="auto"/>
              </w:rPr>
            </w:pPr>
          </w:p>
        </w:tc>
      </w:tr>
      <w:tr>
        <w:trPr>
          <w:trHeight w:val="230"/>
        </w:trPr>
        <w:tc>
          <w:tcPr>
            <w:tcW w:w="88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Broker Non-Votes</w:t>
            </w:r>
          </w:p>
        </w:tc>
        <w:tc>
          <w:tcPr>
            <w:tcW w:w="4600" w:type="dxa"/>
            <w:vAlign w:val="bottom"/>
          </w:tcPr>
          <w:p>
            <w:pPr>
              <w:jc w:val="right"/>
              <w:spacing w:after="0"/>
              <w:rPr>
                <w:sz w:val="20"/>
                <w:szCs w:val="20"/>
                <w:color w:val="auto"/>
              </w:rPr>
            </w:pPr>
            <w:r>
              <w:rPr>
                <w:rFonts w:ascii="Arial" w:cs="Arial" w:eastAsia="Arial" w:hAnsi="Arial"/>
                <w:sz w:val="18"/>
                <w:szCs w:val="18"/>
                <w:color w:val="auto"/>
              </w:rPr>
              <w:t>519,595</w:t>
            </w:r>
          </w:p>
        </w:tc>
        <w:tc>
          <w:tcPr>
            <w:tcW w:w="860" w:type="dxa"/>
            <w:vAlign w:val="bottom"/>
          </w:tcPr>
          <w:p>
            <w:pPr>
              <w:spacing w:after="0"/>
              <w:rPr>
                <w:sz w:val="20"/>
                <w:szCs w:val="20"/>
                <w:color w:val="auto"/>
              </w:rPr>
            </w:pPr>
          </w:p>
        </w:tc>
      </w:tr>
      <w:tr>
        <w:trPr>
          <w:trHeight w:val="644"/>
        </w:trPr>
        <w:tc>
          <w:tcPr>
            <w:tcW w:w="880" w:type="dxa"/>
            <w:vAlign w:val="bottom"/>
            <w:tcBorders>
              <w:bottom w:val="single" w:sz="8" w:color="808080"/>
            </w:tcBorders>
          </w:tcPr>
          <w:p>
            <w:pPr>
              <w:spacing w:after="0"/>
              <w:rPr>
                <w:sz w:val="24"/>
                <w:szCs w:val="24"/>
                <w:color w:val="auto"/>
              </w:rPr>
            </w:pPr>
          </w:p>
        </w:tc>
        <w:tc>
          <w:tcPr>
            <w:tcW w:w="5080" w:type="dxa"/>
            <w:vAlign w:val="bottom"/>
            <w:tcBorders>
              <w:bottom w:val="single" w:sz="8" w:color="808080"/>
            </w:tcBorders>
          </w:tcPr>
          <w:p>
            <w:pPr>
              <w:spacing w:after="0"/>
              <w:rPr>
                <w:sz w:val="24"/>
                <w:szCs w:val="24"/>
                <w:color w:val="auto"/>
              </w:rPr>
            </w:pPr>
          </w:p>
        </w:tc>
        <w:tc>
          <w:tcPr>
            <w:tcW w:w="460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4: SELECTION OF THE FREQUENCY OF FUTURE ADVISORY VOTES ON THE NAMED EXECUTIVE OFFICER COMPENSATION</w:t>
      </w:r>
    </w:p>
    <w:p>
      <w:pPr>
        <w:spacing w:after="0" w:line="256"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The stockholders, in an advisory vote, selected “three years” as the frequency for future advisory votes on named executive officer compensation. The voting results were as follows:</w:t>
      </w:r>
    </w:p>
    <w:p>
      <w:pPr>
        <w:spacing w:after="0" w:line="212"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80" w:type="dxa"/>
            <w:vAlign w:val="bottom"/>
            <w:shd w:val="clear" w:color="auto" w:fill="CCFFCC"/>
          </w:tcPr>
          <w:p>
            <w:pPr>
              <w:spacing w:after="0"/>
              <w:rPr>
                <w:sz w:val="20"/>
                <w:szCs w:val="20"/>
                <w:color w:val="auto"/>
              </w:rPr>
            </w:pPr>
            <w:r>
              <w:rPr>
                <w:rFonts w:ascii="Arial" w:cs="Arial" w:eastAsia="Arial" w:hAnsi="Arial"/>
                <w:sz w:val="18"/>
                <w:szCs w:val="18"/>
                <w:color w:val="auto"/>
              </w:rPr>
              <w:t>One Year</w:t>
            </w:r>
          </w:p>
        </w:tc>
        <w:tc>
          <w:tcPr>
            <w:tcW w:w="46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2,867,725</w:t>
            </w: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Two Years</w:t>
            </w:r>
          </w:p>
        </w:tc>
        <w:tc>
          <w:tcPr>
            <w:tcW w:w="4600" w:type="dxa"/>
            <w:vAlign w:val="bottom"/>
          </w:tcPr>
          <w:p>
            <w:pPr>
              <w:jc w:val="right"/>
              <w:spacing w:after="0"/>
              <w:rPr>
                <w:sz w:val="20"/>
                <w:szCs w:val="20"/>
                <w:color w:val="auto"/>
              </w:rPr>
            </w:pPr>
            <w:r>
              <w:rPr>
                <w:rFonts w:ascii="Arial" w:cs="Arial" w:eastAsia="Arial" w:hAnsi="Arial"/>
                <w:sz w:val="18"/>
                <w:szCs w:val="18"/>
                <w:color w:val="auto"/>
              </w:rPr>
              <w:t>44,432</w:t>
            </w:r>
          </w:p>
        </w:tc>
      </w:tr>
      <w:tr>
        <w:trPr>
          <w:trHeight w:val="216"/>
        </w:trPr>
        <w:tc>
          <w:tcPr>
            <w:tcW w:w="20" w:type="dxa"/>
            <w:vAlign w:val="bottom"/>
          </w:tcPr>
          <w:p>
            <w:pPr>
              <w:spacing w:after="0"/>
              <w:rPr>
                <w:sz w:val="18"/>
                <w:szCs w:val="18"/>
                <w:color w:val="auto"/>
              </w:rPr>
            </w:pPr>
          </w:p>
        </w:tc>
        <w:tc>
          <w:tcPr>
            <w:tcW w:w="5080" w:type="dxa"/>
            <w:vAlign w:val="bottom"/>
            <w:shd w:val="clear" w:color="auto" w:fill="CCFFCC"/>
          </w:tcPr>
          <w:p>
            <w:pPr>
              <w:spacing w:after="0"/>
              <w:rPr>
                <w:sz w:val="20"/>
                <w:szCs w:val="20"/>
                <w:color w:val="auto"/>
              </w:rPr>
            </w:pPr>
            <w:r>
              <w:rPr>
                <w:rFonts w:ascii="Arial" w:cs="Arial" w:eastAsia="Arial" w:hAnsi="Arial"/>
                <w:sz w:val="18"/>
                <w:szCs w:val="18"/>
                <w:color w:val="auto"/>
              </w:rPr>
              <w:t>Three Years</w:t>
            </w:r>
          </w:p>
        </w:tc>
        <w:tc>
          <w:tcPr>
            <w:tcW w:w="46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19,258,801</w:t>
            </w: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Abstain</w:t>
            </w:r>
          </w:p>
        </w:tc>
        <w:tc>
          <w:tcPr>
            <w:tcW w:w="4600" w:type="dxa"/>
            <w:vAlign w:val="bottom"/>
          </w:tcPr>
          <w:p>
            <w:pPr>
              <w:jc w:val="right"/>
              <w:spacing w:after="0"/>
              <w:rPr>
                <w:sz w:val="20"/>
                <w:szCs w:val="20"/>
                <w:color w:val="auto"/>
              </w:rPr>
            </w:pPr>
            <w:r>
              <w:rPr>
                <w:rFonts w:ascii="Arial" w:cs="Arial" w:eastAsia="Arial" w:hAnsi="Arial"/>
                <w:sz w:val="18"/>
                <w:szCs w:val="18"/>
                <w:color w:val="auto"/>
              </w:rPr>
              <w:t>812,124</w:t>
            </w:r>
          </w:p>
        </w:tc>
      </w:tr>
      <w:tr>
        <w:trPr>
          <w:trHeight w:val="216"/>
        </w:trPr>
        <w:tc>
          <w:tcPr>
            <w:tcW w:w="20" w:type="dxa"/>
            <w:vAlign w:val="bottom"/>
          </w:tcPr>
          <w:p>
            <w:pPr>
              <w:spacing w:after="0"/>
              <w:rPr>
                <w:sz w:val="18"/>
                <w:szCs w:val="18"/>
                <w:color w:val="auto"/>
              </w:rPr>
            </w:pPr>
          </w:p>
        </w:tc>
        <w:tc>
          <w:tcPr>
            <w:tcW w:w="5080" w:type="dxa"/>
            <w:vAlign w:val="bottom"/>
            <w:shd w:val="clear" w:color="auto" w:fill="CCFFCC"/>
          </w:tcPr>
          <w:p>
            <w:pPr>
              <w:spacing w:after="0"/>
              <w:rPr>
                <w:sz w:val="20"/>
                <w:szCs w:val="20"/>
                <w:color w:val="auto"/>
              </w:rPr>
            </w:pPr>
            <w:r>
              <w:rPr>
                <w:rFonts w:ascii="Arial" w:cs="Arial" w:eastAsia="Arial" w:hAnsi="Arial"/>
                <w:sz w:val="18"/>
                <w:szCs w:val="18"/>
                <w:color w:val="auto"/>
              </w:rPr>
              <w:t>Broker Non-Votes</w:t>
            </w:r>
          </w:p>
        </w:tc>
        <w:tc>
          <w:tcPr>
            <w:tcW w:w="46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519,595</w:t>
            </w:r>
          </w:p>
        </w:tc>
      </w:tr>
    </w:tbl>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accordance with the Board of Directors recommendation and the stockholder vote results on above Item 4, the Board of Directors has determined that the Registrant will conduct future advisory votes on named executive officer compensation on a triennial basis.</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u w:val="single" w:color="auto"/>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Also on December 13, 2011, the Registrant’s Board of Directors declared quarterly cash dividends of $0.17 per share of the Registrant’s Common Stock and $0.1275 per share of the Registrant’s Class B Stock. The dividends will be payable on March 9, 2012, to stockholders of record at the close of business on February 24, 2012. A copy of the Registrant’s press release announcing these matters is attached as Exhibit 99.1 and the information contained therein is incorporated herein by reference.</w:t>
      </w:r>
    </w:p>
    <w:p>
      <w:pPr>
        <w:spacing w:after="0" w:line="21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u w:val="single" w:color="auto"/>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720" w:hanging="712"/>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Exhibit</w:t>
            </w:r>
          </w:p>
        </w:tc>
        <w:tc>
          <w:tcPr>
            <w:tcW w:w="240" w:type="dxa"/>
            <w:vAlign w:val="bottom"/>
          </w:tcPr>
          <w:p>
            <w:pPr>
              <w:spacing w:after="0"/>
              <w:rPr>
                <w:sz w:val="18"/>
                <w:szCs w:val="18"/>
                <w:color w:val="auto"/>
              </w:rPr>
            </w:pPr>
          </w:p>
        </w:tc>
        <w:tc>
          <w:tcPr>
            <w:tcW w:w="9920" w:type="dxa"/>
            <w:vAlign w:val="bottom"/>
          </w:tcPr>
          <w:p>
            <w:pPr>
              <w:spacing w:after="0"/>
              <w:rPr>
                <w:sz w:val="18"/>
                <w:szCs w:val="18"/>
                <w:color w:val="auto"/>
              </w:rPr>
            </w:pPr>
          </w:p>
        </w:tc>
      </w:tr>
      <w:tr>
        <w:trPr>
          <w:trHeight w:val="237"/>
        </w:trPr>
        <w:tc>
          <w:tcPr>
            <w:tcW w:w="1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Number</w:t>
            </w:r>
          </w:p>
        </w:tc>
        <w:tc>
          <w:tcPr>
            <w:tcW w:w="240" w:type="dxa"/>
            <w:vAlign w:val="bottom"/>
          </w:tcPr>
          <w:p>
            <w:pPr>
              <w:spacing w:after="0"/>
              <w:rPr>
                <w:sz w:val="20"/>
                <w:szCs w:val="20"/>
                <w:color w:val="auto"/>
              </w:rPr>
            </w:pPr>
          </w:p>
        </w:tc>
        <w:tc>
          <w:tcPr>
            <w:tcW w:w="9920" w:type="dxa"/>
            <w:vAlign w:val="bottom"/>
            <w:tcBorders>
              <w:bottom w:val="single" w:sz="8" w:color="auto"/>
            </w:tcBorders>
          </w:tcPr>
          <w:p>
            <w:pPr>
              <w:ind w:left="4120"/>
              <w:spacing w:after="0"/>
              <w:rPr>
                <w:sz w:val="20"/>
                <w:szCs w:val="20"/>
                <w:color w:val="auto"/>
              </w:rPr>
            </w:pPr>
            <w:r>
              <w:rPr>
                <w:rFonts w:ascii="Arial" w:cs="Arial" w:eastAsia="Arial" w:hAnsi="Arial"/>
                <w:sz w:val="18"/>
                <w:szCs w:val="18"/>
                <w:color w:val="auto"/>
              </w:rPr>
              <w:t>Description of Exhibits</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99.1</w:t>
            </w:r>
          </w:p>
        </w:tc>
        <w:tc>
          <w:tcPr>
            <w:tcW w:w="10160" w:type="dxa"/>
            <w:vAlign w:val="bottom"/>
            <w:gridSpan w:val="2"/>
          </w:tcPr>
          <w:p>
            <w:pPr>
              <w:ind w:left="240"/>
              <w:spacing w:after="0"/>
              <w:rPr>
                <w:sz w:val="20"/>
                <w:szCs w:val="20"/>
                <w:color w:val="auto"/>
              </w:rPr>
            </w:pPr>
            <w:r>
              <w:rPr>
                <w:rFonts w:ascii="Arial" w:cs="Arial" w:eastAsia="Arial" w:hAnsi="Arial"/>
                <w:sz w:val="18"/>
                <w:szCs w:val="18"/>
                <w:color w:val="auto"/>
              </w:rPr>
              <w:t>Press Release dated December 13, 2011 (Cash Dividends)</w:t>
            </w:r>
          </w:p>
        </w:tc>
      </w:tr>
      <w:tr>
        <w:trPr>
          <w:trHeight w:val="648"/>
        </w:trPr>
        <w:tc>
          <w:tcPr>
            <w:tcW w:w="12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9920" w:type="dxa"/>
            <w:vAlign w:val="bottom"/>
            <w:tcBorders>
              <w:bottom w:val="single" w:sz="8" w:color="808080"/>
            </w:tcBorders>
          </w:tcPr>
          <w:p>
            <w:pPr>
              <w:spacing w:after="0"/>
              <w:rPr>
                <w:sz w:val="24"/>
                <w:szCs w:val="24"/>
                <w:color w:val="auto"/>
              </w:rPr>
            </w:pPr>
          </w:p>
        </w:tc>
      </w:tr>
    </w:tbl>
    <w:p>
      <w:pPr>
        <w:sectPr>
          <w:pgSz w:w="11900" w:h="16838" w:orient="portrait"/>
          <w:cols w:equalWidth="0" w:num="1">
            <w:col w:w="11420"/>
          </w:cols>
          <w:pgMar w:left="240" w:top="513" w:right="239" w:bottom="1440" w:gutter="0" w:footer="0" w:header="0"/>
        </w:sectPr>
      </w:pPr>
    </w:p>
    <w:bookmarkStart w:id="3" w:name="page4"/>
    <w:bookmarkEnd w:id="3"/>
    <w:p>
      <w:pPr>
        <w:jc w:val="center"/>
        <w:ind w:right="-43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OIL-DRI CORPORATION OF AMERICA</w:t>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Douglas A.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Douglas A. Graham</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Vice President and General Counsel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13,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00"/>
          </w:cols>
          <w:pgMar w:left="240" w:top="999" w:right="6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920" w:type="dxa"/>
            <w:vAlign w:val="bottom"/>
            <w:gridSpan w:val="3"/>
          </w:tcPr>
          <w:p>
            <w:pPr>
              <w:ind w:left="3720"/>
              <w:spacing w:after="0"/>
              <w:rPr>
                <w:sz w:val="20"/>
                <w:szCs w:val="20"/>
                <w:color w:val="auto"/>
              </w:rPr>
            </w:pPr>
            <w:r>
              <w:rPr>
                <w:rFonts w:ascii="Arial" w:cs="Arial" w:eastAsia="Arial" w:hAnsi="Arial"/>
                <w:sz w:val="18"/>
                <w:szCs w:val="18"/>
                <w:color w:val="auto"/>
              </w:rPr>
              <w:t>Exhibit Index</w:t>
            </w:r>
          </w:p>
        </w:tc>
      </w:tr>
      <w:tr>
        <w:trPr>
          <w:trHeight w:val="708"/>
        </w:trPr>
        <w:tc>
          <w:tcPr>
            <w:tcW w:w="1260" w:type="dxa"/>
            <w:vAlign w:val="bottom"/>
          </w:tcPr>
          <w:p>
            <w:pPr>
              <w:spacing w:after="0"/>
              <w:rPr>
                <w:sz w:val="20"/>
                <w:szCs w:val="20"/>
                <w:color w:val="auto"/>
              </w:rPr>
            </w:pPr>
            <w:r>
              <w:rPr>
                <w:rFonts w:ascii="Arial" w:cs="Arial" w:eastAsia="Arial" w:hAnsi="Arial"/>
                <w:sz w:val="18"/>
                <w:szCs w:val="18"/>
                <w:color w:val="auto"/>
              </w:rPr>
              <w:t>Exhibit</w:t>
            </w:r>
          </w:p>
        </w:tc>
        <w:tc>
          <w:tcPr>
            <w:tcW w:w="2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5220" w:type="dxa"/>
            <w:vAlign w:val="bottom"/>
          </w:tcPr>
          <w:p>
            <w:pPr>
              <w:spacing w:after="0"/>
              <w:rPr>
                <w:sz w:val="24"/>
                <w:szCs w:val="24"/>
                <w:color w:val="auto"/>
              </w:rPr>
            </w:pPr>
          </w:p>
        </w:tc>
      </w:tr>
      <w:tr>
        <w:trPr>
          <w:trHeight w:val="237"/>
        </w:trPr>
        <w:tc>
          <w:tcPr>
            <w:tcW w:w="1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Number</w:t>
            </w:r>
          </w:p>
        </w:tc>
        <w:tc>
          <w:tcPr>
            <w:tcW w:w="240" w:type="dxa"/>
            <w:vAlign w:val="bottom"/>
          </w:tcPr>
          <w:p>
            <w:pPr>
              <w:spacing w:after="0"/>
              <w:rPr>
                <w:sz w:val="20"/>
                <w:szCs w:val="20"/>
                <w:color w:val="auto"/>
              </w:rPr>
            </w:pPr>
          </w:p>
        </w:tc>
        <w:tc>
          <w:tcPr>
            <w:tcW w:w="3720" w:type="dxa"/>
            <w:vAlign w:val="bottom"/>
            <w:tcBorders>
              <w:bottom w:val="single" w:sz="8" w:color="auto"/>
            </w:tcBorders>
          </w:tcPr>
          <w:p>
            <w:pPr>
              <w:spacing w:after="0"/>
              <w:rPr>
                <w:sz w:val="20"/>
                <w:szCs w:val="20"/>
                <w:color w:val="auto"/>
              </w:rPr>
            </w:pPr>
          </w:p>
        </w:tc>
        <w:tc>
          <w:tcPr>
            <w:tcW w:w="6200" w:type="dxa"/>
            <w:vAlign w:val="bottom"/>
            <w:tcBorders>
              <w:bottom w:val="single" w:sz="8" w:color="auto"/>
            </w:tcBorders>
            <w:gridSpan w:val="2"/>
          </w:tcPr>
          <w:p>
            <w:pPr>
              <w:ind w:left="400"/>
              <w:spacing w:after="0"/>
              <w:rPr>
                <w:sz w:val="20"/>
                <w:szCs w:val="20"/>
                <w:color w:val="auto"/>
              </w:rPr>
            </w:pPr>
            <w:r>
              <w:rPr>
                <w:rFonts w:ascii="Arial" w:cs="Arial" w:eastAsia="Arial" w:hAnsi="Arial"/>
                <w:sz w:val="18"/>
                <w:szCs w:val="18"/>
                <w:color w:val="auto"/>
              </w:rPr>
              <w:t>Description of Exhibits</w:t>
            </w:r>
          </w:p>
        </w:tc>
      </w:tr>
      <w:tr>
        <w:trPr>
          <w:trHeight w:val="432"/>
        </w:trPr>
        <w:tc>
          <w:tcPr>
            <w:tcW w:w="1260" w:type="dxa"/>
            <w:vAlign w:val="bottom"/>
          </w:tcPr>
          <w:p>
            <w:pPr>
              <w:spacing w:after="0"/>
              <w:rPr>
                <w:sz w:val="20"/>
                <w:szCs w:val="20"/>
                <w:color w:val="auto"/>
              </w:rPr>
            </w:pPr>
            <w:r>
              <w:rPr>
                <w:rFonts w:ascii="Arial" w:cs="Arial" w:eastAsia="Arial" w:hAnsi="Arial"/>
                <w:sz w:val="18"/>
                <w:szCs w:val="18"/>
                <w:color w:val="auto"/>
              </w:rPr>
              <w:t>99.1</w:t>
            </w:r>
          </w:p>
        </w:tc>
        <w:tc>
          <w:tcPr>
            <w:tcW w:w="10160" w:type="dxa"/>
            <w:vAlign w:val="bottom"/>
            <w:gridSpan w:val="4"/>
          </w:tcPr>
          <w:p>
            <w:pPr>
              <w:ind w:left="240"/>
              <w:spacing w:after="0"/>
              <w:rPr>
                <w:sz w:val="20"/>
                <w:szCs w:val="20"/>
                <w:color w:val="auto"/>
              </w:rPr>
            </w:pPr>
            <w:r>
              <w:rPr>
                <w:rFonts w:ascii="Arial" w:cs="Arial" w:eastAsia="Arial" w:hAnsi="Arial"/>
                <w:sz w:val="18"/>
                <w:szCs w:val="18"/>
                <w:color w:val="auto"/>
              </w:rPr>
              <w:t>Press Release dated December 13, 2011 (Cash Dividends)</w:t>
            </w:r>
          </w:p>
        </w:tc>
      </w:tr>
      <w:tr>
        <w:trPr>
          <w:trHeight w:val="891"/>
        </w:trPr>
        <w:tc>
          <w:tcPr>
            <w:tcW w:w="12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372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5220" w:type="dxa"/>
            <w:vAlign w:val="bottom"/>
            <w:tcBorders>
              <w:bottom w:val="single" w:sz="8" w:color="808080"/>
            </w:tcBorders>
          </w:tcPr>
          <w:p>
            <w:pPr>
              <w:spacing w:after="0"/>
              <w:rPr>
                <w:sz w:val="24"/>
                <w:szCs w:val="24"/>
                <w:color w:val="auto"/>
              </w:rPr>
            </w:pPr>
          </w:p>
        </w:tc>
      </w:tr>
    </w:tbl>
    <w:p>
      <w:pPr>
        <w:sectPr>
          <w:pgSz w:w="11900" w:h="16838" w:orient="portrait"/>
          <w:cols w:equalWidth="0" w:num="1">
            <w:col w:w="11420"/>
          </w:cols>
          <w:pgMar w:left="240" w:top="743"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500505" cy="651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0050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43"/>
          <w:szCs w:val="43"/>
          <w:b w:val="1"/>
          <w:bCs w:val="1"/>
          <w:color w:val="0000FF"/>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252095</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News Announcement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Ronda J. Williams,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Oil-Dri Corporation of America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312/706-3232; ronda.williams@oildri.com</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Oil-Dri Board of Directors Declares Dividends</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CHICAGO, IL – (December 13, 2011) – The Board of Directors of Oil-Dri Corporation of America (NYSE: ODC) today declared quarterly cash dividends of $0.17 per share of the Company’s Common Stock and $0.1275 per share of the Company’s Class B Stock.</w:t>
      </w:r>
    </w:p>
    <w:p>
      <w:pPr>
        <w:spacing w:after="0" w:line="19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dividends will be payable on March 9, 2012, to stockholders of record at the close of business on February 24, 2012. The Company has paid cash dividends continuously since 1974.</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i w:val="1"/>
          <w:iCs w:val="1"/>
          <w:color w:val="auto"/>
        </w:rPr>
        <w:t>Oil-Dri Corporation of America is a leading supplier of specialty sorbent products for industrial, automotive, agricultural, horticultural and specialty markets and the world’s largest manufacturer of cat litter.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2020-02-21T12:22:14Z</dcterms:created>
  <dcterms:modified xsi:type="dcterms:W3CDTF">2020-02-21T12:22:14Z</dcterms:modified>
</cp:coreProperties>
</file>