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166370</wp:posOffset>
            </wp:positionH>
            <wp:positionV relativeFrom="page">
              <wp:posOffset>328930</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page">
              <wp:posOffset>166370</wp:posOffset>
            </wp:positionH>
            <wp:positionV relativeFrom="page">
              <wp:posOffset>243205</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57"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00" w:type="dxa"/>
            <w:vAlign w:val="bottom"/>
            <w:gridSpan w:val="3"/>
          </w:tcPr>
          <w:p>
            <w:pPr>
              <w:jc w:val="center"/>
              <w:ind w:right="820"/>
              <w:spacing w:after="0"/>
              <w:rPr>
                <w:sz w:val="20"/>
                <w:szCs w:val="20"/>
                <w:color w:val="auto"/>
              </w:rPr>
            </w:pPr>
            <w:r>
              <w:rPr>
                <w:rFonts w:ascii="Arial" w:cs="Arial" w:eastAsia="Arial" w:hAnsi="Arial"/>
                <w:sz w:val="18"/>
                <w:szCs w:val="18"/>
                <w:color w:val="auto"/>
                <w:w w:val="90"/>
              </w:rPr>
              <w:t>Date of Report (Date of earliest event reported)</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ind w:left="2260"/>
              <w:spacing w:after="0"/>
              <w:rPr>
                <w:sz w:val="20"/>
                <w:szCs w:val="20"/>
                <w:color w:val="auto"/>
              </w:rPr>
            </w:pPr>
            <w:r>
              <w:rPr>
                <w:rFonts w:ascii="Arial" w:cs="Arial" w:eastAsia="Arial" w:hAnsi="Arial"/>
                <w:sz w:val="18"/>
                <w:szCs w:val="18"/>
                <w:color w:val="auto"/>
                <w:w w:val="89"/>
              </w:rPr>
              <w:t>January 30, 2020</w:t>
            </w:r>
          </w:p>
        </w:tc>
      </w:tr>
      <w:tr>
        <w:trPr>
          <w:trHeight w:val="837"/>
        </w:trPr>
        <w:tc>
          <w:tcPr>
            <w:tcW w:w="3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0" w:type="dxa"/>
            <w:vAlign w:val="bottom"/>
            <w:gridSpan w:val="5"/>
          </w:tcPr>
          <w:p>
            <w:pPr>
              <w:jc w:val="center"/>
              <w:ind w:right="780"/>
              <w:spacing w:after="0"/>
              <w:rPr>
                <w:sz w:val="20"/>
                <w:szCs w:val="20"/>
                <w:color w:val="auto"/>
              </w:rPr>
            </w:pPr>
            <w:r>
              <w:rPr>
                <w:rFonts w:ascii="Arial" w:cs="Arial" w:eastAsia="Arial" w:hAnsi="Arial"/>
                <w:sz w:val="18"/>
                <w:szCs w:val="18"/>
                <w:b w:val="1"/>
                <w:bCs w:val="1"/>
                <w:color w:val="auto"/>
                <w:w w:val="94"/>
              </w:rPr>
              <w:t>Oil-Dri Corporation of America</w:t>
            </w:r>
          </w:p>
        </w:tc>
        <w:tc>
          <w:tcPr>
            <w:tcW w:w="3520" w:type="dxa"/>
            <w:vAlign w:val="bottom"/>
          </w:tcPr>
          <w:p>
            <w:pPr>
              <w:spacing w:after="0"/>
              <w:rPr>
                <w:sz w:val="24"/>
                <w:szCs w:val="24"/>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3440" w:type="dxa"/>
            <w:vAlign w:val="bottom"/>
          </w:tcPr>
          <w:p>
            <w:pPr>
              <w:spacing w:after="0"/>
              <w:rPr>
                <w:sz w:val="20"/>
                <w:szCs w:val="20"/>
                <w:color w:val="auto"/>
              </w:rPr>
            </w:pPr>
          </w:p>
        </w:tc>
        <w:tc>
          <w:tcPr>
            <w:tcW w:w="4460" w:type="dxa"/>
            <w:vAlign w:val="bottom"/>
            <w:gridSpan w:val="7"/>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c>
          <w:tcPr>
            <w:tcW w:w="3520" w:type="dxa"/>
            <w:vAlign w:val="bottom"/>
          </w:tcPr>
          <w:p>
            <w:pPr>
              <w:spacing w:after="0"/>
              <w:rPr>
                <w:sz w:val="20"/>
                <w:szCs w:val="20"/>
                <w:color w:val="auto"/>
              </w:rPr>
            </w:pPr>
          </w:p>
        </w:tc>
      </w:tr>
      <w:tr>
        <w:trPr>
          <w:trHeight w:val="621"/>
        </w:trPr>
        <w:tc>
          <w:tcPr>
            <w:tcW w:w="4300" w:type="dxa"/>
            <w:vAlign w:val="bottom"/>
            <w:gridSpan w:val="3"/>
          </w:tcPr>
          <w:p>
            <w:pPr>
              <w:jc w:val="center"/>
              <w:ind w:right="860"/>
              <w:spacing w:after="0"/>
              <w:rPr>
                <w:sz w:val="20"/>
                <w:szCs w:val="20"/>
                <w:color w:val="auto"/>
              </w:rPr>
            </w:pPr>
            <w:r>
              <w:rPr>
                <w:rFonts w:ascii="Arial" w:cs="Arial" w:eastAsia="Arial" w:hAnsi="Arial"/>
                <w:sz w:val="18"/>
                <w:szCs w:val="18"/>
                <w:b w:val="1"/>
                <w:bCs w:val="1"/>
                <w:color w:val="auto"/>
                <w:w w:val="91"/>
              </w:rPr>
              <w:t>Delaware</w:t>
            </w:r>
          </w:p>
        </w:tc>
        <w:tc>
          <w:tcPr>
            <w:tcW w:w="1760" w:type="dxa"/>
            <w:vAlign w:val="bottom"/>
            <w:gridSpan w:val="3"/>
          </w:tcPr>
          <w:p>
            <w:pPr>
              <w:jc w:val="center"/>
              <w:ind w:left="890"/>
              <w:spacing w:after="0"/>
              <w:rPr>
                <w:sz w:val="20"/>
                <w:szCs w:val="20"/>
                <w:color w:val="auto"/>
              </w:rPr>
            </w:pPr>
            <w:r>
              <w:rPr>
                <w:rFonts w:ascii="Arial" w:cs="Arial" w:eastAsia="Arial" w:hAnsi="Arial"/>
                <w:sz w:val="18"/>
                <w:szCs w:val="18"/>
                <w:b w:val="1"/>
                <w:bCs w:val="1"/>
                <w:color w:val="auto"/>
                <w:w w:val="90"/>
              </w:rPr>
              <w:t>001-12622</w:t>
            </w: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1"/>
              </w:rPr>
              <w:t>36-2048898</w:t>
            </w:r>
          </w:p>
        </w:tc>
      </w:tr>
      <w:tr>
        <w:trPr>
          <w:trHeight w:val="27"/>
        </w:trPr>
        <w:tc>
          <w:tcPr>
            <w:tcW w:w="34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22"/>
        </w:trPr>
        <w:tc>
          <w:tcPr>
            <w:tcW w:w="4300" w:type="dxa"/>
            <w:vAlign w:val="bottom"/>
            <w:gridSpan w:val="3"/>
          </w:tcPr>
          <w:p>
            <w:pPr>
              <w:jc w:val="center"/>
              <w:ind w:right="860"/>
              <w:spacing w:after="0"/>
              <w:rPr>
                <w:sz w:val="20"/>
                <w:szCs w:val="20"/>
                <w:color w:val="auto"/>
              </w:rPr>
            </w:pPr>
            <w:r>
              <w:rPr>
                <w:rFonts w:ascii="Arial" w:cs="Arial" w:eastAsia="Arial" w:hAnsi="Arial"/>
                <w:sz w:val="18"/>
                <w:szCs w:val="18"/>
                <w:color w:val="auto"/>
                <w:w w:val="92"/>
              </w:rPr>
              <w:t>(State or other jurisdiction of</w:t>
            </w:r>
          </w:p>
        </w:tc>
        <w:tc>
          <w:tcPr>
            <w:tcW w:w="3600" w:type="dxa"/>
            <w:vAlign w:val="bottom"/>
            <w:gridSpan w:val="5"/>
          </w:tcPr>
          <w:p>
            <w:pPr>
              <w:jc w:val="center"/>
              <w:ind w:right="860"/>
              <w:spacing w:after="0"/>
              <w:rPr>
                <w:sz w:val="20"/>
                <w:szCs w:val="20"/>
                <w:color w:val="auto"/>
              </w:rPr>
            </w:pPr>
            <w:r>
              <w:rPr>
                <w:rFonts w:ascii="Arial" w:cs="Arial" w:eastAsia="Arial" w:hAnsi="Arial"/>
                <w:sz w:val="18"/>
                <w:szCs w:val="18"/>
                <w:color w:val="auto"/>
                <w:w w:val="93"/>
              </w:rPr>
              <w:t>(Commission File</w:t>
            </w:r>
          </w:p>
        </w:tc>
        <w:tc>
          <w:tcPr>
            <w:tcW w:w="3520" w:type="dxa"/>
            <w:vAlign w:val="bottom"/>
          </w:tcPr>
          <w:p>
            <w:pPr>
              <w:jc w:val="center"/>
              <w:spacing w:after="0"/>
              <w:rPr>
                <w:sz w:val="20"/>
                <w:szCs w:val="20"/>
                <w:color w:val="auto"/>
              </w:rPr>
            </w:pPr>
            <w:r>
              <w:rPr>
                <w:rFonts w:ascii="Arial" w:cs="Arial" w:eastAsia="Arial" w:hAnsi="Arial"/>
                <w:sz w:val="18"/>
                <w:szCs w:val="18"/>
                <w:color w:val="auto"/>
                <w:w w:val="92"/>
              </w:rPr>
              <w:t>(IRS Employer</w:t>
            </w:r>
          </w:p>
        </w:tc>
      </w:tr>
      <w:tr>
        <w:trPr>
          <w:trHeight w:val="230"/>
        </w:trPr>
        <w:tc>
          <w:tcPr>
            <w:tcW w:w="4300" w:type="dxa"/>
            <w:vAlign w:val="bottom"/>
            <w:gridSpan w:val="3"/>
          </w:tcPr>
          <w:p>
            <w:pPr>
              <w:jc w:val="center"/>
              <w:ind w:right="860"/>
              <w:spacing w:after="0"/>
              <w:rPr>
                <w:sz w:val="20"/>
                <w:szCs w:val="20"/>
                <w:color w:val="auto"/>
              </w:rPr>
            </w:pPr>
            <w:r>
              <w:rPr>
                <w:rFonts w:ascii="Arial" w:cs="Arial" w:eastAsia="Arial" w:hAnsi="Arial"/>
                <w:sz w:val="18"/>
                <w:szCs w:val="18"/>
                <w:color w:val="auto"/>
                <w:w w:val="94"/>
              </w:rPr>
              <w:t>incorporation)</w:t>
            </w:r>
          </w:p>
        </w:tc>
        <w:tc>
          <w:tcPr>
            <w:tcW w:w="3600" w:type="dxa"/>
            <w:vAlign w:val="bottom"/>
            <w:gridSpan w:val="5"/>
          </w:tcPr>
          <w:p>
            <w:pPr>
              <w:jc w:val="center"/>
              <w:ind w:right="860"/>
              <w:spacing w:after="0"/>
              <w:rPr>
                <w:sz w:val="20"/>
                <w:szCs w:val="20"/>
                <w:color w:val="auto"/>
              </w:rPr>
            </w:pPr>
            <w:r>
              <w:rPr>
                <w:rFonts w:ascii="Arial" w:cs="Arial" w:eastAsia="Arial" w:hAnsi="Arial"/>
                <w:sz w:val="18"/>
                <w:szCs w:val="18"/>
                <w:color w:val="auto"/>
                <w:w w:val="94"/>
              </w:rPr>
              <w:t>Number)</w:t>
            </w:r>
          </w:p>
        </w:tc>
        <w:tc>
          <w:tcPr>
            <w:tcW w:w="35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387"/>
        </w:trPr>
        <w:tc>
          <w:tcPr>
            <w:tcW w:w="430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91"/>
              </w:rPr>
              <w:t>410 North Michigan Avenue</w:t>
            </w: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16"/>
        </w:trPr>
        <w:tc>
          <w:tcPr>
            <w:tcW w:w="4300" w:type="dxa"/>
            <w:vAlign w:val="bottom"/>
            <w:gridSpan w:val="3"/>
          </w:tcPr>
          <w:p>
            <w:pPr>
              <w:jc w:val="center"/>
              <w:ind w:left="990"/>
              <w:spacing w:after="0"/>
              <w:rPr>
                <w:sz w:val="20"/>
                <w:szCs w:val="20"/>
                <w:color w:val="auto"/>
              </w:rPr>
            </w:pPr>
            <w:r>
              <w:rPr>
                <w:rFonts w:ascii="Arial" w:cs="Arial" w:eastAsia="Arial" w:hAnsi="Arial"/>
                <w:sz w:val="18"/>
                <w:szCs w:val="18"/>
                <w:b w:val="1"/>
                <w:bCs w:val="1"/>
                <w:color w:val="auto"/>
                <w:w w:val="88"/>
              </w:rPr>
              <w:t>Suite 400</w:t>
            </w: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34"/>
        </w:trPr>
        <w:tc>
          <w:tcPr>
            <w:tcW w:w="430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89"/>
              </w:rPr>
              <w:t>Chicago, Illinois</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jc w:val="right"/>
              <w:ind w:right="2170"/>
              <w:spacing w:after="0"/>
              <w:rPr>
                <w:sz w:val="20"/>
                <w:szCs w:val="20"/>
                <w:color w:val="auto"/>
              </w:rPr>
            </w:pPr>
            <w:r>
              <w:rPr>
                <w:rFonts w:ascii="Arial" w:cs="Arial" w:eastAsia="Arial" w:hAnsi="Arial"/>
                <w:sz w:val="18"/>
                <w:szCs w:val="18"/>
                <w:b w:val="1"/>
                <w:bCs w:val="1"/>
                <w:color w:val="auto"/>
              </w:rPr>
              <w:t>60611-4213</w:t>
            </w:r>
          </w:p>
        </w:tc>
      </w:tr>
      <w:tr>
        <w:trPr>
          <w:trHeight w:val="27"/>
        </w:trPr>
        <w:tc>
          <w:tcPr>
            <w:tcW w:w="430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4300" w:type="dxa"/>
            <w:vAlign w:val="bottom"/>
            <w:gridSpan w:val="3"/>
          </w:tcPr>
          <w:p>
            <w:pPr>
              <w:jc w:val="center"/>
              <w:ind w:left="990"/>
              <w:spacing w:after="0"/>
              <w:rPr>
                <w:sz w:val="20"/>
                <w:szCs w:val="20"/>
                <w:color w:val="auto"/>
              </w:rPr>
            </w:pPr>
            <w:r>
              <w:rPr>
                <w:rFonts w:ascii="Arial" w:cs="Arial" w:eastAsia="Arial" w:hAnsi="Arial"/>
                <w:sz w:val="18"/>
                <w:szCs w:val="18"/>
                <w:color w:val="auto"/>
                <w:w w:val="92"/>
              </w:rPr>
              <w:t>(Address of principal executive offices)</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jc w:val="center"/>
              <w:ind w:right="1750"/>
              <w:spacing w:after="0"/>
              <w:rPr>
                <w:sz w:val="20"/>
                <w:szCs w:val="20"/>
                <w:color w:val="auto"/>
              </w:rPr>
            </w:pPr>
            <w:r>
              <w:rPr>
                <w:rFonts w:ascii="Arial" w:cs="Arial" w:eastAsia="Arial" w:hAnsi="Arial"/>
                <w:sz w:val="18"/>
                <w:szCs w:val="18"/>
                <w:color w:val="auto"/>
                <w:w w:val="94"/>
              </w:rPr>
              <w:t>(Zip Code)</w:t>
            </w:r>
          </w:p>
        </w:tc>
      </w:tr>
      <w:tr>
        <w:trPr>
          <w:trHeight w:val="405"/>
        </w:trPr>
        <w:tc>
          <w:tcPr>
            <w:tcW w:w="4300" w:type="dxa"/>
            <w:vAlign w:val="bottom"/>
            <w:gridSpan w:val="3"/>
          </w:tcPr>
          <w:p>
            <w:pPr>
              <w:ind w:left="40"/>
              <w:spacing w:after="0"/>
              <w:rPr>
                <w:sz w:val="20"/>
                <w:szCs w:val="20"/>
                <w:color w:val="auto"/>
              </w:rPr>
            </w:pPr>
            <w:r>
              <w:rPr>
                <w:rFonts w:ascii="Arial" w:cs="Arial" w:eastAsia="Arial" w:hAnsi="Arial"/>
                <w:sz w:val="18"/>
                <w:szCs w:val="18"/>
                <w:color w:val="auto"/>
              </w:rPr>
              <w:t>Registrant’s telephone number, including area code</w:t>
            </w:r>
          </w:p>
        </w:tc>
        <w:tc>
          <w:tcPr>
            <w:tcW w:w="314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rPr>
              <w:t>(312) 321-1515</w:t>
            </w:r>
          </w:p>
        </w:tc>
        <w:tc>
          <w:tcPr>
            <w:tcW w:w="4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7"/>
        </w:trPr>
        <w:tc>
          <w:tcPr>
            <w:tcW w:w="3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bl>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16" w:lineRule="exact"/>
        <w:rPr>
          <w:sz w:val="24"/>
          <w:szCs w:val="24"/>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w w:val="95"/>
              </w:rPr>
              <w:t>Securities registered pursuant to Section 12(b) of the Act:</w:t>
            </w:r>
          </w:p>
        </w:tc>
        <w:tc>
          <w:tcPr>
            <w:tcW w:w="1880" w:type="dxa"/>
            <w:vAlign w:val="bottom"/>
          </w:tcPr>
          <w:p>
            <w:pPr>
              <w:spacing w:after="0"/>
              <w:rPr>
                <w:sz w:val="20"/>
                <w:szCs w:val="20"/>
                <w:color w:val="auto"/>
              </w:rPr>
            </w:pPr>
          </w:p>
        </w:tc>
        <w:tc>
          <w:tcPr>
            <w:tcW w:w="5120" w:type="dxa"/>
            <w:vAlign w:val="bottom"/>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4380" w:type="dxa"/>
            <w:vAlign w:val="bottom"/>
          </w:tcPr>
          <w:p>
            <w:pPr>
              <w:ind w:left="680"/>
              <w:spacing w:after="0"/>
              <w:rPr>
                <w:sz w:val="20"/>
                <w:szCs w:val="20"/>
                <w:color w:val="auto"/>
              </w:rPr>
            </w:pPr>
            <w:r>
              <w:rPr>
                <w:rFonts w:ascii="Arial" w:cs="Arial" w:eastAsia="Arial" w:hAnsi="Arial"/>
                <w:sz w:val="18"/>
                <w:szCs w:val="18"/>
                <w:color w:val="auto"/>
              </w:rPr>
              <w:t>Title of each class</w:t>
            </w:r>
          </w:p>
        </w:tc>
        <w:tc>
          <w:tcPr>
            <w:tcW w:w="1880" w:type="dxa"/>
            <w:vAlign w:val="bottom"/>
          </w:tcPr>
          <w:p>
            <w:pPr>
              <w:ind w:left="240"/>
              <w:spacing w:after="0"/>
              <w:rPr>
                <w:sz w:val="20"/>
                <w:szCs w:val="20"/>
                <w:color w:val="auto"/>
              </w:rPr>
            </w:pPr>
            <w:r>
              <w:rPr>
                <w:rFonts w:ascii="Arial" w:cs="Arial" w:eastAsia="Arial" w:hAnsi="Arial"/>
                <w:sz w:val="18"/>
                <w:szCs w:val="18"/>
                <w:color w:val="auto"/>
              </w:rPr>
              <w:t>Trading Symbol(s)</w:t>
            </w:r>
          </w:p>
        </w:tc>
        <w:tc>
          <w:tcPr>
            <w:tcW w:w="5120" w:type="dxa"/>
            <w:vAlign w:val="bottom"/>
          </w:tcPr>
          <w:p>
            <w:pPr>
              <w:ind w:left="280"/>
              <w:spacing w:after="0"/>
              <w:rPr>
                <w:sz w:val="20"/>
                <w:szCs w:val="20"/>
                <w:color w:val="auto"/>
              </w:rPr>
            </w:pPr>
            <w:r>
              <w:rPr>
                <w:rFonts w:ascii="Arial" w:cs="Arial" w:eastAsia="Arial" w:hAnsi="Arial"/>
                <w:sz w:val="18"/>
                <w:szCs w:val="18"/>
                <w:color w:val="auto"/>
              </w:rPr>
              <w:t>Name of each exchange on which registered</w:t>
            </w:r>
          </w:p>
        </w:tc>
      </w:tr>
      <w:tr>
        <w:trPr>
          <w:trHeight w:val="270"/>
        </w:trPr>
        <w:tc>
          <w:tcPr>
            <w:tcW w:w="20" w:type="dxa"/>
            <w:vAlign w:val="bottom"/>
          </w:tcPr>
          <w:p>
            <w:pPr>
              <w:spacing w:after="0"/>
              <w:rPr>
                <w:sz w:val="23"/>
                <w:szCs w:val="23"/>
                <w:color w:val="auto"/>
              </w:rPr>
            </w:pPr>
          </w:p>
        </w:tc>
        <w:tc>
          <w:tcPr>
            <w:tcW w:w="4380" w:type="dxa"/>
            <w:vAlign w:val="bottom"/>
          </w:tcPr>
          <w:p>
            <w:pPr>
              <w:ind w:left="680"/>
              <w:spacing w:after="0"/>
              <w:rPr>
                <w:sz w:val="20"/>
                <w:szCs w:val="20"/>
                <w:color w:val="auto"/>
              </w:rPr>
            </w:pPr>
            <w:r>
              <w:rPr>
                <w:rFonts w:ascii="Arial" w:cs="Arial" w:eastAsia="Arial" w:hAnsi="Arial"/>
                <w:sz w:val="18"/>
                <w:szCs w:val="18"/>
                <w:color w:val="auto"/>
              </w:rPr>
              <w:t>Common Stock, par value $0.10 per share</w:t>
            </w:r>
          </w:p>
        </w:tc>
        <w:tc>
          <w:tcPr>
            <w:tcW w:w="1880" w:type="dxa"/>
            <w:vAlign w:val="bottom"/>
          </w:tcPr>
          <w:p>
            <w:pPr>
              <w:ind w:left="240"/>
              <w:spacing w:after="0"/>
              <w:rPr>
                <w:sz w:val="20"/>
                <w:szCs w:val="20"/>
                <w:color w:val="auto"/>
              </w:rPr>
            </w:pPr>
            <w:r>
              <w:rPr>
                <w:rFonts w:ascii="Arial" w:cs="Arial" w:eastAsia="Arial" w:hAnsi="Arial"/>
                <w:sz w:val="18"/>
                <w:szCs w:val="18"/>
                <w:color w:val="auto"/>
              </w:rPr>
              <w:t>ODC</w:t>
            </w:r>
          </w:p>
        </w:tc>
        <w:tc>
          <w:tcPr>
            <w:tcW w:w="5120" w:type="dxa"/>
            <w:vAlign w:val="bottom"/>
          </w:tcPr>
          <w:p>
            <w:pPr>
              <w:ind w:left="280"/>
              <w:spacing w:after="0"/>
              <w:rPr>
                <w:sz w:val="20"/>
                <w:szCs w:val="20"/>
                <w:color w:val="auto"/>
              </w:rPr>
            </w:pPr>
            <w:r>
              <w:rPr>
                <w:rFonts w:ascii="Arial" w:cs="Arial" w:eastAsia="Arial" w:hAnsi="Arial"/>
                <w:sz w:val="18"/>
                <w:szCs w:val="18"/>
                <w:color w:val="auto"/>
              </w:rPr>
              <w:t>New York Stock Exchange</w:t>
            </w:r>
          </w:p>
        </w:tc>
      </w:tr>
      <w:tr>
        <w:trPr>
          <w:trHeight w:val="378"/>
        </w:trPr>
        <w:tc>
          <w:tcPr>
            <w:tcW w:w="20" w:type="dxa"/>
            <w:vAlign w:val="bottom"/>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tcPr>
          <w:p>
            <w:pPr>
              <w:spacing w:after="0"/>
              <w:rPr>
                <w:sz w:val="24"/>
                <w:szCs w:val="24"/>
                <w:color w:val="auto"/>
              </w:rPr>
            </w:pPr>
          </w:p>
        </w:tc>
      </w:tr>
      <w:tr>
        <w:trPr>
          <w:trHeight w:val="115"/>
        </w:trPr>
        <w:tc>
          <w:tcPr>
            <w:tcW w:w="20" w:type="dxa"/>
            <w:vAlign w:val="bottom"/>
          </w:tcPr>
          <w:p>
            <w:pPr>
              <w:spacing w:after="0"/>
              <w:rPr>
                <w:sz w:val="10"/>
                <w:szCs w:val="10"/>
                <w:color w:val="auto"/>
              </w:rPr>
            </w:pPr>
          </w:p>
        </w:tc>
        <w:tc>
          <w:tcPr>
            <w:tcW w:w="438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512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621" w:right="239" w:bottom="1440" w:gutter="0" w:footer="0" w:header="0"/>
        </w:sectPr>
      </w:pPr>
    </w:p>
    <w:bookmarkStart w:id="1" w:name="page2"/>
    <w:bookmarkEnd w:id="1"/>
    <w:p>
      <w:pPr>
        <w:ind w:left="260"/>
        <w:spacing w:after="0"/>
        <w:tabs>
          <w:tab w:leader="none" w:pos="1280" w:val="left"/>
        </w:tabs>
        <w:rPr>
          <w:sz w:val="20"/>
          <w:szCs w:val="20"/>
          <w:color w:val="auto"/>
        </w:rPr>
      </w:pPr>
      <w:r>
        <w:rPr>
          <w:rFonts w:ascii="Arial" w:cs="Arial" w:eastAsia="Arial" w:hAnsi="Arial"/>
          <w:sz w:val="18"/>
          <w:szCs w:val="18"/>
          <w:b w:val="1"/>
          <w:bCs w:val="1"/>
          <w:u w:val="single" w:color="auto"/>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30, 2020, Oil-Dri Corporation of America (the “Company”) issued a press release announcing the schedule of upcoming events, which is furnished as Exhibit 99.1 to this report. The Company will release its second quarter financial results after the U.S. stock market closes on Thursday, March 5, 2020 and will host an investor teleconference on Friday, March 6, 2020. Teleconference details will be communicated via web alert and posted on the Events page of the Company’s website (investors.oildri.com/events) approximately one week prior to the call.</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in this Item 7.01 and Exhibit 99.1 shall not be deemed “filed” for purposes of Section 18 of the Securities Exchange Act of 1934, as amended (the “Exchange Act”), or otherwise subject to the liabilities of that section. This information shall not be deemed to be incorporated by reference in any filing under the Securities Act of 1933, as amended, or the Exchange Act, except as shall be expressly set forth by specific reference to such disclosure in this Form 8-K in such a filing.</w:t>
      </w:r>
    </w:p>
    <w:p>
      <w:pPr>
        <w:spacing w:after="0" w:line="345"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Item 9.01</w:t>
      </w:r>
      <w:r>
        <w:rPr>
          <w:rFonts w:ascii="Arial" w:cs="Arial" w:eastAsia="Arial" w:hAnsi="Arial"/>
          <w:sz w:val="18"/>
          <w:szCs w:val="18"/>
          <w:b w:val="1"/>
          <w:bCs w:val="1"/>
          <w:color w:val="auto"/>
        </w:rPr>
        <w:t xml:space="preserve">  Financial Statements and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Exhibit</w:t>
            </w:r>
          </w:p>
        </w:tc>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7080" w:type="dxa"/>
            <w:vAlign w:val="bottom"/>
          </w:tcPr>
          <w:p>
            <w:pPr>
              <w:spacing w:after="0"/>
              <w:rPr>
                <w:sz w:val="18"/>
                <w:szCs w:val="18"/>
                <w:color w:val="auto"/>
              </w:rPr>
            </w:pPr>
          </w:p>
        </w:tc>
      </w:tr>
      <w:tr>
        <w:trPr>
          <w:trHeight w:val="230"/>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Number</w:t>
            </w:r>
          </w:p>
        </w:tc>
        <w:tc>
          <w:tcPr>
            <w:tcW w:w="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7080" w:type="dxa"/>
            <w:vAlign w:val="bottom"/>
          </w:tcPr>
          <w:p>
            <w:pPr>
              <w:ind w:left="1340"/>
              <w:spacing w:after="0"/>
              <w:rPr>
                <w:sz w:val="20"/>
                <w:szCs w:val="20"/>
                <w:color w:val="auto"/>
              </w:rPr>
            </w:pPr>
            <w:r>
              <w:rPr>
                <w:rFonts w:ascii="Arial" w:cs="Arial" w:eastAsia="Arial" w:hAnsi="Arial"/>
                <w:sz w:val="18"/>
                <w:szCs w:val="18"/>
                <w:color w:val="auto"/>
              </w:rPr>
              <w:t>Description of Exhibits</w:t>
            </w:r>
          </w:p>
        </w:tc>
      </w:tr>
      <w:tr>
        <w:trPr>
          <w:trHeight w:val="27"/>
        </w:trPr>
        <w:tc>
          <w:tcPr>
            <w:tcW w:w="126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7080" w:type="dxa"/>
            <w:vAlign w:val="bottom"/>
            <w:tcBorders>
              <w:bottom w:val="single" w:sz="8" w:color="auto"/>
            </w:tcBorders>
          </w:tcPr>
          <w:p>
            <w:pPr>
              <w:spacing w:after="0"/>
              <w:rPr>
                <w:sz w:val="2"/>
                <w:szCs w:val="2"/>
                <w:color w:val="auto"/>
              </w:rPr>
            </w:pPr>
          </w:p>
        </w:tc>
      </w:tr>
      <w:tr>
        <w:trPr>
          <w:trHeight w:val="466"/>
        </w:trPr>
        <w:tc>
          <w:tcPr>
            <w:tcW w:w="1260" w:type="dxa"/>
            <w:vAlign w:val="bottom"/>
          </w:tcPr>
          <w:p>
            <w:pPr>
              <w:ind w:left="40"/>
              <w:spacing w:after="0"/>
              <w:rPr>
                <w:sz w:val="20"/>
                <w:szCs w:val="20"/>
                <w:color w:val="auto"/>
              </w:rPr>
            </w:pPr>
            <w:r>
              <w:rPr>
                <w:rFonts w:ascii="Arial" w:cs="Arial" w:eastAsia="Arial" w:hAnsi="Arial"/>
                <w:sz w:val="18"/>
                <w:szCs w:val="18"/>
                <w:color w:val="auto"/>
              </w:rPr>
              <w:t>99.1</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80" w:type="dxa"/>
            <w:vAlign w:val="bottom"/>
            <w:gridSpan w:val="2"/>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Press Release dated January 30, 2020</w:t>
              </w:r>
            </w:hyperlink>
          </w:p>
        </w:tc>
      </w:tr>
      <w:tr>
        <w:trPr>
          <w:trHeight w:val="20"/>
        </w:trPr>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r>
    </w:tbl>
    <w:p>
      <w:pPr>
        <w:sectPr>
          <w:pgSz w:w="11900" w:h="16838" w:orient="portrait"/>
          <w:cols w:equalWidth="0" w:num="1">
            <w:col w:w="11420"/>
          </w:cols>
          <w:pgMar w:left="240" w:top="715" w:right="239" w:bottom="1440" w:gutter="0" w:footer="0" w:header="0"/>
        </w:sectPr>
      </w:pPr>
    </w:p>
    <w:bookmarkStart w:id="2" w:name="page3"/>
    <w:bookmarkEnd w:id="2"/>
    <w:p>
      <w:pPr>
        <w:jc w:val="center"/>
        <w:ind w:right="-3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71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hereunto duly authorized.</w:t>
      </w:r>
    </w:p>
    <w:p>
      <w:pPr>
        <w:spacing w:after="0" w:line="200" w:lineRule="exact"/>
        <w:rPr>
          <w:sz w:val="20"/>
          <w:szCs w:val="20"/>
          <w:color w:val="auto"/>
        </w:rPr>
      </w:pPr>
    </w:p>
    <w:p>
      <w:pPr>
        <w:spacing w:after="0" w:line="34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OIL-DRI CORPORATION OF AMERICA</w:t>
      </w:r>
    </w:p>
    <w:p>
      <w:pPr>
        <w:spacing w:after="0" w:line="333" w:lineRule="exact"/>
        <w:rPr>
          <w:sz w:val="20"/>
          <w:szCs w:val="20"/>
          <w:color w:val="auto"/>
        </w:rPr>
      </w:pPr>
    </w:p>
    <w:p>
      <w:pPr>
        <w:ind w:left="56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Laura G. Scheland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Laura G. Scheland</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Vice President, General Counsel and Secretary</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Date: January 30, 2020</w:t>
      </w:r>
    </w:p>
    <w:p>
      <w:pPr>
        <w:sectPr>
          <w:pgSz w:w="11900" w:h="16838" w:orient="portrait"/>
          <w:cols w:equalWidth="0" w:num="1">
            <w:col w:w="11020"/>
          </w:cols>
          <w:pgMar w:left="240" w:top="553" w:right="639" w:bottom="1440" w:gutter="0" w:footer="0" w:header="0"/>
        </w:sectPr>
      </w:pPr>
    </w:p>
    <w:bookmarkStart w:id="3" w:name="page4"/>
    <w:bookmarkEnd w:id="3"/>
    <w:p>
      <w:pPr>
        <w:jc w:val="center"/>
        <w:spacing w:after="0"/>
        <w:rPr>
          <w:sz w:val="20"/>
          <w:szCs w:val="20"/>
          <w:color w:val="auto"/>
        </w:rPr>
      </w:pPr>
      <w:r>
        <w:rPr>
          <w:rFonts w:ascii="Arial" w:cs="Arial" w:eastAsia="Arial" w:hAnsi="Arial"/>
          <w:sz w:val="15"/>
          <w:szCs w:val="15"/>
          <w:color w:val="002D69"/>
        </w:rPr>
        <w:drawing>
          <wp:anchor simplePos="0" relativeHeight="251657728" behindDoc="1" locked="0" layoutInCell="0" allowOverlap="1">
            <wp:simplePos x="0" y="0"/>
            <wp:positionH relativeFrom="page">
              <wp:posOffset>3115945</wp:posOffset>
            </wp:positionH>
            <wp:positionV relativeFrom="page">
              <wp:posOffset>88900</wp:posOffset>
            </wp:positionV>
            <wp:extent cx="1337945" cy="445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337945" cy="445770"/>
                    </a:xfrm>
                    <a:prstGeom prst="rect">
                      <a:avLst/>
                    </a:prstGeom>
                    <a:noFill/>
                  </pic:spPr>
                </pic:pic>
              </a:graphicData>
            </a:graphic>
          </wp:anchor>
        </w:drawing>
        <w:t>410 N. Michigan Ave. Chicago, Illinois 60611, U.S.A</w:t>
      </w:r>
    </w:p>
    <w:p>
      <w:pPr>
        <w:spacing w:after="0" w:line="178"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002D69"/>
        </w:rPr>
        <w:t>News Announcement</w:t>
      </w:r>
    </w:p>
    <w:p>
      <w:pPr>
        <w:spacing w:after="0" w:line="28" w:lineRule="exact"/>
        <w:rPr>
          <w:sz w:val="20"/>
          <w:szCs w:val="20"/>
          <w:color w:val="auto"/>
        </w:rPr>
      </w:pPr>
    </w:p>
    <w:p>
      <w:pPr>
        <w:ind w:left="4700"/>
        <w:spacing w:after="0"/>
        <w:rPr>
          <w:sz w:val="20"/>
          <w:szCs w:val="20"/>
          <w:color w:val="auto"/>
        </w:rPr>
      </w:pPr>
      <w:r>
        <w:rPr>
          <w:rFonts w:ascii="Arial" w:cs="Arial" w:eastAsia="Arial" w:hAnsi="Arial"/>
          <w:sz w:val="22"/>
          <w:szCs w:val="22"/>
          <w:i w:val="1"/>
          <w:iCs w:val="1"/>
          <w:color w:val="002D69"/>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99.1</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Oil-Dri Announces Timing of its Second Quarter Earnings Release and Investor Teleconference</w:t>
      </w:r>
    </w:p>
    <w:p>
      <w:pPr>
        <w:spacing w:after="0" w:line="200" w:lineRule="exact"/>
        <w:rPr>
          <w:sz w:val="20"/>
          <w:szCs w:val="20"/>
          <w:color w:val="auto"/>
        </w:rPr>
      </w:pPr>
    </w:p>
    <w:p>
      <w:pPr>
        <w:spacing w:after="0" w:line="242" w:lineRule="exact"/>
        <w:rPr>
          <w:sz w:val="20"/>
          <w:szCs w:val="20"/>
          <w:color w:val="auto"/>
        </w:rPr>
      </w:pPr>
    </w:p>
    <w:p>
      <w:pPr>
        <w:ind w:right="200"/>
        <w:spacing w:after="0" w:line="260" w:lineRule="auto"/>
        <w:rPr>
          <w:sz w:val="20"/>
          <w:szCs w:val="20"/>
          <w:color w:val="auto"/>
        </w:rPr>
      </w:pPr>
      <w:r>
        <w:rPr>
          <w:rFonts w:ascii="Arial" w:cs="Arial" w:eastAsia="Arial" w:hAnsi="Arial"/>
          <w:sz w:val="22"/>
          <w:szCs w:val="22"/>
          <w:color w:val="auto"/>
        </w:rPr>
        <w:t>CHICAGO-(January 30, 2020)- Oil-Dri Corporation of America (NYSE: ODC) announced today that it will release results for its second quarter ended January 31, 2020 on Thursday, March 5, 2020 after the market close. The company will host an investor teleconference on Friday, March 6</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at 10:00 a.m. Central Time.</w:t>
      </w:r>
    </w:p>
    <w:p>
      <w:pPr>
        <w:spacing w:after="0" w:line="89" w:lineRule="exact"/>
        <w:rPr>
          <w:sz w:val="20"/>
          <w:szCs w:val="20"/>
          <w:color w:val="auto"/>
        </w:rPr>
      </w:pPr>
    </w:p>
    <w:p>
      <w:pPr>
        <w:ind w:right="200"/>
        <w:spacing w:after="0" w:line="263" w:lineRule="auto"/>
        <w:rPr>
          <w:sz w:val="20"/>
          <w:szCs w:val="20"/>
          <w:color w:val="auto"/>
        </w:rPr>
      </w:pPr>
      <w:r>
        <w:rPr>
          <w:rFonts w:ascii="Arial" w:cs="Arial" w:eastAsia="Arial" w:hAnsi="Arial"/>
          <w:sz w:val="22"/>
          <w:szCs w:val="22"/>
          <w:color w:val="auto"/>
        </w:rPr>
        <w:t xml:space="preserve">Teleconference participation details will be communicated via web alert and posted on the </w:t>
      </w:r>
      <w:r>
        <w:rPr>
          <w:rFonts w:ascii="Arial" w:cs="Arial" w:eastAsia="Arial" w:hAnsi="Arial"/>
          <w:sz w:val="22"/>
          <w:szCs w:val="22"/>
          <w:u w:val="single" w:color="auto"/>
          <w:color w:val="0000FF"/>
        </w:rPr>
        <w:t>Events</w:t>
      </w:r>
      <w:r>
        <w:rPr>
          <w:rFonts w:ascii="Arial" w:cs="Arial" w:eastAsia="Arial" w:hAnsi="Arial"/>
          <w:sz w:val="22"/>
          <w:szCs w:val="22"/>
          <w:color w:val="auto"/>
        </w:rPr>
        <w:t xml:space="preserve"> page of the Company’s website approximately one week prior to the call.</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98"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i w:val="1"/>
          <w:iCs w:val="1"/>
          <w:color w:val="auto"/>
        </w:rPr>
        <w:t>While Oil-Dri’s founding product was granular clay floor absorbents, it has since greatly diversified its portfolio. The Company’s mission to “Create Value from Sorbent Minerals” is supported by its wide array of consumer and business to business product offerings. In 2016, Oil-Dri celebrated its seventy-fifth year of business and looks forward to the next milestone. To learn more about the Company, visit oildri.com.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295910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2D69"/>
        </w:rPr>
        <w:t>Leslie A. Garber</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002D69"/>
        </w:rPr>
        <w:t>InvestorRelations@oildri.com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(312) 321-1515</w:t>
      </w:r>
    </w:p>
    <w:sectPr>
      <w:pgSz w:w="11900" w:h="16838" w:orient="portrait"/>
      <w:cols w:equalWidth="0" w:num="1">
        <w:col w:w="11420"/>
      </w:cols>
      <w:pgMar w:left="240" w:top="82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2020-01-31T13:17:20Z</dcterms:created>
  <dcterms:modified xsi:type="dcterms:W3CDTF">2020-01-31T13:17:20Z</dcterms:modified>
</cp:coreProperties>
</file>