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142448_8k.htm"/>
      <w:bookmarkStart w:id="1" w:name="ksv142448_8k"/>
      <w:bookmarkStart w:id="2" w:name="v142448_8k.htm"/>
      <w:bookmarkStart w:id="3" w:name="ksv142448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510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March 10, 2009</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654"/>
        <w:gridCol w:w="881"/>
        <w:gridCol w:w="2521"/>
        <w:gridCol w:w="881"/>
        <w:gridCol w:w="2268"/>
      </w:tblGrid>
      <w:tr>
        <w:trPr/>
        <w:tc>
          <w:tcPr>
            <w:tcW w:w="365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881" w:type="dxa"/>
            <w:tcBorders>
              <w:bottom w:val="single" w:sz="12" w:space="0" w:color="000000"/>
            </w:tcBorders>
            <w:shd w:fill="auto" w:val="clear"/>
          </w:tcPr>
          <w:p>
            <w:pPr>
              <w:pStyle w:val="TableContents"/>
              <w:spacing w:before="0" w:after="283"/>
              <w:rPr/>
            </w:pPr>
            <w:r>
              <w:rPr/>
              <w:t xml:space="preserve">  </w:t>
            </w:r>
          </w:p>
        </w:tc>
        <w:tc>
          <w:tcPr>
            <w:tcW w:w="2521"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881" w:type="dxa"/>
            <w:tcBorders>
              <w:bottom w:val="single" w:sz="12" w:space="0" w:color="000000"/>
            </w:tcBorders>
            <w:shd w:fill="auto" w:val="clear"/>
          </w:tcPr>
          <w:p>
            <w:pPr>
              <w:pStyle w:val="TableContents"/>
              <w:spacing w:before="0" w:after="283"/>
              <w:rPr/>
            </w:pPr>
            <w:r>
              <w:rPr/>
              <w:t xml:space="preserve">  </w:t>
            </w:r>
          </w:p>
        </w:tc>
        <w:tc>
          <w:tcPr>
            <w:tcW w:w="2268"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65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w:t>
            </w:r>
          </w:p>
          <w:p>
            <w:pPr>
              <w:pStyle w:val="TableContents"/>
              <w:spacing w:before="0" w:after="0"/>
              <w:ind w:left="0" w:right="0" w:hanging="0"/>
              <w:jc w:val="center"/>
              <w:rPr>
                <w:rFonts w:ascii="times new roman" w:hAnsi="times new roman"/>
                <w:sz w:val="20"/>
              </w:rPr>
            </w:pPr>
            <w:r>
              <w:rPr>
                <w:rFonts w:ascii="times new roman" w:hAnsi="times new roman"/>
                <w:sz w:val="20"/>
              </w:rPr>
              <w:t>incorporation)</w:t>
            </w:r>
          </w:p>
        </w:tc>
        <w:tc>
          <w:tcPr>
            <w:tcW w:w="881" w:type="dxa"/>
            <w:tcBorders/>
            <w:shd w:fill="auto" w:val="clear"/>
            <w:tcMar>
              <w:bottom w:w="0" w:type="dxa"/>
            </w:tcMar>
          </w:tcPr>
          <w:p>
            <w:pPr>
              <w:pStyle w:val="TableContents"/>
              <w:spacing w:before="0" w:after="283"/>
              <w:rPr/>
            </w:pPr>
            <w:r>
              <w:rPr/>
              <w:t xml:space="preserve">  </w:t>
            </w:r>
          </w:p>
        </w:tc>
        <w:tc>
          <w:tcPr>
            <w:tcW w:w="252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w:t>
            </w:r>
          </w:p>
          <w:p>
            <w:pPr>
              <w:pStyle w:val="TableContents"/>
              <w:spacing w:before="0" w:after="0"/>
              <w:ind w:left="0" w:right="0" w:hanging="0"/>
              <w:jc w:val="center"/>
              <w:rPr>
                <w:rFonts w:ascii="times new roman" w:hAnsi="times new roman"/>
                <w:sz w:val="20"/>
              </w:rPr>
            </w:pPr>
            <w:r>
              <w:rPr>
                <w:rFonts w:ascii="times new roman" w:hAnsi="times new roman"/>
                <w:sz w:val="20"/>
              </w:rPr>
              <w:t>Number)</w:t>
            </w:r>
          </w:p>
        </w:tc>
        <w:tc>
          <w:tcPr>
            <w:tcW w:w="881" w:type="dxa"/>
            <w:tcBorders/>
            <w:shd w:fill="auto" w:val="clear"/>
            <w:tcMar>
              <w:bottom w:w="0" w:type="dxa"/>
            </w:tcMar>
          </w:tcPr>
          <w:p>
            <w:pPr>
              <w:pStyle w:val="TableContents"/>
              <w:spacing w:before="0" w:after="283"/>
              <w:rPr/>
            </w:pPr>
            <w:r>
              <w:rPr/>
              <w:t xml:space="preserve">  </w:t>
            </w:r>
          </w:p>
        </w:tc>
        <w:tc>
          <w:tcPr>
            <w:tcW w:w="2268"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r>
    </w:tbl>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5163"/>
        <w:gridCol w:w="5042"/>
      </w:tblGrid>
      <w:tr>
        <w:trPr/>
        <w:tc>
          <w:tcPr>
            <w:tcW w:w="516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042"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60611-4213</w:t>
            </w:r>
          </w:p>
        </w:tc>
      </w:tr>
      <w:tr>
        <w:trPr/>
        <w:tc>
          <w:tcPr>
            <w:tcW w:w="516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042"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510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(312) 321-1515</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Pre-commencement communications pursuant to Rule 13e-4(c) under the Exchange Act  (17 CFR 240.13e-4(c))</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2.02</w:t>
      </w:r>
      <w:r>
        <w:rPr>
          <w:rFonts w:ascii="Times New Roman" w:hAnsi="Times New Roman"/>
          <w:b/>
          <w:sz w:val="20"/>
        </w:rPr>
        <w:t>  Results of Operations and Financial Condition.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 w:name="TAB1"/>
      <w:bookmarkEnd w:id="4"/>
      <w:r>
        <w:rPr>
          <w:rFonts w:ascii="Times New Roman" w:hAnsi="Times New Roman"/>
          <w:sz w:val="20"/>
        </w:rPr>
        <w:t>On March 10, 2009, Oil-Dri Corporation of America (the “Registrant”) issued a press release announcing its results of operations for its second quarter and six-month period ended January 31, 2009.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9.01</w:t>
      </w:r>
      <w:r>
        <w:rPr>
          <w:rFonts w:ascii="Times New Roman" w:hAnsi="Times New Roman"/>
          <w:b/>
          <w:sz w:val="20"/>
        </w:rPr>
        <w:t>  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
        <w:gridCol w:w="203"/>
        <w:gridCol w:w="8982"/>
      </w:tblGrid>
      <w:tr>
        <w:trPr/>
        <w:tc>
          <w:tcPr>
            <w:tcW w:w="10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203" w:type="dxa"/>
            <w:tcBorders/>
            <w:shd w:fill="auto" w:val="clear"/>
          </w:tcPr>
          <w:p>
            <w:pPr>
              <w:pStyle w:val="TableContents"/>
              <w:spacing w:before="0" w:after="283"/>
              <w:rPr/>
            </w:pPr>
            <w:r>
              <w:rPr/>
              <w:t xml:space="preserve">  </w:t>
            </w:r>
          </w:p>
        </w:tc>
        <w:tc>
          <w:tcPr>
            <w:tcW w:w="8982" w:type="dxa"/>
            <w:tcBorders/>
            <w:shd w:fill="auto" w:val="clear"/>
          </w:tcPr>
          <w:p>
            <w:pPr>
              <w:pStyle w:val="TableContents"/>
              <w:spacing w:before="0" w:after="283"/>
              <w:rPr/>
            </w:pPr>
            <w:r>
              <w:rPr/>
              <w:t xml:space="preserve">  </w:t>
            </w:r>
          </w:p>
        </w:tc>
      </w:tr>
      <w:tr>
        <w:trPr/>
        <w:tc>
          <w:tcPr>
            <w:tcW w:w="102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203" w:type="dxa"/>
            <w:tcBorders/>
            <w:shd w:fill="auto" w:val="clear"/>
          </w:tcPr>
          <w:p>
            <w:pPr>
              <w:pStyle w:val="TableContents"/>
              <w:spacing w:before="0" w:after="283"/>
              <w:rPr/>
            </w:pPr>
            <w:r>
              <w:rPr/>
              <w:t xml:space="preserve">  </w:t>
            </w:r>
          </w:p>
        </w:tc>
        <w:tc>
          <w:tcPr>
            <w:tcW w:w="898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1020" w:type="dxa"/>
            <w:tcBorders/>
            <w:shd w:fill="auto" w:val="clear"/>
          </w:tcPr>
          <w:p>
            <w:pPr>
              <w:pStyle w:val="TableContents"/>
              <w:spacing w:before="0" w:after="283"/>
              <w:rPr/>
            </w:pPr>
            <w:r>
              <w:rPr/>
              <w:t xml:space="preserve">  </w:t>
            </w:r>
          </w:p>
        </w:tc>
        <w:tc>
          <w:tcPr>
            <w:tcW w:w="203" w:type="dxa"/>
            <w:tcBorders/>
            <w:shd w:fill="auto" w:val="clear"/>
          </w:tcPr>
          <w:p>
            <w:pPr>
              <w:pStyle w:val="TableContents"/>
              <w:spacing w:before="0" w:after="283"/>
              <w:rPr/>
            </w:pPr>
            <w:r>
              <w:rPr/>
              <w:t xml:space="preserve">  </w:t>
            </w:r>
          </w:p>
        </w:tc>
        <w:tc>
          <w:tcPr>
            <w:tcW w:w="8982" w:type="dxa"/>
            <w:tcBorders/>
            <w:shd w:fill="auto" w:val="clear"/>
          </w:tcPr>
          <w:p>
            <w:pPr>
              <w:pStyle w:val="TableContents"/>
              <w:spacing w:before="0" w:after="283"/>
              <w:rPr/>
            </w:pPr>
            <w:r>
              <w:rPr/>
              <w:t xml:space="preserve">  </w:t>
            </w:r>
          </w:p>
        </w:tc>
      </w:tr>
      <w:tr>
        <w:trPr/>
        <w:tc>
          <w:tcPr>
            <w:tcW w:w="10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203" w:type="dxa"/>
            <w:tcBorders/>
            <w:shd w:fill="auto" w:val="clear"/>
          </w:tcPr>
          <w:p>
            <w:pPr>
              <w:pStyle w:val="TableContents"/>
              <w:spacing w:before="0" w:after="283"/>
              <w:rPr/>
            </w:pPr>
            <w:r>
              <w:rPr/>
              <w:t xml:space="preserve">  </w:t>
            </w:r>
          </w:p>
        </w:tc>
        <w:tc>
          <w:tcPr>
            <w:tcW w:w="898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March 10, 2009</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9" w:name="GLFTR"/>
      <w:bookmarkEnd w:id="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 w:name="PN"/>
      <w:bookmarkEnd w:id="1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13" w:name="GLHDR"/>
      <w:bookmarkEnd w:id="1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tbl>
      <w:tblPr>
        <w:tblW w:w="2000" w:type="pct"/>
        <w:jc w:val="center"/>
        <w:tblInd w:w="0" w:type="dxa"/>
        <w:tblCellMar>
          <w:top w:w="0" w:type="dxa"/>
          <w:left w:w="0" w:type="dxa"/>
          <w:bottom w:w="0" w:type="dxa"/>
          <w:right w:w="0" w:type="dxa"/>
        </w:tblCellMar>
      </w:tblPr>
      <w:tblGrid>
        <w:gridCol w:w="407"/>
        <w:gridCol w:w="3675"/>
      </w:tblGrid>
      <w:tr>
        <w:trPr/>
        <w:tc>
          <w:tcPr>
            <w:tcW w:w="4082"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OIL-DRI CORPORATION OF AMERICA</w:t>
            </w:r>
          </w:p>
        </w:tc>
      </w:tr>
      <w:tr>
        <w:trPr/>
        <w:tc>
          <w:tcPr>
            <w:tcW w:w="407" w:type="dxa"/>
            <w:tcBorders/>
            <w:shd w:fill="auto" w:val="clear"/>
          </w:tcPr>
          <w:p>
            <w:pPr>
              <w:pStyle w:val="TableContents"/>
              <w:spacing w:before="0" w:after="283"/>
              <w:rPr/>
            </w:pPr>
            <w:r>
              <w:rPr/>
              <w:t xml:space="preserve">  </w:t>
            </w:r>
          </w:p>
        </w:tc>
        <w:tc>
          <w:tcPr>
            <w:tcW w:w="3675" w:type="dxa"/>
            <w:tcBorders/>
            <w:shd w:fill="auto" w:val="clear"/>
          </w:tcPr>
          <w:p>
            <w:pPr>
              <w:pStyle w:val="TableContents"/>
              <w:spacing w:before="0" w:after="283"/>
              <w:rPr/>
            </w:pPr>
            <w:r>
              <w:rPr/>
              <w:t xml:space="preserve">  </w:t>
            </w:r>
          </w:p>
        </w:tc>
      </w:tr>
      <w:tr>
        <w:trPr/>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367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Charles P. Brissman</w:t>
            </w:r>
          </w:p>
        </w:tc>
      </w:tr>
      <w:tr>
        <w:trPr/>
        <w:tc>
          <w:tcPr>
            <w:tcW w:w="407" w:type="dxa"/>
            <w:tcBorders/>
            <w:shd w:fill="auto" w:val="clear"/>
          </w:tcPr>
          <w:p>
            <w:pPr>
              <w:pStyle w:val="TableContents"/>
              <w:spacing w:before="0" w:after="283"/>
              <w:rPr/>
            </w:pPr>
            <w:r>
              <w:rPr/>
              <w:t xml:space="preserve">  </w:t>
            </w:r>
          </w:p>
        </w:tc>
        <w:tc>
          <w:tcPr>
            <w:tcW w:w="367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Charles P. Brissman</w:t>
            </w:r>
          </w:p>
        </w:tc>
      </w:tr>
      <w:tr>
        <w:trPr/>
        <w:tc>
          <w:tcPr>
            <w:tcW w:w="407" w:type="dxa"/>
            <w:tcBorders/>
            <w:shd w:fill="auto" w:val="clear"/>
          </w:tcPr>
          <w:p>
            <w:pPr>
              <w:pStyle w:val="TableContents"/>
              <w:spacing w:before="0" w:after="283"/>
              <w:rPr/>
            </w:pPr>
            <w:r>
              <w:rPr/>
              <w:t xml:space="preserve">  </w:t>
            </w:r>
          </w:p>
        </w:tc>
        <w:tc>
          <w:tcPr>
            <w:tcW w:w="367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Vice President and General Counsel</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March 10, 2009</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 w:name="PGBRK1"/>
      <w:bookmarkStart w:id="15" w:name="PGBRK1"/>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 w:name="FTR1"/>
      <w:bookmarkStart w:id="17" w:name="FTR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8" w:name="GLFTR1"/>
      <w:bookmarkEnd w:id="1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 w:name="PN1"/>
      <w:bookmarkEnd w:id="1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 w:name="HDR1"/>
      <w:bookmarkStart w:id="21" w:name="HDR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2" w:name="GLHDR1"/>
      <w:bookmarkEnd w:id="2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
        <w:gridCol w:w="203"/>
        <w:gridCol w:w="8982"/>
      </w:tblGrid>
      <w:tr>
        <w:trPr/>
        <w:tc>
          <w:tcPr>
            <w:tcW w:w="10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tc>
        <w:tc>
          <w:tcPr>
            <w:tcW w:w="203" w:type="dxa"/>
            <w:tcBorders/>
            <w:shd w:fill="auto" w:val="clear"/>
          </w:tcPr>
          <w:p>
            <w:pPr>
              <w:pStyle w:val="TableContents"/>
              <w:spacing w:before="0" w:after="283"/>
              <w:rPr/>
            </w:pPr>
            <w:r>
              <w:rPr/>
              <w:t xml:space="preserve">  </w:t>
            </w:r>
          </w:p>
        </w:tc>
        <w:tc>
          <w:tcPr>
            <w:tcW w:w="8982" w:type="dxa"/>
            <w:tcBorders/>
            <w:shd w:fill="auto" w:val="clear"/>
          </w:tcPr>
          <w:p>
            <w:pPr>
              <w:pStyle w:val="TableContents"/>
              <w:spacing w:before="0" w:after="283"/>
              <w:rPr/>
            </w:pPr>
            <w:r>
              <w:rPr/>
              <w:t xml:space="preserve">  </w:t>
            </w:r>
          </w:p>
        </w:tc>
      </w:tr>
      <w:tr>
        <w:trPr/>
        <w:tc>
          <w:tcPr>
            <w:tcW w:w="102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203" w:type="dxa"/>
            <w:tcBorders/>
            <w:shd w:fill="auto" w:val="clear"/>
          </w:tcPr>
          <w:p>
            <w:pPr>
              <w:pStyle w:val="TableContents"/>
              <w:spacing w:before="0" w:after="283"/>
              <w:rPr/>
            </w:pPr>
            <w:r>
              <w:rPr/>
              <w:t xml:space="preserve">  </w:t>
            </w:r>
          </w:p>
        </w:tc>
        <w:tc>
          <w:tcPr>
            <w:tcW w:w="898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Description of Exhibits</w:t>
            </w:r>
          </w:p>
        </w:tc>
      </w:tr>
      <w:tr>
        <w:trPr/>
        <w:tc>
          <w:tcPr>
            <w:tcW w:w="1020" w:type="dxa"/>
            <w:tcBorders/>
            <w:shd w:fill="auto" w:val="clear"/>
          </w:tcPr>
          <w:p>
            <w:pPr>
              <w:pStyle w:val="TableContents"/>
              <w:spacing w:before="0" w:after="283"/>
              <w:rPr/>
            </w:pPr>
            <w:r>
              <w:rPr/>
              <w:t xml:space="preserve">  </w:t>
            </w:r>
          </w:p>
        </w:tc>
        <w:tc>
          <w:tcPr>
            <w:tcW w:w="203" w:type="dxa"/>
            <w:tcBorders/>
            <w:shd w:fill="auto" w:val="clear"/>
          </w:tcPr>
          <w:p>
            <w:pPr>
              <w:pStyle w:val="TableContents"/>
              <w:spacing w:before="0" w:after="283"/>
              <w:rPr/>
            </w:pPr>
            <w:r>
              <w:rPr/>
              <w:t xml:space="preserve">  </w:t>
            </w:r>
          </w:p>
        </w:tc>
        <w:tc>
          <w:tcPr>
            <w:tcW w:w="8982" w:type="dxa"/>
            <w:tcBorders/>
            <w:shd w:fill="auto" w:val="clear"/>
          </w:tcPr>
          <w:p>
            <w:pPr>
              <w:pStyle w:val="TableContents"/>
              <w:spacing w:before="0" w:after="283"/>
              <w:rPr/>
            </w:pPr>
            <w:r>
              <w:rPr/>
              <w:t xml:space="preserve">  </w:t>
            </w:r>
          </w:p>
        </w:tc>
      </w:tr>
      <w:tr>
        <w:trPr/>
        <w:tc>
          <w:tcPr>
            <w:tcW w:w="10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203" w:type="dxa"/>
            <w:tcBorders/>
            <w:shd w:fill="auto" w:val="clear"/>
          </w:tcPr>
          <w:p>
            <w:pPr>
              <w:pStyle w:val="TableContents"/>
              <w:spacing w:before="0" w:after="283"/>
              <w:rPr/>
            </w:pPr>
            <w:r>
              <w:rPr/>
              <w:t xml:space="preserve">  </w:t>
            </w:r>
          </w:p>
        </w:tc>
        <w:tc>
          <w:tcPr>
            <w:tcW w:w="898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March 10, 2009</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 w:name="PGBRK2"/>
      <w:bookmarkStart w:id="24" w:name="PGBRK2"/>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 w:name="FTR2"/>
      <w:bookmarkStart w:id="26" w:name="FTR2"/>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7" w:name="GLFTR2"/>
      <w:bookmarkEnd w:id="2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 w:name="PN2"/>
      <w:bookmarkEnd w:id="2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HDR2"/>
      <w:bookmarkStart w:id="30" w:name="HDR2"/>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1" w:name="GLHDR2"/>
      <w:bookmarkEnd w:id="3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bookmarkStart w:id="32" w:name="v142448_ex99-1.htm"/>
      <w:bookmarkStart w:id="33" w:name="ksv142448_ex991"/>
      <w:bookmarkEnd w:id="32"/>
      <w:bookmarkEnd w:id="33"/>
      <w:r>
        <w:rPr/>
        <w:t> </w:t>
      </w:r>
    </w:p>
    <w:tbl>
      <w:tblPr>
        <w:tblW w:w="5000" w:type="pct"/>
        <w:jc w:val="center"/>
        <w:tblInd w:w="0" w:type="dxa"/>
        <w:shd w:fill="FFFFFF" w:val="clear"/>
        <w:tblCellMar>
          <w:top w:w="0" w:type="dxa"/>
          <w:left w:w="0" w:type="dxa"/>
          <w:bottom w:w="0" w:type="dxa"/>
          <w:right w:w="0" w:type="dxa"/>
        </w:tblCellMar>
      </w:tblPr>
      <w:tblGrid>
        <w:gridCol w:w="2087"/>
        <w:gridCol w:w="8118"/>
      </w:tblGrid>
      <w:tr>
        <w:trPr/>
        <w:tc>
          <w:tcPr>
            <w:tcW w:w="2087" w:type="dxa"/>
            <w:tcBorders/>
            <w:shd w:fill="FFFFFF" w:val="clear"/>
            <w:vAlign w:val="center"/>
          </w:tcPr>
          <w:p>
            <w:pPr>
              <w:pStyle w:val="TableContents"/>
              <w:spacing w:before="0" w:after="283"/>
              <w:rPr/>
            </w:pPr>
            <w:r>
              <w:rPr/>
              <w:drawing>
                <wp:inline distT="0" distB="0" distL="0" distR="0">
                  <wp:extent cx="1314450" cy="10420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10420350"/>
                          </a:xfrm>
                          <a:prstGeom prst="rect">
                            <a:avLst/>
                          </a:prstGeom>
                        </pic:spPr>
                      </pic:pic>
                    </a:graphicData>
                  </a:graphic>
                </wp:inline>
              </w:drawing>
            </w:r>
          </w:p>
        </w:tc>
        <w:tc>
          <w:tcPr>
            <w:tcW w:w="8118" w:type="dxa"/>
            <w:tcBorders/>
            <w:shd w:fill="FFFFFF" w:val="clear"/>
          </w:tcPr>
          <w:p>
            <w:pPr>
              <w:pStyle w:val="TableContents"/>
              <w:spacing w:before="0" w:after="0"/>
              <w:ind w:left="0" w:right="0" w:hanging="0"/>
              <w:jc w:val="right"/>
              <w:rPr>
                <w:rFonts w:ascii="times new roman" w:hAnsi="times new roman"/>
                <w:b w:val="false"/>
                <w:sz w:val="20"/>
              </w:rPr>
            </w:pPr>
            <w:r>
              <w:rPr>
                <w:rFonts w:ascii="times new roman" w:hAnsi="times new roman"/>
                <w:b w:val="false"/>
                <w:sz w:val="20"/>
              </w:rPr>
              <w:t>Exhibit 99.1</w:t>
            </w:r>
          </w:p>
          <w:p>
            <w:pPr>
              <w:pStyle w:val="TableContents"/>
              <w:spacing w:before="0" w:after="0"/>
              <w:jc w:val="right"/>
              <w:rPr>
                <w:rFonts w:ascii="times new roman" w:hAnsi="times new roman"/>
                <w:sz w:val="36"/>
              </w:rPr>
            </w:pPr>
            <w:r>
              <w:rPr>
                <w:rFonts w:ascii="times new roman" w:hAnsi="times new roman"/>
                <w:sz w:val="36"/>
              </w:rPr>
              <w:t>News Release</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rFonts w:ascii="Times New Roman" w:hAnsi="Times New Roman"/>
                <w:b/>
                <w:sz w:val="20"/>
              </w:rPr>
              <w:t>Release</w:t>
            </w:r>
            <w:r>
              <w:rPr>
                <w:b/>
              </w:rPr>
              <w:t>:</w:t>
            </w:r>
            <w:r>
              <w:rPr/>
              <w:t xml:space="preserve"> </w:t>
            </w:r>
            <w:r>
              <w:rPr>
                <w:rFonts w:ascii="Times New Roman" w:hAnsi="Times New Roman"/>
                <w:sz w:val="20"/>
              </w:rPr>
              <w:t xml:space="preserve">Immediate: </w:t>
            </w:r>
          </w:p>
          <w:p>
            <w:pPr>
              <w:pStyle w:val="TableContents"/>
              <w:spacing w:before="0" w:after="0"/>
              <w:ind w:left="0" w:right="0" w:firstLine="6120"/>
              <w:jc w:val="left"/>
              <w:rPr>
                <w:rFonts w:ascii="times new roman" w:hAnsi="times new roman"/>
                <w:b/>
                <w:sz w:val="20"/>
              </w:rPr>
            </w:pPr>
            <w:r>
              <w:rPr>
                <w:rFonts w:ascii="times new roman" w:hAnsi="times new roman"/>
                <w:b/>
                <w:sz w:val="20"/>
              </w:rPr>
              <w:t xml:space="preserve">Contact: </w:t>
            </w:r>
            <w:r>
              <w:rPr>
                <w:rFonts w:ascii="times new roman" w:hAnsi="times new roman"/>
                <w:b w:val="false"/>
                <w:sz w:val="20"/>
              </w:rPr>
              <w:t>Ronda J. Williams</w:t>
            </w:r>
          </w:p>
          <w:p>
            <w:pPr>
              <w:pStyle w:val="TableContents"/>
              <w:spacing w:before="0" w:after="0"/>
              <w:ind w:left="0" w:right="0" w:firstLine="6840"/>
              <w:jc w:val="left"/>
              <w:rPr/>
            </w:pPr>
            <w:r>
              <w:rPr/>
              <w:t> </w:t>
            </w:r>
            <w:r>
              <w:rPr>
                <w:rFonts w:ascii="Times New Roman" w:hAnsi="Times New Roman"/>
                <w:b w:val="false"/>
                <w:sz w:val="20"/>
              </w:rPr>
              <w:t>312-706-3232</w:t>
            </w:r>
          </w:p>
          <w:p>
            <w:pPr>
              <w:pStyle w:val="TableContents"/>
              <w:spacing w:before="0" w:after="0"/>
              <w:ind w:left="0" w:right="0" w:hanging="0"/>
              <w:jc w:val="left"/>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Oil-Dri Announces Second Quarter and Six-Month Results</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CHICAGO – (March 10, 2009) – Oil-Dri Corporation of America (NYSE: ODC) today announced that net sales for the second quarter were $59,130,000, a 2% increase compared with sales of $58,026,000 in the same quarter one year ago.  The Company reported net income for the quarter of $2,372,000, or $0.33 per diluted share, a 14% increase compared with net income of $2,089,000, or $0.29 per diluted share, in the same quarter one year ago.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Net sales for the six-month period were $122,258,000, an 8% increase compared with net sales of $113,311,000 in the same period one year ago.  Net income for the six-month period of $4,618,000, or $0.64 per diluted share was, flat compared with $4,573,000, or $0.64 per diluted share, in the same period last fiscal year.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z w:val="20"/>
              </w:rPr>
            </w:pPr>
            <w:r>
              <w:rPr>
                <w:rFonts w:ascii="times new roman" w:hAnsi="times new roman"/>
                <w:b/>
                <w:sz w:val="20"/>
              </w:rPr>
              <w:t>Second Quarter Review</w:t>
            </w:r>
          </w:p>
          <w:p>
            <w:pPr>
              <w:pStyle w:val="TableContents"/>
              <w:spacing w:before="0" w:after="0"/>
              <w:ind w:left="0" w:right="0" w:hanging="0"/>
              <w:jc w:val="left"/>
              <w:rPr>
                <w:rFonts w:ascii="times new roman" w:hAnsi="times new roman"/>
                <w:sz w:val="20"/>
              </w:rPr>
            </w:pPr>
            <w:r>
              <w:rPr>
                <w:rFonts w:ascii="times new roman" w:hAnsi="times new roman"/>
                <w:sz w:val="20"/>
              </w:rPr>
              <w:t>President and Chief Executive Officer Daniel S. Jaffee said, “We are satisfied with our results in light of current economic conditions.  During the second quarter we experienced sales growth in the Retail and Wholesale Products Group, in particular with our private label products, where consumers are taking advantage of lower priced cat litter.  The Business-to-Business Products Group, however, experienced lower net sales due to market conditions and competitive challenges.</w:t>
            </w:r>
          </w:p>
          <w:p>
            <w:pPr>
              <w:pStyle w:val="TableContents"/>
              <w:spacing w:before="0" w:after="0"/>
              <w:ind w:left="0" w:right="0" w:hanging="0"/>
              <w:jc w:val="left"/>
              <w:rPr/>
            </w:pPr>
            <w:r>
              <w:rPr/>
              <w:t> </w:t>
            </w:r>
          </w:p>
          <w:p>
            <w:pPr>
              <w:pStyle w:val="TableContents"/>
              <w:spacing w:before="0" w:after="0"/>
              <w:ind w:left="0" w:right="0" w:hanging="0"/>
              <w:jc w:val="left"/>
              <w:rPr/>
            </w:pPr>
            <w:r>
              <w:rPr/>
              <w:t>“</w:t>
            </w:r>
            <w:r>
              <w:rPr>
                <w:rFonts w:ascii="times new roman" w:hAnsi="times new roman"/>
                <w:sz w:val="20"/>
              </w:rPr>
              <w:t>Our gross profit margin for the quarter was up 0.5% from last year, but for the six months we have seen our margins shrink by 1.1%, finishing this period at 19.9%.  We are sensitive to how the economy is impacting our customers and, as always, take a long-term approach to relationship building; therefore, we do not feel this is the appropriate environment in which to aggressively repair our profit margins”</w:t>
            </w:r>
          </w:p>
          <w:p>
            <w:pPr>
              <w:pStyle w:val="TableContents"/>
              <w:spacing w:before="0" w:after="0"/>
              <w:ind w:left="0" w:right="0" w:hanging="0"/>
              <w:jc w:val="left"/>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 continued - -</w:t>
            </w:r>
          </w:p>
        </w:tc>
      </w:tr>
    </w:tbl>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 w:name="PGBRK3"/>
      <w:bookmarkStart w:id="35" w:name="PGBRK3"/>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FTR3"/>
      <w:bookmarkStart w:id="37" w:name="FTR3"/>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8" w:name="GLFTR3"/>
      <w:bookmarkEnd w:id="3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 w:name="PN3"/>
      <w:bookmarkEnd w:id="3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HDR3"/>
      <w:bookmarkStart w:id="41" w:name="HDR3"/>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2" w:name="GLHDR3"/>
      <w:bookmarkEnd w:id="4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18"/>
        <w:gridCol w:w="9187"/>
      </w:tblGrid>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Business Review</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sales for the Company’s Retail and Wholesale Products Group were $40,926,000 and group income was $4,053,000 in the second quarter.  Net sales for the six-month period were $83,409,000 and group income was $7,215,000.  In the quarter, sales of private label cat litter were strong in both units and dollars.  Sales of industrial and automotive products were down in units and flat in dollars due to the slow down in the manufacturing sector.</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283"/>
              <w:rPr/>
            </w:pPr>
            <w:r>
              <w:rPr/>
              <w:t xml:space="preserve">  </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Net sales for the Company’s Business-to-Business Products Group were $18,204,000 and group income was $3,480,000 in the quarter.  Net sales for the six-month period were $38,849,000 and group income was $7,906,000.  In the quarter, sales were down across all product lines in both units and dollars with the exception of co-packaged cat litter products.  A combination of foreign currency exchange rates, global economic factors, higher than normal product inventories of animal health products and aggressive competitive pricing negatively impacted net sales and volume growth.</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283"/>
              <w:rPr/>
            </w:pPr>
            <w:r>
              <w:rPr/>
              <w:t xml:space="preserve">  </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Financial Review</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On December 9, 2008, Oil-Dri’s Board of Directors declared quarterly cash dividends of $0.14 per share of outstanding Common Stock and $0.105 per share of outstanding Class B Stock.  The dividends were paid on March 6, 2009 to stockholders of record at the close of business on February 20, 2009.  At the January 30, 2009 closing price of $16.05 per share and assuming cash dividends continue at the same rate, the annual yield on the Company’s Common Stock is 3.5%.</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283"/>
              <w:rPr/>
            </w:pPr>
            <w:r>
              <w:rPr/>
              <w:t xml:space="preserve">  </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The Company has paid cash dividends continuously since 1974.  The Company’s Board of Directors has increased dividends annually for the past five years.</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283"/>
              <w:rPr/>
            </w:pPr>
            <w:r>
              <w:rPr/>
              <w:t xml:space="preserve">  </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During the quarter, the Company repurchased 300 shares of Common Stock at an average price of $16.24 per share.  Cash, cash equivalents and short-term investments at January 31, 2009, totaled $16,766,000.  Capital expenditures for the six-month period of $7,757,000 include strategic investments primarily related to new product development.  Capital expenditures in this period were $4,073,000 more than depreciation and amortization of $3,684,000.</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 w:name="PGBRK4"/>
      <w:bookmarkStart w:id="44" w:name="PGBRK4"/>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FTR4"/>
      <w:bookmarkStart w:id="46" w:name="FTR4"/>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 w:name="GLFTR4"/>
      <w:bookmarkStart w:id="48" w:name="GLFTR4"/>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49" w:name="PN4"/>
      <w:bookmarkStart w:id="50" w:name="PN4"/>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 w:name="HDR4"/>
      <w:bookmarkStart w:id="52" w:name="HDR4"/>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 w:name="GLHDR4"/>
      <w:bookmarkStart w:id="54" w:name="GLHDR4"/>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18"/>
        <w:gridCol w:w="9187"/>
      </w:tblGrid>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Looking Forward</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Jaffee continued, “While we are pleased that the markets we serve have been relatively stable, we remain diligent in managing our expenses and using our resources wisely.  We will continue to invest in our business where we believe our return will give us the greatest long-term benefit.”</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283"/>
              <w:rPr/>
            </w:pPr>
            <w:r>
              <w:rPr/>
              <w:t xml:space="preserve">  </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The Company will offer a live web cast of the second quarter earnings teleconference on Wednesday, March 11, 2009, from 10:00a.m. – 10:30a.m. CST.  To listen to the call via the web, please visit </w:t>
            </w:r>
            <w:r>
              <w:rPr>
                <w:rFonts w:ascii="times new roman" w:hAnsi="times new roman"/>
                <w:sz w:val="20"/>
                <w:u w:val="single"/>
              </w:rPr>
              <w:t>www.streetevents.com</w:t>
            </w:r>
            <w:r>
              <w:rPr>
                <w:rFonts w:ascii="times new roman" w:hAnsi="times new roman"/>
                <w:sz w:val="20"/>
              </w:rPr>
              <w:t xml:space="preserve"> or </w:t>
            </w:r>
            <w:r>
              <w:rPr>
                <w:rFonts w:ascii="times new roman" w:hAnsi="times new roman"/>
                <w:sz w:val="20"/>
                <w:u w:val="single"/>
              </w:rPr>
              <w:t>www.oildri.com</w:t>
            </w:r>
            <w:r>
              <w:rPr>
                <w:rFonts w:ascii="times new roman" w:hAnsi="times new roman"/>
                <w:sz w:val="20"/>
              </w:rPr>
              <w:t>.  An archived recording of the call and written transcripts of all teleconferences are posted on the Oil-Dri website.</w:t>
            </w:r>
          </w:p>
        </w:tc>
      </w:tr>
      <w:tr>
        <w:trPr/>
        <w:tc>
          <w:tcPr>
            <w:tcW w:w="1018" w:type="dxa"/>
            <w:tcBorders/>
            <w:shd w:fill="auto" w:val="clear"/>
          </w:tcPr>
          <w:p>
            <w:pPr>
              <w:pStyle w:val="TableContents"/>
              <w:spacing w:before="0" w:after="283"/>
              <w:rPr/>
            </w:pPr>
            <w:r>
              <w:rPr/>
              <w:t xml:space="preserve">  </w:t>
            </w:r>
          </w:p>
        </w:tc>
        <w:tc>
          <w:tcPr>
            <w:tcW w:w="9187" w:type="dxa"/>
            <w:tcBorders>
              <w:bottom w:val="double" w:sz="8" w:space="0" w:color="000000"/>
            </w:tcBorders>
            <w:shd w:fill="auto" w:val="clear"/>
            <w:tcMar>
              <w:bottom w:w="28" w:type="dxa"/>
            </w:tcMar>
          </w:tcPr>
          <w:p>
            <w:pPr>
              <w:pStyle w:val="TableContents"/>
              <w:spacing w:before="0" w:after="283"/>
              <w:rPr/>
            </w:pPr>
            <w:r>
              <w:rPr/>
              <w:t xml:space="preserve">  </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283"/>
              <w:rPr/>
            </w:pPr>
            <w:r>
              <w:rPr/>
              <w:t xml:space="preserve">  </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left"/>
              <w:rPr>
                <w:rFonts w:ascii="times new roman" w:hAnsi="times new roman"/>
                <w:i/>
                <w:sz w:val="20"/>
              </w:rPr>
            </w:pPr>
            <w:r>
              <w:rPr>
                <w:rFonts w:ascii="times new roman" w:hAnsi="times new roman"/>
                <w:i/>
                <w:sz w:val="20"/>
              </w:rPr>
              <w:t>Oil-Dri Corporation of America is a leading supplier of specialty sorbent products for agricultural, horticultural, fluids purification, specialty markets, industrial and automotive, and is the world’s largest manufacturer of cat litter.</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283"/>
              <w:rPr/>
            </w:pPr>
            <w:r>
              <w:rPr/>
              <w:t xml:space="preserve">  </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left"/>
              <w:rPr>
                <w:rFonts w:ascii="times new roman" w:hAnsi="times new roman"/>
                <w:i/>
                <w:sz w:val="20"/>
              </w:rPr>
            </w:pPr>
            <w:r>
              <w:rPr>
                <w:rFonts w:ascii="times new roman" w:hAnsi="times new roman"/>
                <w:i/>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 cast,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283"/>
              <w:rPr/>
            </w:pPr>
            <w:r>
              <w:rPr/>
              <w:t xml:space="preserve">  </w:t>
            </w:r>
          </w:p>
        </w:tc>
      </w:tr>
      <w:tr>
        <w:trPr/>
        <w:tc>
          <w:tcPr>
            <w:tcW w:w="1018" w:type="dxa"/>
            <w:tcBorders/>
            <w:shd w:fill="auto" w:val="clear"/>
          </w:tcPr>
          <w:p>
            <w:pPr>
              <w:pStyle w:val="TableContents"/>
              <w:spacing w:before="0" w:after="283"/>
              <w:rPr/>
            </w:pPr>
            <w:r>
              <w:rPr/>
              <w:t xml:space="preserve">  </w:t>
            </w:r>
          </w:p>
        </w:tc>
        <w:tc>
          <w:tcPr>
            <w:tcW w:w="9187" w:type="dxa"/>
            <w:tcBorders/>
            <w:shd w:fill="auto" w:val="clear"/>
          </w:tcPr>
          <w:p>
            <w:pPr>
              <w:pStyle w:val="TableContents"/>
              <w:spacing w:before="0" w:after="0"/>
              <w:ind w:left="0" w:right="0" w:hanging="0"/>
              <w:jc w:val="left"/>
              <w:rPr>
                <w:rFonts w:ascii="times new roman" w:hAnsi="times new roman"/>
                <w:i/>
                <w:sz w:val="20"/>
              </w:rPr>
            </w:pPr>
            <w:r>
              <w:rPr>
                <w:rFonts w:ascii="times new roman" w:hAnsi="times new roman"/>
                <w:i/>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5" w:name="PGBRK5"/>
      <w:bookmarkStart w:id="56" w:name="PGBRK5"/>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7" w:name="FTR5"/>
      <w:bookmarkStart w:id="58" w:name="FTR5"/>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59" w:name="GLFTR5"/>
      <w:bookmarkEnd w:id="5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0" w:name="PN5"/>
      <w:bookmarkEnd w:id="6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61" w:name="HDR5"/>
      <w:bookmarkStart w:id="62" w:name="HDR5"/>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63" w:name="GLHDR5"/>
      <w:bookmarkEnd w:id="6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OIL - DRI  CORPORATION OF AMERICA</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Statements of Income</w:t>
      </w:r>
    </w:p>
    <w:p>
      <w:pPr>
        <w:pStyle w:val="TextBody"/>
        <w:spacing w:before="0" w:after="0"/>
        <w:ind w:left="0" w:right="0" w:hanging="0"/>
        <w:jc w:val="left"/>
        <w:rPr>
          <w:rFonts w:ascii="Times New Roman" w:hAnsi="Times New Roman"/>
          <w:sz w:val="20"/>
        </w:rPr>
      </w:pPr>
      <w:r>
        <w:rPr>
          <w:rFonts w:ascii="Times New Roman" w:hAnsi="Times New Roman"/>
          <w:sz w:val="20"/>
        </w:rPr>
        <w:t>(in thousands, except for per share amounts)</w:t>
      </w:r>
    </w:p>
    <w:p>
      <w:pPr>
        <w:pStyle w:val="TextBody"/>
        <w:spacing w:before="0" w:after="0"/>
        <w:ind w:left="0" w:right="0" w:hanging="0"/>
        <w:jc w:val="left"/>
        <w:rPr>
          <w:rFonts w:ascii="Times New Roman" w:hAnsi="Times New Roman"/>
          <w:sz w:val="20"/>
        </w:rPr>
      </w:pPr>
      <w:r>
        <w:rPr>
          <w:rFonts w:ascii="Times New Roman" w:hAnsi="Times New Roman"/>
          <w:sz w:val="20"/>
        </w:rPr>
        <w:t>(unaudited)</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4217"/>
        <w:gridCol w:w="107"/>
        <w:gridCol w:w="150"/>
        <w:gridCol w:w="1038"/>
        <w:gridCol w:w="120"/>
        <w:gridCol w:w="107"/>
        <w:gridCol w:w="132"/>
        <w:gridCol w:w="1142"/>
        <w:gridCol w:w="190"/>
        <w:gridCol w:w="107"/>
        <w:gridCol w:w="150"/>
        <w:gridCol w:w="1038"/>
        <w:gridCol w:w="120"/>
        <w:gridCol w:w="107"/>
        <w:gridCol w:w="131"/>
        <w:gridCol w:w="1142"/>
        <w:gridCol w:w="207"/>
      </w:tblGrid>
      <w:tr>
        <w:trPr/>
        <w:tc>
          <w:tcPr>
            <w:tcW w:w="4217"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5674"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Second Quarter Ended January 31,</w:t>
            </w:r>
          </w:p>
        </w:tc>
        <w:tc>
          <w:tcPr>
            <w:tcW w:w="207" w:type="dxa"/>
            <w:tcBorders/>
            <w:shd w:fill="auto" w:val="clear"/>
            <w:vAlign w:val="bottom"/>
          </w:tcPr>
          <w:p>
            <w:pPr>
              <w:pStyle w:val="TableContents"/>
              <w:spacing w:before="0" w:after="283"/>
              <w:jc w:val="left"/>
              <w:rPr/>
            </w:pPr>
            <w:r>
              <w:rPr/>
              <w:t> </w:t>
            </w:r>
          </w:p>
        </w:tc>
      </w:tr>
      <w:tr>
        <w:trPr/>
        <w:tc>
          <w:tcPr>
            <w:tcW w:w="4217"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18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19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8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0"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207" w:type="dxa"/>
            <w:tcBorders/>
            <w:shd w:fill="auto" w:val="clear"/>
            <w:vAlign w:val="bottom"/>
          </w:tcPr>
          <w:p>
            <w:pPr>
              <w:pStyle w:val="TableContents"/>
              <w:spacing w:before="0" w:after="283"/>
              <w:jc w:val="left"/>
              <w:rPr/>
            </w:pPr>
            <w:r>
              <w:rPr/>
              <w:t> </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Sales</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59,130</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9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58,026</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07"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Cost of Sales</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(47,217</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79.9</w:t>
            </w:r>
          </w:p>
        </w:tc>
        <w:tc>
          <w:tcPr>
            <w:tcW w:w="1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(46,678</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80.4</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Gross Profit</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11,913</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9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11,348</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19.6</w:t>
            </w:r>
          </w:p>
        </w:tc>
        <w:tc>
          <w:tcPr>
            <w:tcW w:w="207"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Expenses</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(8,342</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(8,251</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207" w:type="dxa"/>
            <w:tcBorders/>
            <w:shd w:fill="CCFFCC" w:val="clear"/>
            <w:vAlign w:val="bottom"/>
          </w:tcPr>
          <w:p>
            <w:pPr>
              <w:pStyle w:val="TableContents"/>
              <w:spacing w:before="0" w:after="283"/>
              <w:jc w:val="left"/>
              <w:rPr/>
            </w:pPr>
            <w:r>
              <w:rPr/>
              <w:t> </w:t>
            </w:r>
          </w:p>
        </w:tc>
      </w:tr>
      <w:tr>
        <w:trPr/>
        <w:tc>
          <w:tcPr>
            <w:tcW w:w="421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Income</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3,571</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3,097</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Interest Expense</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(478</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19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(570</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207"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Income</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1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355</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0.6</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CCFFCC" w:val="clear"/>
            <w:vAlign w:val="bottom"/>
          </w:tcPr>
          <w:p>
            <w:pPr>
              <w:pStyle w:val="TableContents"/>
              <w:spacing w:before="0" w:after="283"/>
              <w:rPr/>
            </w:pPr>
            <w:r>
              <w:rPr/>
              <w:t xml:space="preserve">  </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207" w:type="dxa"/>
            <w:tcBorders/>
            <w:shd w:fill="CCFFCC" w:val="clear"/>
            <w:vAlign w:val="bottom"/>
          </w:tcPr>
          <w:p>
            <w:pPr>
              <w:pStyle w:val="TableContents"/>
              <w:spacing w:before="0" w:after="283"/>
              <w:jc w:val="left"/>
              <w:rPr/>
            </w:pPr>
            <w:r>
              <w:rPr/>
              <w:t> </w:t>
            </w:r>
          </w:p>
        </w:tc>
      </w:tr>
      <w:tr>
        <w:trPr/>
        <w:tc>
          <w:tcPr>
            <w:tcW w:w="421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Before Income Taxes</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3,178</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2,882</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Taxes</w:t>
            </w:r>
          </w:p>
        </w:tc>
        <w:tc>
          <w:tcPr>
            <w:tcW w:w="107" w:type="dxa"/>
            <w:tcBorders/>
            <w:shd w:fill="CCFFCC" w:val="clear"/>
            <w:vAlign w:val="bottom"/>
          </w:tcPr>
          <w:p>
            <w:pPr>
              <w:pStyle w:val="TableContents"/>
              <w:spacing w:before="0" w:after="283"/>
              <w:jc w:val="right"/>
              <w:rPr/>
            </w:pPr>
            <w:r>
              <w:rPr/>
              <w:t> </w:t>
            </w:r>
          </w:p>
        </w:tc>
        <w:tc>
          <w:tcPr>
            <w:tcW w:w="15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(806</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32"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9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5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3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(793</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31"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42"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07"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7" w:type="dxa"/>
            <w:tcBorders/>
            <w:shd w:fill="CCFFCC" w:val="clear"/>
            <w:vAlign w:val="bottom"/>
          </w:tcPr>
          <w:p>
            <w:pPr>
              <w:pStyle w:val="TableContents"/>
              <w:spacing w:before="0" w:after="283"/>
              <w:jc w:val="right"/>
              <w:rPr/>
            </w:pPr>
            <w:r>
              <w:rPr/>
              <w:t> </w:t>
            </w:r>
          </w:p>
        </w:tc>
        <w:tc>
          <w:tcPr>
            <w:tcW w:w="150"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2,372</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32" w:type="dxa"/>
            <w:tcBorders>
              <w:bottom w:val="double" w:sz="8" w:space="0" w:color="000000"/>
            </w:tcBorders>
            <w:shd w:fill="CCFFCC" w:val="clear"/>
            <w:tcMar>
              <w:bottom w:w="28" w:type="dxa"/>
            </w:tcMar>
            <w:vAlign w:val="bottom"/>
          </w:tcPr>
          <w:p>
            <w:pPr>
              <w:pStyle w:val="TableContents"/>
              <w:spacing w:before="0" w:after="283"/>
              <w:jc w:val="left"/>
              <w:rPr/>
            </w:pPr>
            <w:r>
              <w:rPr/>
              <w:t> </w:t>
            </w:r>
          </w:p>
        </w:tc>
        <w:tc>
          <w:tcPr>
            <w:tcW w:w="1142"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9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FFCC" w:val="clear"/>
            <w:vAlign w:val="bottom"/>
          </w:tcPr>
          <w:p>
            <w:pPr>
              <w:pStyle w:val="TableContents"/>
              <w:spacing w:before="0" w:after="283"/>
              <w:jc w:val="right"/>
              <w:rPr/>
            </w:pPr>
            <w:r>
              <w:rPr/>
              <w:t> </w:t>
            </w:r>
          </w:p>
        </w:tc>
        <w:tc>
          <w:tcPr>
            <w:tcW w:w="150"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2,089</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31" w:type="dxa"/>
            <w:tcBorders>
              <w:bottom w:val="double" w:sz="8" w:space="0" w:color="000000"/>
            </w:tcBorders>
            <w:shd w:fill="CCFFCC" w:val="clear"/>
            <w:tcMar>
              <w:bottom w:w="28" w:type="dxa"/>
            </w:tcMar>
            <w:vAlign w:val="bottom"/>
          </w:tcPr>
          <w:p>
            <w:pPr>
              <w:pStyle w:val="TableContents"/>
              <w:spacing w:before="0" w:after="283"/>
              <w:jc w:val="left"/>
              <w:rPr/>
            </w:pPr>
            <w:r>
              <w:rPr/>
              <w:t> </w:t>
            </w:r>
          </w:p>
        </w:tc>
        <w:tc>
          <w:tcPr>
            <w:tcW w:w="1142"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207"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217"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Per Share:</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207" w:type="dxa"/>
            <w:tcBorders/>
            <w:shd w:fill="CCFFCC" w:val="clear"/>
            <w:vAlign w:val="bottom"/>
          </w:tcPr>
          <w:p>
            <w:pPr>
              <w:pStyle w:val="TableContents"/>
              <w:spacing w:before="0" w:after="283"/>
              <w:jc w:val="left"/>
              <w:rPr/>
            </w:pPr>
            <w:r>
              <w:rPr/>
              <w:t> </w:t>
            </w:r>
          </w:p>
        </w:tc>
      </w:tr>
      <w:tr>
        <w:trPr/>
        <w:tc>
          <w:tcPr>
            <w:tcW w:w="4217"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Common</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0.36</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0.32</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4217"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Class B Common</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207" w:type="dxa"/>
            <w:tcBorders/>
            <w:shd w:fill="CCFFCC" w:val="clear"/>
            <w:vAlign w:val="bottom"/>
          </w:tcPr>
          <w:p>
            <w:pPr>
              <w:pStyle w:val="TableContents"/>
              <w:spacing w:before="0" w:after="283"/>
              <w:jc w:val="left"/>
              <w:rPr/>
            </w:pPr>
            <w:r>
              <w:rPr/>
              <w:t> </w:t>
            </w:r>
          </w:p>
        </w:tc>
      </w:tr>
      <w:tr>
        <w:trPr/>
        <w:tc>
          <w:tcPr>
            <w:tcW w:w="4217"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Diluted</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0.33</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4217"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Average Shares Outstanding:</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207" w:type="dxa"/>
            <w:tcBorders/>
            <w:shd w:fill="CCFFCC" w:val="clear"/>
            <w:vAlign w:val="bottom"/>
          </w:tcPr>
          <w:p>
            <w:pPr>
              <w:pStyle w:val="TableContents"/>
              <w:spacing w:before="0" w:after="283"/>
              <w:jc w:val="left"/>
              <w:rPr/>
            </w:pPr>
            <w:r>
              <w:rPr/>
              <w:t> </w:t>
            </w:r>
          </w:p>
        </w:tc>
      </w:tr>
      <w:tr>
        <w:trPr/>
        <w:tc>
          <w:tcPr>
            <w:tcW w:w="4217"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Common</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5,131</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5,062</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4217"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Class B Common</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1,873</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2"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3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1,853</w:t>
            </w:r>
          </w:p>
        </w:tc>
        <w:tc>
          <w:tcPr>
            <w:tcW w:w="120" w:type="dxa"/>
            <w:tcBorders/>
            <w:shd w:fill="CCFFCC" w:val="clear"/>
            <w:vAlign w:val="bottom"/>
          </w:tcPr>
          <w:p>
            <w:pPr>
              <w:pStyle w:val="TableContents"/>
              <w:spacing w:before="0" w:after="283"/>
              <w:jc w:val="left"/>
              <w:rPr/>
            </w:pPr>
            <w:r>
              <w:rPr/>
              <w:t> </w:t>
            </w:r>
          </w:p>
        </w:tc>
        <w:tc>
          <w:tcPr>
            <w:tcW w:w="107" w:type="dxa"/>
            <w:tcBorders/>
            <w:shd w:fill="CCFFCC" w:val="clear"/>
            <w:vAlign w:val="bottom"/>
          </w:tcPr>
          <w:p>
            <w:pPr>
              <w:pStyle w:val="TableContents"/>
              <w:spacing w:before="0" w:after="283"/>
              <w:rPr/>
            </w:pPr>
            <w:r>
              <w:rPr/>
              <w:t> </w:t>
            </w:r>
          </w:p>
        </w:tc>
        <w:tc>
          <w:tcPr>
            <w:tcW w:w="131" w:type="dxa"/>
            <w:tcBorders/>
            <w:shd w:fill="CCFFCC" w:val="clear"/>
            <w:vAlign w:val="bottom"/>
          </w:tcPr>
          <w:p>
            <w:pPr>
              <w:pStyle w:val="TableContents"/>
              <w:spacing w:before="0" w:after="283"/>
              <w:jc w:val="left"/>
              <w:rPr/>
            </w:pPr>
            <w:r>
              <w:rPr/>
              <w:t> </w:t>
            </w:r>
          </w:p>
        </w:tc>
        <w:tc>
          <w:tcPr>
            <w:tcW w:w="1142" w:type="dxa"/>
            <w:tcBorders/>
            <w:shd w:fill="CCFFCC" w:val="clear"/>
            <w:vAlign w:val="bottom"/>
          </w:tcPr>
          <w:p>
            <w:pPr>
              <w:pStyle w:val="TableContents"/>
              <w:spacing w:before="0" w:after="283"/>
              <w:jc w:val="right"/>
              <w:rPr/>
            </w:pPr>
            <w:r>
              <w:rPr/>
              <w:t> </w:t>
            </w:r>
          </w:p>
        </w:tc>
        <w:tc>
          <w:tcPr>
            <w:tcW w:w="207" w:type="dxa"/>
            <w:tcBorders/>
            <w:shd w:fill="CCFFCC" w:val="clear"/>
            <w:vAlign w:val="bottom"/>
          </w:tcPr>
          <w:p>
            <w:pPr>
              <w:pStyle w:val="TableContents"/>
              <w:spacing w:before="0" w:after="283"/>
              <w:jc w:val="left"/>
              <w:rPr/>
            </w:pPr>
            <w:r>
              <w:rPr/>
              <w:t> </w:t>
            </w:r>
          </w:p>
        </w:tc>
      </w:tr>
      <w:tr>
        <w:trPr/>
        <w:tc>
          <w:tcPr>
            <w:tcW w:w="4217"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Diluted</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7,242</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7,239</w:t>
            </w:r>
          </w:p>
        </w:tc>
        <w:tc>
          <w:tcPr>
            <w:tcW w:w="120"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c>
          <w:tcPr>
            <w:tcW w:w="1142"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165"/>
        <w:gridCol w:w="106"/>
        <w:gridCol w:w="150"/>
        <w:gridCol w:w="1065"/>
        <w:gridCol w:w="120"/>
        <w:gridCol w:w="106"/>
        <w:gridCol w:w="133"/>
        <w:gridCol w:w="1140"/>
        <w:gridCol w:w="191"/>
        <w:gridCol w:w="106"/>
        <w:gridCol w:w="150"/>
        <w:gridCol w:w="1065"/>
        <w:gridCol w:w="119"/>
        <w:gridCol w:w="106"/>
        <w:gridCol w:w="133"/>
        <w:gridCol w:w="1140"/>
        <w:gridCol w:w="210"/>
      </w:tblGrid>
      <w:tr>
        <w:trPr/>
        <w:tc>
          <w:tcPr>
            <w:tcW w:w="4165"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5724"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Six Months Ended January 31,</w:t>
            </w:r>
          </w:p>
        </w:tc>
        <w:tc>
          <w:tcPr>
            <w:tcW w:w="210" w:type="dxa"/>
            <w:tcBorders/>
            <w:shd w:fill="auto" w:val="clear"/>
            <w:vAlign w:val="bottom"/>
          </w:tcPr>
          <w:p>
            <w:pPr>
              <w:pStyle w:val="TableContents"/>
              <w:spacing w:before="0" w:after="283"/>
              <w:jc w:val="left"/>
              <w:rPr/>
            </w:pPr>
            <w:r>
              <w:rPr/>
              <w:t> </w:t>
            </w:r>
          </w:p>
        </w:tc>
      </w:tr>
      <w:tr>
        <w:trPr/>
        <w:tc>
          <w:tcPr>
            <w:tcW w:w="4165"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0"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191"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1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9"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Sales</w:t>
            </w:r>
          </w:p>
        </w:tc>
        <w:tc>
          <w:tcPr>
            <w:tcW w:w="210" w:type="dxa"/>
            <w:tcBorders/>
            <w:shd w:fill="auto"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Sales</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122,258</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113,311</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1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Cost of Sales</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(97,969</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80.1</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(89,533</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79.0</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Gross Profit</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24,289</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23,778</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21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Expenses</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(17,080</w:t>
            </w:r>
          </w:p>
        </w:tc>
        <w:tc>
          <w:tcPr>
            <w:tcW w:w="12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(17,111</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283"/>
              <w:rPr/>
            </w:pPr>
            <w:r>
              <w:rPr/>
              <w:t xml:space="preserve">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Income</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7,209</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6,667</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Interest Expense</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(983</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(1,144</w:t>
            </w:r>
          </w:p>
        </w:tc>
        <w:tc>
          <w:tcPr>
            <w:tcW w:w="11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21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Income</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785</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283"/>
              <w:rPr/>
            </w:pPr>
            <w:r>
              <w:rPr/>
              <w:t xml:space="preserve">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Before Income Taxes</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6,255</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6,308</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Taxes</w:t>
            </w:r>
          </w:p>
        </w:tc>
        <w:tc>
          <w:tcPr>
            <w:tcW w:w="106" w:type="dxa"/>
            <w:tcBorders/>
            <w:shd w:fill="CCFFCC" w:val="clear"/>
            <w:vAlign w:val="bottom"/>
          </w:tcPr>
          <w:p>
            <w:pPr>
              <w:pStyle w:val="TableContents"/>
              <w:spacing w:before="0" w:after="283"/>
              <w:jc w:val="right"/>
              <w:rPr/>
            </w:pPr>
            <w:r>
              <w:rPr/>
              <w:t> </w:t>
            </w:r>
          </w:p>
        </w:tc>
        <w:tc>
          <w:tcPr>
            <w:tcW w:w="15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(1,637</w:t>
            </w:r>
          </w:p>
        </w:tc>
        <w:tc>
          <w:tcPr>
            <w:tcW w:w="12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3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91"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50"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(1,735</w:t>
            </w:r>
          </w:p>
        </w:tc>
        <w:tc>
          <w:tcPr>
            <w:tcW w:w="11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FFCC" w:val="clear"/>
            <w:vAlign w:val="bottom"/>
          </w:tcPr>
          <w:p>
            <w:pPr>
              <w:pStyle w:val="TableContents"/>
              <w:spacing w:before="0" w:after="283"/>
              <w:jc w:val="right"/>
              <w:rPr/>
            </w:pPr>
            <w:r>
              <w:rPr/>
              <w:t> </w:t>
            </w:r>
          </w:p>
        </w:tc>
        <w:tc>
          <w:tcPr>
            <w:tcW w:w="13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40"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21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6"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4,618</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9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4,573</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33"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2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165" w:type="dxa"/>
            <w:tcBorders/>
            <w:shd w:fill="CCFFCC" w:val="clear"/>
            <w:vAlign w:val="bottom"/>
          </w:tcPr>
          <w:p>
            <w:pPr>
              <w:pStyle w:val="TableContents"/>
              <w:spacing w:before="0" w:after="283"/>
              <w:rPr/>
            </w:pPr>
            <w:r>
              <w:rPr/>
              <w:t xml:space="preserve">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Per Share:</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Common</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0.70</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0.70</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Class B Common</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0.57</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Diluted</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0.64</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0.64</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Average Shares Outstanding:</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pPr>
            <w:r>
              <w:rPr/>
              <w:t> </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Common</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5,129</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5,033</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r>
        <w:trPr/>
        <w:tc>
          <w:tcPr>
            <w:tcW w:w="4165"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Basic Class B Common</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1,868</w:t>
            </w:r>
          </w:p>
        </w:tc>
        <w:tc>
          <w:tcPr>
            <w:tcW w:w="120"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191"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jc w:val="right"/>
              <w:rPr/>
            </w:pPr>
            <w:r>
              <w:rPr/>
              <w:t> </w:t>
            </w:r>
          </w:p>
        </w:tc>
        <w:tc>
          <w:tcPr>
            <w:tcW w:w="150" w:type="dxa"/>
            <w:tcBorders/>
            <w:shd w:fill="CCFFCC" w:val="clear"/>
            <w:vAlign w:val="bottom"/>
          </w:tcPr>
          <w:p>
            <w:pPr>
              <w:pStyle w:val="TableContents"/>
              <w:spacing w:before="0" w:after="283"/>
              <w:jc w:val="left"/>
              <w:rPr/>
            </w:pPr>
            <w:r>
              <w:rPr/>
              <w:t> </w:t>
            </w:r>
          </w:p>
        </w:tc>
        <w:tc>
          <w:tcPr>
            <w:tcW w:w="1065"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1,846</w:t>
            </w:r>
          </w:p>
        </w:tc>
        <w:tc>
          <w:tcPr>
            <w:tcW w:w="119" w:type="dxa"/>
            <w:tcBorders/>
            <w:shd w:fill="CCFFCC" w:val="clear"/>
            <w:vAlign w:val="bottom"/>
          </w:tcPr>
          <w:p>
            <w:pPr>
              <w:pStyle w:val="TableContents"/>
              <w:spacing w:before="0" w:after="283"/>
              <w:jc w:val="left"/>
              <w:rPr/>
            </w:pPr>
            <w:r>
              <w:rPr/>
              <w:t> </w:t>
            </w:r>
          </w:p>
        </w:tc>
        <w:tc>
          <w:tcPr>
            <w:tcW w:w="106" w:type="dxa"/>
            <w:tcBorders/>
            <w:shd w:fill="CCFFCC" w:val="clear"/>
            <w:vAlign w:val="bottom"/>
          </w:tcPr>
          <w:p>
            <w:pPr>
              <w:pStyle w:val="TableContents"/>
              <w:spacing w:before="0" w:after="283"/>
              <w:rPr/>
            </w:pPr>
            <w:r>
              <w:rPr/>
              <w:t> </w:t>
            </w:r>
          </w:p>
        </w:tc>
        <w:tc>
          <w:tcPr>
            <w:tcW w:w="133" w:type="dxa"/>
            <w:tcBorders/>
            <w:shd w:fill="CCFFCC" w:val="clear"/>
            <w:vAlign w:val="bottom"/>
          </w:tcPr>
          <w:p>
            <w:pPr>
              <w:pStyle w:val="TableContents"/>
              <w:spacing w:before="0" w:after="283"/>
              <w:jc w:val="left"/>
              <w:rPr/>
            </w:pPr>
            <w:r>
              <w:rPr/>
              <w:t> </w:t>
            </w:r>
          </w:p>
        </w:tc>
        <w:tc>
          <w:tcPr>
            <w:tcW w:w="1140" w:type="dxa"/>
            <w:tcBorders/>
            <w:shd w:fill="CCFFCC" w:val="clear"/>
            <w:vAlign w:val="bottom"/>
          </w:tcPr>
          <w:p>
            <w:pPr>
              <w:pStyle w:val="TableContents"/>
              <w:spacing w:before="0" w:after="283"/>
              <w:jc w:val="right"/>
              <w:rPr/>
            </w:pPr>
            <w:r>
              <w:rPr/>
              <w:t> </w:t>
            </w:r>
          </w:p>
        </w:tc>
        <w:tc>
          <w:tcPr>
            <w:tcW w:w="210" w:type="dxa"/>
            <w:tcBorders/>
            <w:shd w:fill="CCFFCC" w:val="clear"/>
            <w:vAlign w:val="bottom"/>
          </w:tcPr>
          <w:p>
            <w:pPr>
              <w:pStyle w:val="TableContents"/>
              <w:spacing w:before="0" w:after="283"/>
              <w:jc w:val="left"/>
              <w:rPr/>
            </w:pPr>
            <w:r>
              <w:rPr/>
              <w:t> </w:t>
            </w:r>
          </w:p>
        </w:tc>
      </w:tr>
      <w:tr>
        <w:trPr/>
        <w:tc>
          <w:tcPr>
            <w:tcW w:w="4165"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Diluted</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7,245</w:t>
            </w:r>
          </w:p>
        </w:tc>
        <w:tc>
          <w:tcPr>
            <w:tcW w:w="120"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7,196</w:t>
            </w:r>
          </w:p>
        </w:tc>
        <w:tc>
          <w:tcPr>
            <w:tcW w:w="119"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1140"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 w:name="PGBRK6"/>
      <w:bookmarkStart w:id="65" w:name="PGBRK6"/>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FTR6"/>
      <w:bookmarkStart w:id="67" w:name="FTR6"/>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68" w:name="GLFTR6"/>
      <w:bookmarkEnd w:id="6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9" w:name="PN6"/>
      <w:bookmarkEnd w:id="6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 w:name="HDR6"/>
      <w:bookmarkStart w:id="71" w:name="HDR6"/>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72" w:name="GLHDR6"/>
      <w:bookmarkEnd w:id="7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OIL - DRI  CORPORATION OF AMERICA</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jc w:val="left"/>
        <w:rPr>
          <w:rFonts w:ascii="Times New Roman" w:hAnsi="Times New Roman"/>
          <w:sz w:val="20"/>
        </w:rPr>
      </w:pPr>
      <w:r>
        <w:rPr>
          <w:rFonts w:ascii="Times New Roman" w:hAnsi="Times New Roman"/>
          <w:sz w:val="20"/>
        </w:rPr>
        <w:t>(in thousands, except for per share amounts)</w:t>
      </w:r>
    </w:p>
    <w:p>
      <w:pPr>
        <w:pStyle w:val="TextBody"/>
        <w:spacing w:before="0" w:after="0"/>
        <w:ind w:left="0" w:right="0" w:hanging="0"/>
        <w:jc w:val="left"/>
        <w:rPr>
          <w:rFonts w:ascii="Times New Roman" w:hAnsi="Times New Roman"/>
          <w:sz w:val="20"/>
        </w:rPr>
      </w:pPr>
      <w:r>
        <w:rPr>
          <w:rFonts w:ascii="Times New Roman" w:hAnsi="Times New Roman"/>
          <w:sz w:val="20"/>
        </w:rPr>
        <w:t>(unaudited)</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7761"/>
        <w:gridCol w:w="91"/>
        <w:gridCol w:w="125"/>
        <w:gridCol w:w="908"/>
        <w:gridCol w:w="91"/>
        <w:gridCol w:w="91"/>
        <w:gridCol w:w="125"/>
        <w:gridCol w:w="908"/>
        <w:gridCol w:w="105"/>
      </w:tblGrid>
      <w:tr>
        <w:trPr/>
        <w:tc>
          <w:tcPr>
            <w:tcW w:w="7761" w:type="dxa"/>
            <w:tcBorders/>
            <w:shd w:fill="auto" w:val="clear"/>
            <w:vAlign w:val="bottom"/>
          </w:tcPr>
          <w:p>
            <w:pPr>
              <w:pStyle w:val="TableContents"/>
              <w:spacing w:before="0" w:after="283"/>
              <w:rPr/>
            </w:pPr>
            <w:r>
              <w:rPr/>
              <w:t xml:space="preserve">  </w:t>
            </w:r>
          </w:p>
        </w:tc>
        <w:tc>
          <w:tcPr>
            <w:tcW w:w="91" w:type="dxa"/>
            <w:tcBorders/>
            <w:shd w:fill="auto" w:val="clear"/>
            <w:vAlign w:val="bottom"/>
          </w:tcPr>
          <w:p>
            <w:pPr>
              <w:pStyle w:val="TableContents"/>
              <w:spacing w:before="0" w:after="283"/>
              <w:rPr/>
            </w:pPr>
            <w:r>
              <w:rPr/>
              <w:t> </w:t>
            </w:r>
          </w:p>
        </w:tc>
        <w:tc>
          <w:tcPr>
            <w:tcW w:w="224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 of January 31,</w:t>
            </w:r>
          </w:p>
        </w:tc>
        <w:tc>
          <w:tcPr>
            <w:tcW w:w="105" w:type="dxa"/>
            <w:tcBorders/>
            <w:shd w:fill="auto" w:val="clear"/>
            <w:vAlign w:val="bottom"/>
          </w:tcPr>
          <w:p>
            <w:pPr>
              <w:pStyle w:val="TableContents"/>
              <w:spacing w:before="0" w:after="283"/>
              <w:jc w:val="left"/>
              <w:rPr/>
            </w:pPr>
            <w:r>
              <w:rPr/>
              <w:t> </w:t>
            </w:r>
          </w:p>
        </w:tc>
      </w:tr>
      <w:tr>
        <w:trPr/>
        <w:tc>
          <w:tcPr>
            <w:tcW w:w="7761" w:type="dxa"/>
            <w:tcBorders/>
            <w:shd w:fill="auto" w:val="clear"/>
            <w:vAlign w:val="bottom"/>
          </w:tcPr>
          <w:p>
            <w:pPr>
              <w:pStyle w:val="TableContents"/>
              <w:spacing w:before="0" w:after="283"/>
              <w:rPr/>
            </w:pPr>
            <w:r>
              <w:rPr/>
              <w:t xml:space="preserve">  </w:t>
            </w:r>
          </w:p>
        </w:tc>
        <w:tc>
          <w:tcPr>
            <w:tcW w:w="91" w:type="dxa"/>
            <w:tcBorders/>
            <w:shd w:fill="auto" w:val="clear"/>
            <w:vAlign w:val="bottom"/>
          </w:tcPr>
          <w:p>
            <w:pPr>
              <w:pStyle w:val="TableContents"/>
              <w:spacing w:before="0" w:after="283"/>
              <w:rPr/>
            </w:pPr>
            <w:r>
              <w:rPr/>
              <w:t> </w:t>
            </w:r>
          </w:p>
        </w:tc>
        <w:tc>
          <w:tcPr>
            <w:tcW w:w="10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9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05" w:type="dxa"/>
            <w:tcBorders/>
            <w:shd w:fill="auto" w:val="clear"/>
            <w:vAlign w:val="bottom"/>
          </w:tcPr>
          <w:p>
            <w:pPr>
              <w:pStyle w:val="TableContents"/>
              <w:spacing w:before="0" w:after="283"/>
              <w:jc w:val="left"/>
              <w:rPr/>
            </w:pPr>
            <w:r>
              <w:rPr/>
              <w:t> </w:t>
            </w:r>
          </w:p>
        </w:tc>
      </w:tr>
      <w:tr>
        <w:trPr/>
        <w:tc>
          <w:tcPr>
            <w:tcW w:w="7761" w:type="dxa"/>
            <w:tcBorders/>
            <w:shd w:fill="auto" w:val="clear"/>
            <w:vAlign w:val="bottom"/>
          </w:tcPr>
          <w:p>
            <w:pPr>
              <w:pStyle w:val="TableContents"/>
              <w:spacing w:before="0" w:after="283"/>
              <w:rPr/>
            </w:pPr>
            <w:r>
              <w:rPr/>
              <w:t xml:space="preserve">  </w:t>
            </w:r>
          </w:p>
        </w:tc>
        <w:tc>
          <w:tcPr>
            <w:tcW w:w="91" w:type="dxa"/>
            <w:tcBorders/>
            <w:shd w:fill="auto" w:val="clear"/>
            <w:vAlign w:val="bottom"/>
          </w:tcPr>
          <w:p>
            <w:pPr>
              <w:pStyle w:val="TableContents"/>
              <w:spacing w:before="0" w:after="283"/>
              <w:rPr/>
            </w:pPr>
            <w:r>
              <w:rPr/>
              <w:t> </w:t>
            </w:r>
          </w:p>
        </w:tc>
        <w:tc>
          <w:tcPr>
            <w:tcW w:w="1033" w:type="dxa"/>
            <w:gridSpan w:val="2"/>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033"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91" w:type="dxa"/>
            <w:tcBorders/>
            <w:shd w:fill="CCFFCC" w:val="clear"/>
            <w:vAlign w:val="bottom"/>
          </w:tcPr>
          <w:p>
            <w:pPr>
              <w:pStyle w:val="TableContents"/>
              <w:spacing w:before="0" w:after="283"/>
              <w:rPr/>
            </w:pPr>
            <w:r>
              <w:rPr/>
              <w:t> </w:t>
            </w:r>
          </w:p>
        </w:tc>
        <w:tc>
          <w:tcPr>
            <w:tcW w:w="1033" w:type="dxa"/>
            <w:gridSpan w:val="2"/>
            <w:tcBorders/>
            <w:shd w:fill="CCFFCC" w:val="clear"/>
            <w:vAlign w:val="bottom"/>
          </w:tcPr>
          <w:p>
            <w:pPr>
              <w:pStyle w:val="TableContents"/>
              <w:spacing w:before="0" w:after="283"/>
              <w:rPr/>
            </w:pPr>
            <w:r>
              <w:rPr/>
              <w:t> </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rPr/>
            </w:pPr>
            <w:r>
              <w:rPr/>
              <w:t> </w:t>
            </w:r>
          </w:p>
        </w:tc>
        <w:tc>
          <w:tcPr>
            <w:tcW w:w="1033" w:type="dxa"/>
            <w:gridSpan w:val="2"/>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Cash and Cash Equivalents</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2,272</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4,325</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Investment in Treasury Securities</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14,494</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24,355</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Accounts Receivable, net</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31,399</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29,973</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Inventories</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19,235</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16,396</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Prepaid Expenses</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6,563</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6,299</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720" w:right="0" w:hanging="0"/>
              <w:jc w:val="left"/>
              <w:rPr>
                <w:rFonts w:ascii="times new roman" w:hAnsi="times new roman"/>
                <w:b/>
                <w:sz w:val="20"/>
              </w:rPr>
            </w:pPr>
            <w:r>
              <w:rPr>
                <w:rFonts w:ascii="times new roman" w:hAnsi="times new roman"/>
                <w:b/>
                <w:sz w:val="20"/>
              </w:rPr>
              <w:t>Total Current Assets</w:t>
            </w:r>
          </w:p>
        </w:tc>
        <w:tc>
          <w:tcPr>
            <w:tcW w:w="91"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73,963</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81,348</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Property, Plant and Equipment</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55,196</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51,732</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Assets</w:t>
            </w:r>
          </w:p>
        </w:tc>
        <w:tc>
          <w:tcPr>
            <w:tcW w:w="91"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14,432</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12,281</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Assets</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143,591</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145,361</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283"/>
              <w:rPr/>
            </w:pPr>
            <w:r>
              <w:rPr/>
              <w:t xml:space="preserve">  </w:t>
            </w:r>
          </w:p>
        </w:tc>
        <w:tc>
          <w:tcPr>
            <w:tcW w:w="91"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08" w:type="dxa"/>
            <w:tcBorders/>
            <w:shd w:fill="CCFFCC" w:val="clear"/>
            <w:vAlign w:val="bottom"/>
          </w:tcPr>
          <w:p>
            <w:pPr>
              <w:pStyle w:val="TableContents"/>
              <w:spacing w:before="0" w:after="283"/>
              <w:jc w:val="right"/>
              <w:rPr/>
            </w:pPr>
            <w:r>
              <w:rPr/>
              <w:t> </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pPr>
            <w:r>
              <w:rPr/>
              <w:t> </w:t>
            </w:r>
          </w:p>
        </w:tc>
        <w:tc>
          <w:tcPr>
            <w:tcW w:w="908" w:type="dxa"/>
            <w:tcBorders/>
            <w:shd w:fill="CCFFCC" w:val="clear"/>
            <w:vAlign w:val="bottom"/>
          </w:tcPr>
          <w:p>
            <w:pPr>
              <w:pStyle w:val="TableContents"/>
              <w:spacing w:before="0" w:after="283"/>
              <w:jc w:val="right"/>
              <w:rPr/>
            </w:pPr>
            <w:r>
              <w:rPr/>
              <w:t> </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Current Maturities of Notes Payable</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1,700</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8,080</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Accounts Payable</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6,330</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6,130</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Dividends Payable</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921</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846</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Accrued Expenses</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13,327</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14,366</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720" w:right="0" w:hanging="0"/>
              <w:jc w:val="left"/>
              <w:rPr>
                <w:rFonts w:ascii="times new roman" w:hAnsi="times new roman"/>
                <w:b/>
                <w:sz w:val="20"/>
              </w:rPr>
            </w:pPr>
            <w:r>
              <w:rPr>
                <w:rFonts w:ascii="times new roman" w:hAnsi="times new roman"/>
                <w:b/>
                <w:sz w:val="20"/>
              </w:rPr>
              <w:t>Total Current Liabilities</w:t>
            </w:r>
          </w:p>
        </w:tc>
        <w:tc>
          <w:tcPr>
            <w:tcW w:w="91"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22,278</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29,422</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Long-Term Liabilities</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Notes Payable</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21,300</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pPr>
            <w:r>
              <w:rPr/>
              <w:t> </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23,000</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Other Noncurrent Liabilities</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10,380</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8,001</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720" w:right="0" w:hanging="0"/>
              <w:jc w:val="left"/>
              <w:rPr>
                <w:rFonts w:ascii="times new roman" w:hAnsi="times new roman"/>
                <w:b/>
                <w:sz w:val="20"/>
              </w:rPr>
            </w:pPr>
            <w:r>
              <w:rPr>
                <w:rFonts w:ascii="times new roman" w:hAnsi="times new roman"/>
                <w:b/>
                <w:sz w:val="20"/>
              </w:rPr>
              <w:t>Total Long-Term Liabilities</w:t>
            </w:r>
          </w:p>
        </w:tc>
        <w:tc>
          <w:tcPr>
            <w:tcW w:w="91"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31,680</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jc w:val="right"/>
              <w:rPr/>
            </w:pPr>
            <w:r>
              <w:rPr/>
              <w:t> </w:t>
            </w:r>
          </w:p>
        </w:tc>
        <w:tc>
          <w:tcPr>
            <w:tcW w:w="125"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31,001</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Equity</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89,633</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84,938</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Liabilities and Stockholders' Equity</w:t>
            </w:r>
          </w:p>
        </w:tc>
        <w:tc>
          <w:tcPr>
            <w:tcW w:w="91" w:type="dxa"/>
            <w:tcBorders/>
            <w:shd w:fill="CCFFCC" w:val="clear"/>
            <w:vAlign w:val="bottom"/>
          </w:tcPr>
          <w:p>
            <w:pPr>
              <w:pStyle w:val="TableContents"/>
              <w:spacing w:before="0" w:after="283"/>
              <w:jc w:val="right"/>
              <w:rPr/>
            </w:pPr>
            <w:r>
              <w:rPr/>
              <w:t> </w:t>
            </w:r>
          </w:p>
        </w:tc>
        <w:tc>
          <w:tcPr>
            <w:tcW w:w="125"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143,591</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jc w:val="right"/>
              <w:rPr/>
            </w:pPr>
            <w:r>
              <w:rPr/>
              <w:t> </w:t>
            </w:r>
          </w:p>
        </w:tc>
        <w:tc>
          <w:tcPr>
            <w:tcW w:w="125"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145,361</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Book Value Per Share Outstanding</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12.81</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12.35</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0" w:right="0" w:hanging="0"/>
              <w:jc w:val="left"/>
              <w:rPr>
                <w:rFonts w:ascii="times new roman" w:hAnsi="times new roman"/>
                <w:sz w:val="20"/>
              </w:rPr>
            </w:pPr>
            <w:r>
              <w:rPr>
                <w:rFonts w:ascii="times new roman" w:hAnsi="times new roman"/>
                <w:b/>
                <w:sz w:val="20"/>
              </w:rPr>
              <w:t>Acquisitions of</w:t>
            </w:r>
            <w:r>
              <w:rPr>
                <w:rFonts w:ascii="times new roman" w:hAnsi="times new roman"/>
                <w:sz w:val="20"/>
              </w:rPr>
              <w:t> </w:t>
            </w:r>
          </w:p>
          <w:p>
            <w:pPr>
              <w:pStyle w:val="TableContents"/>
              <w:spacing w:before="0" w:after="0"/>
              <w:ind w:left="180" w:right="0" w:hanging="0"/>
              <w:jc w:val="left"/>
              <w:rPr>
                <w:rFonts w:ascii="times new roman" w:hAnsi="times new roman"/>
                <w:sz w:val="20"/>
              </w:rPr>
            </w:pPr>
            <w:r>
              <w:rPr>
                <w:rFonts w:ascii="times new roman" w:hAnsi="times new roman"/>
                <w:b/>
                <w:sz w:val="20"/>
              </w:rPr>
              <w:t xml:space="preserve">Property, Plant and Equipment </w:t>
            </w:r>
            <w:r>
              <w:rPr>
                <w:rFonts w:ascii="times new roman" w:hAnsi="times new roman"/>
                <w:sz w:val="20"/>
              </w:rPr>
              <w:t xml:space="preserve">                                          </w:t>
            </w:r>
            <w:r>
              <w:rPr>
                <w:rFonts w:ascii="times new roman" w:hAnsi="times new roman"/>
                <w:b/>
                <w:sz w:val="20"/>
              </w:rPr>
              <w:t>Second Quarter</w:t>
            </w:r>
          </w:p>
        </w:tc>
        <w:tc>
          <w:tcPr>
            <w:tcW w:w="91"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4,205</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1,681</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0"/>
              <w:ind w:left="0" w:right="0" w:hanging="0"/>
              <w:jc w:val="left"/>
              <w:rPr/>
            </w:pPr>
            <w:r>
              <w:rPr/>
              <w:t xml:space="preserve">                                                                                                     </w:t>
            </w:r>
            <w:r>
              <w:rPr>
                <w:rFonts w:ascii="times new roman" w:hAnsi="times new roman"/>
                <w:b/>
                <w:sz w:val="20"/>
              </w:rPr>
              <w:t>Year to Date</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7,757</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3,828</w:t>
            </w:r>
          </w:p>
        </w:tc>
        <w:tc>
          <w:tcPr>
            <w:tcW w:w="105" w:type="dxa"/>
            <w:tcBorders/>
            <w:shd w:fill="FFFFFF" w:val="clear"/>
            <w:vAlign w:val="bottom"/>
          </w:tcPr>
          <w:p>
            <w:pPr>
              <w:pStyle w:val="TableContents"/>
              <w:spacing w:before="0" w:after="283"/>
              <w:jc w:val="left"/>
              <w:rPr/>
            </w:pPr>
            <w:r>
              <w:rPr/>
              <w:t> </w:t>
            </w:r>
          </w:p>
        </w:tc>
      </w:tr>
      <w:tr>
        <w:trPr/>
        <w:tc>
          <w:tcPr>
            <w:tcW w:w="7761"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Depreciation and Amortization Charges                                Second Quarter</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1,799</w:t>
            </w:r>
          </w:p>
        </w:tc>
        <w:tc>
          <w:tcPr>
            <w:tcW w:w="91" w:type="dxa"/>
            <w:tcBorders/>
            <w:shd w:fill="CCFFCC" w:val="clear"/>
            <w:vAlign w:val="bottom"/>
          </w:tcPr>
          <w:p>
            <w:pPr>
              <w:pStyle w:val="TableContents"/>
              <w:spacing w:before="0" w:after="283"/>
              <w:jc w:val="left"/>
              <w:rPr/>
            </w:pPr>
            <w:r>
              <w:rPr/>
              <w:t> </w:t>
            </w:r>
          </w:p>
        </w:tc>
        <w:tc>
          <w:tcPr>
            <w:tcW w:w="91" w:type="dxa"/>
            <w:tcBorders/>
            <w:shd w:fill="CCFFCC" w:val="clear"/>
            <w:vAlign w:val="bottom"/>
          </w:tcPr>
          <w:p>
            <w:pPr>
              <w:pStyle w:val="TableContents"/>
              <w:spacing w:before="0" w:after="283"/>
              <w:jc w:val="right"/>
              <w:rPr/>
            </w:pPr>
            <w:r>
              <w:rPr/>
              <w:t> </w:t>
            </w:r>
          </w:p>
        </w:tc>
        <w:tc>
          <w:tcPr>
            <w:tcW w:w="125"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1,873</w:t>
            </w:r>
          </w:p>
        </w:tc>
        <w:tc>
          <w:tcPr>
            <w:tcW w:w="105" w:type="dxa"/>
            <w:tcBorders/>
            <w:shd w:fill="CCFFCC" w:val="clear"/>
            <w:vAlign w:val="bottom"/>
          </w:tcPr>
          <w:p>
            <w:pPr>
              <w:pStyle w:val="TableContents"/>
              <w:spacing w:before="0" w:after="283"/>
              <w:jc w:val="left"/>
              <w:rPr/>
            </w:pPr>
            <w:r>
              <w:rPr/>
              <w:t> </w:t>
            </w:r>
          </w:p>
        </w:tc>
      </w:tr>
      <w:tr>
        <w:trPr/>
        <w:tc>
          <w:tcPr>
            <w:tcW w:w="7761" w:type="dxa"/>
            <w:tcBorders/>
            <w:shd w:fill="FFFFFF" w:val="clear"/>
            <w:vAlign w:val="bottom"/>
          </w:tcPr>
          <w:p>
            <w:pPr>
              <w:pStyle w:val="TableContents"/>
              <w:spacing w:before="0" w:after="0"/>
              <w:ind w:left="0" w:right="0" w:hanging="0"/>
              <w:jc w:val="left"/>
              <w:rPr/>
            </w:pPr>
            <w:r>
              <w:rPr/>
              <w:t xml:space="preserve">                                                                                                     </w:t>
            </w:r>
            <w:r>
              <w:rPr>
                <w:rFonts w:ascii="times new roman" w:hAnsi="times new roman"/>
                <w:b/>
                <w:sz w:val="20"/>
              </w:rPr>
              <w:t>Year to Date</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3,684</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3,735</w:t>
            </w:r>
          </w:p>
        </w:tc>
        <w:tc>
          <w:tcPr>
            <w:tcW w:w="10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 w:name="PGBRK7"/>
      <w:bookmarkStart w:id="74" w:name="PGBRK7"/>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 w:name="FTR7"/>
      <w:bookmarkStart w:id="76" w:name="FTR7"/>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77" w:name="GLFTR7"/>
      <w:bookmarkEnd w:id="7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8" w:name="PN7"/>
      <w:bookmarkEnd w:id="7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 w:name="HDR7"/>
      <w:bookmarkStart w:id="80" w:name="HDR7"/>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81" w:name="GLHDR7"/>
      <w:bookmarkEnd w:id="8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OIL - DRI  CORPORATION OF AMERICA</w:t>
      </w:r>
    </w:p>
    <w:p>
      <w:pPr>
        <w:pStyle w:val="TextBody"/>
        <w:spacing w:before="0" w:after="0"/>
        <w:ind w:left="0" w:right="0" w:hanging="0"/>
        <w:jc w:val="left"/>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left"/>
        <w:rPr>
          <w:rFonts w:ascii="Times New Roman" w:hAnsi="Times New Roman"/>
          <w:sz w:val="20"/>
        </w:rPr>
      </w:pPr>
      <w:r>
        <w:rPr>
          <w:rFonts w:ascii="Times New Roman" w:hAnsi="Times New Roman"/>
          <w:sz w:val="20"/>
        </w:rPr>
        <w:t>(in thousands)</w:t>
      </w:r>
    </w:p>
    <w:p>
      <w:pPr>
        <w:pStyle w:val="TextBody"/>
        <w:spacing w:before="0" w:after="0"/>
        <w:ind w:left="0" w:right="0" w:hanging="0"/>
        <w:jc w:val="left"/>
        <w:rPr>
          <w:rFonts w:ascii="Times New Roman" w:hAnsi="Times New Roman"/>
          <w:sz w:val="20"/>
        </w:rPr>
      </w:pPr>
      <w:r>
        <w:rPr>
          <w:rFonts w:ascii="Times New Roman" w:hAnsi="Times New Roman"/>
          <w:sz w:val="20"/>
        </w:rPr>
        <w:t>(unaudited)</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6906"/>
        <w:gridCol w:w="115"/>
        <w:gridCol w:w="183"/>
        <w:gridCol w:w="1182"/>
        <w:gridCol w:w="146"/>
        <w:gridCol w:w="130"/>
        <w:gridCol w:w="183"/>
        <w:gridCol w:w="1221"/>
        <w:gridCol w:w="139"/>
      </w:tblGrid>
      <w:tr>
        <w:trPr/>
        <w:tc>
          <w:tcPr>
            <w:tcW w:w="6906" w:type="dxa"/>
            <w:tcBorders/>
            <w:shd w:fill="auto" w:val="clear"/>
            <w:vAlign w:val="bottom"/>
          </w:tcPr>
          <w:p>
            <w:pPr>
              <w:pStyle w:val="TableContents"/>
              <w:spacing w:before="0" w:after="283"/>
              <w:rPr/>
            </w:pPr>
            <w:r>
              <w:rPr/>
              <w:t xml:space="preserve">  </w:t>
            </w:r>
          </w:p>
        </w:tc>
        <w:tc>
          <w:tcPr>
            <w:tcW w:w="115" w:type="dxa"/>
            <w:tcBorders/>
            <w:shd w:fill="auto" w:val="clear"/>
            <w:vAlign w:val="bottom"/>
          </w:tcPr>
          <w:p>
            <w:pPr>
              <w:pStyle w:val="TableContents"/>
              <w:spacing w:before="0" w:after="283"/>
              <w:rPr/>
            </w:pPr>
            <w:r>
              <w:rPr/>
              <w:t> </w:t>
            </w:r>
          </w:p>
        </w:tc>
        <w:tc>
          <w:tcPr>
            <w:tcW w:w="3045"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Six Months Ended</w:t>
            </w:r>
          </w:p>
        </w:tc>
        <w:tc>
          <w:tcPr>
            <w:tcW w:w="139" w:type="dxa"/>
            <w:tcBorders/>
            <w:shd w:fill="auto" w:val="clear"/>
            <w:vAlign w:val="bottom"/>
          </w:tcPr>
          <w:p>
            <w:pPr>
              <w:pStyle w:val="TableContents"/>
              <w:spacing w:before="0" w:after="283"/>
              <w:jc w:val="left"/>
              <w:rPr/>
            </w:pPr>
            <w:r>
              <w:rPr/>
              <w:t> </w:t>
            </w:r>
          </w:p>
        </w:tc>
      </w:tr>
      <w:tr>
        <w:trPr/>
        <w:tc>
          <w:tcPr>
            <w:tcW w:w="6906" w:type="dxa"/>
            <w:tcBorders/>
            <w:shd w:fill="auto" w:val="clear"/>
            <w:vAlign w:val="bottom"/>
          </w:tcPr>
          <w:p>
            <w:pPr>
              <w:pStyle w:val="TableContents"/>
              <w:spacing w:before="0" w:after="283"/>
              <w:rPr/>
            </w:pPr>
            <w:r>
              <w:rPr/>
              <w:t xml:space="preserve">  </w:t>
            </w:r>
          </w:p>
        </w:tc>
        <w:tc>
          <w:tcPr>
            <w:tcW w:w="115" w:type="dxa"/>
            <w:tcBorders/>
            <w:shd w:fill="auto" w:val="clear"/>
            <w:vAlign w:val="bottom"/>
          </w:tcPr>
          <w:p>
            <w:pPr>
              <w:pStyle w:val="TableContents"/>
              <w:spacing w:before="0" w:after="283"/>
              <w:rPr/>
            </w:pPr>
            <w:r>
              <w:rPr/>
              <w:t> </w:t>
            </w:r>
          </w:p>
        </w:tc>
        <w:tc>
          <w:tcPr>
            <w:tcW w:w="304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January 31,</w:t>
            </w:r>
          </w:p>
        </w:tc>
        <w:tc>
          <w:tcPr>
            <w:tcW w:w="139" w:type="dxa"/>
            <w:tcBorders/>
            <w:shd w:fill="auto" w:val="clear"/>
            <w:vAlign w:val="bottom"/>
          </w:tcPr>
          <w:p>
            <w:pPr>
              <w:pStyle w:val="TableContents"/>
              <w:spacing w:before="0" w:after="283"/>
              <w:jc w:val="left"/>
              <w:rPr/>
            </w:pPr>
            <w:r>
              <w:rPr/>
              <w:t> </w:t>
            </w:r>
          </w:p>
        </w:tc>
      </w:tr>
      <w:tr>
        <w:trPr/>
        <w:tc>
          <w:tcPr>
            <w:tcW w:w="6906" w:type="dxa"/>
            <w:tcBorders/>
            <w:shd w:fill="auto" w:val="clear"/>
            <w:vAlign w:val="bottom"/>
          </w:tcPr>
          <w:p>
            <w:pPr>
              <w:pStyle w:val="TableContents"/>
              <w:spacing w:before="0" w:after="0"/>
              <w:ind w:left="0" w:right="0" w:hanging="0"/>
              <w:jc w:val="left"/>
              <w:rPr/>
            </w:pPr>
            <w:r>
              <w:rPr/>
              <w:t xml:space="preserve">  </w:t>
            </w:r>
          </w:p>
        </w:tc>
        <w:tc>
          <w:tcPr>
            <w:tcW w:w="115" w:type="dxa"/>
            <w:tcBorders/>
            <w:shd w:fill="auto" w:val="clear"/>
            <w:vAlign w:val="bottom"/>
          </w:tcPr>
          <w:p>
            <w:pPr>
              <w:pStyle w:val="TableContents"/>
              <w:spacing w:before="0" w:after="283"/>
              <w:rPr/>
            </w:pPr>
            <w:r>
              <w:rPr/>
              <w:t> </w:t>
            </w:r>
          </w:p>
        </w:tc>
        <w:tc>
          <w:tcPr>
            <w:tcW w:w="136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46" w:type="dxa"/>
            <w:tcBorders/>
            <w:shd w:fill="auto" w:val="clear"/>
            <w:vAlign w:val="bottom"/>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14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39" w:type="dxa"/>
            <w:tcBorders/>
            <w:shd w:fill="auto" w:val="clear"/>
            <w:vAlign w:val="bottom"/>
          </w:tcPr>
          <w:p>
            <w:pPr>
              <w:pStyle w:val="TableContents"/>
              <w:spacing w:before="0" w:after="283"/>
              <w:jc w:val="left"/>
              <w:rPr/>
            </w:pPr>
            <w:r>
              <w:rPr/>
              <w:t> </w:t>
            </w:r>
          </w:p>
        </w:tc>
      </w:tr>
      <w:tr>
        <w:trPr/>
        <w:tc>
          <w:tcPr>
            <w:tcW w:w="6906"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15" w:type="dxa"/>
            <w:tcBorders/>
            <w:shd w:fill="CCFFCC" w:val="clear"/>
            <w:vAlign w:val="bottom"/>
          </w:tcPr>
          <w:p>
            <w:pPr>
              <w:pStyle w:val="TableContents"/>
              <w:spacing w:before="0" w:after="283"/>
              <w:rPr/>
            </w:pPr>
            <w:r>
              <w:rPr/>
              <w:t> </w:t>
            </w:r>
          </w:p>
        </w:tc>
        <w:tc>
          <w:tcPr>
            <w:tcW w:w="1365" w:type="dxa"/>
            <w:gridSpan w:val="2"/>
            <w:tcBorders/>
            <w:shd w:fill="CCFFCC" w:val="clear"/>
            <w:vAlign w:val="bottom"/>
          </w:tcPr>
          <w:p>
            <w:pPr>
              <w:pStyle w:val="TableContents"/>
              <w:spacing w:before="0" w:after="283"/>
              <w:rPr/>
            </w:pPr>
            <w:r>
              <w:rPr/>
              <w:t> </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rPr/>
            </w:pPr>
            <w:r>
              <w:rPr/>
              <w:t> </w:t>
            </w:r>
          </w:p>
        </w:tc>
        <w:tc>
          <w:tcPr>
            <w:tcW w:w="1404" w:type="dxa"/>
            <w:gridSpan w:val="2"/>
            <w:tcBorders/>
            <w:shd w:fill="CCFFCC" w:val="clear"/>
            <w:vAlign w:val="bottom"/>
          </w:tcPr>
          <w:p>
            <w:pPr>
              <w:pStyle w:val="TableContents"/>
              <w:spacing w:before="0" w:after="283"/>
              <w:rPr/>
            </w:pPr>
            <w:r>
              <w:rPr/>
              <w:t> </w:t>
            </w:r>
          </w:p>
        </w:tc>
        <w:tc>
          <w:tcPr>
            <w:tcW w:w="139" w:type="dxa"/>
            <w:tcBorders/>
            <w:shd w:fill="CCFFCC" w:val="clear"/>
            <w:vAlign w:val="bottom"/>
          </w:tcPr>
          <w:p>
            <w:pPr>
              <w:pStyle w:val="TableContents"/>
              <w:spacing w:before="0" w:after="283"/>
              <w:jc w:val="left"/>
              <w:rPr/>
            </w:pPr>
            <w:r>
              <w:rPr/>
              <w:t> </w:t>
            </w:r>
          </w:p>
        </w:tc>
      </w:tr>
      <w:tr>
        <w:trPr/>
        <w:tc>
          <w:tcPr>
            <w:tcW w:w="6906"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rPr/>
            </w:pPr>
            <w:r>
              <w:rPr/>
              <w:t> </w:t>
            </w:r>
          </w:p>
        </w:tc>
        <w:tc>
          <w:tcPr>
            <w:tcW w:w="1365" w:type="dxa"/>
            <w:gridSpan w:val="2"/>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1404" w:type="dxa"/>
            <w:gridSpan w:val="2"/>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r>
      <w:tr>
        <w:trPr/>
        <w:tc>
          <w:tcPr>
            <w:tcW w:w="6906"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15" w:type="dxa"/>
            <w:tcBorders/>
            <w:shd w:fill="CCFFCC" w:val="clear"/>
            <w:vAlign w:val="bottom"/>
          </w:tcPr>
          <w:p>
            <w:pPr>
              <w:pStyle w:val="TableContents"/>
              <w:spacing w:before="0" w:after="283"/>
              <w:jc w:val="right"/>
              <w:rPr/>
            </w:pPr>
            <w:r>
              <w:rPr/>
              <w:t> </w:t>
            </w:r>
          </w:p>
        </w:tc>
        <w:tc>
          <w:tcPr>
            <w:tcW w:w="183"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4,618</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jc w:val="right"/>
              <w:rPr/>
            </w:pPr>
            <w:r>
              <w:rPr/>
              <w:t> </w:t>
            </w:r>
          </w:p>
        </w:tc>
        <w:tc>
          <w:tcPr>
            <w:tcW w:w="183"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4,573</w:t>
            </w:r>
          </w:p>
        </w:tc>
        <w:tc>
          <w:tcPr>
            <w:tcW w:w="139" w:type="dxa"/>
            <w:tcBorders/>
            <w:shd w:fill="CCFFCC" w:val="clear"/>
            <w:vAlign w:val="bottom"/>
          </w:tcPr>
          <w:p>
            <w:pPr>
              <w:pStyle w:val="TableContents"/>
              <w:spacing w:before="0" w:after="283"/>
              <w:jc w:val="left"/>
              <w:rPr/>
            </w:pPr>
            <w:r>
              <w:rPr/>
              <w:t> </w:t>
            </w:r>
          </w:p>
        </w:tc>
      </w:tr>
      <w:tr>
        <w:trPr/>
        <w:tc>
          <w:tcPr>
            <w:tcW w:w="6906"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jc w:val="left"/>
              <w:rPr/>
            </w:pPr>
            <w:r>
              <w:rPr/>
              <w:t> </w:t>
            </w:r>
          </w:p>
        </w:tc>
        <w:tc>
          <w:tcPr>
            <w:tcW w:w="1182"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jc w:val="left"/>
              <w:rPr/>
            </w:pPr>
            <w:r>
              <w:rPr/>
              <w:t> </w:t>
            </w:r>
          </w:p>
        </w:tc>
        <w:tc>
          <w:tcPr>
            <w:tcW w:w="1221"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r>
      <w:tr>
        <w:trPr/>
        <w:tc>
          <w:tcPr>
            <w:tcW w:w="6906"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Adjustments to reconcile net income to net cash</w:t>
            </w:r>
          </w:p>
        </w:tc>
        <w:tc>
          <w:tcPr>
            <w:tcW w:w="115" w:type="dxa"/>
            <w:tcBorders/>
            <w:shd w:fill="CCFFCC" w:val="clear"/>
            <w:vAlign w:val="bottom"/>
          </w:tcPr>
          <w:p>
            <w:pPr>
              <w:pStyle w:val="TableContents"/>
              <w:spacing w:before="0" w:after="283"/>
              <w:rPr/>
            </w:pPr>
            <w:r>
              <w:rPr/>
              <w:t> </w:t>
            </w:r>
          </w:p>
        </w:tc>
        <w:tc>
          <w:tcPr>
            <w:tcW w:w="183" w:type="dxa"/>
            <w:tcBorders/>
            <w:shd w:fill="CCFFCC" w:val="clear"/>
            <w:vAlign w:val="bottom"/>
          </w:tcPr>
          <w:p>
            <w:pPr>
              <w:pStyle w:val="TableContents"/>
              <w:spacing w:before="0" w:after="283"/>
              <w:jc w:val="left"/>
              <w:rPr/>
            </w:pPr>
            <w:r>
              <w:rPr/>
              <w:t> </w:t>
            </w:r>
          </w:p>
        </w:tc>
        <w:tc>
          <w:tcPr>
            <w:tcW w:w="1182" w:type="dxa"/>
            <w:tcBorders/>
            <w:shd w:fill="CCFFCC" w:val="clear"/>
            <w:vAlign w:val="bottom"/>
          </w:tcPr>
          <w:p>
            <w:pPr>
              <w:pStyle w:val="TableContents"/>
              <w:spacing w:before="0" w:after="283"/>
              <w:jc w:val="right"/>
              <w:rPr/>
            </w:pPr>
            <w:r>
              <w:rPr/>
              <w:t> </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rPr/>
            </w:pPr>
            <w:r>
              <w:rPr/>
              <w:t> </w:t>
            </w:r>
          </w:p>
        </w:tc>
        <w:tc>
          <w:tcPr>
            <w:tcW w:w="183" w:type="dxa"/>
            <w:tcBorders/>
            <w:shd w:fill="CCFFCC" w:val="clear"/>
            <w:vAlign w:val="bottom"/>
          </w:tcPr>
          <w:p>
            <w:pPr>
              <w:pStyle w:val="TableContents"/>
              <w:spacing w:before="0" w:after="283"/>
              <w:jc w:val="left"/>
              <w:rPr/>
            </w:pPr>
            <w:r>
              <w:rPr/>
              <w:t> </w:t>
            </w:r>
          </w:p>
        </w:tc>
        <w:tc>
          <w:tcPr>
            <w:tcW w:w="1221"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906"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provided by operating activities:</w:t>
            </w:r>
          </w:p>
        </w:tc>
        <w:tc>
          <w:tcPr>
            <w:tcW w:w="115" w:type="dxa"/>
            <w:tcBorders/>
            <w:shd w:fill="CCFFCC" w:val="clear"/>
            <w:vAlign w:val="bottom"/>
          </w:tcPr>
          <w:p>
            <w:pPr>
              <w:pStyle w:val="TableContents"/>
              <w:spacing w:before="0" w:after="283"/>
              <w:rPr/>
            </w:pPr>
            <w:r>
              <w:rPr/>
              <w:t> </w:t>
            </w:r>
          </w:p>
        </w:tc>
        <w:tc>
          <w:tcPr>
            <w:tcW w:w="183" w:type="dxa"/>
            <w:tcBorders/>
            <w:shd w:fill="CCFFCC" w:val="clear"/>
            <w:vAlign w:val="bottom"/>
          </w:tcPr>
          <w:p>
            <w:pPr>
              <w:pStyle w:val="TableContents"/>
              <w:spacing w:before="0" w:after="283"/>
              <w:jc w:val="left"/>
              <w:rPr/>
            </w:pPr>
            <w:r>
              <w:rPr/>
              <w:t> </w:t>
            </w:r>
          </w:p>
        </w:tc>
        <w:tc>
          <w:tcPr>
            <w:tcW w:w="1182" w:type="dxa"/>
            <w:tcBorders/>
            <w:shd w:fill="CCFFCC" w:val="clear"/>
            <w:vAlign w:val="bottom"/>
          </w:tcPr>
          <w:p>
            <w:pPr>
              <w:pStyle w:val="TableContents"/>
              <w:spacing w:before="0" w:after="283"/>
              <w:jc w:val="right"/>
              <w:rPr/>
            </w:pPr>
            <w:r>
              <w:rPr/>
              <w:t> </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rPr/>
            </w:pPr>
            <w:r>
              <w:rPr/>
              <w:t> </w:t>
            </w:r>
          </w:p>
        </w:tc>
        <w:tc>
          <w:tcPr>
            <w:tcW w:w="183" w:type="dxa"/>
            <w:tcBorders/>
            <w:shd w:fill="CCFFCC" w:val="clear"/>
            <w:vAlign w:val="bottom"/>
          </w:tcPr>
          <w:p>
            <w:pPr>
              <w:pStyle w:val="TableContents"/>
              <w:spacing w:before="0" w:after="283"/>
              <w:jc w:val="left"/>
              <w:rPr/>
            </w:pPr>
            <w:r>
              <w:rPr/>
              <w:t> </w:t>
            </w:r>
          </w:p>
        </w:tc>
        <w:tc>
          <w:tcPr>
            <w:tcW w:w="1221"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906"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Depreciation and Amortization</w:t>
            </w:r>
          </w:p>
        </w:tc>
        <w:tc>
          <w:tcPr>
            <w:tcW w:w="115"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1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3,684</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2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3,735</w:t>
            </w:r>
          </w:p>
        </w:tc>
        <w:tc>
          <w:tcPr>
            <w:tcW w:w="139" w:type="dxa"/>
            <w:tcBorders/>
            <w:shd w:fill="FFFFFF" w:val="clear"/>
            <w:vAlign w:val="bottom"/>
          </w:tcPr>
          <w:p>
            <w:pPr>
              <w:pStyle w:val="TableContents"/>
              <w:spacing w:before="0" w:after="283"/>
              <w:jc w:val="left"/>
              <w:rPr/>
            </w:pPr>
            <w:r>
              <w:rPr/>
              <w:t> </w:t>
            </w:r>
          </w:p>
        </w:tc>
      </w:tr>
      <w:tr>
        <w:trPr/>
        <w:tc>
          <w:tcPr>
            <w:tcW w:w="6906"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(Increase) in Accounts Receivable</w:t>
            </w:r>
          </w:p>
        </w:tc>
        <w:tc>
          <w:tcPr>
            <w:tcW w:w="115" w:type="dxa"/>
            <w:tcBorders/>
            <w:shd w:fill="CCFFCC" w:val="clear"/>
            <w:vAlign w:val="bottom"/>
          </w:tcPr>
          <w:p>
            <w:pPr>
              <w:pStyle w:val="TableContents"/>
              <w:spacing w:before="0" w:after="283"/>
              <w:jc w:val="right"/>
              <w:rPr/>
            </w:pPr>
            <w:r>
              <w:rPr/>
              <w:t> </w:t>
            </w:r>
          </w:p>
        </w:tc>
        <w:tc>
          <w:tcPr>
            <w:tcW w:w="183" w:type="dxa"/>
            <w:tcBorders/>
            <w:shd w:fill="CCFFCC" w:val="clear"/>
            <w:vAlign w:val="bottom"/>
          </w:tcPr>
          <w:p>
            <w:pPr>
              <w:pStyle w:val="TableContents"/>
              <w:spacing w:before="0" w:after="283"/>
              <w:jc w:val="left"/>
              <w:rPr/>
            </w:pPr>
            <w:r>
              <w:rPr/>
              <w:t> </w:t>
            </w:r>
          </w:p>
        </w:tc>
        <w:tc>
          <w:tcPr>
            <w:tcW w:w="118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46"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CCFFCC" w:val="clear"/>
            <w:vAlign w:val="bottom"/>
          </w:tcPr>
          <w:p>
            <w:pPr>
              <w:pStyle w:val="TableContents"/>
              <w:spacing w:before="0" w:after="283"/>
              <w:jc w:val="right"/>
              <w:rPr/>
            </w:pPr>
            <w:r>
              <w:rPr/>
              <w:t> </w:t>
            </w:r>
          </w:p>
        </w:tc>
        <w:tc>
          <w:tcPr>
            <w:tcW w:w="183" w:type="dxa"/>
            <w:tcBorders/>
            <w:shd w:fill="CCFFCC" w:val="clear"/>
            <w:vAlign w:val="bottom"/>
          </w:tcPr>
          <w:p>
            <w:pPr>
              <w:pStyle w:val="TableContents"/>
              <w:spacing w:before="0" w:after="283"/>
              <w:jc w:val="left"/>
              <w:rPr/>
            </w:pPr>
            <w:r>
              <w:rPr/>
              <w:t> </w:t>
            </w:r>
          </w:p>
        </w:tc>
        <w:tc>
          <w:tcPr>
            <w:tcW w:w="122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(2,159</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6"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(Increase) in Inventories</w:t>
            </w:r>
          </w:p>
        </w:tc>
        <w:tc>
          <w:tcPr>
            <w:tcW w:w="115"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1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(1,491</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2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(1,159</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6"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(Decrease) Increase in Accounts Payable</w:t>
            </w:r>
          </w:p>
        </w:tc>
        <w:tc>
          <w:tcPr>
            <w:tcW w:w="115" w:type="dxa"/>
            <w:tcBorders/>
            <w:shd w:fill="CCFFCC" w:val="clear"/>
            <w:vAlign w:val="bottom"/>
          </w:tcPr>
          <w:p>
            <w:pPr>
              <w:pStyle w:val="TableContents"/>
              <w:spacing w:before="0" w:after="283"/>
              <w:jc w:val="right"/>
              <w:rPr/>
            </w:pPr>
            <w:r>
              <w:rPr/>
              <w:t> </w:t>
            </w:r>
          </w:p>
        </w:tc>
        <w:tc>
          <w:tcPr>
            <w:tcW w:w="183" w:type="dxa"/>
            <w:tcBorders/>
            <w:shd w:fill="CCFFCC" w:val="clear"/>
            <w:vAlign w:val="bottom"/>
          </w:tcPr>
          <w:p>
            <w:pPr>
              <w:pStyle w:val="TableContents"/>
              <w:spacing w:before="0" w:after="283"/>
              <w:jc w:val="left"/>
              <w:rPr/>
            </w:pPr>
            <w:r>
              <w:rPr/>
              <w:t> </w:t>
            </w:r>
          </w:p>
        </w:tc>
        <w:tc>
          <w:tcPr>
            <w:tcW w:w="118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(972</w:t>
            </w:r>
          </w:p>
        </w:tc>
        <w:tc>
          <w:tcPr>
            <w:tcW w:w="146"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CCFFCC" w:val="clear"/>
            <w:vAlign w:val="bottom"/>
          </w:tcPr>
          <w:p>
            <w:pPr>
              <w:pStyle w:val="TableContents"/>
              <w:spacing w:before="0" w:after="283"/>
              <w:jc w:val="right"/>
              <w:rPr/>
            </w:pPr>
            <w:r>
              <w:rPr/>
              <w:t> </w:t>
            </w:r>
          </w:p>
        </w:tc>
        <w:tc>
          <w:tcPr>
            <w:tcW w:w="183" w:type="dxa"/>
            <w:tcBorders/>
            <w:shd w:fill="CCFFCC" w:val="clear"/>
            <w:vAlign w:val="bottom"/>
          </w:tcPr>
          <w:p>
            <w:pPr>
              <w:pStyle w:val="TableContents"/>
              <w:spacing w:before="0" w:after="283"/>
              <w:jc w:val="left"/>
              <w:rPr/>
            </w:pPr>
            <w:r>
              <w:rPr/>
              <w:t> </w:t>
            </w:r>
          </w:p>
        </w:tc>
        <w:tc>
          <w:tcPr>
            <w:tcW w:w="122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39" w:type="dxa"/>
            <w:tcBorders/>
            <w:shd w:fill="CCFFCC" w:val="clear"/>
            <w:vAlign w:val="bottom"/>
          </w:tcPr>
          <w:p>
            <w:pPr>
              <w:pStyle w:val="TableContents"/>
              <w:spacing w:before="0" w:after="283"/>
              <w:jc w:val="left"/>
              <w:rPr/>
            </w:pPr>
            <w:r>
              <w:rPr/>
              <w:t> </w:t>
            </w:r>
          </w:p>
        </w:tc>
      </w:tr>
      <w:tr>
        <w:trPr/>
        <w:tc>
          <w:tcPr>
            <w:tcW w:w="6906"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(Decrease) in Accrued Expenses</w:t>
            </w:r>
          </w:p>
        </w:tc>
        <w:tc>
          <w:tcPr>
            <w:tcW w:w="115"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1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(2,784</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2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(1,893</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6"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Other</w:t>
            </w:r>
          </w:p>
        </w:tc>
        <w:tc>
          <w:tcPr>
            <w:tcW w:w="115" w:type="dxa"/>
            <w:tcBorders/>
            <w:shd w:fill="CCFFCC" w:val="clear"/>
            <w:vAlign w:val="bottom"/>
          </w:tcPr>
          <w:p>
            <w:pPr>
              <w:pStyle w:val="TableContents"/>
              <w:spacing w:before="0" w:after="283"/>
              <w:jc w:val="right"/>
              <w:rPr/>
            </w:pPr>
            <w:r>
              <w:rPr/>
              <w:t> </w:t>
            </w:r>
          </w:p>
        </w:tc>
        <w:tc>
          <w:tcPr>
            <w:tcW w:w="18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82"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(1,020</w:t>
            </w:r>
          </w:p>
        </w:tc>
        <w:tc>
          <w:tcPr>
            <w:tcW w:w="146"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CCFFCC" w:val="clear"/>
            <w:vAlign w:val="bottom"/>
          </w:tcPr>
          <w:p>
            <w:pPr>
              <w:pStyle w:val="TableContents"/>
              <w:spacing w:before="0" w:after="283"/>
              <w:jc w:val="right"/>
              <w:rPr/>
            </w:pPr>
            <w:r>
              <w:rPr/>
              <w:t> </w:t>
            </w:r>
          </w:p>
        </w:tc>
        <w:tc>
          <w:tcPr>
            <w:tcW w:w="18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2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(519</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6" w:type="dxa"/>
            <w:tcBorders/>
            <w:shd w:fill="FFFFFF" w:val="cle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Total Adjustments</w:t>
            </w:r>
          </w:p>
        </w:tc>
        <w:tc>
          <w:tcPr>
            <w:tcW w:w="115" w:type="dxa"/>
            <w:tcBorders/>
            <w:shd w:fill="FFFFFF" w:val="clear"/>
            <w:vAlign w:val="bottom"/>
          </w:tcPr>
          <w:p>
            <w:pPr>
              <w:pStyle w:val="TableContents"/>
              <w:spacing w:before="0" w:after="283"/>
              <w:jc w:val="right"/>
              <w:rPr/>
            </w:pPr>
            <w:r>
              <w:rPr/>
              <w:t> </w:t>
            </w:r>
          </w:p>
        </w:tc>
        <w:tc>
          <w:tcPr>
            <w:tcW w:w="18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(2,672</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right"/>
              <w:rPr/>
            </w:pPr>
            <w:r>
              <w:rPr/>
              <w:t> </w:t>
            </w:r>
          </w:p>
        </w:tc>
        <w:tc>
          <w:tcPr>
            <w:tcW w:w="18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(1,851</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6"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Net Cash Provided by Operating Activities</w:t>
            </w:r>
          </w:p>
        </w:tc>
        <w:tc>
          <w:tcPr>
            <w:tcW w:w="115" w:type="dxa"/>
            <w:tcBorders/>
            <w:shd w:fill="CCFFCC" w:val="clear"/>
            <w:vAlign w:val="bottom"/>
          </w:tcPr>
          <w:p>
            <w:pPr>
              <w:pStyle w:val="TableContents"/>
              <w:spacing w:before="0" w:after="283"/>
              <w:jc w:val="right"/>
              <w:rPr/>
            </w:pPr>
            <w:r>
              <w:rPr/>
              <w:t> </w:t>
            </w:r>
          </w:p>
        </w:tc>
        <w:tc>
          <w:tcPr>
            <w:tcW w:w="18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82"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1,946</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jc w:val="right"/>
              <w:rPr/>
            </w:pPr>
            <w:r>
              <w:rPr/>
              <w:t> </w:t>
            </w:r>
          </w:p>
        </w:tc>
        <w:tc>
          <w:tcPr>
            <w:tcW w:w="18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2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2,722</w:t>
            </w:r>
          </w:p>
        </w:tc>
        <w:tc>
          <w:tcPr>
            <w:tcW w:w="139" w:type="dxa"/>
            <w:tcBorders/>
            <w:shd w:fill="CCFFCC" w:val="clear"/>
            <w:vAlign w:val="bottom"/>
          </w:tcPr>
          <w:p>
            <w:pPr>
              <w:pStyle w:val="TableContents"/>
              <w:spacing w:before="0" w:after="283"/>
              <w:jc w:val="left"/>
              <w:rPr/>
            </w:pPr>
            <w:r>
              <w:rPr/>
              <w:t> </w:t>
            </w:r>
          </w:p>
        </w:tc>
      </w:tr>
      <w:tr>
        <w:trPr/>
        <w:tc>
          <w:tcPr>
            <w:tcW w:w="6906"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jc w:val="left"/>
              <w:rPr/>
            </w:pPr>
            <w:r>
              <w:rPr/>
              <w:t> </w:t>
            </w:r>
          </w:p>
        </w:tc>
        <w:tc>
          <w:tcPr>
            <w:tcW w:w="1182"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jc w:val="left"/>
              <w:rPr/>
            </w:pPr>
            <w:r>
              <w:rPr/>
              <w:t> </w:t>
            </w:r>
          </w:p>
        </w:tc>
        <w:tc>
          <w:tcPr>
            <w:tcW w:w="1221"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r>
      <w:tr>
        <w:trPr/>
        <w:tc>
          <w:tcPr>
            <w:tcW w:w="6906"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15" w:type="dxa"/>
            <w:tcBorders/>
            <w:shd w:fill="CCFFCC" w:val="clear"/>
            <w:vAlign w:val="bottom"/>
          </w:tcPr>
          <w:p>
            <w:pPr>
              <w:pStyle w:val="TableContents"/>
              <w:spacing w:before="0" w:after="283"/>
              <w:rPr/>
            </w:pPr>
            <w:r>
              <w:rPr/>
              <w:t> </w:t>
            </w:r>
          </w:p>
        </w:tc>
        <w:tc>
          <w:tcPr>
            <w:tcW w:w="183" w:type="dxa"/>
            <w:tcBorders/>
            <w:shd w:fill="CCFFCC" w:val="clear"/>
            <w:vAlign w:val="bottom"/>
          </w:tcPr>
          <w:p>
            <w:pPr>
              <w:pStyle w:val="TableContents"/>
              <w:spacing w:before="0" w:after="283"/>
              <w:jc w:val="left"/>
              <w:rPr/>
            </w:pPr>
            <w:r>
              <w:rPr/>
              <w:t> </w:t>
            </w:r>
          </w:p>
        </w:tc>
        <w:tc>
          <w:tcPr>
            <w:tcW w:w="1182" w:type="dxa"/>
            <w:tcBorders/>
            <w:shd w:fill="CCFFCC" w:val="clear"/>
            <w:vAlign w:val="bottom"/>
          </w:tcPr>
          <w:p>
            <w:pPr>
              <w:pStyle w:val="TableContents"/>
              <w:spacing w:before="0" w:after="283"/>
              <w:jc w:val="right"/>
              <w:rPr/>
            </w:pPr>
            <w:r>
              <w:rPr/>
              <w:t> </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rPr/>
            </w:pPr>
            <w:r>
              <w:rPr/>
              <w:t> </w:t>
            </w:r>
          </w:p>
        </w:tc>
        <w:tc>
          <w:tcPr>
            <w:tcW w:w="183" w:type="dxa"/>
            <w:tcBorders/>
            <w:shd w:fill="CCFFCC" w:val="clear"/>
            <w:vAlign w:val="bottom"/>
          </w:tcPr>
          <w:p>
            <w:pPr>
              <w:pStyle w:val="TableContents"/>
              <w:spacing w:before="0" w:after="283"/>
              <w:jc w:val="left"/>
              <w:rPr/>
            </w:pPr>
            <w:r>
              <w:rPr/>
              <w:t> </w:t>
            </w:r>
          </w:p>
        </w:tc>
        <w:tc>
          <w:tcPr>
            <w:tcW w:w="1221"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906"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Capital Expenditures</w:t>
            </w:r>
          </w:p>
        </w:tc>
        <w:tc>
          <w:tcPr>
            <w:tcW w:w="115"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1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(7,757</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2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(3,828</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6"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Net Dispositions (Purchases) of Investment Securities</w:t>
            </w:r>
          </w:p>
        </w:tc>
        <w:tc>
          <w:tcPr>
            <w:tcW w:w="115" w:type="dxa"/>
            <w:tcBorders/>
            <w:shd w:fill="CCFFCC" w:val="clear"/>
            <w:vAlign w:val="bottom"/>
          </w:tcPr>
          <w:p>
            <w:pPr>
              <w:pStyle w:val="TableContents"/>
              <w:spacing w:before="0" w:after="283"/>
              <w:jc w:val="right"/>
              <w:rPr/>
            </w:pPr>
            <w:r>
              <w:rPr/>
              <w:t> </w:t>
            </w:r>
          </w:p>
        </w:tc>
        <w:tc>
          <w:tcPr>
            <w:tcW w:w="183" w:type="dxa"/>
            <w:tcBorders/>
            <w:shd w:fill="CCFFCC" w:val="clear"/>
            <w:vAlign w:val="bottom"/>
          </w:tcPr>
          <w:p>
            <w:pPr>
              <w:pStyle w:val="TableContents"/>
              <w:spacing w:before="0" w:after="283"/>
              <w:jc w:val="left"/>
              <w:rPr/>
            </w:pPr>
            <w:r>
              <w:rPr/>
              <w:t> </w:t>
            </w:r>
          </w:p>
        </w:tc>
        <w:tc>
          <w:tcPr>
            <w:tcW w:w="118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6,531</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jc w:val="right"/>
              <w:rPr/>
            </w:pPr>
            <w:r>
              <w:rPr/>
              <w:t> </w:t>
            </w:r>
          </w:p>
        </w:tc>
        <w:tc>
          <w:tcPr>
            <w:tcW w:w="183" w:type="dxa"/>
            <w:tcBorders/>
            <w:shd w:fill="CCFFCC" w:val="clear"/>
            <w:vAlign w:val="bottom"/>
          </w:tcPr>
          <w:p>
            <w:pPr>
              <w:pStyle w:val="TableContents"/>
              <w:spacing w:before="0" w:after="283"/>
              <w:jc w:val="left"/>
              <w:rPr/>
            </w:pPr>
            <w:r>
              <w:rPr/>
              <w:t> </w:t>
            </w:r>
          </w:p>
        </w:tc>
        <w:tc>
          <w:tcPr>
            <w:tcW w:w="122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(6,006</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6"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Other</w:t>
            </w:r>
          </w:p>
        </w:tc>
        <w:tc>
          <w:tcPr>
            <w:tcW w:w="115" w:type="dxa"/>
            <w:tcBorders/>
            <w:shd w:fill="FFFFFF" w:val="clear"/>
            <w:vAlign w:val="bottom"/>
          </w:tcPr>
          <w:p>
            <w:pPr>
              <w:pStyle w:val="TableContents"/>
              <w:spacing w:before="0" w:after="283"/>
              <w:jc w:val="right"/>
              <w:rPr/>
            </w:pPr>
            <w:r>
              <w:rPr/>
              <w:t> </w:t>
            </w:r>
          </w:p>
        </w:tc>
        <w:tc>
          <w:tcPr>
            <w:tcW w:w="18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8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39" w:type="dxa"/>
            <w:tcBorders/>
            <w:shd w:fill="FFFFFF" w:val="clear"/>
            <w:vAlign w:val="bottom"/>
          </w:tcPr>
          <w:p>
            <w:pPr>
              <w:pStyle w:val="TableContents"/>
              <w:spacing w:before="0" w:after="283"/>
              <w:jc w:val="left"/>
              <w:rPr/>
            </w:pPr>
            <w:r>
              <w:rPr/>
              <w:t> </w:t>
            </w:r>
          </w:p>
        </w:tc>
      </w:tr>
      <w:tr>
        <w:trPr/>
        <w:tc>
          <w:tcPr>
            <w:tcW w:w="6906"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Net Cash Used in Investing Activities</w:t>
            </w:r>
          </w:p>
        </w:tc>
        <w:tc>
          <w:tcPr>
            <w:tcW w:w="115" w:type="dxa"/>
            <w:tcBorders/>
            <w:shd w:fill="CCFFCC" w:val="clear"/>
            <w:vAlign w:val="bottom"/>
          </w:tcPr>
          <w:p>
            <w:pPr>
              <w:pStyle w:val="TableContents"/>
              <w:spacing w:before="0" w:after="283"/>
              <w:jc w:val="right"/>
              <w:rPr/>
            </w:pPr>
            <w:r>
              <w:rPr/>
              <w:t> </w:t>
            </w:r>
          </w:p>
        </w:tc>
        <w:tc>
          <w:tcPr>
            <w:tcW w:w="18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82"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(1,215</w:t>
            </w:r>
          </w:p>
        </w:tc>
        <w:tc>
          <w:tcPr>
            <w:tcW w:w="146"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CCFFCC" w:val="clear"/>
            <w:vAlign w:val="bottom"/>
          </w:tcPr>
          <w:p>
            <w:pPr>
              <w:pStyle w:val="TableContents"/>
              <w:spacing w:before="0" w:after="283"/>
              <w:jc w:val="right"/>
              <w:rPr/>
            </w:pPr>
            <w:r>
              <w:rPr/>
              <w:t> </w:t>
            </w:r>
          </w:p>
        </w:tc>
        <w:tc>
          <w:tcPr>
            <w:tcW w:w="18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2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(9,806</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6" w:type="dxa"/>
            <w:tcBorders/>
            <w:shd w:fill="FFFFFF" w:val="clear"/>
            <w:vAlign w:val="bottom"/>
          </w:tcPr>
          <w:p>
            <w:pPr>
              <w:pStyle w:val="TableContents"/>
              <w:spacing w:before="0" w:after="283"/>
              <w:rPr/>
            </w:pPr>
            <w:r>
              <w:rPr/>
              <w:t xml:space="preserve">  </w:t>
            </w:r>
          </w:p>
        </w:tc>
        <w:tc>
          <w:tcPr>
            <w:tcW w:w="115"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jc w:val="left"/>
              <w:rPr/>
            </w:pPr>
            <w:r>
              <w:rPr/>
              <w:t> </w:t>
            </w:r>
          </w:p>
        </w:tc>
        <w:tc>
          <w:tcPr>
            <w:tcW w:w="1182" w:type="dxa"/>
            <w:tcBorders/>
            <w:shd w:fill="FFFFFF" w:val="clear"/>
            <w:vAlign w:val="bottom"/>
          </w:tcPr>
          <w:p>
            <w:pPr>
              <w:pStyle w:val="TableContents"/>
              <w:spacing w:before="0" w:after="283"/>
              <w:jc w:val="right"/>
              <w:rPr/>
            </w:pPr>
            <w:r>
              <w:rPr/>
              <w:t> </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rPr/>
            </w:pPr>
            <w:r>
              <w:rPr/>
              <w:t> </w:t>
            </w:r>
          </w:p>
        </w:tc>
        <w:tc>
          <w:tcPr>
            <w:tcW w:w="183" w:type="dxa"/>
            <w:tcBorders/>
            <w:shd w:fill="FFFFFF" w:val="clear"/>
            <w:vAlign w:val="bottom"/>
          </w:tcPr>
          <w:p>
            <w:pPr>
              <w:pStyle w:val="TableContents"/>
              <w:spacing w:before="0" w:after="283"/>
              <w:jc w:val="left"/>
              <w:rPr/>
            </w:pPr>
            <w:r>
              <w:rPr/>
              <w:t> </w:t>
            </w:r>
          </w:p>
        </w:tc>
        <w:tc>
          <w:tcPr>
            <w:tcW w:w="1221"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r>
      <w:tr>
        <w:trPr/>
        <w:tc>
          <w:tcPr>
            <w:tcW w:w="6906"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15" w:type="dxa"/>
            <w:tcBorders/>
            <w:shd w:fill="CCFFCC" w:val="clear"/>
            <w:vAlign w:val="bottom"/>
          </w:tcPr>
          <w:p>
            <w:pPr>
              <w:pStyle w:val="TableContents"/>
              <w:spacing w:before="0" w:after="283"/>
              <w:rPr/>
            </w:pPr>
            <w:r>
              <w:rPr/>
              <w:t> </w:t>
            </w:r>
          </w:p>
        </w:tc>
        <w:tc>
          <w:tcPr>
            <w:tcW w:w="183" w:type="dxa"/>
            <w:tcBorders/>
            <w:shd w:fill="CCFFCC" w:val="clear"/>
            <w:vAlign w:val="bottom"/>
          </w:tcPr>
          <w:p>
            <w:pPr>
              <w:pStyle w:val="TableContents"/>
              <w:spacing w:before="0" w:after="283"/>
              <w:jc w:val="left"/>
              <w:rPr/>
            </w:pPr>
            <w:r>
              <w:rPr/>
              <w:t> </w:t>
            </w:r>
          </w:p>
        </w:tc>
        <w:tc>
          <w:tcPr>
            <w:tcW w:w="1182" w:type="dxa"/>
            <w:tcBorders/>
            <w:shd w:fill="CCFFCC" w:val="clear"/>
            <w:vAlign w:val="bottom"/>
          </w:tcPr>
          <w:p>
            <w:pPr>
              <w:pStyle w:val="TableContents"/>
              <w:spacing w:before="0" w:after="283"/>
              <w:jc w:val="right"/>
              <w:rPr/>
            </w:pPr>
            <w:r>
              <w:rPr/>
              <w:t> </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rPr/>
            </w:pPr>
            <w:r>
              <w:rPr/>
              <w:t> </w:t>
            </w:r>
          </w:p>
        </w:tc>
        <w:tc>
          <w:tcPr>
            <w:tcW w:w="183" w:type="dxa"/>
            <w:tcBorders/>
            <w:shd w:fill="CCFFCC" w:val="clear"/>
            <w:vAlign w:val="bottom"/>
          </w:tcPr>
          <w:p>
            <w:pPr>
              <w:pStyle w:val="TableContents"/>
              <w:spacing w:before="0" w:after="283"/>
              <w:jc w:val="left"/>
              <w:rPr/>
            </w:pPr>
            <w:r>
              <w:rPr/>
              <w:t> </w:t>
            </w:r>
          </w:p>
        </w:tc>
        <w:tc>
          <w:tcPr>
            <w:tcW w:w="1221"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906"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Principal payments on Long-Term Debt</w:t>
            </w:r>
          </w:p>
        </w:tc>
        <w:tc>
          <w:tcPr>
            <w:tcW w:w="115"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1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(4,080</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2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6"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Dividends Paid</w:t>
            </w:r>
          </w:p>
        </w:tc>
        <w:tc>
          <w:tcPr>
            <w:tcW w:w="115" w:type="dxa"/>
            <w:tcBorders/>
            <w:shd w:fill="CCFFCC" w:val="clear"/>
            <w:vAlign w:val="bottom"/>
          </w:tcPr>
          <w:p>
            <w:pPr>
              <w:pStyle w:val="TableContents"/>
              <w:spacing w:before="0" w:after="283"/>
              <w:jc w:val="right"/>
              <w:rPr/>
            </w:pPr>
            <w:r>
              <w:rPr/>
              <w:t> </w:t>
            </w:r>
          </w:p>
        </w:tc>
        <w:tc>
          <w:tcPr>
            <w:tcW w:w="183" w:type="dxa"/>
            <w:tcBorders/>
            <w:shd w:fill="CCFFCC" w:val="clear"/>
            <w:vAlign w:val="bottom"/>
          </w:tcPr>
          <w:p>
            <w:pPr>
              <w:pStyle w:val="TableContents"/>
              <w:spacing w:before="0" w:after="283"/>
              <w:jc w:val="left"/>
              <w:rPr/>
            </w:pPr>
            <w:r>
              <w:rPr/>
              <w:t> </w:t>
            </w:r>
          </w:p>
        </w:tc>
        <w:tc>
          <w:tcPr>
            <w:tcW w:w="1182"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(1,838</w:t>
            </w:r>
          </w:p>
        </w:tc>
        <w:tc>
          <w:tcPr>
            <w:tcW w:w="146"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CCFFCC" w:val="clear"/>
            <w:vAlign w:val="bottom"/>
          </w:tcPr>
          <w:p>
            <w:pPr>
              <w:pStyle w:val="TableContents"/>
              <w:spacing w:before="0" w:after="283"/>
              <w:jc w:val="right"/>
              <w:rPr/>
            </w:pPr>
            <w:r>
              <w:rPr/>
              <w:t> </w:t>
            </w:r>
          </w:p>
        </w:tc>
        <w:tc>
          <w:tcPr>
            <w:tcW w:w="183" w:type="dxa"/>
            <w:tcBorders/>
            <w:shd w:fill="CCFFCC" w:val="clear"/>
            <w:vAlign w:val="bottom"/>
          </w:tcPr>
          <w:p>
            <w:pPr>
              <w:pStyle w:val="TableContents"/>
              <w:spacing w:before="0" w:after="283"/>
              <w:jc w:val="left"/>
              <w:rPr/>
            </w:pPr>
            <w:r>
              <w:rPr/>
              <w:t> </w:t>
            </w:r>
          </w:p>
        </w:tc>
        <w:tc>
          <w:tcPr>
            <w:tcW w:w="122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(1,678</w:t>
            </w:r>
          </w:p>
        </w:tc>
        <w:tc>
          <w:tcPr>
            <w:tcW w:w="139"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6"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Purchase of Treasury Stock</w:t>
            </w:r>
          </w:p>
        </w:tc>
        <w:tc>
          <w:tcPr>
            <w:tcW w:w="115"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1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(649</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221" w:type="dxa"/>
            <w:tcBorders/>
            <w:shd w:fill="FFFFFF" w:val="clear"/>
            <w:vAlign w:val="bottom"/>
          </w:tcPr>
          <w:p>
            <w:pPr>
              <w:pStyle w:val="TableContents"/>
              <w:spacing w:before="0" w:after="283"/>
              <w:jc w:val="right"/>
              <w:rPr/>
            </w:pPr>
            <w:r>
              <w:rPr/>
              <w:t>—</w:t>
            </w:r>
          </w:p>
        </w:tc>
        <w:tc>
          <w:tcPr>
            <w:tcW w:w="139" w:type="dxa"/>
            <w:tcBorders/>
            <w:shd w:fill="FFFFFF" w:val="clear"/>
            <w:vAlign w:val="bottom"/>
          </w:tcPr>
          <w:p>
            <w:pPr>
              <w:pStyle w:val="TableContents"/>
              <w:spacing w:before="0" w:after="283"/>
              <w:jc w:val="left"/>
              <w:rPr/>
            </w:pPr>
            <w:r>
              <w:rPr/>
              <w:t> </w:t>
            </w:r>
          </w:p>
        </w:tc>
      </w:tr>
      <w:tr>
        <w:trPr/>
        <w:tc>
          <w:tcPr>
            <w:tcW w:w="6906" w:type="dxa"/>
            <w:tcBorders/>
            <w:shd w:fill="CCFFCC"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Other</w:t>
            </w:r>
          </w:p>
        </w:tc>
        <w:tc>
          <w:tcPr>
            <w:tcW w:w="115" w:type="dxa"/>
            <w:tcBorders/>
            <w:shd w:fill="CCFFCC" w:val="clear"/>
            <w:vAlign w:val="bottom"/>
          </w:tcPr>
          <w:p>
            <w:pPr>
              <w:pStyle w:val="TableContents"/>
              <w:spacing w:before="0" w:after="283"/>
              <w:jc w:val="right"/>
              <w:rPr/>
            </w:pPr>
            <w:r>
              <w:rPr/>
              <w:t> </w:t>
            </w:r>
          </w:p>
        </w:tc>
        <w:tc>
          <w:tcPr>
            <w:tcW w:w="18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82"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162</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jc w:val="right"/>
              <w:rPr/>
            </w:pPr>
            <w:r>
              <w:rPr/>
              <w:t> </w:t>
            </w:r>
          </w:p>
        </w:tc>
        <w:tc>
          <w:tcPr>
            <w:tcW w:w="18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2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1,199</w:t>
            </w:r>
          </w:p>
        </w:tc>
        <w:tc>
          <w:tcPr>
            <w:tcW w:w="139" w:type="dxa"/>
            <w:tcBorders/>
            <w:shd w:fill="CCFFCC" w:val="clear"/>
            <w:vAlign w:val="bottom"/>
          </w:tcPr>
          <w:p>
            <w:pPr>
              <w:pStyle w:val="TableContents"/>
              <w:spacing w:before="0" w:after="283"/>
              <w:jc w:val="left"/>
              <w:rPr/>
            </w:pPr>
            <w:r>
              <w:rPr/>
              <w:t> </w:t>
            </w:r>
          </w:p>
        </w:tc>
      </w:tr>
      <w:tr>
        <w:trPr/>
        <w:tc>
          <w:tcPr>
            <w:tcW w:w="6906" w:type="dxa"/>
            <w:tcBorders/>
            <w:shd w:fill="FFFFFF"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Net Cash Used in Financing Activities</w:t>
            </w:r>
          </w:p>
        </w:tc>
        <w:tc>
          <w:tcPr>
            <w:tcW w:w="115" w:type="dxa"/>
            <w:tcBorders/>
            <w:shd w:fill="FFFFFF" w:val="clear"/>
            <w:vAlign w:val="bottom"/>
          </w:tcPr>
          <w:p>
            <w:pPr>
              <w:pStyle w:val="TableContents"/>
              <w:spacing w:before="0" w:after="283"/>
              <w:jc w:val="right"/>
              <w:rPr/>
            </w:pPr>
            <w:r>
              <w:rPr/>
              <w:t> </w:t>
            </w:r>
          </w:p>
        </w:tc>
        <w:tc>
          <w:tcPr>
            <w:tcW w:w="18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(6,405</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right"/>
              <w:rPr/>
            </w:pPr>
            <w:r>
              <w:rPr/>
              <w:t> </w:t>
            </w:r>
          </w:p>
        </w:tc>
        <w:tc>
          <w:tcPr>
            <w:tcW w:w="18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(559</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6" w:type="dxa"/>
            <w:tcBorders/>
            <w:shd w:fill="CCFFCC" w:val="clear"/>
            <w:vAlign w:val="bottom"/>
          </w:tcPr>
          <w:p>
            <w:pPr>
              <w:pStyle w:val="TableContents"/>
              <w:spacing w:before="0" w:after="283"/>
              <w:rPr/>
            </w:pPr>
            <w:r>
              <w:rPr/>
              <w:t xml:space="preserve">  </w:t>
            </w:r>
          </w:p>
        </w:tc>
        <w:tc>
          <w:tcPr>
            <w:tcW w:w="115" w:type="dxa"/>
            <w:tcBorders/>
            <w:shd w:fill="CCFFCC" w:val="clear"/>
            <w:vAlign w:val="bottom"/>
          </w:tcPr>
          <w:p>
            <w:pPr>
              <w:pStyle w:val="TableContents"/>
              <w:spacing w:before="0" w:after="283"/>
              <w:rPr/>
            </w:pPr>
            <w:r>
              <w:rPr/>
              <w:t> </w:t>
            </w:r>
          </w:p>
        </w:tc>
        <w:tc>
          <w:tcPr>
            <w:tcW w:w="183" w:type="dxa"/>
            <w:tcBorders/>
            <w:shd w:fill="CCFFCC" w:val="clear"/>
            <w:vAlign w:val="bottom"/>
          </w:tcPr>
          <w:p>
            <w:pPr>
              <w:pStyle w:val="TableContents"/>
              <w:spacing w:before="0" w:after="283"/>
              <w:jc w:val="left"/>
              <w:rPr/>
            </w:pPr>
            <w:r>
              <w:rPr/>
              <w:t> </w:t>
            </w:r>
          </w:p>
        </w:tc>
        <w:tc>
          <w:tcPr>
            <w:tcW w:w="1182" w:type="dxa"/>
            <w:tcBorders/>
            <w:shd w:fill="CCFFCC" w:val="clear"/>
            <w:vAlign w:val="bottom"/>
          </w:tcPr>
          <w:p>
            <w:pPr>
              <w:pStyle w:val="TableContents"/>
              <w:spacing w:before="0" w:after="283"/>
              <w:jc w:val="right"/>
              <w:rPr/>
            </w:pPr>
            <w:r>
              <w:rPr/>
              <w:t> </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rPr/>
            </w:pPr>
            <w:r>
              <w:rPr/>
              <w:t> </w:t>
            </w:r>
          </w:p>
        </w:tc>
        <w:tc>
          <w:tcPr>
            <w:tcW w:w="183" w:type="dxa"/>
            <w:tcBorders/>
            <w:shd w:fill="CCFFCC" w:val="clear"/>
            <w:vAlign w:val="bottom"/>
          </w:tcPr>
          <w:p>
            <w:pPr>
              <w:pStyle w:val="TableContents"/>
              <w:spacing w:before="0" w:after="283"/>
              <w:jc w:val="left"/>
              <w:rPr/>
            </w:pPr>
            <w:r>
              <w:rPr/>
              <w:t> </w:t>
            </w:r>
          </w:p>
        </w:tc>
        <w:tc>
          <w:tcPr>
            <w:tcW w:w="1221"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906"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Effect of exchange rate changes on cash and cash equivalents</w:t>
            </w:r>
          </w:p>
        </w:tc>
        <w:tc>
          <w:tcPr>
            <w:tcW w:w="115"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1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1,098</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2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6" w:type="dxa"/>
            <w:tcBorders/>
            <w:shd w:fill="CCFFCC" w:val="clear"/>
            <w:vAlign w:val="bottom"/>
          </w:tcPr>
          <w:p>
            <w:pPr>
              <w:pStyle w:val="TableContents"/>
              <w:spacing w:before="0" w:after="283"/>
              <w:rPr/>
            </w:pPr>
            <w:r>
              <w:rPr/>
              <w:t xml:space="preserve">  </w:t>
            </w:r>
          </w:p>
        </w:tc>
        <w:tc>
          <w:tcPr>
            <w:tcW w:w="115" w:type="dxa"/>
            <w:tcBorders/>
            <w:shd w:fill="CCFFCC" w:val="clear"/>
            <w:vAlign w:val="bottom"/>
          </w:tcPr>
          <w:p>
            <w:pPr>
              <w:pStyle w:val="TableContents"/>
              <w:spacing w:before="0" w:after="283"/>
              <w:rPr/>
            </w:pPr>
            <w:r>
              <w:rPr/>
              <w:t> </w:t>
            </w:r>
          </w:p>
        </w:tc>
        <w:tc>
          <w:tcPr>
            <w:tcW w:w="183" w:type="dxa"/>
            <w:tcBorders/>
            <w:shd w:fill="CCFFCC" w:val="clear"/>
            <w:vAlign w:val="bottom"/>
          </w:tcPr>
          <w:p>
            <w:pPr>
              <w:pStyle w:val="TableContents"/>
              <w:spacing w:before="0" w:after="283"/>
              <w:jc w:val="left"/>
              <w:rPr/>
            </w:pPr>
            <w:r>
              <w:rPr/>
              <w:t> </w:t>
            </w:r>
          </w:p>
        </w:tc>
        <w:tc>
          <w:tcPr>
            <w:tcW w:w="1182" w:type="dxa"/>
            <w:tcBorders/>
            <w:shd w:fill="CCFFCC" w:val="clear"/>
            <w:vAlign w:val="bottom"/>
          </w:tcPr>
          <w:p>
            <w:pPr>
              <w:pStyle w:val="TableContents"/>
              <w:spacing w:before="0" w:after="283"/>
              <w:jc w:val="right"/>
              <w:rPr/>
            </w:pPr>
            <w:r>
              <w:rPr/>
              <w:t> </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rPr/>
            </w:pPr>
            <w:r>
              <w:rPr/>
              <w:t> </w:t>
            </w:r>
          </w:p>
        </w:tc>
        <w:tc>
          <w:tcPr>
            <w:tcW w:w="183" w:type="dxa"/>
            <w:tcBorders/>
            <w:shd w:fill="CCFFCC" w:val="clear"/>
            <w:vAlign w:val="bottom"/>
          </w:tcPr>
          <w:p>
            <w:pPr>
              <w:pStyle w:val="TableContents"/>
              <w:spacing w:before="0" w:after="283"/>
              <w:jc w:val="left"/>
              <w:rPr/>
            </w:pPr>
            <w:r>
              <w:rPr/>
              <w:t> </w:t>
            </w:r>
          </w:p>
        </w:tc>
        <w:tc>
          <w:tcPr>
            <w:tcW w:w="1221" w:type="dxa"/>
            <w:tcBorders/>
            <w:shd w:fill="CCFFCC" w:val="clear"/>
            <w:vAlign w:val="bottom"/>
          </w:tcPr>
          <w:p>
            <w:pPr>
              <w:pStyle w:val="TableContents"/>
              <w:spacing w:before="0" w:after="283"/>
              <w:jc w:val="right"/>
              <w:rPr/>
            </w:pPr>
            <w:r>
              <w:rPr/>
              <w:t> </w:t>
            </w:r>
          </w:p>
        </w:tc>
        <w:tc>
          <w:tcPr>
            <w:tcW w:w="139" w:type="dxa"/>
            <w:tcBorders/>
            <w:shd w:fill="CCFFCC" w:val="clear"/>
            <w:vAlign w:val="bottom"/>
          </w:tcPr>
          <w:p>
            <w:pPr>
              <w:pStyle w:val="TableContents"/>
              <w:spacing w:before="0" w:after="283"/>
              <w:jc w:val="left"/>
              <w:rPr/>
            </w:pPr>
            <w:r>
              <w:rPr/>
              <w:t> </w:t>
            </w:r>
          </w:p>
        </w:tc>
      </w:tr>
      <w:tr>
        <w:trPr/>
        <w:tc>
          <w:tcPr>
            <w:tcW w:w="6906"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Decrease in Cash and Cash Equivalents</w:t>
            </w:r>
          </w:p>
        </w:tc>
        <w:tc>
          <w:tcPr>
            <w:tcW w:w="115"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1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(4,576</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 w:type="dxa"/>
            <w:tcBorders/>
            <w:shd w:fill="FFFFFF" w:val="clear"/>
            <w:vAlign w:val="bottom"/>
          </w:tcPr>
          <w:p>
            <w:pPr>
              <w:pStyle w:val="TableContents"/>
              <w:spacing w:before="0" w:after="283"/>
              <w:jc w:val="right"/>
              <w:rPr/>
            </w:pPr>
            <w:r>
              <w:rPr/>
              <w:t> </w:t>
            </w:r>
          </w:p>
        </w:tc>
        <w:tc>
          <w:tcPr>
            <w:tcW w:w="183" w:type="dxa"/>
            <w:tcBorders/>
            <w:shd w:fill="FFFFFF" w:val="clear"/>
            <w:vAlign w:val="bottom"/>
          </w:tcPr>
          <w:p>
            <w:pPr>
              <w:pStyle w:val="TableContents"/>
              <w:spacing w:before="0" w:after="283"/>
              <w:jc w:val="left"/>
              <w:rPr/>
            </w:pPr>
            <w:r>
              <w:rPr/>
              <w:t> </w:t>
            </w:r>
          </w:p>
        </w:tc>
        <w:tc>
          <w:tcPr>
            <w:tcW w:w="12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(7,808</w:t>
            </w:r>
          </w:p>
        </w:tc>
        <w:tc>
          <w:tcPr>
            <w:tcW w:w="13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6" w:type="dxa"/>
            <w:tcBorders/>
            <w:shd w:fill="CCFFCC"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Beginning of Year</w:t>
            </w:r>
          </w:p>
        </w:tc>
        <w:tc>
          <w:tcPr>
            <w:tcW w:w="115" w:type="dxa"/>
            <w:tcBorders/>
            <w:shd w:fill="CCFFCC" w:val="clear"/>
            <w:vAlign w:val="bottom"/>
          </w:tcPr>
          <w:p>
            <w:pPr>
              <w:pStyle w:val="TableContents"/>
              <w:spacing w:before="0" w:after="283"/>
              <w:jc w:val="right"/>
              <w:rPr/>
            </w:pPr>
            <w:r>
              <w:rPr/>
              <w:t> </w:t>
            </w:r>
          </w:p>
        </w:tc>
        <w:tc>
          <w:tcPr>
            <w:tcW w:w="18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182"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6,848</w:t>
            </w:r>
          </w:p>
        </w:tc>
        <w:tc>
          <w:tcPr>
            <w:tcW w:w="146" w:type="dxa"/>
            <w:tcBorders/>
            <w:shd w:fill="CCFFCC" w:val="clear"/>
            <w:vAlign w:val="bottom"/>
          </w:tcPr>
          <w:p>
            <w:pPr>
              <w:pStyle w:val="TableContents"/>
              <w:spacing w:before="0" w:after="283"/>
              <w:jc w:val="left"/>
              <w:rPr/>
            </w:pPr>
            <w:r>
              <w:rPr/>
              <w:t> </w:t>
            </w:r>
          </w:p>
        </w:tc>
        <w:tc>
          <w:tcPr>
            <w:tcW w:w="130" w:type="dxa"/>
            <w:tcBorders/>
            <w:shd w:fill="CCFFCC" w:val="clear"/>
            <w:vAlign w:val="bottom"/>
          </w:tcPr>
          <w:p>
            <w:pPr>
              <w:pStyle w:val="TableContents"/>
              <w:spacing w:before="0" w:after="283"/>
              <w:jc w:val="right"/>
              <w:rPr/>
            </w:pPr>
            <w:r>
              <w:rPr/>
              <w:t> </w:t>
            </w:r>
          </w:p>
        </w:tc>
        <w:tc>
          <w:tcPr>
            <w:tcW w:w="183"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22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12,133</w:t>
            </w:r>
          </w:p>
        </w:tc>
        <w:tc>
          <w:tcPr>
            <w:tcW w:w="139" w:type="dxa"/>
            <w:tcBorders/>
            <w:shd w:fill="CCFFCC" w:val="clear"/>
            <w:vAlign w:val="bottom"/>
          </w:tcPr>
          <w:p>
            <w:pPr>
              <w:pStyle w:val="TableContents"/>
              <w:spacing w:before="0" w:after="283"/>
              <w:jc w:val="left"/>
              <w:rPr/>
            </w:pPr>
            <w:r>
              <w:rPr/>
              <w:t> </w:t>
            </w:r>
          </w:p>
        </w:tc>
      </w:tr>
      <w:tr>
        <w:trPr/>
        <w:tc>
          <w:tcPr>
            <w:tcW w:w="6906"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January 31</w:t>
            </w:r>
          </w:p>
        </w:tc>
        <w:tc>
          <w:tcPr>
            <w:tcW w:w="115" w:type="dxa"/>
            <w:tcBorders/>
            <w:shd w:fill="FFFFFF" w:val="clear"/>
            <w:vAlign w:val="bottom"/>
          </w:tcPr>
          <w:p>
            <w:pPr>
              <w:pStyle w:val="TableContents"/>
              <w:spacing w:before="0" w:after="283"/>
              <w:jc w:val="right"/>
              <w:rPr/>
            </w:pPr>
            <w:r>
              <w:rPr/>
              <w:t> </w:t>
            </w:r>
          </w:p>
        </w:tc>
        <w:tc>
          <w:tcPr>
            <w:tcW w:w="18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2,272</w:t>
            </w:r>
          </w:p>
        </w:tc>
        <w:tc>
          <w:tcPr>
            <w:tcW w:w="146" w:type="dxa"/>
            <w:tcBorders/>
            <w:shd w:fill="FFFFFF" w:val="clear"/>
            <w:vAlign w:val="bottom"/>
          </w:tcPr>
          <w:p>
            <w:pPr>
              <w:pStyle w:val="TableContents"/>
              <w:spacing w:before="0" w:after="283"/>
              <w:jc w:val="left"/>
              <w:rPr/>
            </w:pPr>
            <w:r>
              <w:rPr/>
              <w:t> </w:t>
            </w:r>
          </w:p>
        </w:tc>
        <w:tc>
          <w:tcPr>
            <w:tcW w:w="130" w:type="dxa"/>
            <w:tcBorders/>
            <w:shd w:fill="FFFFFF" w:val="clear"/>
            <w:vAlign w:val="bottom"/>
          </w:tcPr>
          <w:p>
            <w:pPr>
              <w:pStyle w:val="TableContents"/>
              <w:spacing w:before="0" w:after="283"/>
              <w:jc w:val="right"/>
              <w:rPr/>
            </w:pPr>
            <w:r>
              <w:rPr/>
              <w:t> </w:t>
            </w:r>
          </w:p>
        </w:tc>
        <w:tc>
          <w:tcPr>
            <w:tcW w:w="18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4,325</w:t>
            </w:r>
          </w:p>
        </w:tc>
        <w:tc>
          <w:tcPr>
            <w:tcW w:w="139"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2" w:name="PGBRK8"/>
      <w:bookmarkStart w:id="83" w:name="PGBRK8"/>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 w:name="FTR8"/>
      <w:bookmarkStart w:id="85" w:name="FTR8"/>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86" w:name="GLFTR8"/>
      <w:bookmarkEnd w:id="8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7" w:name="PN8"/>
      <w:bookmarkEnd w:id="8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 w:name="HDR8"/>
      <w:bookmarkStart w:id="89" w:name="HDR8"/>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90" w:name="GLHDR8"/>
      <w:bookmarkEnd w:id="90"/>
      <w:r>
        <w:rPr>
          <w:color w:val="000000"/>
        </w:rPr>
        <w:t xml:space="preserve">  </w:t>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2180</Words>
  <CharactersWithSpaces>14734</CharactersWithSpaces>
  <Paragraphs>1577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