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FEBRUARY 23, 2005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OIL-DRI CORPORATION OF AMERICA</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(State or other</w:t>
      </w:r>
    </w:p>
    <w:p>
      <w:pPr>
        <w:ind w:left="540"/>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0-8675</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36-2048898</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7" w:lineRule="exact"/>
        <w:rPr>
          <w:sz w:val="24"/>
          <w:szCs w:val="24"/>
          <w:color w:val="auto"/>
        </w:rPr>
      </w:pPr>
    </w:p>
    <w:p>
      <w:pPr>
        <w:sectPr>
          <w:pgSz w:w="11900" w:h="16838" w:orient="portrait"/>
          <w:cols w:equalWidth="0" w:num="3">
            <w:col w:w="3060" w:space="320"/>
            <w:col w:w="2100" w:space="220"/>
            <w:col w:w="4519"/>
          </w:cols>
          <w:pgMar w:left="240" w:top="649" w:right="1440" w:bottom="0" w:gutter="0" w:footer="0" w:header="0"/>
          <w:type w:val="continuous"/>
        </w:sectPr>
      </w:pPr>
    </w:p>
    <w:p>
      <w:pPr>
        <w:ind w:left="640"/>
        <w:spacing w:after="0"/>
        <w:rPr>
          <w:sz w:val="20"/>
          <w:szCs w:val="20"/>
          <w:color w:val="auto"/>
        </w:rPr>
      </w:pPr>
      <w:r>
        <w:rPr>
          <w:rFonts w:ascii="Courier New" w:cs="Courier New" w:eastAsia="Courier New" w:hAnsi="Courier New"/>
          <w:sz w:val="18"/>
          <w:szCs w:val="18"/>
          <w:color w:val="auto"/>
        </w:rPr>
        <w:t>incorporation)</w:t>
      </w: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410 NORTH MICHIGAN AVENUE</w:t>
      </w:r>
    </w:p>
    <w:p>
      <w:pPr>
        <w:ind w:left="1380"/>
        <w:spacing w:after="0" w:line="238" w:lineRule="auto"/>
        <w:rPr>
          <w:sz w:val="20"/>
          <w:szCs w:val="20"/>
          <w:color w:val="auto"/>
        </w:rPr>
      </w:pPr>
      <w:r>
        <w:rPr>
          <w:rFonts w:ascii="Courier New" w:cs="Courier New" w:eastAsia="Courier New" w:hAnsi="Courier New"/>
          <w:sz w:val="18"/>
          <w:szCs w:val="18"/>
          <w:color w:val="auto"/>
        </w:rPr>
        <w:t>SUITE 400</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60611-4213</w:t>
      </w:r>
    </w:p>
    <w:p>
      <w:pPr>
        <w:sectPr>
          <w:pgSz w:w="11900" w:h="16838" w:orient="portrait"/>
          <w:cols w:equalWidth="0" w:num="1">
            <w:col w:w="10219"/>
          </w:cols>
          <w:pgMar w:left="240" w:top="649" w:right="1440" w:bottom="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1" w:lineRule="exact"/>
        <w:rPr>
          <w:sz w:val="24"/>
          <w:szCs w:val="24"/>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(312) 321-1515</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25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26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2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On February 23, 2005, Oil-Dri Corporation of America (the "Registrant") issued a press release announcing its results of operations for the second quarter and first six months of its fiscal year 2005. A copy of the press release is attached as Exhibit 99.1 and the information contained therein is incorporated herein by reference. The information contained in this Form 8-K, including the exhibit, shall not be deemed "filed" for purposes of Section 18 of the Securities Exchange Act of 1934, and it shall not be deemed</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1879"/>
        <w:spacing w:after="0" w:line="235" w:lineRule="auto"/>
        <w:rPr>
          <w:sz w:val="20"/>
          <w:szCs w:val="20"/>
          <w:color w:val="auto"/>
        </w:rPr>
      </w:pPr>
      <w:r>
        <w:rPr>
          <w:rFonts w:ascii="Courier New" w:cs="Courier New" w:eastAsia="Courier New" w:hAnsi="Courier New"/>
          <w:sz w:val="18"/>
          <w:szCs w:val="18"/>
          <w:color w:val="auto"/>
        </w:rPr>
        <w:t>incorporated by reference into any filing under the Securities Act of 1933, except as shall be expressly set forth by specific reference in such filing.</w:t>
      </w:r>
    </w:p>
    <w:p>
      <w:pPr>
        <w:spacing w:after="0" w:line="200" w:lineRule="exact"/>
        <w:rPr>
          <w:sz w:val="20"/>
          <w:szCs w:val="20"/>
          <w:color w:val="auto"/>
        </w:rPr>
      </w:pP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DESCRIPTION OF EXHIBITS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520"/>
            <w:col w:w="8839"/>
          </w:cols>
          <w:pgMar w:left="240" w:top="142" w:right="1440" w:bottom="1440" w:gutter="0" w:footer="0" w:header="0"/>
          <w:type w:val="continuous"/>
        </w:sectPr>
      </w:pPr>
    </w:p>
    <w:p>
      <w:pPr>
        <w:spacing w:after="0" w:line="18" w:lineRule="exact"/>
        <w:rPr>
          <w:sz w:val="20"/>
          <w:szCs w:val="20"/>
          <w:color w:val="auto"/>
        </w:rPr>
      </w:pPr>
    </w:p>
    <w:p>
      <w:pPr>
        <w:ind w:left="320"/>
        <w:spacing w:after="0"/>
        <w:tabs>
          <w:tab w:leader="none" w:pos="11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Registrant dated February 23, 2005.</w:t>
      </w:r>
    </w:p>
    <w:p>
      <w:pPr>
        <w:sectPr>
          <w:pgSz w:w="11900" w:h="16838" w:orient="portrait"/>
          <w:cols w:equalWidth="0" w:num="1">
            <w:col w:w="10219"/>
          </w:cols>
          <w:pgMar w:left="240" w:top="142" w:right="1440" w:bottom="1440" w:gutter="0" w:footer="0" w:header="0"/>
          <w:type w:val="continuous"/>
        </w:sectPr>
      </w:pPr>
    </w:p>
    <w:bookmarkStart w:id="2" w:name="page3"/>
    <w:bookmarkEnd w:id="2"/>
    <w:p>
      <w:pPr>
        <w:spacing w:after="0" w:line="8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tabs>
          <w:tab w:leader="none" w:pos="36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CHARLES P. BRISSMAN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Charles P. Brissman</w:t>
      </w:r>
    </w:p>
    <w:p>
      <w:pPr>
        <w:ind w:left="3160"/>
        <w:spacing w:after="0" w:line="237"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24, 2005</w:t>
      </w:r>
    </w:p>
    <w:p>
      <w:pPr>
        <w:sectPr>
          <w:pgSz w:w="11900" w:h="16838" w:orient="portrait"/>
          <w:cols w:equalWidth="0" w:num="1">
            <w:col w:w="10219"/>
          </w:cols>
          <w:pgMar w:left="240" w:top="1440"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DESCRIPTION OF EXHIBITS</w:t>
      </w:r>
    </w:p>
    <w:p>
      <w:pPr>
        <w:spacing w:after="0" w:line="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520"/>
            <w:col w:w="8839"/>
          </w:cols>
          <w:pgMar w:left="240" w:top="1128" w:right="1440" w:bottom="1440" w:gutter="0" w:footer="0" w:header="0"/>
          <w:type w:val="continuous"/>
        </w:sectPr>
      </w:pPr>
    </w:p>
    <w:p>
      <w:pPr>
        <w:spacing w:after="0" w:line="18" w:lineRule="exact"/>
        <w:rPr>
          <w:sz w:val="20"/>
          <w:szCs w:val="20"/>
          <w:color w:val="auto"/>
        </w:rPr>
      </w:pPr>
    </w:p>
    <w:p>
      <w:pPr>
        <w:ind w:left="320"/>
        <w:spacing w:after="0"/>
        <w:tabs>
          <w:tab w:leader="none" w:pos="11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Registrant dated February 23, 2005.</w:t>
      </w:r>
    </w:p>
    <w:p>
      <w:pPr>
        <w:sectPr>
          <w:pgSz w:w="11900" w:h="16838" w:orient="portrait"/>
          <w:cols w:equalWidth="0" w:num="1">
            <w:col w:w="10219"/>
          </w:cols>
          <w:pgMar w:left="240" w:top="1128" w:right="1440" w:bottom="1440" w:gutter="0" w:footer="0" w:header="0"/>
          <w:type w:val="continuous"/>
        </w:sectPr>
      </w:pPr>
    </w:p>
    <w:bookmarkStart w:id="4" w:name="page5"/>
    <w:bookmarkEnd w:id="4"/>
    <w:p>
      <w:pPr>
        <w:ind w:left="5340"/>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9019"/>
          </w:cols>
          <w:pgMar w:left="1440" w:top="925" w:right="1440" w:bottom="0" w:gutter="0" w:footer="0" w:header="0"/>
        </w:sectPr>
      </w:pPr>
    </w:p>
    <w:p>
      <w:pPr>
        <w:spacing w:after="0" w:line="22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RELEASE:Immediate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Ronda J. Williams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312-706-3232</w:t>
      </w:r>
    </w:p>
    <w:p>
      <w:pPr>
        <w:spacing w:after="0" w:line="200" w:lineRule="exact"/>
        <w:rPr>
          <w:sz w:val="20"/>
          <w:szCs w:val="20"/>
          <w:color w:val="auto"/>
        </w:rPr>
      </w:pPr>
    </w:p>
    <w:p>
      <w:pPr>
        <w:sectPr>
          <w:pgSz w:w="11900" w:h="16838" w:orient="portrait"/>
          <w:cols w:equalWidth="0" w:num="3">
            <w:col w:w="3560" w:space="720"/>
            <w:col w:w="840" w:space="220"/>
            <w:col w:w="3679"/>
          </w:cols>
          <w:pgMar w:left="1440" w:top="925" w:right="1440" w:bottom="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OIL-DRI REPORTS 24% EARNINGS INCREASE ON RECORD SECOND QUARTER Sales</w:t>
      </w:r>
    </w:p>
    <w:p>
      <w:pPr>
        <w:spacing w:after="0" w:line="200" w:lineRule="exact"/>
        <w:rPr>
          <w:sz w:val="20"/>
          <w:szCs w:val="20"/>
          <w:color w:val="auto"/>
        </w:rPr>
      </w:pPr>
    </w:p>
    <w:p>
      <w:pPr>
        <w:spacing w:after="0" w:line="226" w:lineRule="exact"/>
        <w:rPr>
          <w:sz w:val="20"/>
          <w:szCs w:val="20"/>
          <w:color w:val="auto"/>
        </w:rPr>
      </w:pPr>
    </w:p>
    <w:p>
      <w:pPr>
        <w:ind w:left="180" w:right="2099"/>
        <w:spacing w:after="0" w:line="237" w:lineRule="auto"/>
        <w:rPr>
          <w:sz w:val="20"/>
          <w:szCs w:val="20"/>
          <w:color w:val="auto"/>
        </w:rPr>
      </w:pPr>
      <w:r>
        <w:rPr>
          <w:rFonts w:ascii="Courier New" w:cs="Courier New" w:eastAsia="Courier New" w:hAnsi="Courier New"/>
          <w:sz w:val="18"/>
          <w:szCs w:val="18"/>
          <w:color w:val="auto"/>
        </w:rPr>
        <w:t>CHICAGO - February 23, 2005 - Oil-Dri Corporation of America (NYSE: ODC) today reported sales of $49,481,000 for the second quarter ended January 31, 2005, which are 4% greater than sales of $47,800,000 in the same quarter one year ago. Net income for the quarter was $2,146,000 or $0.36 per diluted share, compared to $1,728,000 or $0.29 per diluted share in the second quarter last fiscal year.</w:t>
      </w:r>
    </w:p>
    <w:p>
      <w:pPr>
        <w:spacing w:after="0" w:line="211" w:lineRule="exact"/>
        <w:rPr>
          <w:sz w:val="20"/>
          <w:szCs w:val="20"/>
          <w:color w:val="auto"/>
        </w:rPr>
      </w:pPr>
    </w:p>
    <w:p>
      <w:pPr>
        <w:ind w:left="180" w:right="1999"/>
        <w:spacing w:after="0" w:line="237" w:lineRule="auto"/>
        <w:rPr>
          <w:sz w:val="20"/>
          <w:szCs w:val="20"/>
          <w:color w:val="auto"/>
        </w:rPr>
      </w:pPr>
      <w:r>
        <w:rPr>
          <w:rFonts w:ascii="Courier New" w:cs="Courier New" w:eastAsia="Courier New" w:hAnsi="Courier New"/>
          <w:sz w:val="18"/>
          <w:szCs w:val="18"/>
          <w:color w:val="auto"/>
        </w:rPr>
        <w:t>Net sales for the first six-month period were $93,602,000, compared to sales of $94,092,000 in the same period one year ago. Net income for the six-month period was $3,426,000 or $0.57 per diluted share, compared to $3,446,000 or $0.59 per diluted share last fiscal year.</w:t>
      </w:r>
    </w:p>
    <w:p>
      <w:pPr>
        <w:spacing w:after="0" w:line="203" w:lineRule="exact"/>
        <w:rPr>
          <w:sz w:val="20"/>
          <w:szCs w:val="20"/>
          <w:color w:val="auto"/>
        </w:rPr>
      </w:pPr>
    </w:p>
    <w:p>
      <w:pPr>
        <w:ind w:left="180"/>
        <w:spacing w:after="0"/>
        <w:rPr>
          <w:sz w:val="20"/>
          <w:szCs w:val="20"/>
          <w:color w:val="auto"/>
        </w:rPr>
      </w:pPr>
      <w:r>
        <w:rPr>
          <w:rFonts w:ascii="Courier New" w:cs="Courier New" w:eastAsia="Courier New" w:hAnsi="Courier New"/>
          <w:sz w:val="18"/>
          <w:szCs w:val="18"/>
          <w:color w:val="auto"/>
        </w:rPr>
        <w:t>SECOND QUARTER REVIEW</w:t>
      </w:r>
    </w:p>
    <w:p>
      <w:pPr>
        <w:spacing w:after="0" w:line="4" w:lineRule="exact"/>
        <w:rPr>
          <w:sz w:val="20"/>
          <w:szCs w:val="20"/>
          <w:color w:val="auto"/>
        </w:rPr>
      </w:pPr>
    </w:p>
    <w:p>
      <w:pPr>
        <w:ind w:left="180" w:right="1999"/>
        <w:spacing w:after="0" w:line="237" w:lineRule="auto"/>
        <w:rPr>
          <w:sz w:val="20"/>
          <w:szCs w:val="20"/>
          <w:color w:val="auto"/>
        </w:rPr>
      </w:pPr>
      <w:r>
        <w:rPr>
          <w:rFonts w:ascii="Courier New" w:cs="Courier New" w:eastAsia="Courier New" w:hAnsi="Courier New"/>
          <w:sz w:val="18"/>
          <w:szCs w:val="18"/>
          <w:color w:val="auto"/>
        </w:rPr>
        <w:t>"Second quarter results were solid and generally in line with our expectations for the quarter," said Dan Jaffee, President and Chief Executive Officer. "We are particularly pleased with the 24% quarterly earnings increase despite having spent $505,000 during the quarter in connection with our Sarbanes-Oxley section 404 readiness efforts. The strong results were driven by increased contribution from both the Specialty Products and Industrial and Automotive groups. The Crop Production and Horticultural Products Group remained behind last year but we are encouraged by quarterly improvements.</w:t>
      </w:r>
    </w:p>
    <w:p>
      <w:pPr>
        <w:spacing w:after="0" w:line="215" w:lineRule="exact"/>
        <w:rPr>
          <w:sz w:val="20"/>
          <w:szCs w:val="20"/>
          <w:color w:val="auto"/>
        </w:rPr>
      </w:pPr>
    </w:p>
    <w:p>
      <w:pPr>
        <w:ind w:left="180" w:right="1999"/>
        <w:spacing w:after="0" w:line="273" w:lineRule="auto"/>
        <w:rPr>
          <w:sz w:val="20"/>
          <w:szCs w:val="20"/>
          <w:color w:val="auto"/>
        </w:rPr>
      </w:pPr>
      <w:r>
        <w:rPr>
          <w:rFonts w:ascii="Courier New" w:cs="Courier New" w:eastAsia="Courier New" w:hAnsi="Courier New"/>
          <w:sz w:val="16"/>
          <w:szCs w:val="16"/>
          <w:color w:val="auto"/>
        </w:rPr>
        <w:t>"This quarter we received an unfavorable decision in our long-pending Reno litigation to recover the costs associated with our attempt to build a new plant in Washoe County, Nev. The decision had no material impact on the company, as we had written off those costs in 2002, and we are not appealing this decision."</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8"/>
          <w:szCs w:val="18"/>
          <w:color w:val="auto"/>
        </w:rPr>
        <w:t>BUSINESS REVIEW</w:t>
      </w:r>
    </w:p>
    <w:p>
      <w:pPr>
        <w:spacing w:after="0" w:line="4" w:lineRule="exact"/>
        <w:rPr>
          <w:sz w:val="20"/>
          <w:szCs w:val="20"/>
          <w:color w:val="auto"/>
        </w:rPr>
      </w:pPr>
    </w:p>
    <w:p>
      <w:pPr>
        <w:ind w:left="700" w:right="1999"/>
        <w:spacing w:after="0" w:line="237" w:lineRule="auto"/>
        <w:rPr>
          <w:sz w:val="20"/>
          <w:szCs w:val="20"/>
          <w:color w:val="auto"/>
        </w:rPr>
      </w:pPr>
      <w:r>
        <w:rPr>
          <w:rFonts w:ascii="Courier New" w:cs="Courier New" w:eastAsia="Courier New" w:hAnsi="Courier New"/>
          <w:sz w:val="18"/>
          <w:szCs w:val="18"/>
          <w:color w:val="auto"/>
        </w:rPr>
        <w:t>Sales for the CONSUMER PRODUCTS GROUP were up 3% for the quarter and flat for the six months. Canadian operations and the company's co-pack business strongly contributed to the quarter. Increased trade spending to market the Jonny Cat scoopable litters and the cost of new package design for Cat's Pride offset some of the quarter's sales growth.</w:t>
      </w:r>
    </w:p>
    <w:p>
      <w:pPr>
        <w:spacing w:after="0" w:line="210" w:lineRule="exact"/>
        <w:rPr>
          <w:sz w:val="20"/>
          <w:szCs w:val="20"/>
          <w:color w:val="auto"/>
        </w:rPr>
      </w:pPr>
    </w:p>
    <w:p>
      <w:pPr>
        <w:ind w:left="700" w:right="2099"/>
        <w:spacing w:after="0" w:line="237" w:lineRule="auto"/>
        <w:rPr>
          <w:sz w:val="20"/>
          <w:szCs w:val="20"/>
          <w:color w:val="auto"/>
        </w:rPr>
      </w:pPr>
      <w:r>
        <w:rPr>
          <w:rFonts w:ascii="Courier New" w:cs="Courier New" w:eastAsia="Courier New" w:hAnsi="Courier New"/>
          <w:sz w:val="18"/>
          <w:szCs w:val="18"/>
          <w:color w:val="auto"/>
        </w:rPr>
        <w:t>The CROP PRODUCTION AND HORTICULTURAL PRODUCTS GROUP sales were down 8% for the quarter and 30% for the six months. Agsorb carrier sales, though still behind last year, picked up in the quarter.</w:t>
      </w:r>
    </w:p>
    <w:p>
      <w:pPr>
        <w:spacing w:after="0" w:line="207" w:lineRule="exact"/>
        <w:rPr>
          <w:sz w:val="20"/>
          <w:szCs w:val="20"/>
          <w:color w:val="auto"/>
        </w:rPr>
      </w:pPr>
    </w:p>
    <w:p>
      <w:pPr>
        <w:ind w:left="700" w:right="1879"/>
        <w:spacing w:after="0" w:line="237" w:lineRule="auto"/>
        <w:rPr>
          <w:sz w:val="20"/>
          <w:szCs w:val="20"/>
          <w:color w:val="auto"/>
        </w:rPr>
      </w:pPr>
      <w:r>
        <w:rPr>
          <w:rFonts w:ascii="Courier New" w:cs="Courier New" w:eastAsia="Courier New" w:hAnsi="Courier New"/>
          <w:sz w:val="18"/>
          <w:szCs w:val="18"/>
          <w:color w:val="auto"/>
        </w:rPr>
        <w:t>The INDUSTRIAL AND AUTOMOTIVE PRODUCTS GROUP sales were up 10% for the quarter and up 7% for the six months. Sales were up for industrial floor absorbents in the quarter and synthetic absorbents remain strong throughout the first half. Freight surcharges were implemented in January to recoup increased transportation costs.</w:t>
      </w:r>
    </w:p>
    <w:p>
      <w:pPr>
        <w:spacing w:after="0" w:line="210" w:lineRule="exact"/>
        <w:rPr>
          <w:sz w:val="20"/>
          <w:szCs w:val="20"/>
          <w:color w:val="auto"/>
        </w:rPr>
      </w:pPr>
    </w:p>
    <w:p>
      <w:pPr>
        <w:ind w:left="700" w:right="1999"/>
        <w:spacing w:after="0" w:line="237" w:lineRule="auto"/>
        <w:rPr>
          <w:sz w:val="20"/>
          <w:szCs w:val="20"/>
          <w:color w:val="auto"/>
        </w:rPr>
      </w:pPr>
      <w:r>
        <w:rPr>
          <w:rFonts w:ascii="Courier New" w:cs="Courier New" w:eastAsia="Courier New" w:hAnsi="Courier New"/>
          <w:sz w:val="18"/>
          <w:szCs w:val="18"/>
          <w:color w:val="auto"/>
        </w:rPr>
        <w:t>Sales for the SPECIALTY PRODUCTS GROUP continue to be strong with an 11% increase for the quarter and 14% for the six months. Significant growth in international sales of ConditionAde 200 HPC positively contributed to the group, along with strong sales of Pure-Flo and Ultra-Clear in the U.S.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Courier New" w:cs="Courier New" w:eastAsia="Courier New" w:hAnsi="Courier New"/>
          <w:sz w:val="18"/>
          <w:szCs w:val="18"/>
          <w:color w:val="auto"/>
        </w:rPr>
        <w:t>FINANCIAL HIGHLIGHTS</w:t>
      </w:r>
    </w:p>
    <w:p>
      <w:pPr>
        <w:spacing w:after="0" w:line="4" w:lineRule="exact"/>
        <w:rPr>
          <w:sz w:val="20"/>
          <w:szCs w:val="20"/>
          <w:color w:val="auto"/>
        </w:rPr>
      </w:pPr>
    </w:p>
    <w:p>
      <w:pPr>
        <w:ind w:left="180" w:right="1999"/>
        <w:spacing w:after="0" w:line="237" w:lineRule="auto"/>
        <w:rPr>
          <w:sz w:val="20"/>
          <w:szCs w:val="20"/>
          <w:color w:val="auto"/>
        </w:rPr>
      </w:pPr>
      <w:r>
        <w:rPr>
          <w:rFonts w:ascii="Courier New" w:cs="Courier New" w:eastAsia="Courier New" w:hAnsi="Courier New"/>
          <w:sz w:val="18"/>
          <w:szCs w:val="18"/>
          <w:color w:val="auto"/>
        </w:rPr>
        <w:t>On December 7, 2004, Oil-Dri's Board of Directors declared a regular quarterly cash dividend of $0.11 per share of Common Stock. The dividend will be payable on March 18, 2005 to stockholders of record at the close of business on February 11, 2005. At the January 31, 2005 closing price of $18.40 per share and assuming cash dividends continue at the same rate, the annual yield on Common Stock is 2.4%.</w:t>
      </w:r>
    </w:p>
    <w:p>
      <w:pPr>
        <w:sectPr>
          <w:pgSz w:w="11900" w:h="16838" w:orient="portrait"/>
          <w:cols w:equalWidth="0" w:num="1">
            <w:col w:w="9019"/>
          </w:cols>
          <w:pgMar w:left="1440" w:top="925" w:right="1440" w:bottom="0" w:gutter="0" w:footer="0" w:header="0"/>
          <w:type w:val="continuous"/>
        </w:sectPr>
      </w:pPr>
    </w:p>
    <w:bookmarkStart w:id="5" w:name="page6"/>
    <w:bookmarkEnd w:id="5"/>
    <w:p>
      <w:pPr>
        <w:ind w:left="3020"/>
        <w:spacing w:after="0"/>
        <w:rPr>
          <w:sz w:val="20"/>
          <w:szCs w:val="20"/>
          <w:color w:val="auto"/>
        </w:rPr>
      </w:pPr>
      <w:r>
        <w:rPr>
          <w:rFonts w:ascii="Courier New" w:cs="Courier New" w:eastAsia="Courier New" w:hAnsi="Courier New"/>
          <w:sz w:val="16"/>
          <w:szCs w:val="16"/>
          <w:color w:val="auto"/>
        </w:rPr>
        <w:t>- Continued-</w:t>
      </w:r>
    </w:p>
    <w:p>
      <w:pPr>
        <w:sectPr>
          <w:pgSz w:w="11900" w:h="16838" w:orient="portrait"/>
          <w:cols w:equalWidth="0" w:num="1">
            <w:col w:w="9019"/>
          </w:cols>
          <w:pgMar w:left="1440" w:top="142" w:right="1440" w:bottom="1440" w:gutter="0" w:footer="0" w:header="0"/>
        </w:sectPr>
      </w:pPr>
    </w:p>
    <w:bookmarkStart w:id="6" w:name="page7"/>
    <w:bookmarkEnd w:id="6"/>
    <w:p>
      <w:pPr>
        <w:ind w:left="1380" w:right="2519"/>
        <w:spacing w:after="0" w:line="235" w:lineRule="auto"/>
        <w:rPr>
          <w:sz w:val="20"/>
          <w:szCs w:val="20"/>
          <w:color w:val="auto"/>
        </w:rPr>
      </w:pPr>
      <w:r>
        <w:rPr>
          <w:rFonts w:ascii="Courier New" w:cs="Courier New" w:eastAsia="Courier New" w:hAnsi="Courier New"/>
          <w:sz w:val="18"/>
          <w:szCs w:val="18"/>
          <w:color w:val="auto"/>
        </w:rPr>
        <w:t>During the quarter the company repurchased 116,300 shares of Common Stock, at an average price of $17.79 per share.</w:t>
      </w:r>
    </w:p>
    <w:p>
      <w:pPr>
        <w:spacing w:after="0" w:line="208" w:lineRule="exact"/>
        <w:rPr>
          <w:sz w:val="20"/>
          <w:szCs w:val="20"/>
          <w:color w:val="auto"/>
        </w:rPr>
      </w:pPr>
    </w:p>
    <w:p>
      <w:pPr>
        <w:ind w:left="1380" w:right="1999"/>
        <w:spacing w:after="0" w:line="237" w:lineRule="auto"/>
        <w:rPr>
          <w:sz w:val="20"/>
          <w:szCs w:val="20"/>
          <w:color w:val="auto"/>
        </w:rPr>
      </w:pPr>
      <w:r>
        <w:rPr>
          <w:rFonts w:ascii="Courier New" w:cs="Courier New" w:eastAsia="Courier New" w:hAnsi="Courier New"/>
          <w:sz w:val="18"/>
          <w:szCs w:val="18"/>
          <w:color w:val="auto"/>
        </w:rPr>
        <w:t>Cash, cash equivalents and short-term investments at January 31, 2005, totaled $20,071,000. Operating cash flow for the first six months was $5,417,000. Capital expenditures for the first six month period totaled $3,964,000, which is $142,000 more than the depreciation and amortization of $3,822,000.</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LOOKING FORWARD</w:t>
      </w:r>
    </w:p>
    <w:p>
      <w:pPr>
        <w:spacing w:after="0" w:line="4" w:lineRule="exact"/>
        <w:rPr>
          <w:sz w:val="20"/>
          <w:szCs w:val="20"/>
          <w:color w:val="auto"/>
        </w:rPr>
      </w:pPr>
    </w:p>
    <w:p>
      <w:pPr>
        <w:ind w:left="1380" w:right="1999"/>
        <w:spacing w:after="0" w:line="237" w:lineRule="auto"/>
        <w:rPr>
          <w:sz w:val="20"/>
          <w:szCs w:val="20"/>
          <w:color w:val="auto"/>
        </w:rPr>
      </w:pPr>
      <w:r>
        <w:rPr>
          <w:rFonts w:ascii="Courier New" w:cs="Courier New" w:eastAsia="Courier New" w:hAnsi="Courier New"/>
          <w:sz w:val="18"/>
          <w:szCs w:val="18"/>
          <w:color w:val="auto"/>
        </w:rPr>
        <w:t>Jaffee commented, "As part of our strategy to focus on operational excellence, we recently announced that Brian Bancroft has joined the company as Vice President and Chief Procurement Officer. Bancroft will assess the purchasing needs of our business and identify how we can better interact with key suppliers. Ultimately, we hope to implement a purchasing process that brings best practices into the company and allows us to take advantage of our economies of scale.</w:t>
      </w:r>
    </w:p>
    <w:p>
      <w:pPr>
        <w:spacing w:after="0" w:line="212"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"Despite the fact that we are behind last year's earnings per share, we continue to remain confident we will deliver $1.20 - $1.30 earnings per share for fiscal year 2005."</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380" w:right="2199"/>
        <w:spacing w:after="0" w:line="268" w:lineRule="auto"/>
        <w:rPr>
          <w:sz w:val="20"/>
          <w:szCs w:val="20"/>
          <w:color w:val="auto"/>
        </w:rPr>
      </w:pPr>
      <w:r>
        <w:rPr>
          <w:rFonts w:ascii="Courier New" w:cs="Courier New" w:eastAsia="Courier New" w:hAnsi="Courier New"/>
          <w:sz w:val="16"/>
          <w:szCs w:val="16"/>
          <w:color w:val="auto"/>
        </w:rPr>
        <w:t>THE COMPANY WILL OFFER A LIVE WEB CAST OF THE SECOND QUARTER EARNINGS TELECONFERENCE ON THURSDAY, FEBRUARY 24, 2005 AT 10:00</w:t>
      </w:r>
    </w:p>
    <w:p>
      <w:pPr>
        <w:ind w:left="1380" w:right="2419"/>
        <w:spacing w:after="0" w:line="237" w:lineRule="auto"/>
        <w:rPr>
          <w:sz w:val="20"/>
          <w:szCs w:val="20"/>
          <w:color w:val="auto"/>
        </w:rPr>
      </w:pPr>
      <w:r>
        <w:rPr>
          <w:rFonts w:ascii="Courier New" w:cs="Courier New" w:eastAsia="Courier New" w:hAnsi="Courier New"/>
          <w:sz w:val="18"/>
          <w:szCs w:val="18"/>
          <w:color w:val="auto"/>
        </w:rPr>
        <w:t>A.M. CST. TO LISTEN TO THE CALL VIA THE WEB, PLEASE VISIT HTTP://WWW.STREETEVENTS.COM OR HTTP://WWW.OILDRI.COM. AN ARCHIVED RECORDING OF THE CALL AND WRITTEN TRANSCRIPTS OF ALL TELECONFERENCES ARE POSTED ON THE OIL-DRI WEB SITE.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1380" w:right="2319"/>
        <w:spacing w:after="0" w:line="237" w:lineRule="auto"/>
        <w:rPr>
          <w:sz w:val="20"/>
          <w:szCs w:val="20"/>
          <w:color w:val="auto"/>
        </w:rPr>
      </w:pPr>
      <w:r>
        <w:rPr>
          <w:rFonts w:ascii="Courier New" w:cs="Courier New" w:eastAsia="Courier New" w:hAnsi="Courier New"/>
          <w:sz w:val="18"/>
          <w:szCs w:val="18"/>
          <w:color w:val="auto"/>
        </w:rPr>
        <w:t>OIL-DRI CORPORATION OF AMERICA IS THE WORLD'S LARGEST MANUFACTURER OF CAT LITTER AND A LEADING SUPPLIER OF SPECIALTY SORBENT PRODUCTS FOR INDUSTRIAL, AUTOMOTIVE, AGRICULTURAL, HORTICULTURAL AND SPECIALTY MARKETS.</w:t>
      </w:r>
    </w:p>
    <w:p>
      <w:pPr>
        <w:spacing w:after="0" w:line="207" w:lineRule="exact"/>
        <w:rPr>
          <w:sz w:val="20"/>
          <w:szCs w:val="20"/>
          <w:color w:val="auto"/>
        </w:rPr>
      </w:pPr>
    </w:p>
    <w:p>
      <w:pPr>
        <w:ind w:left="1380" w:right="2419"/>
        <w:spacing w:after="0" w:line="236" w:lineRule="auto"/>
        <w:rPr>
          <w:sz w:val="20"/>
          <w:szCs w:val="20"/>
          <w:color w:val="auto"/>
        </w:rPr>
      </w:pPr>
      <w:r>
        <w:rPr>
          <w:rFonts w:ascii="Courier New" w:cs="Courier New" w:eastAsia="Courier New" w:hAnsi="Courier New"/>
          <w:sz w:val="18"/>
          <w:szCs w:val="18"/>
          <w:color w:val="auto"/>
        </w:rPr>
        <w:t>JONNY CAT, CAT'S PRIDE, AGSORB, PRO'S CHOICE, CONDITIONADE, ULTRA-CLEAR AND PURE-FLO ARE REGISTERED TRADEMARKS OF OIL-DRI CORPORATION OF AMERICA.</w:t>
      </w:r>
    </w:p>
    <w:p>
      <w:pPr>
        <w:spacing w:after="0" w:line="209" w:lineRule="exact"/>
        <w:rPr>
          <w:sz w:val="20"/>
          <w:szCs w:val="20"/>
          <w:color w:val="auto"/>
        </w:rPr>
      </w:pPr>
    </w:p>
    <w:p>
      <w:pPr>
        <w:ind w:left="1380" w:right="2099"/>
        <w:spacing w:after="0" w:line="270" w:lineRule="auto"/>
        <w:rPr>
          <w:sz w:val="20"/>
          <w:szCs w:val="20"/>
          <w:color w:val="auto"/>
        </w:rPr>
      </w:pPr>
      <w:r>
        <w:rPr>
          <w:rFonts w:ascii="Courier New" w:cs="Courier New" w:eastAsia="Courier New" w:hAnsi="Courier New"/>
          <w:sz w:val="16"/>
          <w:szCs w:val="16"/>
          <w:color w:val="auto"/>
        </w:rPr>
        <w:t>THIS RELEASE CONTAINS CERTAIN FORWARD-LOOKING STATEMENTS REGARDING THE COMPANY'S EXPECTED PERFORMANCE FOR FUTURE PERIODS, AND ACTUAL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ENERGY PRICES, AND OTHER FACTORS DETAILED FROM TIME TO TIME IN THE COMPANY'S ANNUAL REPORT AND OTHER REPORTS FILED WITH THE SECURITIES AND EXCHANGE COMMISSION.</w:t>
      </w:r>
    </w:p>
    <w:p>
      <w:pPr>
        <w:sectPr>
          <w:pgSz w:w="11900" w:h="16838" w:orient="portrait"/>
          <w:cols w:equalWidth="0" w:num="1">
            <w:col w:w="10219"/>
          </w:cols>
          <w:pgMar w:left="240" w:top="92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7"/>
              </w:rPr>
              <w:t>O I L  -  D R I   C O R P O R A T I O N</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O F</w:t>
            </w:r>
          </w:p>
        </w:tc>
        <w:tc>
          <w:tcPr>
            <w:tcW w:w="22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A M E R I C A</w:t>
            </w:r>
          </w:p>
        </w:tc>
        <w:tc>
          <w:tcPr>
            <w:tcW w:w="116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CONSOLIDATED STATEMENTS OF INCOME</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thousands, except for per share amounts)</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4120" w:type="dxa"/>
            <w:vAlign w:val="bottom"/>
          </w:tcPr>
          <w:p>
            <w:pPr>
              <w:spacing w:after="0"/>
              <w:rPr>
                <w:sz w:val="24"/>
                <w:szCs w:val="24"/>
                <w:color w:val="auto"/>
              </w:rPr>
            </w:pPr>
          </w:p>
        </w:tc>
        <w:tc>
          <w:tcPr>
            <w:tcW w:w="422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SECOND QUARTER ENDED JANUARY 31,</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12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c>
          <w:tcPr>
            <w:tcW w:w="12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 OF SALES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OF SALES</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$49,481</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100.0%</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$47,800</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100.0%</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37,902</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76.6%</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36,507</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76.4%</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11,579</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11,293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23.6%</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LOSS ON IMPAIRED LONG-LIVED ASSETS</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center"/>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(464)</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(8,472)</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-17.1%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(8,039)</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-16.8%</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3,107</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6.3%</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2,790</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2,912</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5.9%</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2,433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766</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$2,146</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4.4%</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$1,728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3.6%</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BASIC COMMON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$0.42</w:t>
            </w:r>
          </w:p>
        </w:tc>
        <w:tc>
          <w:tcPr>
            <w:tcW w:w="1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$0.34</w:t>
            </w:r>
          </w:p>
        </w:tc>
        <w:tc>
          <w:tcPr>
            <w:tcW w:w="1160" w:type="dxa"/>
            <w:vAlign w:val="bottom"/>
          </w:tcPr>
          <w:p>
            <w:pPr>
              <w:spacing w:after="0"/>
              <w:rPr>
                <w:sz w:val="17"/>
                <w:szCs w:val="17"/>
                <w:color w:val="auto"/>
              </w:rPr>
            </w:pPr>
          </w:p>
        </w:tc>
      </w:tr>
      <w:tr>
        <w:trPr>
          <w:trHeight w:val="203"/>
        </w:trPr>
        <w:tc>
          <w:tcPr>
            <w:tcW w:w="4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$0.31</w:t>
            </w:r>
          </w:p>
        </w:tc>
        <w:tc>
          <w:tcPr>
            <w:tcW w:w="1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w:t>
            </w:r>
          </w:p>
        </w:tc>
        <w:tc>
          <w:tcPr>
            <w:tcW w:w="1160" w:type="dxa"/>
            <w:vAlign w:val="bottom"/>
          </w:tcPr>
          <w:p>
            <w:pPr>
              <w:spacing w:after="0"/>
              <w:rPr>
                <w:sz w:val="17"/>
                <w:szCs w:val="17"/>
                <w:color w:val="auto"/>
              </w:rPr>
            </w:pPr>
          </w:p>
        </w:tc>
      </w:tr>
      <w:tr>
        <w:trPr>
          <w:trHeight w:val="203"/>
        </w:trPr>
        <w:tc>
          <w:tcPr>
            <w:tcW w:w="4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DILUTED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$0.36</w:t>
            </w:r>
          </w:p>
        </w:tc>
        <w:tc>
          <w:tcPr>
            <w:tcW w:w="1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$0.29</w:t>
            </w:r>
          </w:p>
        </w:tc>
        <w:tc>
          <w:tcPr>
            <w:tcW w:w="116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4120" w:type="dxa"/>
            <w:vAlign w:val="bottom"/>
          </w:tcPr>
          <w:p>
            <w:pPr>
              <w:ind w:left="1480"/>
              <w:spacing w:after="0"/>
              <w:rPr>
                <w:sz w:val="20"/>
                <w:szCs w:val="20"/>
                <w:color w:val="auto"/>
              </w:rPr>
            </w:pPr>
            <w:r>
              <w:rPr>
                <w:rFonts w:ascii="Courier New" w:cs="Courier New" w:eastAsia="Courier New" w:hAnsi="Courier New"/>
                <w:sz w:val="18"/>
                <w:szCs w:val="18"/>
                <w:color w:val="auto"/>
              </w:rPr>
              <w:t>BASIC COMMON</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4,056</w:t>
            </w:r>
          </w:p>
        </w:tc>
        <w:tc>
          <w:tcPr>
            <w:tcW w:w="12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4,022</w:t>
            </w:r>
          </w:p>
        </w:tc>
        <w:tc>
          <w:tcPr>
            <w:tcW w:w="1160" w:type="dxa"/>
            <w:vAlign w:val="bottom"/>
          </w:tcPr>
          <w:p>
            <w:pPr>
              <w:spacing w:after="0"/>
              <w:rPr>
                <w:sz w:val="24"/>
                <w:szCs w:val="24"/>
                <w:color w:val="auto"/>
              </w:rPr>
            </w:pPr>
          </w:p>
        </w:tc>
      </w:tr>
      <w:tr>
        <w:trPr>
          <w:trHeight w:val="203"/>
        </w:trPr>
        <w:tc>
          <w:tcPr>
            <w:tcW w:w="4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1,451</w:t>
            </w:r>
          </w:p>
        </w:tc>
        <w:tc>
          <w:tcPr>
            <w:tcW w:w="1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1,425</w:t>
            </w:r>
          </w:p>
        </w:tc>
        <w:tc>
          <w:tcPr>
            <w:tcW w:w="1160" w:type="dxa"/>
            <w:vAlign w:val="bottom"/>
          </w:tcPr>
          <w:p>
            <w:pPr>
              <w:spacing w:after="0"/>
              <w:rPr>
                <w:sz w:val="17"/>
                <w:szCs w:val="17"/>
                <w:color w:val="auto"/>
              </w:rPr>
            </w:pPr>
          </w:p>
        </w:tc>
      </w:tr>
      <w:tr>
        <w:trPr>
          <w:trHeight w:val="203"/>
        </w:trPr>
        <w:tc>
          <w:tcPr>
            <w:tcW w:w="4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DILUTED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5,993</w:t>
            </w:r>
          </w:p>
        </w:tc>
        <w:tc>
          <w:tcPr>
            <w:tcW w:w="1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6,000</w:t>
            </w:r>
          </w:p>
        </w:tc>
        <w:tc>
          <w:tcPr>
            <w:tcW w:w="1160" w:type="dxa"/>
            <w:vAlign w:val="bottom"/>
          </w:tcPr>
          <w:p>
            <w:pPr>
              <w:spacing w:after="0"/>
              <w:rPr>
                <w:sz w:val="17"/>
                <w:szCs w:val="17"/>
                <w:color w:val="auto"/>
              </w:rPr>
            </w:pPr>
          </w:p>
        </w:tc>
      </w:tr>
      <w:tr>
        <w:trPr>
          <w:trHeight w:val="405"/>
        </w:trPr>
        <w:tc>
          <w:tcPr>
            <w:tcW w:w="4120" w:type="dxa"/>
            <w:vAlign w:val="bottom"/>
          </w:tcPr>
          <w:p>
            <w:pPr>
              <w:spacing w:after="0"/>
              <w:rPr>
                <w:sz w:val="24"/>
                <w:szCs w:val="24"/>
                <w:color w:val="auto"/>
              </w:rPr>
            </w:pPr>
          </w:p>
        </w:tc>
        <w:tc>
          <w:tcPr>
            <w:tcW w:w="4220" w:type="dxa"/>
            <w:vAlign w:val="bottom"/>
            <w:gridSpan w:val="4"/>
          </w:tcPr>
          <w:p>
            <w:pPr>
              <w:jc w:val="right"/>
              <w:ind w:right="652"/>
              <w:spacing w:after="0"/>
              <w:rPr>
                <w:sz w:val="20"/>
                <w:szCs w:val="20"/>
                <w:color w:val="auto"/>
              </w:rPr>
            </w:pPr>
            <w:r>
              <w:rPr>
                <w:rFonts w:ascii="Courier New" w:cs="Courier New" w:eastAsia="Courier New" w:hAnsi="Courier New"/>
                <w:sz w:val="18"/>
                <w:szCs w:val="18"/>
                <w:color w:val="auto"/>
              </w:rPr>
              <w:t>SIX MONTHS ENDED JANUARY 31,</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12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c>
          <w:tcPr>
            <w:tcW w:w="12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 OF SALES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OF SALES</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$93,602</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100.0%</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$94,092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72,355</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77.3%</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71,921</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76.4%</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21,247</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22,171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23.6%</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LOSS ON IMPAIRED LONG-LIVED ASSETS</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center"/>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(464)</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-0.5%</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(16,115)</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(16,148)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5,132</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5.5%</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5,559</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(895)</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4,630</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4.9%</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4,853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1,204</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$3,426</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3.6%</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$3,446</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w:t>
            </w:r>
          </w:p>
        </w:tc>
      </w:tr>
      <w:tr>
        <w:trPr>
          <w:trHeight w:val="203"/>
        </w:trPr>
        <w:tc>
          <w:tcPr>
            <w:tcW w:w="8340" w:type="dxa"/>
            <w:vAlign w:val="bottom"/>
            <w:gridSpan w:val="5"/>
          </w:tcPr>
          <w:p>
            <w:pPr>
              <w:ind w:left="40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BASIC COMMON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$0.67</w:t>
            </w:r>
          </w:p>
        </w:tc>
        <w:tc>
          <w:tcPr>
            <w:tcW w:w="1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$0.68</w:t>
            </w:r>
          </w:p>
        </w:tc>
        <w:tc>
          <w:tcPr>
            <w:tcW w:w="1160" w:type="dxa"/>
            <w:vAlign w:val="bottom"/>
          </w:tcPr>
          <w:p>
            <w:pPr>
              <w:spacing w:after="0"/>
              <w:rPr>
                <w:sz w:val="17"/>
                <w:szCs w:val="17"/>
                <w:color w:val="auto"/>
              </w:rPr>
            </w:pPr>
          </w:p>
        </w:tc>
      </w:tr>
      <w:tr>
        <w:trPr>
          <w:trHeight w:val="203"/>
        </w:trPr>
        <w:tc>
          <w:tcPr>
            <w:tcW w:w="4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$0.50</w:t>
            </w:r>
          </w:p>
        </w:tc>
        <w:tc>
          <w:tcPr>
            <w:tcW w:w="1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$0.51</w:t>
            </w:r>
          </w:p>
        </w:tc>
        <w:tc>
          <w:tcPr>
            <w:tcW w:w="116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ind w:left="1480"/>
              <w:spacing w:after="0"/>
              <w:rPr>
                <w:sz w:val="20"/>
                <w:szCs w:val="20"/>
                <w:color w:val="auto"/>
              </w:rPr>
            </w:pPr>
            <w:r>
              <w:rPr>
                <w:rFonts w:ascii="Courier New" w:cs="Courier New" w:eastAsia="Courier New" w:hAnsi="Courier New"/>
                <w:sz w:val="18"/>
                <w:szCs w:val="18"/>
                <w:color w:val="auto"/>
              </w:rPr>
              <w:t>DILUTED</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$0.57</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$0.59</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9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BASIC COMMON</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4,054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4,030</w:t>
            </w:r>
          </w:p>
        </w:tc>
      </w:tr>
      <w:tr>
        <w:trPr>
          <w:trHeight w:val="203"/>
        </w:trPr>
        <w:tc>
          <w:tcPr>
            <w:tcW w:w="39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1,451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1,424</w:t>
            </w:r>
          </w:p>
        </w:tc>
      </w:tr>
      <w:tr>
        <w:trPr>
          <w:trHeight w:val="203"/>
        </w:trPr>
        <w:tc>
          <w:tcPr>
            <w:tcW w:w="39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DILUTED</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5,972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5,873</w:t>
            </w:r>
          </w:p>
        </w:tc>
      </w:tr>
    </w:tbl>
    <w:p>
      <w:pPr>
        <w:sectPr>
          <w:pgSz w:w="11900" w:h="16838" w:orient="portrait"/>
          <w:cols w:equalWidth="0" w:num="1">
            <w:col w:w="10219"/>
          </w:cols>
          <w:pgMar w:left="240" w:top="136"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O I L  -  D R I   C O R P O R A T I O N</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O F</w:t>
            </w:r>
          </w:p>
        </w:tc>
        <w:tc>
          <w:tcPr>
            <w:tcW w:w="19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w w:val="95"/>
              </w:rPr>
              <w:t>A M E R I C A</w:t>
            </w:r>
          </w:p>
        </w:tc>
        <w:tc>
          <w:tcPr>
            <w:tcW w:w="1040" w:type="dxa"/>
            <w:vAlign w:val="bottom"/>
          </w:tcPr>
          <w:p>
            <w:pPr>
              <w:spacing w:after="0"/>
              <w:rPr>
                <w:sz w:val="17"/>
                <w:szCs w:val="17"/>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CONSOLIDATED BALANCE SHEETS</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thousands, except for per share amounts)</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10"/>
        </w:trPr>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AS OF JANUARY 31,</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28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w w:val="96"/>
              </w:rPr>
              <w:t>CASH, CASH EQUIVALENTS AND INVESTMENTS</w:t>
            </w: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$20,071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$17,933</w:t>
            </w:r>
          </w:p>
        </w:tc>
      </w:tr>
      <w:tr>
        <w:trPr>
          <w:trHeight w:val="203"/>
        </w:trPr>
        <w:tc>
          <w:tcPr>
            <w:tcW w:w="4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24,681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27,142</w:t>
            </w:r>
          </w:p>
        </w:tc>
      </w:tr>
      <w:tr>
        <w:trPr>
          <w:trHeight w:val="203"/>
        </w:trPr>
        <w:tc>
          <w:tcPr>
            <w:tcW w:w="4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INVENTORIES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13,082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12,361</w:t>
            </w:r>
          </w:p>
        </w:tc>
      </w:tr>
      <w:tr>
        <w:trPr>
          <w:trHeight w:val="203"/>
        </w:trPr>
        <w:tc>
          <w:tcPr>
            <w:tcW w:w="4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8,742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7,787</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24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66,576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65,223</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48,205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46,963</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12,348</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14,856</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$127,129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$127,042</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28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CURRENT MATURITIES OF NOTES PAYABLE</w:t>
            </w: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4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5,195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5,264</w:t>
            </w:r>
          </w:p>
        </w:tc>
      </w:tr>
      <w:tr>
        <w:trPr>
          <w:trHeight w:val="203"/>
        </w:trPr>
        <w:tc>
          <w:tcPr>
            <w:tcW w:w="4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568</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512</w:t>
            </w:r>
          </w:p>
        </w:tc>
      </w:tr>
      <w:tr>
        <w:trPr>
          <w:trHeight w:val="203"/>
        </w:trPr>
        <w:tc>
          <w:tcPr>
            <w:tcW w:w="4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15,644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15,029</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24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22,987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24,805</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LIABILITIES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NOTES PAYABLE</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23,240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24,900</w:t>
            </w:r>
          </w:p>
        </w:tc>
      </w:tr>
      <w:tr>
        <w:trPr>
          <w:trHeight w:val="203"/>
        </w:trPr>
        <w:tc>
          <w:tcPr>
            <w:tcW w:w="42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8"/>
              </w:rPr>
              <w:t>OTHER NONCURRENT LIABILITIES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6,663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5,679</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2440"/>
              <w:spacing w:after="0" w:line="203" w:lineRule="exact"/>
              <w:rPr>
                <w:sz w:val="20"/>
                <w:szCs w:val="20"/>
                <w:color w:val="auto"/>
              </w:rPr>
            </w:pPr>
            <w:r>
              <w:rPr>
                <w:rFonts w:ascii="Courier New" w:cs="Courier New" w:eastAsia="Courier New" w:hAnsi="Courier New"/>
                <w:sz w:val="18"/>
                <w:szCs w:val="18"/>
                <w:color w:val="auto"/>
                <w:w w:val="96"/>
              </w:rPr>
              <w:t>TOTAL LONG-TERM LIABILITIES</w:t>
            </w: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29,903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30,579</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74,239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71,658</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$127,129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$127,042</w:t>
            </w:r>
          </w:p>
        </w:tc>
      </w:tr>
      <w:tr>
        <w:trPr>
          <w:trHeight w:val="203"/>
        </w:trPr>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80" w:type="dxa"/>
            <w:vAlign w:val="bottom"/>
          </w:tcPr>
          <w:p>
            <w:pPr>
              <w:spacing w:after="0"/>
              <w:rPr>
                <w:sz w:val="20"/>
                <w:szCs w:val="20"/>
                <w:color w:val="auto"/>
              </w:rPr>
            </w:pPr>
            <w:r>
              <w:rPr>
                <w:rFonts w:ascii="Courier New" w:cs="Courier New" w:eastAsia="Courier New" w:hAnsi="Courier New"/>
                <w:sz w:val="18"/>
                <w:szCs w:val="18"/>
                <w:color w:val="auto"/>
              </w:rPr>
              <w:t>BOOK VALUE PER SHARE OUTSTANDING</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$13.49</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$13.14</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ADDITIONS TO AND ACQUISITIONS OF</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SECOND QUARTER</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$2,216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$1,187</w:t>
            </w:r>
          </w:p>
        </w:tc>
      </w:tr>
      <w:tr>
        <w:trPr>
          <w:trHeight w:val="203"/>
        </w:trPr>
        <w:tc>
          <w:tcPr>
            <w:tcW w:w="4280" w:type="dxa"/>
            <w:vAlign w:val="bottom"/>
          </w:tcPr>
          <w:p>
            <w:pPr>
              <w:spacing w:after="0"/>
              <w:rPr>
                <w:sz w:val="17"/>
                <w:szCs w:val="17"/>
                <w:color w:val="auto"/>
              </w:rPr>
            </w:pP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YEAR TO DATE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$3,964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$2,227</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DEPRECIATION AND AMORTIZATION CHARGES</w:t>
            </w:r>
          </w:p>
        </w:tc>
        <w:tc>
          <w:tcPr>
            <w:tcW w:w="1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SECOND QUARTER</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$1,896</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$2,042</w:t>
            </w:r>
          </w:p>
        </w:tc>
      </w:tr>
      <w:tr>
        <w:trPr>
          <w:trHeight w:val="203"/>
        </w:trPr>
        <w:tc>
          <w:tcPr>
            <w:tcW w:w="4280" w:type="dxa"/>
            <w:vAlign w:val="bottom"/>
          </w:tcPr>
          <w:p>
            <w:pPr>
              <w:spacing w:after="0"/>
              <w:rPr>
                <w:sz w:val="17"/>
                <w:szCs w:val="17"/>
                <w:color w:val="auto"/>
              </w:rPr>
            </w:pP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YEAR TO DATE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$3,822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$4,124</w:t>
            </w:r>
          </w:p>
        </w:tc>
      </w:tr>
    </w:tbl>
    <w:p>
      <w:pPr>
        <w:spacing w:after="0" w:line="1" w:lineRule="exact"/>
        <w:rPr>
          <w:sz w:val="20"/>
          <w:szCs w:val="20"/>
          <w:color w:val="auto"/>
        </w:rPr>
      </w:pP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2020-02-14T13:02:10Z</dcterms:created>
  <dcterms:modified xsi:type="dcterms:W3CDTF">2020-02-14T13:02:10Z</dcterms:modified>
</cp:coreProperties>
</file>