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13D</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 (Amendment No. 28)</w:t>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Oil-Dri Corporation of America</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Common Stock Par Value $0.10 Per Share</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(Title of Class of Securities)</w:t>
      </w:r>
    </w:p>
    <w:p>
      <w:pPr>
        <w:spacing w:after="0" w:line="200" w:lineRule="exact"/>
        <w:rPr>
          <w:sz w:val="24"/>
          <w:szCs w:val="24"/>
          <w:color w:val="auto"/>
        </w:rPr>
      </w:pPr>
    </w:p>
    <w:p>
      <w:pPr>
        <w:spacing w:after="0" w:line="258" w:lineRule="exact"/>
        <w:rPr>
          <w:sz w:val="24"/>
          <w:szCs w:val="24"/>
          <w:color w:val="auto"/>
        </w:rPr>
      </w:pPr>
    </w:p>
    <w:p>
      <w:pPr>
        <w:ind w:left="3680"/>
        <w:spacing w:after="0"/>
        <w:rPr>
          <w:sz w:val="20"/>
          <w:szCs w:val="20"/>
          <w:color w:val="auto"/>
        </w:rPr>
      </w:pPr>
      <w:r>
        <w:rPr>
          <w:rFonts w:ascii="Arial" w:cs="Arial" w:eastAsia="Arial" w:hAnsi="Arial"/>
          <w:sz w:val="22"/>
          <w:szCs w:val="22"/>
          <w:color w:val="auto"/>
        </w:rPr>
        <w:t>_________</w:t>
      </w:r>
      <w:r>
        <w:rPr>
          <w:rFonts w:ascii="Arial" w:cs="Arial" w:eastAsia="Arial" w:hAnsi="Arial"/>
          <w:sz w:val="22"/>
          <w:szCs w:val="22"/>
          <w:u w:val="single" w:color="auto"/>
          <w:color w:val="auto"/>
        </w:rPr>
        <w:t>677864100</w:t>
      </w:r>
      <w:r>
        <w:rPr>
          <w:rFonts w:ascii="Arial" w:cs="Arial" w:eastAsia="Arial" w:hAnsi="Arial"/>
          <w:sz w:val="22"/>
          <w:szCs w:val="22"/>
          <w:color w:val="auto"/>
        </w:rPr>
        <w:t>_________</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u w:val="single" w:color="auto"/>
          <w:color w:val="auto"/>
        </w:rPr>
        <w:t>(CUSIP Number)</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David Goldman</w:t>
      </w:r>
    </w:p>
    <w:p>
      <w:pPr>
        <w:jc w:val="center"/>
        <w:ind w:right="-19"/>
        <w:spacing w:after="0" w:line="238" w:lineRule="auto"/>
        <w:rPr>
          <w:sz w:val="20"/>
          <w:szCs w:val="20"/>
          <w:color w:val="auto"/>
        </w:rPr>
      </w:pPr>
      <w:r>
        <w:rPr>
          <w:rFonts w:ascii="Arial" w:cs="Arial" w:eastAsia="Arial" w:hAnsi="Arial"/>
          <w:sz w:val="22"/>
          <w:szCs w:val="22"/>
          <w:color w:val="auto"/>
        </w:rPr>
        <w:t>GAMCO Investors, Inc.</w:t>
      </w:r>
    </w:p>
    <w:p>
      <w:pPr>
        <w:jc w:val="center"/>
        <w:ind w:right="-19"/>
        <w:spacing w:after="0" w:line="230" w:lineRule="auto"/>
        <w:rPr>
          <w:sz w:val="20"/>
          <w:szCs w:val="20"/>
          <w:color w:val="auto"/>
        </w:rPr>
      </w:pPr>
      <w:r>
        <w:rPr>
          <w:rFonts w:ascii="Arial" w:cs="Arial" w:eastAsia="Arial" w:hAnsi="Arial"/>
          <w:sz w:val="22"/>
          <w:szCs w:val="22"/>
          <w:color w:val="auto"/>
        </w:rPr>
        <w:t>One Corporate Center</w:t>
      </w:r>
    </w:p>
    <w:p>
      <w:pPr>
        <w:jc w:val="center"/>
        <w:ind w:right="-19"/>
        <w:spacing w:after="0" w:line="231" w:lineRule="auto"/>
        <w:rPr>
          <w:sz w:val="20"/>
          <w:szCs w:val="20"/>
          <w:color w:val="auto"/>
        </w:rPr>
      </w:pPr>
      <w:r>
        <w:rPr>
          <w:rFonts w:ascii="Arial" w:cs="Arial" w:eastAsia="Arial" w:hAnsi="Arial"/>
          <w:sz w:val="22"/>
          <w:szCs w:val="22"/>
          <w:color w:val="auto"/>
        </w:rPr>
        <w:t>Rye, New York 10580-1435</w:t>
      </w:r>
    </w:p>
    <w:p>
      <w:pPr>
        <w:jc w:val="center"/>
        <w:ind w:right="-19"/>
        <w:spacing w:after="0" w:line="231" w:lineRule="auto"/>
        <w:rPr>
          <w:sz w:val="20"/>
          <w:szCs w:val="20"/>
          <w:color w:val="auto"/>
        </w:rPr>
      </w:pPr>
      <w:r>
        <w:rPr>
          <w:rFonts w:ascii="Arial" w:cs="Arial" w:eastAsia="Arial" w:hAnsi="Arial"/>
          <w:sz w:val="22"/>
          <w:szCs w:val="22"/>
          <w:color w:val="auto"/>
        </w:rPr>
        <w:t>(914) 921-5000</w:t>
      </w:r>
    </w:p>
    <w:p>
      <w:pPr>
        <w:jc w:val="center"/>
        <w:ind w:right="-79"/>
        <w:spacing w:after="0"/>
        <w:rPr>
          <w:sz w:val="20"/>
          <w:szCs w:val="20"/>
          <w:color w:val="auto"/>
        </w:rPr>
      </w:pPr>
      <w:r>
        <w:rPr>
          <w:rFonts w:ascii="Arial" w:cs="Arial" w:eastAsia="Arial" w:hAnsi="Arial"/>
          <w:sz w:val="22"/>
          <w:szCs w:val="22"/>
          <w:color w:val="auto"/>
        </w:rPr>
        <w:t>(Name, Address and Telephone Number of Person Authorized to Receive Notices and Communications)</w:t>
      </w:r>
    </w:p>
    <w:p>
      <w:pPr>
        <w:spacing w:after="0" w:line="200" w:lineRule="exact"/>
        <w:rPr>
          <w:sz w:val="24"/>
          <w:szCs w:val="24"/>
          <w:color w:val="auto"/>
        </w:rPr>
      </w:pPr>
    </w:p>
    <w:p>
      <w:pPr>
        <w:spacing w:after="0" w:line="258" w:lineRule="exact"/>
        <w:rPr>
          <w:sz w:val="24"/>
          <w:szCs w:val="24"/>
          <w:color w:val="auto"/>
        </w:rPr>
      </w:pPr>
    </w:p>
    <w:p>
      <w:pPr>
        <w:ind w:left="2820"/>
        <w:spacing w:after="0"/>
        <w:rPr>
          <w:sz w:val="20"/>
          <w:szCs w:val="20"/>
          <w:color w:val="auto"/>
        </w:rPr>
      </w:pPr>
      <w:r>
        <w:rPr>
          <w:rFonts w:ascii="Arial" w:cs="Arial" w:eastAsia="Arial" w:hAnsi="Arial"/>
          <w:sz w:val="22"/>
          <w:szCs w:val="22"/>
          <w:color w:val="auto"/>
        </w:rPr>
        <w:t>____________________</w:t>
      </w:r>
      <w:r>
        <w:rPr>
          <w:rFonts w:ascii="Arial" w:cs="Arial" w:eastAsia="Arial" w:hAnsi="Arial"/>
          <w:sz w:val="22"/>
          <w:szCs w:val="22"/>
          <w:u w:val="single" w:color="auto"/>
          <w:color w:val="auto"/>
        </w:rPr>
        <w:t>January 3, 2020</w:t>
      </w:r>
      <w:r>
        <w:rPr>
          <w:rFonts w:ascii="Arial" w:cs="Arial" w:eastAsia="Arial" w:hAnsi="Arial"/>
          <w:sz w:val="22"/>
          <w:szCs w:val="22"/>
          <w:color w:val="auto"/>
        </w:rPr>
        <w:t>_____________________</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58" w:lineRule="exact"/>
        <w:rPr>
          <w:sz w:val="24"/>
          <w:szCs w:val="24"/>
          <w:color w:val="auto"/>
        </w:rPr>
      </w:pPr>
    </w:p>
    <w:p>
      <w:pPr>
        <w:spacing w:after="0" w:line="328" w:lineRule="auto"/>
        <w:rPr>
          <w:sz w:val="20"/>
          <w:szCs w:val="20"/>
          <w:color w:val="auto"/>
        </w:rPr>
      </w:pPr>
      <w:r>
        <w:rPr>
          <w:rFonts w:ascii="Arial" w:cs="Arial" w:eastAsia="Arial" w:hAnsi="Arial"/>
          <w:sz w:val="19"/>
          <w:szCs w:val="19"/>
          <w:color w:val="auto"/>
        </w:rPr>
        <w:t>If the filing person has previously filed a statement on Schedule 13G to report the acquisition that is the subject of this Schedule 13D, and is filing this schedule because of §§ 240.13d-1(e), 240.13d-1(f) or 240.13d-1(g), check the following box .</w:t>
      </w:r>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677864100</w:t>
      </w:r>
    </w:p>
    <w:p>
      <w:pPr>
        <w:spacing w:after="0" w:line="14" w:lineRule="exact"/>
        <w:rPr>
          <w:sz w:val="20"/>
          <w:szCs w:val="20"/>
          <w:color w:val="auto"/>
        </w:rPr>
      </w:pPr>
    </w:p>
    <w:p>
      <w:pPr>
        <w:ind w:left="840" w:hanging="458"/>
        <w:spacing w:after="0"/>
        <w:tabs>
          <w:tab w:leader="none" w:pos="8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7"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Gabelli Funds, LLC</w:t>
            </w:r>
          </w:p>
        </w:tc>
        <w:tc>
          <w:tcPr>
            <w:tcW w:w="7100" w:type="dxa"/>
            <w:vAlign w:val="bottom"/>
            <w:tcBorders>
              <w:bottom w:val="single" w:sz="8" w:color="auto"/>
            </w:tcBorders>
          </w:tcPr>
          <w:p>
            <w:pPr>
              <w:ind w:left="1920"/>
              <w:spacing w:after="0"/>
              <w:rPr>
                <w:sz w:val="20"/>
                <w:szCs w:val="20"/>
                <w:color w:val="auto"/>
              </w:rPr>
            </w:pPr>
            <w:r>
              <w:rPr>
                <w:rFonts w:ascii="Arial" w:cs="Arial" w:eastAsia="Arial" w:hAnsi="Arial"/>
                <w:sz w:val="18"/>
                <w:szCs w:val="18"/>
                <w:b w:val="1"/>
                <w:bCs w:val="1"/>
                <w:color w:val="auto"/>
              </w:rPr>
              <w:t>I.D. No. 13-4044523</w:t>
            </w:r>
          </w:p>
        </w:tc>
      </w:tr>
      <w:tr>
        <w:trPr>
          <w:trHeight w:val="234"/>
        </w:trPr>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rPr>
              <w:t>2</w:t>
            </w:r>
          </w:p>
        </w:tc>
        <w:tc>
          <w:tcPr>
            <w:tcW w:w="107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Check the appropriate box if a member of a group </w:t>
            </w:r>
            <w:r>
              <w:rPr>
                <w:rFonts w:ascii="Arial" w:cs="Arial" w:eastAsia="Arial" w:hAnsi="Arial"/>
                <w:sz w:val="14"/>
                <w:szCs w:val="14"/>
                <w:b w:val="1"/>
                <w:bCs w:val="1"/>
                <w:color w:val="auto"/>
              </w:rPr>
              <w:t>(SEE INSTRUCTIONS)</w:t>
            </w:r>
            <w:r>
              <w:rPr>
                <w:rFonts w:ascii="Arial" w:cs="Arial" w:eastAsia="Arial" w:hAnsi="Arial"/>
                <w:sz w:val="18"/>
                <w:szCs w:val="18"/>
                <w:b w:val="1"/>
                <w:bCs w:val="1"/>
                <w:color w:val="auto"/>
              </w:rPr>
              <w:t xml:space="preserve">   (a)</w:t>
            </w:r>
          </w:p>
        </w:tc>
      </w:tr>
    </w:tbl>
    <w:p>
      <w:pPr>
        <w:spacing w:after="0" w:line="396"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840" w:hanging="458"/>
        <w:spacing w:after="0"/>
        <w:tabs>
          <w:tab w:leader="none" w:pos="8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840" w:hanging="458"/>
        <w:spacing w:after="0"/>
        <w:tabs>
          <w:tab w:leader="none" w:pos="8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Source of funds </w:t>
      </w:r>
      <w:r>
        <w:rPr>
          <w:rFonts w:ascii="Arial" w:cs="Arial" w:eastAsia="Arial" w:hAnsi="Arial"/>
          <w:sz w:val="14"/>
          <w:szCs w:val="14"/>
          <w:b w:val="1"/>
          <w:bCs w:val="1"/>
          <w:color w:val="auto"/>
        </w:rPr>
        <w:t>(SEE INSTRUCTIONS)</w:t>
      </w:r>
    </w:p>
    <w:p>
      <w:pPr>
        <w:spacing w:after="0" w:line="2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00-Funds of investment advisory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4" w:lineRule="exact"/>
        <w:rPr>
          <w:sz w:val="20"/>
          <w:szCs w:val="20"/>
          <w:color w:val="auto"/>
        </w:rPr>
      </w:pPr>
    </w:p>
    <w:p>
      <w:pPr>
        <w:ind w:left="840" w:hanging="458"/>
        <w:spacing w:after="0"/>
        <w:tabs>
          <w:tab w:leader="none" w:pos="8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80" w:right="7840" w:hanging="598"/>
        <w:spacing w:after="0" w:line="282" w:lineRule="auto"/>
        <w:tabs>
          <w:tab w:leader="none" w:pos="84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 New York</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 Of</w:t>
            </w: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560" w:type="dxa"/>
            <w:vAlign w:val="bottom"/>
            <w:tcBorders>
              <w:top w:val="single" w:sz="8" w:color="auto"/>
            </w:tcBorders>
          </w:tcPr>
          <w:p>
            <w:pPr>
              <w:ind w:left="11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101,500  (Item 5)</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Owned</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By Each</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101,500  (Item 5)</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Person</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440" w:type="dxa"/>
            <w:vAlign w:val="bottom"/>
            <w:vMerge w:val="continue"/>
          </w:tcPr>
          <w:p>
            <w:pPr>
              <w:spacing w:after="0"/>
              <w:rPr>
                <w:sz w:val="11"/>
                <w:szCs w:val="11"/>
                <w:color w:val="auto"/>
              </w:rPr>
            </w:pPr>
          </w:p>
        </w:tc>
        <w:tc>
          <w:tcPr>
            <w:tcW w:w="142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560" w:type="dxa"/>
            <w:vAlign w:val="bottom"/>
            <w:vMerge w:val="restart"/>
          </w:tcPr>
          <w:p>
            <w:pPr>
              <w:ind w:left="118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440" w:type="dxa"/>
            <w:vAlign w:val="bottom"/>
            <w:vMerge w:val="continue"/>
          </w:tcPr>
          <w:p>
            <w:pPr>
              <w:spacing w:after="0"/>
              <w:rPr>
                <w:sz w:val="13"/>
                <w:szCs w:val="13"/>
                <w:color w:val="auto"/>
              </w:rPr>
            </w:pPr>
          </w:p>
        </w:tc>
        <w:tc>
          <w:tcPr>
            <w:tcW w:w="14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right="5720" w:hanging="832"/>
        <w:spacing w:after="0" w:line="514" w:lineRule="auto"/>
        <w:tabs>
          <w:tab w:leader="none" w:pos="8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101,500 (Item 5)</w:t>
      </w:r>
    </w:p>
    <w:p>
      <w:pPr>
        <w:ind w:left="840" w:hanging="832"/>
        <w:spacing w:after="0"/>
        <w:tabs>
          <w:tab w:leader="none" w:pos="840" w:val="left"/>
        </w:tabs>
        <w:numPr>
          <w:ilvl w:val="0"/>
          <w:numId w:val="6"/>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Check box if the aggregate amount in row (11) 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spacing w:after="0"/>
        <w:rPr>
          <w:sz w:val="20"/>
          <w:szCs w:val="20"/>
          <w:color w:val="auto"/>
        </w:rPr>
      </w:pPr>
      <w:r>
        <w:rPr>
          <w:rFonts w:ascii="Arial" w:cs="Arial" w:eastAsia="Arial" w:hAnsi="Arial"/>
          <w:sz w:val="14"/>
          <w:szCs w:val="14"/>
          <w:b w:val="1"/>
          <w:bCs w:val="1"/>
          <w:color w:val="auto"/>
        </w:rPr>
        <w:t>(SEE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840" w:right="6700" w:hanging="832"/>
        <w:spacing w:after="0" w:line="363" w:lineRule="auto"/>
        <w:tabs>
          <w:tab w:leader="none" w:pos="840" w:val="left"/>
        </w:tabs>
        <w:numPr>
          <w:ilvl w:val="0"/>
          <w:numId w:val="7"/>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Percent of class represented by amount in row (11) 1.87%</w:t>
      </w:r>
    </w:p>
    <w:p>
      <w:pPr>
        <w:ind w:left="840" w:hanging="832"/>
        <w:spacing w:after="0"/>
        <w:tabs>
          <w:tab w:leader="none" w:pos="840" w:val="left"/>
        </w:tabs>
        <w:numPr>
          <w:ilvl w:val="0"/>
          <w:numId w:val="7"/>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 xml:space="preserve">Type of reporting person </w:t>
      </w:r>
      <w:r>
        <w:rPr>
          <w:rFonts w:ascii="Arial" w:cs="Arial" w:eastAsia="Arial" w:hAnsi="Arial"/>
          <w:sz w:val="14"/>
          <w:szCs w:val="14"/>
          <w:b w:val="1"/>
          <w:bCs w:val="1"/>
          <w:color w:val="auto"/>
        </w:rPr>
        <w:t>(SEE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8"/>
          <w:szCs w:val="18"/>
          <w:b w:val="1"/>
          <w:bCs w:val="1"/>
          <w:color w:val="auto"/>
        </w:rPr>
        <w:t>IA,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677864100</w:t>
      </w:r>
    </w:p>
    <w:p>
      <w:pPr>
        <w:spacing w:after="0" w:line="14" w:lineRule="exact"/>
        <w:rPr>
          <w:sz w:val="20"/>
          <w:szCs w:val="20"/>
          <w:color w:val="auto"/>
        </w:rPr>
      </w:pPr>
    </w:p>
    <w:p>
      <w:pPr>
        <w:ind w:left="840" w:hanging="458"/>
        <w:spacing w:after="0"/>
        <w:tabs>
          <w:tab w:leader="none" w:pos="8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7"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Borders>
              <w:bottom w:val="single" w:sz="8" w:color="auto"/>
            </w:tcBorders>
          </w:tcPr>
          <w:p>
            <w:pPr>
              <w:spacing w:after="0"/>
              <w:rPr>
                <w:sz w:val="20"/>
                <w:szCs w:val="20"/>
                <w:color w:val="auto"/>
              </w:rPr>
            </w:pPr>
          </w:p>
        </w:tc>
        <w:tc>
          <w:tcPr>
            <w:tcW w:w="57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GAMCO Asset Management, Inc.</w:t>
            </w:r>
          </w:p>
        </w:tc>
        <w:tc>
          <w:tcPr>
            <w:tcW w:w="506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I.D. No. 13-4044521</w:t>
            </w:r>
          </w:p>
        </w:tc>
      </w:tr>
      <w:tr>
        <w:trPr>
          <w:trHeight w:val="234"/>
        </w:trPr>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rPr>
              <w:t>2</w:t>
            </w:r>
          </w:p>
        </w:tc>
        <w:tc>
          <w:tcPr>
            <w:tcW w:w="5700" w:type="dxa"/>
            <w:vAlign w:val="bottom"/>
          </w:tcPr>
          <w:p>
            <w:pPr>
              <w:ind w:left="180"/>
              <w:spacing w:after="0"/>
              <w:rPr>
                <w:sz w:val="20"/>
                <w:szCs w:val="20"/>
                <w:color w:val="auto"/>
              </w:rPr>
            </w:pPr>
            <w:r>
              <w:rPr>
                <w:rFonts w:ascii="Arial" w:cs="Arial" w:eastAsia="Arial" w:hAnsi="Arial"/>
                <w:sz w:val="18"/>
                <w:szCs w:val="18"/>
                <w:b w:val="1"/>
                <w:bCs w:val="1"/>
                <w:color w:val="auto"/>
                <w:w w:val="95"/>
              </w:rPr>
              <w:t xml:space="preserve">Check the appropriate box if a member of a group </w:t>
            </w:r>
            <w:r>
              <w:rPr>
                <w:rFonts w:ascii="Arial" w:cs="Arial" w:eastAsia="Arial" w:hAnsi="Arial"/>
                <w:sz w:val="14"/>
                <w:szCs w:val="14"/>
                <w:b w:val="1"/>
                <w:bCs w:val="1"/>
                <w:color w:val="auto"/>
                <w:w w:val="95"/>
              </w:rPr>
              <w:t>(SEE INSTRUCTIONS)</w:t>
            </w:r>
          </w:p>
        </w:tc>
        <w:tc>
          <w:tcPr>
            <w:tcW w:w="5060" w:type="dxa"/>
            <w:vAlign w:val="bottom"/>
          </w:tcPr>
          <w:p>
            <w:pPr>
              <w:ind w:left="120"/>
              <w:spacing w:after="0"/>
              <w:rPr>
                <w:sz w:val="20"/>
                <w:szCs w:val="20"/>
                <w:color w:val="auto"/>
              </w:rPr>
            </w:pPr>
            <w:r>
              <w:rPr>
                <w:rFonts w:ascii="Arial" w:cs="Arial" w:eastAsia="Arial" w:hAnsi="Arial"/>
                <w:sz w:val="18"/>
                <w:szCs w:val="18"/>
                <w:b w:val="1"/>
                <w:bCs w:val="1"/>
                <w:color w:val="auto"/>
              </w:rPr>
              <w:t>(a)</w:t>
            </w:r>
          </w:p>
        </w:tc>
      </w:tr>
    </w:tbl>
    <w:p>
      <w:pPr>
        <w:spacing w:after="0" w:line="396"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840" w:hanging="458"/>
        <w:spacing w:after="0"/>
        <w:tabs>
          <w:tab w:leader="none" w:pos="8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840" w:hanging="458"/>
        <w:spacing w:after="0"/>
        <w:tabs>
          <w:tab w:leader="none" w:pos="8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Source of funds </w:t>
      </w:r>
      <w:r>
        <w:rPr>
          <w:rFonts w:ascii="Arial" w:cs="Arial" w:eastAsia="Arial" w:hAnsi="Arial"/>
          <w:sz w:val="14"/>
          <w:szCs w:val="14"/>
          <w:b w:val="1"/>
          <w:bCs w:val="1"/>
          <w:color w:val="auto"/>
        </w:rPr>
        <w:t>(SEE INSTRUCTIONS)</w:t>
      </w:r>
    </w:p>
    <w:p>
      <w:pPr>
        <w:spacing w:after="0" w:line="2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00-Funds of investment advisory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4" w:lineRule="exact"/>
        <w:rPr>
          <w:sz w:val="20"/>
          <w:szCs w:val="20"/>
          <w:color w:val="auto"/>
        </w:rPr>
      </w:pPr>
    </w:p>
    <w:p>
      <w:pPr>
        <w:ind w:left="840" w:hanging="458"/>
        <w:spacing w:after="0"/>
        <w:tabs>
          <w:tab w:leader="none" w:pos="8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80" w:right="7840" w:hanging="598"/>
        <w:spacing w:after="0" w:line="282" w:lineRule="auto"/>
        <w:tabs>
          <w:tab w:leader="none" w:pos="845"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 New York</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 Of</w:t>
            </w: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560" w:type="dxa"/>
            <w:vAlign w:val="bottom"/>
            <w:tcBorders>
              <w:top w:val="single" w:sz="8" w:color="auto"/>
            </w:tcBorders>
          </w:tcPr>
          <w:p>
            <w:pPr>
              <w:ind w:left="11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496,829 (Item 5)</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Owned</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By Each</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528,630 (Item 5)</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Person</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440" w:type="dxa"/>
            <w:vAlign w:val="bottom"/>
            <w:vMerge w:val="continue"/>
          </w:tcPr>
          <w:p>
            <w:pPr>
              <w:spacing w:after="0"/>
              <w:rPr>
                <w:sz w:val="11"/>
                <w:szCs w:val="11"/>
                <w:color w:val="auto"/>
              </w:rPr>
            </w:pPr>
          </w:p>
        </w:tc>
        <w:tc>
          <w:tcPr>
            <w:tcW w:w="142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560" w:type="dxa"/>
            <w:vAlign w:val="bottom"/>
            <w:vMerge w:val="restart"/>
          </w:tcPr>
          <w:p>
            <w:pPr>
              <w:ind w:left="118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440" w:type="dxa"/>
            <w:vAlign w:val="bottom"/>
            <w:vMerge w:val="continue"/>
          </w:tcPr>
          <w:p>
            <w:pPr>
              <w:spacing w:after="0"/>
              <w:rPr>
                <w:sz w:val="13"/>
                <w:szCs w:val="13"/>
                <w:color w:val="auto"/>
              </w:rPr>
            </w:pPr>
          </w:p>
        </w:tc>
        <w:tc>
          <w:tcPr>
            <w:tcW w:w="14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right="5720" w:hanging="832"/>
        <w:spacing w:after="0" w:line="514" w:lineRule="auto"/>
        <w:tabs>
          <w:tab w:leader="none" w:pos="8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528,630 (Item 5)</w:t>
      </w:r>
    </w:p>
    <w:p>
      <w:pPr>
        <w:ind w:left="840" w:hanging="832"/>
        <w:spacing w:after="0"/>
        <w:tabs>
          <w:tab w:leader="none" w:pos="840" w:val="left"/>
        </w:tabs>
        <w:numPr>
          <w:ilvl w:val="0"/>
          <w:numId w:val="13"/>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Check box if the aggregate amount in row (11) 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spacing w:after="0"/>
        <w:rPr>
          <w:sz w:val="20"/>
          <w:szCs w:val="20"/>
          <w:color w:val="auto"/>
        </w:rPr>
      </w:pPr>
      <w:r>
        <w:rPr>
          <w:rFonts w:ascii="Arial" w:cs="Arial" w:eastAsia="Arial" w:hAnsi="Arial"/>
          <w:sz w:val="14"/>
          <w:szCs w:val="14"/>
          <w:b w:val="1"/>
          <w:bCs w:val="1"/>
          <w:color w:val="auto"/>
        </w:rPr>
        <w:t>(SEE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840" w:right="6700" w:hanging="832"/>
        <w:spacing w:after="0" w:line="363" w:lineRule="auto"/>
        <w:tabs>
          <w:tab w:leader="none" w:pos="840" w:val="left"/>
        </w:tabs>
        <w:numPr>
          <w:ilvl w:val="0"/>
          <w:numId w:val="14"/>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Percent of class represented by amount in row (11) 9.76%</w:t>
      </w:r>
    </w:p>
    <w:p>
      <w:pPr>
        <w:ind w:left="840" w:hanging="832"/>
        <w:spacing w:after="0"/>
        <w:tabs>
          <w:tab w:leader="none" w:pos="840" w:val="left"/>
        </w:tabs>
        <w:numPr>
          <w:ilvl w:val="0"/>
          <w:numId w:val="14"/>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 xml:space="preserve">Type of reporting person </w:t>
      </w:r>
      <w:r>
        <w:rPr>
          <w:rFonts w:ascii="Arial" w:cs="Arial" w:eastAsia="Arial" w:hAnsi="Arial"/>
          <w:sz w:val="14"/>
          <w:szCs w:val="14"/>
          <w:b w:val="1"/>
          <w:bCs w:val="1"/>
          <w:color w:val="auto"/>
        </w:rPr>
        <w:t>(SEE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8"/>
          <w:szCs w:val="18"/>
          <w:b w:val="1"/>
          <w:bCs w:val="1"/>
          <w:color w:val="auto"/>
        </w:rPr>
        <w:t>IA,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677864100</w:t>
      </w:r>
    </w:p>
    <w:p>
      <w:pPr>
        <w:spacing w:after="0" w:line="13" w:lineRule="exact"/>
        <w:rPr>
          <w:sz w:val="20"/>
          <w:szCs w:val="20"/>
          <w:color w:val="auto"/>
        </w:rPr>
      </w:pPr>
    </w:p>
    <w:p>
      <w:pPr>
        <w:ind w:left="840" w:hanging="458"/>
        <w:spacing w:after="0"/>
        <w:tabs>
          <w:tab w:leader="none" w:pos="8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7"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Teton Advisors, Inc.</w:t>
            </w:r>
          </w:p>
        </w:tc>
        <w:tc>
          <w:tcPr>
            <w:tcW w:w="468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I.D. No. 13-4008049</w:t>
            </w:r>
          </w:p>
        </w:tc>
      </w:tr>
      <w:tr>
        <w:trPr>
          <w:trHeight w:val="234"/>
        </w:trPr>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rPr>
              <w:t>2</w:t>
            </w:r>
          </w:p>
        </w:tc>
        <w:tc>
          <w:tcPr>
            <w:tcW w:w="6080" w:type="dxa"/>
            <w:vAlign w:val="bottom"/>
          </w:tcPr>
          <w:p>
            <w:pPr>
              <w:ind w:left="180"/>
              <w:spacing w:after="0"/>
              <w:rPr>
                <w:sz w:val="20"/>
                <w:szCs w:val="20"/>
                <w:color w:val="auto"/>
              </w:rPr>
            </w:pPr>
            <w:r>
              <w:rPr>
                <w:rFonts w:ascii="Arial" w:cs="Arial" w:eastAsia="Arial" w:hAnsi="Arial"/>
                <w:sz w:val="18"/>
                <w:szCs w:val="18"/>
                <w:b w:val="1"/>
                <w:bCs w:val="1"/>
                <w:color w:val="auto"/>
                <w:w w:val="94"/>
              </w:rPr>
              <w:t>Check the appropriate box if a member of a group (SEE INSTRUCTIONS)</w:t>
            </w:r>
          </w:p>
        </w:tc>
        <w:tc>
          <w:tcPr>
            <w:tcW w:w="4680" w:type="dxa"/>
            <w:vAlign w:val="bottom"/>
          </w:tcPr>
          <w:p>
            <w:pPr>
              <w:ind w:left="120"/>
              <w:spacing w:after="0"/>
              <w:rPr>
                <w:sz w:val="20"/>
                <w:szCs w:val="20"/>
                <w:color w:val="auto"/>
              </w:rPr>
            </w:pPr>
            <w:r>
              <w:rPr>
                <w:rFonts w:ascii="Arial" w:cs="Arial" w:eastAsia="Arial" w:hAnsi="Arial"/>
                <w:sz w:val="18"/>
                <w:szCs w:val="18"/>
                <w:b w:val="1"/>
                <w:bCs w:val="1"/>
                <w:color w:val="auto"/>
              </w:rPr>
              <w:t>(a)</w:t>
            </w:r>
          </w:p>
        </w:tc>
      </w:tr>
    </w:tbl>
    <w:p>
      <w:pPr>
        <w:spacing w:after="0" w:line="396"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840" w:hanging="458"/>
        <w:spacing w:after="0"/>
        <w:tabs>
          <w:tab w:leader="none" w:pos="8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jc w:val="both"/>
        <w:ind w:left="840" w:right="7420" w:hanging="458"/>
        <w:spacing w:after="0" w:line="347" w:lineRule="auto"/>
        <w:tabs>
          <w:tab w:leader="none" w:pos="84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Source of funds (SEE INSTRUCTIONS) 00 – Funds of investment advisory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3" w:lineRule="exact"/>
        <w:rPr>
          <w:sz w:val="20"/>
          <w:szCs w:val="20"/>
          <w:color w:val="auto"/>
        </w:rPr>
      </w:pPr>
    </w:p>
    <w:p>
      <w:pPr>
        <w:ind w:left="840" w:hanging="458"/>
        <w:spacing w:after="0"/>
        <w:tabs>
          <w:tab w:leader="none" w:pos="8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80" w:right="7840" w:hanging="598"/>
        <w:spacing w:after="0" w:line="282" w:lineRule="auto"/>
        <w:tabs>
          <w:tab w:leader="none" w:pos="845"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 Delaware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 Of</w:t>
            </w: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560" w:type="dxa"/>
            <w:vAlign w:val="bottom"/>
            <w:tcBorders>
              <w:top w:val="single" w:sz="8" w:color="auto"/>
            </w:tcBorders>
          </w:tcPr>
          <w:p>
            <w:pPr>
              <w:ind w:left="11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93,368 (Item 5)</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Owned</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By Each</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93,368 (Item 5)</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Person</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440" w:type="dxa"/>
            <w:vAlign w:val="bottom"/>
            <w:vMerge w:val="continue"/>
          </w:tcPr>
          <w:p>
            <w:pPr>
              <w:spacing w:after="0"/>
              <w:rPr>
                <w:sz w:val="11"/>
                <w:szCs w:val="11"/>
                <w:color w:val="auto"/>
              </w:rPr>
            </w:pPr>
          </w:p>
        </w:tc>
        <w:tc>
          <w:tcPr>
            <w:tcW w:w="142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560" w:type="dxa"/>
            <w:vAlign w:val="bottom"/>
            <w:vMerge w:val="restart"/>
          </w:tcPr>
          <w:p>
            <w:pPr>
              <w:ind w:left="118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440" w:type="dxa"/>
            <w:vAlign w:val="bottom"/>
            <w:vMerge w:val="continue"/>
          </w:tcPr>
          <w:p>
            <w:pPr>
              <w:spacing w:after="0"/>
              <w:rPr>
                <w:sz w:val="13"/>
                <w:szCs w:val="13"/>
                <w:color w:val="auto"/>
              </w:rPr>
            </w:pPr>
          </w:p>
        </w:tc>
        <w:tc>
          <w:tcPr>
            <w:tcW w:w="14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right="5720" w:hanging="832"/>
        <w:spacing w:after="0" w:line="516" w:lineRule="auto"/>
        <w:tabs>
          <w:tab w:leader="none" w:pos="8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93,368 (Item 5)</w:t>
      </w:r>
    </w:p>
    <w:p>
      <w:pPr>
        <w:spacing w:after="0" w:line="1" w:lineRule="exact"/>
        <w:rPr>
          <w:rFonts w:ascii="Arial" w:cs="Arial" w:eastAsia="Arial" w:hAnsi="Arial"/>
          <w:sz w:val="18"/>
          <w:szCs w:val="18"/>
          <w:b w:val="1"/>
          <w:bCs w:val="1"/>
          <w:color w:val="auto"/>
        </w:rPr>
      </w:pPr>
    </w:p>
    <w:p>
      <w:pPr>
        <w:ind w:left="840" w:hanging="832"/>
        <w:spacing w:after="0"/>
        <w:tabs>
          <w:tab w:leader="none" w:pos="8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the aggregate amount in row (11) excludes certain shares</w:t>
      </w:r>
    </w:p>
    <w:p>
      <w:pPr>
        <w:spacing w:after="0" w:line="27"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(SEE INSTRUCTIONS)</w:t>
      </w:r>
    </w:p>
    <w:p>
      <w:pPr>
        <w:spacing w:after="0" w:line="200" w:lineRule="exact"/>
        <w:rPr>
          <w:rFonts w:ascii="Arial" w:cs="Arial" w:eastAsia="Arial" w:hAnsi="Arial"/>
          <w:sz w:val="18"/>
          <w:szCs w:val="18"/>
          <w:b w:val="1"/>
          <w:bCs w:val="1"/>
          <w:color w:val="auto"/>
        </w:rPr>
      </w:pPr>
    </w:p>
    <w:p>
      <w:pPr>
        <w:spacing w:after="0" w:line="249" w:lineRule="exact"/>
        <w:rPr>
          <w:rFonts w:ascii="Arial" w:cs="Arial" w:eastAsia="Arial" w:hAnsi="Arial"/>
          <w:sz w:val="18"/>
          <w:szCs w:val="18"/>
          <w:b w:val="1"/>
          <w:bCs w:val="1"/>
          <w:color w:val="auto"/>
        </w:rPr>
      </w:pPr>
    </w:p>
    <w:p>
      <w:pPr>
        <w:ind w:left="840" w:right="6700" w:hanging="832"/>
        <w:spacing w:after="0" w:line="516" w:lineRule="auto"/>
        <w:tabs>
          <w:tab w:leader="none" w:pos="8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 1.72%</w:t>
      </w:r>
    </w:p>
    <w:p>
      <w:pPr>
        <w:spacing w:after="0" w:line="1" w:lineRule="exact"/>
        <w:rPr>
          <w:rFonts w:ascii="Arial" w:cs="Arial" w:eastAsia="Arial" w:hAnsi="Arial"/>
          <w:sz w:val="18"/>
          <w:szCs w:val="18"/>
          <w:b w:val="1"/>
          <w:bCs w:val="1"/>
          <w:color w:val="auto"/>
        </w:rPr>
      </w:pPr>
    </w:p>
    <w:p>
      <w:pPr>
        <w:ind w:left="840" w:hanging="832"/>
        <w:spacing w:after="0"/>
        <w:tabs>
          <w:tab w:leader="none" w:pos="8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-1268095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IA,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CUSIP No. 677864100</w:t>
      </w:r>
    </w:p>
    <w:p>
      <w:pPr>
        <w:spacing w:after="0" w:line="19" w:lineRule="exact"/>
        <w:rPr>
          <w:sz w:val="20"/>
          <w:szCs w:val="20"/>
          <w:color w:val="auto"/>
        </w:rPr>
      </w:pPr>
    </w:p>
    <w:p>
      <w:pPr>
        <w:ind w:left="840" w:hanging="458"/>
        <w:spacing w:after="0"/>
        <w:tabs>
          <w:tab w:leader="none" w:pos="8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7"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Borders>
              <w:bottom w:val="single" w:sz="8" w:color="auto"/>
            </w:tcBorders>
          </w:tcPr>
          <w:p>
            <w:pPr>
              <w:spacing w:after="0"/>
              <w:rPr>
                <w:sz w:val="20"/>
                <w:szCs w:val="20"/>
                <w:color w:val="auto"/>
              </w:rPr>
            </w:pPr>
          </w:p>
        </w:tc>
        <w:tc>
          <w:tcPr>
            <w:tcW w:w="57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GGCP, Inc.</w:t>
            </w:r>
          </w:p>
        </w:tc>
        <w:tc>
          <w:tcPr>
            <w:tcW w:w="5060" w:type="dxa"/>
            <w:vAlign w:val="bottom"/>
            <w:tcBorders>
              <w:bottom w:val="single" w:sz="8" w:color="auto"/>
            </w:tcBorders>
          </w:tcPr>
          <w:p>
            <w:pPr>
              <w:ind w:left="2320"/>
              <w:spacing w:after="0"/>
              <w:rPr>
                <w:sz w:val="20"/>
                <w:szCs w:val="20"/>
                <w:color w:val="auto"/>
              </w:rPr>
            </w:pPr>
            <w:r>
              <w:rPr>
                <w:rFonts w:ascii="Arial" w:cs="Arial" w:eastAsia="Arial" w:hAnsi="Arial"/>
                <w:sz w:val="18"/>
                <w:szCs w:val="18"/>
                <w:b w:val="1"/>
                <w:bCs w:val="1"/>
                <w:color w:val="auto"/>
              </w:rPr>
              <w:t>I.D. No. 13-3056041</w:t>
            </w:r>
          </w:p>
        </w:tc>
      </w:tr>
      <w:tr>
        <w:trPr>
          <w:trHeight w:val="234"/>
        </w:trPr>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rPr>
              <w:t>2</w:t>
            </w:r>
          </w:p>
        </w:tc>
        <w:tc>
          <w:tcPr>
            <w:tcW w:w="5700" w:type="dxa"/>
            <w:vAlign w:val="bottom"/>
          </w:tcPr>
          <w:p>
            <w:pPr>
              <w:ind w:left="180"/>
              <w:spacing w:after="0"/>
              <w:rPr>
                <w:sz w:val="20"/>
                <w:szCs w:val="20"/>
                <w:color w:val="auto"/>
              </w:rPr>
            </w:pPr>
            <w:r>
              <w:rPr>
                <w:rFonts w:ascii="Arial" w:cs="Arial" w:eastAsia="Arial" w:hAnsi="Arial"/>
                <w:sz w:val="18"/>
                <w:szCs w:val="18"/>
                <w:b w:val="1"/>
                <w:bCs w:val="1"/>
                <w:color w:val="auto"/>
                <w:w w:val="95"/>
              </w:rPr>
              <w:t xml:space="preserve">Check the appropriate box if a member of a group </w:t>
            </w:r>
            <w:r>
              <w:rPr>
                <w:rFonts w:ascii="Arial" w:cs="Arial" w:eastAsia="Arial" w:hAnsi="Arial"/>
                <w:sz w:val="14"/>
                <w:szCs w:val="14"/>
                <w:b w:val="1"/>
                <w:bCs w:val="1"/>
                <w:color w:val="auto"/>
                <w:w w:val="95"/>
              </w:rPr>
              <w:t>(SEE INSTRUCTIONS)</w:t>
            </w:r>
          </w:p>
        </w:tc>
        <w:tc>
          <w:tcPr>
            <w:tcW w:w="5060" w:type="dxa"/>
            <w:vAlign w:val="bottom"/>
          </w:tcPr>
          <w:p>
            <w:pPr>
              <w:ind w:left="120"/>
              <w:spacing w:after="0"/>
              <w:rPr>
                <w:sz w:val="20"/>
                <w:szCs w:val="20"/>
                <w:color w:val="auto"/>
              </w:rPr>
            </w:pPr>
            <w:r>
              <w:rPr>
                <w:rFonts w:ascii="Arial" w:cs="Arial" w:eastAsia="Arial" w:hAnsi="Arial"/>
                <w:sz w:val="18"/>
                <w:szCs w:val="18"/>
                <w:b w:val="1"/>
                <w:bCs w:val="1"/>
                <w:color w:val="auto"/>
              </w:rPr>
              <w:t>(a)</w:t>
            </w:r>
          </w:p>
        </w:tc>
      </w:tr>
    </w:tbl>
    <w:p>
      <w:pPr>
        <w:spacing w:after="0" w:line="396"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840" w:hanging="458"/>
        <w:spacing w:after="0"/>
        <w:tabs>
          <w:tab w:leader="none" w:pos="8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840" w:hanging="458"/>
        <w:spacing w:after="0"/>
        <w:tabs>
          <w:tab w:leader="none" w:pos="8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Source of funds </w:t>
      </w:r>
      <w:r>
        <w:rPr>
          <w:rFonts w:ascii="Arial" w:cs="Arial" w:eastAsia="Arial" w:hAnsi="Arial"/>
          <w:sz w:val="14"/>
          <w:szCs w:val="14"/>
          <w:b w:val="1"/>
          <w:bCs w:val="1"/>
          <w:color w:val="auto"/>
        </w:rPr>
        <w:t>(SEE INSTRUCTIONS)</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4" w:lineRule="exact"/>
        <w:rPr>
          <w:sz w:val="20"/>
          <w:szCs w:val="20"/>
          <w:color w:val="auto"/>
        </w:rPr>
      </w:pPr>
    </w:p>
    <w:p>
      <w:pPr>
        <w:ind w:left="840" w:hanging="458"/>
        <w:spacing w:after="0"/>
        <w:tabs>
          <w:tab w:leader="none" w:pos="8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40" w:right="7840" w:hanging="458"/>
        <w:spacing w:after="0" w:line="282" w:lineRule="auto"/>
        <w:tabs>
          <w:tab w:leader="none" w:pos="8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 Wyoming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 Of</w:t>
            </w: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560" w:type="dxa"/>
            <w:vAlign w:val="bottom"/>
            <w:tcBorders>
              <w:top w:val="single" w:sz="8" w:color="auto"/>
            </w:tcBorders>
          </w:tcPr>
          <w:p>
            <w:pPr>
              <w:ind w:left="11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Owned</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By Each</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Person</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440" w:type="dxa"/>
            <w:vAlign w:val="bottom"/>
            <w:vMerge w:val="continue"/>
          </w:tcPr>
          <w:p>
            <w:pPr>
              <w:spacing w:after="0"/>
              <w:rPr>
                <w:sz w:val="11"/>
                <w:szCs w:val="11"/>
                <w:color w:val="auto"/>
              </w:rPr>
            </w:pPr>
          </w:p>
        </w:tc>
        <w:tc>
          <w:tcPr>
            <w:tcW w:w="142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560" w:type="dxa"/>
            <w:vAlign w:val="bottom"/>
            <w:vMerge w:val="restart"/>
          </w:tcPr>
          <w:p>
            <w:pPr>
              <w:ind w:left="118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440" w:type="dxa"/>
            <w:vAlign w:val="bottom"/>
            <w:vMerge w:val="continue"/>
          </w:tcPr>
          <w:p>
            <w:pPr>
              <w:spacing w:after="0"/>
              <w:rPr>
                <w:sz w:val="13"/>
                <w:szCs w:val="13"/>
                <w:color w:val="auto"/>
              </w:rPr>
            </w:pPr>
          </w:p>
        </w:tc>
        <w:tc>
          <w:tcPr>
            <w:tcW w:w="14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right="5720" w:hanging="832"/>
        <w:spacing w:after="0" w:line="516" w:lineRule="auto"/>
        <w:tabs>
          <w:tab w:leader="none" w:pos="8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None</w:t>
      </w:r>
    </w:p>
    <w:p>
      <w:pPr>
        <w:spacing w:after="0" w:line="1"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Check box if the aggregate amount in row (11) excludes certain shares</w:t>
      </w:r>
    </w:p>
    <w:p>
      <w:pPr>
        <w:spacing w:after="0" w:line="20" w:lineRule="exact"/>
        <w:rPr>
          <w:rFonts w:ascii="Arial" w:cs="Arial" w:eastAsia="Arial" w:hAnsi="Arial"/>
          <w:sz w:val="18"/>
          <w:szCs w:val="18"/>
          <w:b w:val="1"/>
          <w:bCs w:val="1"/>
          <w:color w:val="auto"/>
        </w:rPr>
      </w:pPr>
    </w:p>
    <w:p>
      <w:pPr>
        <w:ind w:left="840" w:hanging="832"/>
        <w:spacing w:after="0" w:line="187" w:lineRule="auto"/>
        <w:tabs>
          <w:tab w:leader="none" w:pos="840" w:val="left"/>
        </w:tabs>
        <w:numPr>
          <w:ilvl w:val="0"/>
          <w:numId w:val="26"/>
        </w:numPr>
        <w:rPr>
          <w:rFonts w:ascii="Arial" w:cs="Arial" w:eastAsia="Arial" w:hAnsi="Arial"/>
          <w:sz w:val="19"/>
          <w:szCs w:val="19"/>
          <w:b w:val="1"/>
          <w:bCs w:val="1"/>
          <w:color w:val="auto"/>
          <w:vertAlign w:val="subscript"/>
        </w:rPr>
      </w:pPr>
      <w:r>
        <w:rPr>
          <w:rFonts w:ascii="Arial" w:cs="Arial" w:eastAsia="Arial" w:hAnsi="Arial"/>
          <w:sz w:val="11"/>
          <w:szCs w:val="11"/>
          <w:b w:val="1"/>
          <w:bCs w:val="1"/>
          <w:color w:val="auto"/>
        </w:rPr>
        <w:t>(SEE INSTRUCTIONS) X</w:t>
      </w:r>
    </w:p>
    <w:p>
      <w:pPr>
        <w:spacing w:after="0" w:line="200" w:lineRule="exact"/>
        <w:rPr>
          <w:rFonts w:ascii="Arial" w:cs="Arial" w:eastAsia="Arial" w:hAnsi="Arial"/>
          <w:sz w:val="19"/>
          <w:szCs w:val="19"/>
          <w:b w:val="1"/>
          <w:bCs w:val="1"/>
          <w:color w:val="auto"/>
          <w:vertAlign w:val="subscript"/>
        </w:rPr>
      </w:pPr>
    </w:p>
    <w:p>
      <w:pPr>
        <w:spacing w:after="0" w:line="200" w:lineRule="exact"/>
        <w:rPr>
          <w:rFonts w:ascii="Arial" w:cs="Arial" w:eastAsia="Arial" w:hAnsi="Arial"/>
          <w:sz w:val="19"/>
          <w:szCs w:val="19"/>
          <w:b w:val="1"/>
          <w:bCs w:val="1"/>
          <w:color w:val="auto"/>
          <w:vertAlign w:val="subscript"/>
        </w:rPr>
      </w:pPr>
    </w:p>
    <w:p>
      <w:pPr>
        <w:spacing w:after="0" w:line="322" w:lineRule="exact"/>
        <w:rPr>
          <w:rFonts w:ascii="Arial" w:cs="Arial" w:eastAsia="Arial" w:hAnsi="Arial"/>
          <w:sz w:val="19"/>
          <w:szCs w:val="19"/>
          <w:b w:val="1"/>
          <w:bCs w:val="1"/>
          <w:color w:val="auto"/>
          <w:vertAlign w:val="subscript"/>
        </w:rPr>
      </w:pPr>
    </w:p>
    <w:p>
      <w:pPr>
        <w:ind w:left="840" w:right="6700" w:hanging="832"/>
        <w:spacing w:after="0" w:line="363" w:lineRule="auto"/>
        <w:tabs>
          <w:tab w:leader="none" w:pos="840" w:val="left"/>
        </w:tabs>
        <w:numPr>
          <w:ilvl w:val="0"/>
          <w:numId w:val="26"/>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Percent of class represented by amount in row (11) 0.00%</w:t>
      </w:r>
    </w:p>
    <w:p>
      <w:pPr>
        <w:ind w:left="840" w:hanging="832"/>
        <w:spacing w:after="0"/>
        <w:tabs>
          <w:tab w:leader="none" w:pos="840" w:val="left"/>
        </w:tabs>
        <w:numPr>
          <w:ilvl w:val="0"/>
          <w:numId w:val="26"/>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 xml:space="preserve">Type of reporting person </w:t>
      </w:r>
      <w:r>
        <w:rPr>
          <w:rFonts w:ascii="Arial" w:cs="Arial" w:eastAsia="Arial" w:hAnsi="Arial"/>
          <w:sz w:val="14"/>
          <w:szCs w:val="14"/>
          <w:b w:val="1"/>
          <w:bCs w:val="1"/>
          <w:color w:val="auto"/>
        </w:rPr>
        <w:t>(SEE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-1388745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-676910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8"/>
          <w:szCs w:val="18"/>
          <w:b w:val="1"/>
          <w:bCs w:val="1"/>
          <w:color w:val="auto"/>
        </w:rPr>
        <w:t>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677864100</w:t>
      </w:r>
    </w:p>
    <w:p>
      <w:pPr>
        <w:spacing w:after="0" w:line="14" w:lineRule="exact"/>
        <w:rPr>
          <w:sz w:val="20"/>
          <w:szCs w:val="20"/>
          <w:color w:val="auto"/>
        </w:rPr>
      </w:pPr>
    </w:p>
    <w:p>
      <w:pPr>
        <w:ind w:left="840" w:hanging="458"/>
        <w:spacing w:after="0"/>
        <w:tabs>
          <w:tab w:leader="none" w:pos="8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7"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Borders>
              <w:bottom w:val="single" w:sz="8" w:color="auto"/>
            </w:tcBorders>
          </w:tcPr>
          <w:p>
            <w:pPr>
              <w:spacing w:after="0"/>
              <w:rPr>
                <w:sz w:val="20"/>
                <w:szCs w:val="20"/>
                <w:color w:val="auto"/>
              </w:rPr>
            </w:pPr>
          </w:p>
        </w:tc>
        <w:tc>
          <w:tcPr>
            <w:tcW w:w="57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GAMCO Investors, Inc.</w:t>
            </w:r>
          </w:p>
        </w:tc>
        <w:tc>
          <w:tcPr>
            <w:tcW w:w="5060" w:type="dxa"/>
            <w:vAlign w:val="bottom"/>
            <w:tcBorders>
              <w:bottom w:val="single" w:sz="8" w:color="auto"/>
            </w:tcBorders>
          </w:tcPr>
          <w:p>
            <w:pPr>
              <w:ind w:left="1980"/>
              <w:spacing w:after="0"/>
              <w:rPr>
                <w:sz w:val="20"/>
                <w:szCs w:val="20"/>
                <w:color w:val="auto"/>
              </w:rPr>
            </w:pPr>
            <w:r>
              <w:rPr>
                <w:rFonts w:ascii="Arial" w:cs="Arial" w:eastAsia="Arial" w:hAnsi="Arial"/>
                <w:sz w:val="18"/>
                <w:szCs w:val="18"/>
                <w:b w:val="1"/>
                <w:bCs w:val="1"/>
                <w:color w:val="auto"/>
              </w:rPr>
              <w:t>I.D. No. 13-4007862</w:t>
            </w:r>
          </w:p>
        </w:tc>
      </w:tr>
      <w:tr>
        <w:trPr>
          <w:trHeight w:val="234"/>
        </w:trPr>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rPr>
              <w:t>2</w:t>
            </w:r>
          </w:p>
        </w:tc>
        <w:tc>
          <w:tcPr>
            <w:tcW w:w="5700" w:type="dxa"/>
            <w:vAlign w:val="bottom"/>
          </w:tcPr>
          <w:p>
            <w:pPr>
              <w:ind w:left="180"/>
              <w:spacing w:after="0"/>
              <w:rPr>
                <w:sz w:val="20"/>
                <w:szCs w:val="20"/>
                <w:color w:val="auto"/>
              </w:rPr>
            </w:pPr>
            <w:r>
              <w:rPr>
                <w:rFonts w:ascii="Arial" w:cs="Arial" w:eastAsia="Arial" w:hAnsi="Arial"/>
                <w:sz w:val="18"/>
                <w:szCs w:val="18"/>
                <w:b w:val="1"/>
                <w:bCs w:val="1"/>
                <w:color w:val="auto"/>
                <w:w w:val="95"/>
              </w:rPr>
              <w:t xml:space="preserve">Check the appropriate box if a member of a group </w:t>
            </w:r>
            <w:r>
              <w:rPr>
                <w:rFonts w:ascii="Arial" w:cs="Arial" w:eastAsia="Arial" w:hAnsi="Arial"/>
                <w:sz w:val="14"/>
                <w:szCs w:val="14"/>
                <w:b w:val="1"/>
                <w:bCs w:val="1"/>
                <w:color w:val="auto"/>
                <w:w w:val="95"/>
              </w:rPr>
              <w:t>(SEE INSTRUCTIONS)</w:t>
            </w:r>
          </w:p>
        </w:tc>
        <w:tc>
          <w:tcPr>
            <w:tcW w:w="5060" w:type="dxa"/>
            <w:vAlign w:val="bottom"/>
          </w:tcPr>
          <w:p>
            <w:pPr>
              <w:ind w:left="120"/>
              <w:spacing w:after="0"/>
              <w:rPr>
                <w:sz w:val="20"/>
                <w:szCs w:val="20"/>
                <w:color w:val="auto"/>
              </w:rPr>
            </w:pPr>
            <w:r>
              <w:rPr>
                <w:rFonts w:ascii="Arial" w:cs="Arial" w:eastAsia="Arial" w:hAnsi="Arial"/>
                <w:sz w:val="18"/>
                <w:szCs w:val="18"/>
                <w:b w:val="1"/>
                <w:bCs w:val="1"/>
                <w:color w:val="auto"/>
              </w:rPr>
              <w:t>(a)</w:t>
            </w:r>
          </w:p>
        </w:tc>
      </w:tr>
    </w:tbl>
    <w:p>
      <w:pPr>
        <w:spacing w:after="0" w:line="396"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840" w:hanging="458"/>
        <w:spacing w:after="0"/>
        <w:tabs>
          <w:tab w:leader="none" w:pos="8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840" w:hanging="458"/>
        <w:spacing w:after="0"/>
        <w:tabs>
          <w:tab w:leader="none" w:pos="8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Source of funds </w:t>
      </w:r>
      <w:r>
        <w:rPr>
          <w:rFonts w:ascii="Arial" w:cs="Arial" w:eastAsia="Arial" w:hAnsi="Arial"/>
          <w:sz w:val="14"/>
          <w:szCs w:val="14"/>
          <w:b w:val="1"/>
          <w:bCs w:val="1"/>
          <w:color w:val="auto"/>
        </w:rPr>
        <w:t>(SEE INSTRUCTIONS)</w:t>
      </w:r>
    </w:p>
    <w:p>
      <w:pPr>
        <w:spacing w:after="0" w:line="27"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4" w:lineRule="exact"/>
        <w:rPr>
          <w:sz w:val="20"/>
          <w:szCs w:val="20"/>
          <w:color w:val="auto"/>
        </w:rPr>
      </w:pPr>
    </w:p>
    <w:p>
      <w:pPr>
        <w:ind w:left="840" w:hanging="458"/>
        <w:spacing w:after="0"/>
        <w:tabs>
          <w:tab w:leader="none" w:pos="8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80" w:right="7840" w:hanging="598"/>
        <w:spacing w:after="0" w:line="282" w:lineRule="auto"/>
        <w:tabs>
          <w:tab w:leader="none" w:pos="845"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 Delaware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 Of</w:t>
            </w: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560" w:type="dxa"/>
            <w:vAlign w:val="bottom"/>
            <w:tcBorders>
              <w:top w:val="single" w:sz="8" w:color="auto"/>
            </w:tcBorders>
          </w:tcPr>
          <w:p>
            <w:pPr>
              <w:ind w:left="11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  (Item 5)</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Owned</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By Each</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  (Item 5)</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Person</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440" w:type="dxa"/>
            <w:vAlign w:val="bottom"/>
            <w:vMerge w:val="continue"/>
          </w:tcPr>
          <w:p>
            <w:pPr>
              <w:spacing w:after="0"/>
              <w:rPr>
                <w:sz w:val="11"/>
                <w:szCs w:val="11"/>
                <w:color w:val="auto"/>
              </w:rPr>
            </w:pPr>
          </w:p>
        </w:tc>
        <w:tc>
          <w:tcPr>
            <w:tcW w:w="142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560" w:type="dxa"/>
            <w:vAlign w:val="bottom"/>
            <w:vMerge w:val="restart"/>
          </w:tcPr>
          <w:p>
            <w:pPr>
              <w:ind w:left="118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440" w:type="dxa"/>
            <w:vAlign w:val="bottom"/>
            <w:vMerge w:val="continue"/>
          </w:tcPr>
          <w:p>
            <w:pPr>
              <w:spacing w:after="0"/>
              <w:rPr>
                <w:sz w:val="13"/>
                <w:szCs w:val="13"/>
                <w:color w:val="auto"/>
              </w:rPr>
            </w:pPr>
          </w:p>
        </w:tc>
        <w:tc>
          <w:tcPr>
            <w:tcW w:w="14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right="5720" w:hanging="832"/>
        <w:spacing w:after="0" w:line="516" w:lineRule="auto"/>
        <w:tabs>
          <w:tab w:leader="none" w:pos="8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None (Item 5)</w:t>
      </w:r>
    </w:p>
    <w:p>
      <w:pPr>
        <w:spacing w:after="0" w:line="1"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Check box if the aggregate amount in row (11) excludes certain shares</w:t>
      </w:r>
    </w:p>
    <w:p>
      <w:pPr>
        <w:spacing w:after="0" w:line="20" w:lineRule="exact"/>
        <w:rPr>
          <w:rFonts w:ascii="Arial" w:cs="Arial" w:eastAsia="Arial" w:hAnsi="Arial"/>
          <w:sz w:val="18"/>
          <w:szCs w:val="18"/>
          <w:b w:val="1"/>
          <w:bCs w:val="1"/>
          <w:color w:val="auto"/>
        </w:rPr>
      </w:pPr>
    </w:p>
    <w:p>
      <w:pPr>
        <w:ind w:left="840" w:hanging="832"/>
        <w:spacing w:after="0" w:line="187" w:lineRule="auto"/>
        <w:tabs>
          <w:tab w:leader="none" w:pos="840" w:val="left"/>
        </w:tabs>
        <w:numPr>
          <w:ilvl w:val="0"/>
          <w:numId w:val="32"/>
        </w:numPr>
        <w:rPr>
          <w:rFonts w:ascii="Arial" w:cs="Arial" w:eastAsia="Arial" w:hAnsi="Arial"/>
          <w:sz w:val="19"/>
          <w:szCs w:val="19"/>
          <w:b w:val="1"/>
          <w:bCs w:val="1"/>
          <w:color w:val="auto"/>
          <w:vertAlign w:val="subscript"/>
        </w:rPr>
      </w:pPr>
      <w:r>
        <w:rPr>
          <w:rFonts w:ascii="Arial" w:cs="Arial" w:eastAsia="Arial" w:hAnsi="Arial"/>
          <w:sz w:val="11"/>
          <w:szCs w:val="11"/>
          <w:b w:val="1"/>
          <w:bCs w:val="1"/>
          <w:color w:val="auto"/>
        </w:rPr>
        <w:t>(SEE INSTRUCTIONS) X</w:t>
      </w:r>
    </w:p>
    <w:p>
      <w:pPr>
        <w:spacing w:after="0" w:line="200" w:lineRule="exact"/>
        <w:rPr>
          <w:rFonts w:ascii="Arial" w:cs="Arial" w:eastAsia="Arial" w:hAnsi="Arial"/>
          <w:sz w:val="19"/>
          <w:szCs w:val="19"/>
          <w:b w:val="1"/>
          <w:bCs w:val="1"/>
          <w:color w:val="auto"/>
          <w:vertAlign w:val="subscript"/>
        </w:rPr>
      </w:pPr>
    </w:p>
    <w:p>
      <w:pPr>
        <w:spacing w:after="0" w:line="200" w:lineRule="exact"/>
        <w:rPr>
          <w:rFonts w:ascii="Arial" w:cs="Arial" w:eastAsia="Arial" w:hAnsi="Arial"/>
          <w:sz w:val="19"/>
          <w:szCs w:val="19"/>
          <w:b w:val="1"/>
          <w:bCs w:val="1"/>
          <w:color w:val="auto"/>
          <w:vertAlign w:val="subscript"/>
        </w:rPr>
      </w:pPr>
    </w:p>
    <w:p>
      <w:pPr>
        <w:spacing w:after="0" w:line="322" w:lineRule="exact"/>
        <w:rPr>
          <w:rFonts w:ascii="Arial" w:cs="Arial" w:eastAsia="Arial" w:hAnsi="Arial"/>
          <w:sz w:val="19"/>
          <w:szCs w:val="19"/>
          <w:b w:val="1"/>
          <w:bCs w:val="1"/>
          <w:color w:val="auto"/>
          <w:vertAlign w:val="subscript"/>
        </w:rPr>
      </w:pPr>
    </w:p>
    <w:p>
      <w:pPr>
        <w:ind w:left="840" w:right="6700" w:hanging="832"/>
        <w:spacing w:after="0" w:line="386" w:lineRule="auto"/>
        <w:tabs>
          <w:tab w:leader="none" w:pos="840" w:val="left"/>
        </w:tabs>
        <w:numPr>
          <w:ilvl w:val="0"/>
          <w:numId w:val="32"/>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Percent of class represented by amount in row (11) 0.00%</w:t>
      </w:r>
    </w:p>
    <w:p>
      <w:pPr>
        <w:ind w:left="840" w:hanging="832"/>
        <w:spacing w:after="0"/>
        <w:tabs>
          <w:tab w:leader="none" w:pos="840" w:val="left"/>
        </w:tabs>
        <w:numPr>
          <w:ilvl w:val="0"/>
          <w:numId w:val="32"/>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 xml:space="preserve">Type of reporting person </w:t>
      </w:r>
      <w:r>
        <w:rPr>
          <w:rFonts w:ascii="Arial" w:cs="Arial" w:eastAsia="Arial" w:hAnsi="Arial"/>
          <w:sz w:val="14"/>
          <w:szCs w:val="14"/>
          <w:b w:val="1"/>
          <w:bCs w:val="1"/>
          <w:color w:val="auto"/>
        </w:rPr>
        <w:t>(SEE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-1431290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8"/>
          <w:szCs w:val="18"/>
          <w:b w:val="1"/>
          <w:bCs w:val="1"/>
          <w:color w:val="auto"/>
        </w:rPr>
        <w:t>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677864100</w:t>
      </w:r>
    </w:p>
    <w:p>
      <w:pPr>
        <w:spacing w:after="0" w:line="14" w:lineRule="exact"/>
        <w:rPr>
          <w:sz w:val="20"/>
          <w:szCs w:val="20"/>
          <w:color w:val="auto"/>
        </w:rPr>
      </w:pPr>
    </w:p>
    <w:p>
      <w:pPr>
        <w:ind w:left="840" w:hanging="458"/>
        <w:spacing w:after="0"/>
        <w:tabs>
          <w:tab w:leader="none" w:pos="8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7"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7" w:lineRule="exact"/>
        <w:rPr>
          <w:sz w:val="20"/>
          <w:szCs w:val="20"/>
          <w:color w:val="auto"/>
        </w:rPr>
      </w:pPr>
    </w:p>
    <w:p>
      <w:pPr>
        <w:ind w:left="840"/>
        <w:spacing w:after="0"/>
        <w:tabs>
          <w:tab w:leader="none" w:pos="6880" w:val="left"/>
        </w:tabs>
        <w:rPr>
          <w:sz w:val="20"/>
          <w:szCs w:val="20"/>
          <w:color w:val="auto"/>
        </w:rPr>
      </w:pPr>
      <w:r>
        <w:rPr>
          <w:rFonts w:ascii="Arial" w:cs="Arial" w:eastAsia="Arial" w:hAnsi="Arial"/>
          <w:sz w:val="18"/>
          <w:szCs w:val="18"/>
          <w:b w:val="1"/>
          <w:bCs w:val="1"/>
          <w:color w:val="auto"/>
        </w:rPr>
        <w:t>Associated Capital Group, Inc.</w:t>
      </w:r>
      <w:r>
        <w:rPr>
          <w:sz w:val="20"/>
          <w:szCs w:val="20"/>
          <w:color w:val="auto"/>
        </w:rPr>
        <w:tab/>
      </w:r>
      <w:r>
        <w:rPr>
          <w:rFonts w:ascii="Arial" w:cs="Arial" w:eastAsia="Arial" w:hAnsi="Arial"/>
          <w:sz w:val="16"/>
          <w:szCs w:val="16"/>
          <w:b w:val="1"/>
          <w:bCs w:val="1"/>
          <w:color w:val="auto"/>
        </w:rPr>
        <w:t>I.D. No. 47-3965991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sz w:val="20"/>
          <w:szCs w:val="20"/>
          <w:color w:val="auto"/>
        </w:rPr>
      </w:pPr>
    </w:p>
    <w:p>
      <w:pPr>
        <w:ind w:left="9280"/>
        <w:spacing w:after="0"/>
        <w:rPr>
          <w:sz w:val="20"/>
          <w:szCs w:val="20"/>
          <w:color w:val="auto"/>
        </w:rPr>
      </w:pPr>
      <w:r>
        <w:rPr>
          <w:rFonts w:ascii="Arial" w:cs="Arial" w:eastAsia="Arial" w:hAnsi="Arial"/>
          <w:sz w:val="18"/>
          <w:szCs w:val="18"/>
          <w:b w:val="1"/>
          <w:bCs w:val="1"/>
          <w:color w:val="auto"/>
        </w:rPr>
        <w:t>(a)</w:t>
      </w:r>
    </w:p>
    <w:p>
      <w:pPr>
        <w:spacing w:after="0" w:line="200" w:lineRule="exact"/>
        <w:rPr>
          <w:sz w:val="20"/>
          <w:szCs w:val="20"/>
          <w:color w:val="auto"/>
        </w:rPr>
      </w:pPr>
    </w:p>
    <w:p>
      <w:pPr>
        <w:spacing w:after="0" w:line="223"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840" w:hanging="458"/>
        <w:spacing w:after="0"/>
        <w:tabs>
          <w:tab w:leader="none" w:pos="8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840" w:right="7460" w:hanging="458"/>
        <w:spacing w:after="0" w:line="282" w:lineRule="auto"/>
        <w:tabs>
          <w:tab w:leader="none" w:pos="8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 (SEE INSTRUCTIONS) 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9" w:lineRule="exact"/>
        <w:rPr>
          <w:sz w:val="20"/>
          <w:szCs w:val="20"/>
          <w:color w:val="auto"/>
        </w:rPr>
      </w:pPr>
    </w:p>
    <w:p>
      <w:pPr>
        <w:ind w:left="840" w:hanging="458"/>
        <w:spacing w:after="0"/>
        <w:tabs>
          <w:tab w:leader="none" w:pos="8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40" w:right="7840" w:hanging="558"/>
        <w:spacing w:after="0" w:line="282" w:lineRule="auto"/>
        <w:tabs>
          <w:tab w:leader="none" w:pos="85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 Delaware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Number Of</w:t>
            </w: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600" w:type="dxa"/>
            <w:vAlign w:val="bottom"/>
            <w:tcBorders>
              <w:top w:val="single" w:sz="8" w:color="auto"/>
            </w:tcBorders>
          </w:tcPr>
          <w:p>
            <w:pPr>
              <w:ind w:left="11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0" w:type="dxa"/>
            <w:vAlign w:val="bottom"/>
          </w:tcPr>
          <w:p>
            <w:pPr>
              <w:ind w:left="1180"/>
              <w:spacing w:after="0"/>
              <w:rPr>
                <w:sz w:val="20"/>
                <w:szCs w:val="20"/>
                <w:color w:val="auto"/>
              </w:rPr>
            </w:pPr>
            <w:r>
              <w:rPr>
                <w:rFonts w:ascii="Arial" w:cs="Arial" w:eastAsia="Arial" w:hAnsi="Arial"/>
                <w:sz w:val="18"/>
                <w:szCs w:val="18"/>
                <w:b w:val="1"/>
                <w:bCs w:val="1"/>
                <w:color w:val="auto"/>
              </w:rPr>
              <w:t>1,500  (Item 5)</w:t>
            </w:r>
          </w:p>
        </w:tc>
        <w:tc>
          <w:tcPr>
            <w:tcW w:w="0" w:type="dxa"/>
            <w:vAlign w:val="bottom"/>
          </w:tcPr>
          <w:p>
            <w:pPr>
              <w:spacing w:after="0"/>
              <w:rPr>
                <w:sz w:val="1"/>
                <w:szCs w:val="1"/>
                <w:color w:val="auto"/>
              </w:rPr>
            </w:pPr>
          </w:p>
        </w:tc>
      </w:tr>
      <w:tr>
        <w:trPr>
          <w:trHeight w:val="241"/>
        </w:trPr>
        <w:tc>
          <w:tcPr>
            <w:tcW w:w="3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20" w:type="dxa"/>
            <w:vAlign w:val="bottom"/>
            <w:vMerge w:val="continue"/>
          </w:tcPr>
          <w:p>
            <w:pPr>
              <w:spacing w:after="0"/>
              <w:rPr>
                <w:sz w:val="17"/>
                <w:szCs w:val="17"/>
                <w:color w:val="auto"/>
              </w:rPr>
            </w:pPr>
          </w:p>
        </w:tc>
        <w:tc>
          <w:tcPr>
            <w:tcW w:w="140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60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3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Owned</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vMerge w:val="continue"/>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By Each</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20" w:type="dxa"/>
            <w:vAlign w:val="bottom"/>
            <w:vMerge w:val="continue"/>
          </w:tcPr>
          <w:p>
            <w:pPr>
              <w:spacing w:after="0"/>
              <w:rPr>
                <w:sz w:val="17"/>
                <w:szCs w:val="17"/>
                <w:color w:val="auto"/>
              </w:rPr>
            </w:pPr>
          </w:p>
        </w:tc>
        <w:tc>
          <w:tcPr>
            <w:tcW w:w="140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60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3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vMerge w:val="continue"/>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0" w:type="dxa"/>
            <w:vAlign w:val="bottom"/>
          </w:tcPr>
          <w:p>
            <w:pPr>
              <w:ind w:left="1180"/>
              <w:spacing w:after="0"/>
              <w:rPr>
                <w:sz w:val="20"/>
                <w:szCs w:val="20"/>
                <w:color w:val="auto"/>
              </w:rPr>
            </w:pPr>
            <w:r>
              <w:rPr>
                <w:rFonts w:ascii="Arial" w:cs="Arial" w:eastAsia="Arial" w:hAnsi="Arial"/>
                <w:sz w:val="18"/>
                <w:szCs w:val="18"/>
                <w:b w:val="1"/>
                <w:bCs w:val="1"/>
                <w:color w:val="auto"/>
              </w:rPr>
              <w:t>1,500  (Item 5)</w:t>
            </w:r>
          </w:p>
        </w:tc>
        <w:tc>
          <w:tcPr>
            <w:tcW w:w="0" w:type="dxa"/>
            <w:vAlign w:val="bottom"/>
          </w:tcPr>
          <w:p>
            <w:pPr>
              <w:spacing w:after="0"/>
              <w:rPr>
                <w:sz w:val="1"/>
                <w:szCs w:val="1"/>
                <w:color w:val="auto"/>
              </w:rPr>
            </w:pPr>
          </w:p>
        </w:tc>
      </w:tr>
      <w:tr>
        <w:trPr>
          <w:trHeight w:val="241"/>
        </w:trPr>
        <w:tc>
          <w:tcPr>
            <w:tcW w:w="3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Person</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420" w:type="dxa"/>
            <w:vAlign w:val="bottom"/>
            <w:vMerge w:val="continue"/>
          </w:tcPr>
          <w:p>
            <w:pPr>
              <w:spacing w:after="0"/>
              <w:rPr>
                <w:sz w:val="11"/>
                <w:szCs w:val="11"/>
                <w:color w:val="auto"/>
              </w:rPr>
            </w:pPr>
          </w:p>
        </w:tc>
        <w:tc>
          <w:tcPr>
            <w:tcW w:w="140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600" w:type="dxa"/>
            <w:vAlign w:val="bottom"/>
            <w:vMerge w:val="restart"/>
          </w:tcPr>
          <w:p>
            <w:pPr>
              <w:ind w:left="118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34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6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With</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420" w:type="dxa"/>
            <w:vAlign w:val="bottom"/>
            <w:vMerge w:val="continue"/>
          </w:tcPr>
          <w:p>
            <w:pPr>
              <w:spacing w:after="0"/>
              <w:rPr>
                <w:sz w:val="13"/>
                <w:szCs w:val="13"/>
                <w:color w:val="auto"/>
              </w:rPr>
            </w:pPr>
          </w:p>
        </w:tc>
        <w:tc>
          <w:tcPr>
            <w:tcW w:w="140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60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63"/>
        </w:trPr>
        <w:tc>
          <w:tcPr>
            <w:tcW w:w="34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6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42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right="5720" w:hanging="832"/>
        <w:spacing w:after="0" w:line="516" w:lineRule="auto"/>
        <w:tabs>
          <w:tab w:leader="none" w:pos="8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1,500 (Item 5)</w:t>
      </w:r>
    </w:p>
    <w:p>
      <w:pPr>
        <w:spacing w:after="0" w:line="1"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Check box if the aggregate amount in row (11) excludes certain shares</w:t>
      </w:r>
    </w:p>
    <w:p>
      <w:pPr>
        <w:spacing w:after="0" w:line="27" w:lineRule="exact"/>
        <w:rPr>
          <w:rFonts w:ascii="Arial" w:cs="Arial" w:eastAsia="Arial" w:hAnsi="Arial"/>
          <w:sz w:val="18"/>
          <w:szCs w:val="18"/>
          <w:b w:val="1"/>
          <w:bCs w:val="1"/>
          <w:color w:val="auto"/>
        </w:rPr>
      </w:pPr>
    </w:p>
    <w:p>
      <w:pPr>
        <w:ind w:left="840" w:hanging="832"/>
        <w:spacing w:after="0"/>
        <w:tabs>
          <w:tab w:leader="none" w:pos="8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(SEE INSTRUCTIONS) X</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93" w:lineRule="exact"/>
        <w:rPr>
          <w:rFonts w:ascii="Arial" w:cs="Arial" w:eastAsia="Arial" w:hAnsi="Arial"/>
          <w:sz w:val="18"/>
          <w:szCs w:val="18"/>
          <w:b w:val="1"/>
          <w:bCs w:val="1"/>
          <w:color w:val="auto"/>
        </w:rPr>
      </w:pPr>
    </w:p>
    <w:p>
      <w:pPr>
        <w:ind w:left="840" w:right="6700" w:hanging="832"/>
        <w:spacing w:after="0" w:line="516" w:lineRule="auto"/>
        <w:tabs>
          <w:tab w:leader="none" w:pos="8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 0.03%</w:t>
      </w:r>
    </w:p>
    <w:p>
      <w:pPr>
        <w:spacing w:after="0" w:line="1" w:lineRule="exact"/>
        <w:rPr>
          <w:rFonts w:ascii="Arial" w:cs="Arial" w:eastAsia="Arial" w:hAnsi="Arial"/>
          <w:sz w:val="18"/>
          <w:szCs w:val="18"/>
          <w:b w:val="1"/>
          <w:bCs w:val="1"/>
          <w:color w:val="auto"/>
        </w:rPr>
      </w:pPr>
    </w:p>
    <w:p>
      <w:pPr>
        <w:ind w:left="840" w:hanging="832"/>
        <w:spacing w:after="0"/>
        <w:tabs>
          <w:tab w:leader="none" w:pos="8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677864100</w:t>
      </w:r>
    </w:p>
    <w:p>
      <w:pPr>
        <w:spacing w:after="0" w:line="13" w:lineRule="exact"/>
        <w:rPr>
          <w:sz w:val="20"/>
          <w:szCs w:val="20"/>
          <w:color w:val="auto"/>
        </w:rPr>
      </w:pPr>
    </w:p>
    <w:p>
      <w:pPr>
        <w:ind w:left="840" w:hanging="458"/>
        <w:spacing w:after="0"/>
        <w:tabs>
          <w:tab w:leader="none" w:pos="8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7"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7"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Mario J. Gabelli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820" w:val="left"/>
          <w:tab w:leader="none" w:pos="646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8"/>
          <w:szCs w:val="18"/>
          <w:b w:val="1"/>
          <w:bCs w:val="1"/>
          <w:color w:val="auto"/>
        </w:rPr>
        <w:t xml:space="preserve">Check the appropriate box if a member of a group </w:t>
      </w:r>
      <w:r>
        <w:rPr>
          <w:rFonts w:ascii="Arial" w:cs="Arial" w:eastAsia="Arial" w:hAnsi="Arial"/>
          <w:sz w:val="14"/>
          <w:szCs w:val="14"/>
          <w:b w:val="1"/>
          <w:bCs w:val="1"/>
          <w:color w:val="auto"/>
        </w:rPr>
        <w:t>(SEE INSTRUCTIONS)</w:t>
      </w:r>
      <w:r>
        <w:rPr>
          <w:sz w:val="20"/>
          <w:szCs w:val="20"/>
          <w:color w:val="auto"/>
        </w:rPr>
        <w:tab/>
      </w:r>
      <w:r>
        <w:rPr>
          <w:rFonts w:ascii="Arial" w:cs="Arial" w:eastAsia="Arial" w:hAnsi="Arial"/>
          <w:sz w:val="16"/>
          <w:szCs w:val="16"/>
          <w:b w:val="1"/>
          <w:bCs w:val="1"/>
          <w:color w:val="auto"/>
        </w:rPr>
        <w:t>(a)</w:t>
      </w:r>
    </w:p>
    <w:p>
      <w:pPr>
        <w:spacing w:after="0" w:line="200" w:lineRule="exact"/>
        <w:rPr>
          <w:sz w:val="20"/>
          <w:szCs w:val="20"/>
          <w:color w:val="auto"/>
        </w:rPr>
      </w:pPr>
    </w:p>
    <w:p>
      <w:pPr>
        <w:spacing w:after="0" w:line="241"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840" w:hanging="458"/>
        <w:spacing w:after="0"/>
        <w:tabs>
          <w:tab w:leader="none" w:pos="8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840" w:hanging="458"/>
        <w:spacing w:after="0"/>
        <w:tabs>
          <w:tab w:leader="none" w:pos="8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Source of funds </w:t>
      </w:r>
      <w:r>
        <w:rPr>
          <w:rFonts w:ascii="Arial" w:cs="Arial" w:eastAsia="Arial" w:hAnsi="Arial"/>
          <w:sz w:val="14"/>
          <w:szCs w:val="14"/>
          <w:b w:val="1"/>
          <w:bCs w:val="1"/>
          <w:color w:val="auto"/>
        </w:rPr>
        <w:t>(SEE INSTRUCTIONS)</w:t>
      </w:r>
    </w:p>
    <w:p>
      <w:pPr>
        <w:spacing w:after="0" w:line="2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4" w:lineRule="exact"/>
        <w:rPr>
          <w:sz w:val="20"/>
          <w:szCs w:val="20"/>
          <w:color w:val="auto"/>
        </w:rPr>
      </w:pPr>
    </w:p>
    <w:p>
      <w:pPr>
        <w:ind w:left="840" w:hanging="458"/>
        <w:spacing w:after="0"/>
        <w:tabs>
          <w:tab w:leader="none" w:pos="8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40" w:hanging="458"/>
        <w:spacing w:after="0"/>
        <w:tabs>
          <w:tab w:leader="none" w:pos="8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7"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USA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 Of</w:t>
            </w: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560" w:type="dxa"/>
            <w:vAlign w:val="bottom"/>
            <w:tcBorders>
              <w:top w:val="single" w:sz="8" w:color="auto"/>
            </w:tcBorders>
          </w:tcPr>
          <w:p>
            <w:pPr>
              <w:ind w:left="11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Owned</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By Each</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Person</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440" w:type="dxa"/>
            <w:vAlign w:val="bottom"/>
            <w:vMerge w:val="continue"/>
          </w:tcPr>
          <w:p>
            <w:pPr>
              <w:spacing w:after="0"/>
              <w:rPr>
                <w:sz w:val="11"/>
                <w:szCs w:val="11"/>
                <w:color w:val="auto"/>
              </w:rPr>
            </w:pPr>
          </w:p>
        </w:tc>
        <w:tc>
          <w:tcPr>
            <w:tcW w:w="142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560" w:type="dxa"/>
            <w:vAlign w:val="bottom"/>
            <w:vMerge w:val="restart"/>
          </w:tcPr>
          <w:p>
            <w:pPr>
              <w:ind w:left="118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440" w:type="dxa"/>
            <w:vAlign w:val="bottom"/>
            <w:vMerge w:val="continue"/>
          </w:tcPr>
          <w:p>
            <w:pPr>
              <w:spacing w:after="0"/>
              <w:rPr>
                <w:sz w:val="13"/>
                <w:szCs w:val="13"/>
                <w:color w:val="auto"/>
              </w:rPr>
            </w:pPr>
          </w:p>
        </w:tc>
        <w:tc>
          <w:tcPr>
            <w:tcW w:w="14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right="5720" w:hanging="832"/>
        <w:spacing w:after="0" w:line="516" w:lineRule="auto"/>
        <w:tabs>
          <w:tab w:leader="none" w:pos="8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None</w:t>
      </w:r>
    </w:p>
    <w:p>
      <w:pPr>
        <w:spacing w:after="0" w:line="1"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Check box if the aggregate amount in row (11) excludes certain shares</w:t>
      </w:r>
    </w:p>
    <w:p>
      <w:pPr>
        <w:spacing w:after="0" w:line="20" w:lineRule="exact"/>
        <w:rPr>
          <w:rFonts w:ascii="Arial" w:cs="Arial" w:eastAsia="Arial" w:hAnsi="Arial"/>
          <w:sz w:val="18"/>
          <w:szCs w:val="18"/>
          <w:b w:val="1"/>
          <w:bCs w:val="1"/>
          <w:color w:val="auto"/>
        </w:rPr>
      </w:pPr>
    </w:p>
    <w:p>
      <w:pPr>
        <w:ind w:left="840" w:hanging="832"/>
        <w:spacing w:after="0" w:line="187" w:lineRule="auto"/>
        <w:tabs>
          <w:tab w:leader="none" w:pos="840" w:val="left"/>
        </w:tabs>
        <w:numPr>
          <w:ilvl w:val="0"/>
          <w:numId w:val="44"/>
        </w:numPr>
        <w:rPr>
          <w:rFonts w:ascii="Arial" w:cs="Arial" w:eastAsia="Arial" w:hAnsi="Arial"/>
          <w:sz w:val="19"/>
          <w:szCs w:val="19"/>
          <w:b w:val="1"/>
          <w:bCs w:val="1"/>
          <w:color w:val="auto"/>
          <w:vertAlign w:val="subscript"/>
        </w:rPr>
      </w:pPr>
      <w:r>
        <w:rPr>
          <w:rFonts w:ascii="Arial" w:cs="Arial" w:eastAsia="Arial" w:hAnsi="Arial"/>
          <w:sz w:val="11"/>
          <w:szCs w:val="11"/>
          <w:b w:val="1"/>
          <w:bCs w:val="1"/>
          <w:color w:val="auto"/>
        </w:rPr>
        <w:t>(SEE INSTRUCTIONS) X</w:t>
      </w:r>
    </w:p>
    <w:p>
      <w:pPr>
        <w:spacing w:after="0" w:line="200" w:lineRule="exact"/>
        <w:rPr>
          <w:rFonts w:ascii="Arial" w:cs="Arial" w:eastAsia="Arial" w:hAnsi="Arial"/>
          <w:sz w:val="19"/>
          <w:szCs w:val="19"/>
          <w:b w:val="1"/>
          <w:bCs w:val="1"/>
          <w:color w:val="auto"/>
          <w:vertAlign w:val="subscript"/>
        </w:rPr>
      </w:pPr>
    </w:p>
    <w:p>
      <w:pPr>
        <w:spacing w:after="0" w:line="200" w:lineRule="exact"/>
        <w:rPr>
          <w:rFonts w:ascii="Arial" w:cs="Arial" w:eastAsia="Arial" w:hAnsi="Arial"/>
          <w:sz w:val="19"/>
          <w:szCs w:val="19"/>
          <w:b w:val="1"/>
          <w:bCs w:val="1"/>
          <w:color w:val="auto"/>
          <w:vertAlign w:val="subscript"/>
        </w:rPr>
      </w:pPr>
    </w:p>
    <w:p>
      <w:pPr>
        <w:spacing w:after="0" w:line="322" w:lineRule="exact"/>
        <w:rPr>
          <w:rFonts w:ascii="Arial" w:cs="Arial" w:eastAsia="Arial" w:hAnsi="Arial"/>
          <w:sz w:val="19"/>
          <w:szCs w:val="19"/>
          <w:b w:val="1"/>
          <w:bCs w:val="1"/>
          <w:color w:val="auto"/>
          <w:vertAlign w:val="subscript"/>
        </w:rPr>
      </w:pPr>
    </w:p>
    <w:p>
      <w:pPr>
        <w:ind w:left="840" w:right="6700" w:hanging="832"/>
        <w:spacing w:after="0" w:line="363" w:lineRule="auto"/>
        <w:tabs>
          <w:tab w:leader="none" w:pos="840" w:val="left"/>
        </w:tabs>
        <w:numPr>
          <w:ilvl w:val="0"/>
          <w:numId w:val="44"/>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Percent of class represented by amount in row (11) 0.00%</w:t>
      </w:r>
    </w:p>
    <w:p>
      <w:pPr>
        <w:ind w:left="840" w:hanging="832"/>
        <w:spacing w:after="0"/>
        <w:tabs>
          <w:tab w:leader="none" w:pos="840" w:val="left"/>
        </w:tabs>
        <w:numPr>
          <w:ilvl w:val="0"/>
          <w:numId w:val="44"/>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 xml:space="preserve">Type of reporting person </w:t>
      </w:r>
      <w:r>
        <w:rPr>
          <w:rFonts w:ascii="Arial" w:cs="Arial" w:eastAsia="Arial" w:hAnsi="Arial"/>
          <w:sz w:val="14"/>
          <w:szCs w:val="14"/>
          <w:b w:val="1"/>
          <w:bCs w:val="1"/>
          <w:color w:val="auto"/>
        </w:rPr>
        <w:t>(SEE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-1388745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-676910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8" w:name="page9"/>
    <w:bookmarkEnd w:id="8"/>
    <w:p>
      <w:pPr>
        <w:spacing w:after="0" w:line="83" w:lineRule="exact"/>
        <w:rPr>
          <w:sz w:val="20"/>
          <w:szCs w:val="20"/>
          <w:color w:val="auto"/>
        </w:rPr>
      </w:pPr>
    </w:p>
    <w:p>
      <w:pPr>
        <w:spacing w:after="0"/>
        <w:tabs>
          <w:tab w:leader="none" w:pos="2540" w:val="left"/>
        </w:tabs>
        <w:rPr>
          <w:sz w:val="20"/>
          <w:szCs w:val="20"/>
          <w:color w:val="auto"/>
        </w:rPr>
      </w:pPr>
      <w:r>
        <w:rPr>
          <w:rFonts w:ascii="Arial" w:cs="Arial" w:eastAsia="Arial" w:hAnsi="Arial"/>
          <w:sz w:val="22"/>
          <w:szCs w:val="22"/>
          <w:color w:val="auto"/>
        </w:rPr>
        <w:t>Item 1.</w:t>
      </w:r>
      <w:r>
        <w:rPr>
          <w:sz w:val="20"/>
          <w:szCs w:val="20"/>
          <w:color w:val="auto"/>
        </w:rPr>
        <w:tab/>
      </w:r>
      <w:r>
        <w:rPr>
          <w:rFonts w:ascii="Arial" w:cs="Arial" w:eastAsia="Arial" w:hAnsi="Arial"/>
          <w:sz w:val="19"/>
          <w:szCs w:val="19"/>
          <w:u w:val="single" w:color="auto"/>
          <w:color w:val="auto"/>
        </w:rPr>
        <w:t>Security and Issuer</w:t>
      </w:r>
    </w:p>
    <w:p>
      <w:pPr>
        <w:spacing w:after="0" w:line="9" w:lineRule="exact"/>
        <w:rPr>
          <w:sz w:val="20"/>
          <w:szCs w:val="20"/>
          <w:color w:val="auto"/>
        </w:rPr>
      </w:pPr>
    </w:p>
    <w:p>
      <w:pPr>
        <w:ind w:right="100" w:firstLine="1297"/>
        <w:spacing w:after="0" w:line="233" w:lineRule="auto"/>
        <w:rPr>
          <w:sz w:val="20"/>
          <w:szCs w:val="20"/>
          <w:color w:val="auto"/>
        </w:rPr>
      </w:pPr>
      <w:r>
        <w:rPr>
          <w:rFonts w:ascii="Arial" w:cs="Arial" w:eastAsia="Arial" w:hAnsi="Arial"/>
          <w:sz w:val="22"/>
          <w:szCs w:val="22"/>
          <w:color w:val="auto"/>
        </w:rPr>
        <w:t>This Amendment No. 28 to Schedule 13D on the Common Stock of Oil-Dri Corporation of America (the “Issuer”) is being filed on behalf of the undersigned to amend the Schedule 13D, as amended (the “Schedule 13D”) which was originally filed on November 22, 2000. Unless otherwise indicated, all capitalized terms used herein but not defined herein shall have the same meanings as set forth in the Schedule 13D.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60" w:type="dxa"/>
            <w:vAlign w:val="bottom"/>
          </w:tcPr>
          <w:p>
            <w:pPr>
              <w:spacing w:after="0"/>
              <w:rPr>
                <w:sz w:val="20"/>
                <w:szCs w:val="20"/>
                <w:color w:val="auto"/>
              </w:rPr>
            </w:pPr>
            <w:r>
              <w:rPr>
                <w:rFonts w:ascii="Arial" w:cs="Arial" w:eastAsia="Arial" w:hAnsi="Arial"/>
                <w:sz w:val="22"/>
                <w:szCs w:val="22"/>
                <w:color w:val="auto"/>
              </w:rPr>
              <w:t>Item 2.</w:t>
            </w:r>
          </w:p>
        </w:tc>
        <w:tc>
          <w:tcPr>
            <w:tcW w:w="1600" w:type="dxa"/>
            <w:vAlign w:val="bottom"/>
          </w:tcPr>
          <w:p>
            <w:pPr>
              <w:spacing w:after="0"/>
              <w:rPr>
                <w:sz w:val="21"/>
                <w:szCs w:val="21"/>
                <w:color w:val="auto"/>
              </w:rPr>
            </w:pPr>
          </w:p>
        </w:tc>
        <w:tc>
          <w:tcPr>
            <w:tcW w:w="21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0"/>
              </w:rPr>
              <w:t>Identity and Background</w:t>
            </w:r>
          </w:p>
        </w:tc>
        <w:tc>
          <w:tcPr>
            <w:tcW w:w="4960" w:type="dxa"/>
            <w:vAlign w:val="bottom"/>
          </w:tcPr>
          <w:p>
            <w:pPr>
              <w:spacing w:after="0"/>
              <w:rPr>
                <w:sz w:val="21"/>
                <w:szCs w:val="21"/>
                <w:color w:val="auto"/>
              </w:rPr>
            </w:pPr>
          </w:p>
        </w:tc>
      </w:tr>
      <w:tr>
        <w:trPr>
          <w:trHeight w:val="242"/>
        </w:trPr>
        <w:tc>
          <w:tcPr>
            <w:tcW w:w="960" w:type="dxa"/>
            <w:vAlign w:val="bottom"/>
          </w:tcPr>
          <w:p>
            <w:pPr>
              <w:spacing w:after="0"/>
              <w:rPr>
                <w:sz w:val="21"/>
                <w:szCs w:val="21"/>
                <w:color w:val="auto"/>
              </w:rPr>
            </w:pPr>
          </w:p>
        </w:tc>
        <w:tc>
          <w:tcPr>
            <w:tcW w:w="8720" w:type="dxa"/>
            <w:vAlign w:val="bottom"/>
            <w:gridSpan w:val="3"/>
          </w:tcPr>
          <w:p>
            <w:pPr>
              <w:ind w:left="340"/>
              <w:spacing w:after="0" w:line="242" w:lineRule="exact"/>
              <w:rPr>
                <w:sz w:val="20"/>
                <w:szCs w:val="20"/>
                <w:color w:val="auto"/>
              </w:rPr>
            </w:pPr>
            <w:r>
              <w:rPr>
                <w:rFonts w:ascii="Arial" w:cs="Arial" w:eastAsia="Arial" w:hAnsi="Arial"/>
                <w:sz w:val="22"/>
                <w:szCs w:val="22"/>
                <w:color w:val="auto"/>
              </w:rPr>
              <w:t>Item 2 to Schedule 13D is amended, in pertinent part, as follows:</w:t>
            </w:r>
          </w:p>
        </w:tc>
      </w:tr>
      <w:tr>
        <w:trPr>
          <w:trHeight w:val="261"/>
        </w:trPr>
        <w:tc>
          <w:tcPr>
            <w:tcW w:w="960" w:type="dxa"/>
            <w:vAlign w:val="bottom"/>
          </w:tcPr>
          <w:p>
            <w:pPr>
              <w:spacing w:after="0"/>
              <w:rPr>
                <w:sz w:val="22"/>
                <w:szCs w:val="22"/>
                <w:color w:val="auto"/>
              </w:rPr>
            </w:pPr>
          </w:p>
        </w:tc>
        <w:tc>
          <w:tcPr>
            <w:tcW w:w="8720" w:type="dxa"/>
            <w:vAlign w:val="bottom"/>
            <w:gridSpan w:val="3"/>
          </w:tcPr>
          <w:p>
            <w:pPr>
              <w:ind w:left="340"/>
              <w:spacing w:after="0"/>
              <w:rPr>
                <w:sz w:val="20"/>
                <w:szCs w:val="20"/>
                <w:color w:val="auto"/>
              </w:rPr>
            </w:pPr>
            <w:r>
              <w:rPr>
                <w:rFonts w:ascii="Arial" w:cs="Arial" w:eastAsia="Arial" w:hAnsi="Arial"/>
                <w:sz w:val="22"/>
                <w:szCs w:val="22"/>
                <w:color w:val="auto"/>
                <w:w w:val="91"/>
              </w:rPr>
              <w:t>This statement is being filed by Mario J. Gabelli (“Mario Gabelli”) and various entities which he</w:t>
            </w:r>
          </w:p>
        </w:tc>
      </w:tr>
    </w:tbl>
    <w:p>
      <w:pPr>
        <w:ind w:right="40"/>
        <w:spacing w:after="0" w:line="230" w:lineRule="auto"/>
        <w:rPr>
          <w:sz w:val="20"/>
          <w:szCs w:val="20"/>
          <w:color w:val="auto"/>
        </w:rPr>
      </w:pPr>
      <w:r>
        <w:rPr>
          <w:rFonts w:ascii="Arial" w:cs="Arial" w:eastAsia="Arial" w:hAnsi="Arial"/>
          <w:sz w:val="22"/>
          <w:szCs w:val="22"/>
          <w:color w:val="auto"/>
        </w:rPr>
        <w:t>directly or indirectly controls or for which he acts as chief investment officer. These entities, except for LICT Corporation (“LICT) and CIBL, Inc. (“CIBL”), engage in various aspects of the securities business, primarily as investment adviser to various institutional and individual clients, including registered investment companies and pension plans, and as general partner or the equivalent of various private investment partnerships or private funds and as a registered broker-dealer. Certain of these entities may also make investments for their own accounts.</w:t>
      </w:r>
    </w:p>
    <w:p>
      <w:pPr>
        <w:spacing w:after="0" w:line="3" w:lineRule="exact"/>
        <w:rPr>
          <w:sz w:val="20"/>
          <w:szCs w:val="20"/>
          <w:color w:val="auto"/>
        </w:rPr>
      </w:pPr>
    </w:p>
    <w:p>
      <w:pPr>
        <w:ind w:right="60" w:firstLine="1297"/>
        <w:spacing w:after="0" w:line="267" w:lineRule="auto"/>
        <w:rPr>
          <w:sz w:val="20"/>
          <w:szCs w:val="20"/>
          <w:color w:val="auto"/>
        </w:rPr>
      </w:pPr>
      <w:r>
        <w:rPr>
          <w:rFonts w:ascii="Arial" w:cs="Arial" w:eastAsia="Arial" w:hAnsi="Arial"/>
          <w:sz w:val="19"/>
          <w:szCs w:val="19"/>
          <w:color w:val="auto"/>
        </w:rPr>
        <w:t>The foregoing persons in the aggregate often own beneficially more than 5% of a class of equity securities of a particular issuer. Although several of the foregoing persons are treated as institutional investors for purposes of reporting their beneficial ownership on the short-form Schedule 13G, the holdings of those who do not qualify as institutional investors may exceed the 1% threshold presented for filing on Schedule 13G or implementation of their investment philosophy may from time to time require action which could be viewed as not completely passive. In order to avoid any question as to whether their beneficial ownership is being reported on the proper form and in order to provide greater investment flexibility and administrative uniformity, these persons have decided to file their beneficial ownership reports on the more detailed Schedule 13D form rather than on the short-form Schedule 13G and thereby to provide more expansive disclosure than may be necessary.</w:t>
      </w:r>
    </w:p>
    <w:p>
      <w:pPr>
        <w:ind w:firstLine="1297"/>
        <w:spacing w:after="0" w:line="241" w:lineRule="auto"/>
        <w:rPr>
          <w:sz w:val="20"/>
          <w:szCs w:val="20"/>
          <w:color w:val="auto"/>
        </w:rPr>
      </w:pPr>
      <w:r>
        <w:rPr>
          <w:rFonts w:ascii="Arial" w:cs="Arial" w:eastAsia="Arial" w:hAnsi="Arial"/>
          <w:sz w:val="21"/>
          <w:szCs w:val="21"/>
          <w:color w:val="auto"/>
        </w:rPr>
        <w:t>(a), (b) and (c) - This statement is being filed by one or more of the following persons: GGCP, Inc. (“GGCP”), GGCP Holdings LLC (“GGCP Holdings”), GAMCO Investors, Inc. (“GBL”), Associated Capital Group, Inc. (“AC”), Gabelli Funds, LLC (“Gabelli Funds”), GAMCO Asset Management Inc. (“GAMCO”), Teton Advisors, Inc. (“Teton Advisors”), Gabelli &amp; Company Investment Advisers, Inc. (“GCIA”), Morgan Group Holding Co., (“MGH”), G.research, LLC (“G.research”), MJG Associates, Inc. (“MJG Associates”), Gabelli Foundation, Inc. (“Foundation”), Mario Gabelli, LICT and CIBL. Those of the foregoing persons signing this Schedule 13D are hereinafter referred to as the “Reporting Persons”.</w:t>
      </w:r>
    </w:p>
    <w:p>
      <w:pPr>
        <w:spacing w:after="0" w:line="4" w:lineRule="exact"/>
        <w:rPr>
          <w:sz w:val="20"/>
          <w:szCs w:val="20"/>
          <w:color w:val="auto"/>
        </w:rPr>
      </w:pPr>
    </w:p>
    <w:p>
      <w:pPr>
        <w:ind w:right="40" w:firstLine="1297"/>
        <w:spacing w:after="0" w:line="230" w:lineRule="auto"/>
        <w:rPr>
          <w:sz w:val="20"/>
          <w:szCs w:val="20"/>
          <w:color w:val="auto"/>
        </w:rPr>
      </w:pPr>
      <w:r>
        <w:rPr>
          <w:rFonts w:ascii="Arial" w:cs="Arial" w:eastAsia="Arial" w:hAnsi="Arial"/>
          <w:sz w:val="22"/>
          <w:szCs w:val="22"/>
          <w:color w:val="auto"/>
        </w:rPr>
        <w:t>GGCP makes investments for its own account and is the manager and a member of GGCP Holdings which is the controlling shareholder of GBL and AC. GBL, a public company listed on the New York Stock Exchange, is the parent company for a variety of companies engaged in the securities business, including certain of those named below. AC, a public company listed on the New York Stock Exchange, is the parent company for a variety of companies engaged in the securities business, including certain of those listed below.</w:t>
      </w:r>
    </w:p>
    <w:p>
      <w:pPr>
        <w:spacing w:after="0" w:line="3" w:lineRule="exact"/>
        <w:rPr>
          <w:sz w:val="20"/>
          <w:szCs w:val="20"/>
          <w:color w:val="auto"/>
        </w:rPr>
      </w:pPr>
    </w:p>
    <w:p>
      <w:pPr>
        <w:ind w:right="120" w:firstLine="1297"/>
        <w:spacing w:after="0" w:line="230" w:lineRule="auto"/>
        <w:rPr>
          <w:sz w:val="20"/>
          <w:szCs w:val="20"/>
          <w:color w:val="auto"/>
        </w:rPr>
      </w:pPr>
      <w:r>
        <w:rPr>
          <w:rFonts w:ascii="Arial" w:cs="Arial" w:eastAsia="Arial" w:hAnsi="Arial"/>
          <w:sz w:val="22"/>
          <w:szCs w:val="22"/>
          <w:color w:val="auto"/>
        </w:rPr>
        <w:t>GAMCO, a wholly-owned subsidiary of GBL, is an investment adviser registered under the Investment Advisers Act of 1940, as amended (“Advisers Act”). GAMCO is an investment manager providing discretionary managed account services for employee benefit plans, private investors, endowments, foundations and others.</w:t>
      </w:r>
    </w:p>
    <w:p>
      <w:pPr>
        <w:spacing w:after="0" w:line="2" w:lineRule="exact"/>
        <w:rPr>
          <w:sz w:val="20"/>
          <w:szCs w:val="20"/>
          <w:color w:val="auto"/>
        </w:rPr>
      </w:pPr>
    </w:p>
    <w:p>
      <w:pPr>
        <w:ind w:right="80" w:firstLine="1297"/>
        <w:spacing w:after="0" w:line="241" w:lineRule="auto"/>
        <w:rPr>
          <w:sz w:val="20"/>
          <w:szCs w:val="20"/>
          <w:color w:val="auto"/>
        </w:rPr>
      </w:pPr>
      <w:r>
        <w:rPr>
          <w:rFonts w:ascii="Arial" w:cs="Arial" w:eastAsia="Arial" w:hAnsi="Arial"/>
          <w:sz w:val="21"/>
          <w:szCs w:val="21"/>
          <w:color w:val="auto"/>
        </w:rPr>
        <w:t>GCIA, a wholly owned subsidiary of AC, is an investment adviser registered under the Advisers Act and serves as a general partner or investment manager to limited partnerships and offshore investment companies and other accounts. As a part of its business, GCIA may purchase or sell securities for its own account. GCIA is a general partner or investment manager of a number of funds or partnerships, including Gabelli Associates Fund, L.P., Gabelli Associates Fund II, L.P., Gabelli Associates Limited, Gabelli Associates Limited II E, ALCE Partners, L.P., Gabelli Capital Structure Arbitrage Fund LP, Gabelli Capital Structure Arbitrage Fund Limited, Gabelli Intermediate Credit Fund L.P., GAMA Select Energy + L.P., GAMCO Medical Opportunities L.P., and Gabelli Multimedia Partners, L.P.</w:t>
      </w:r>
    </w:p>
    <w:p>
      <w:pPr>
        <w:spacing w:after="0" w:line="4" w:lineRule="exact"/>
        <w:rPr>
          <w:sz w:val="20"/>
          <w:szCs w:val="20"/>
          <w:color w:val="auto"/>
        </w:rPr>
      </w:pPr>
    </w:p>
    <w:p>
      <w:pPr>
        <w:ind w:right="60" w:firstLine="1297"/>
        <w:spacing w:after="0" w:line="230" w:lineRule="auto"/>
        <w:rPr>
          <w:sz w:val="20"/>
          <w:szCs w:val="20"/>
          <w:color w:val="auto"/>
        </w:rPr>
      </w:pPr>
      <w:r>
        <w:rPr>
          <w:rFonts w:ascii="Arial" w:cs="Arial" w:eastAsia="Arial" w:hAnsi="Arial"/>
          <w:sz w:val="22"/>
          <w:szCs w:val="22"/>
          <w:color w:val="auto"/>
        </w:rPr>
        <w:t>G.research is a wholly owned subsidiary of MGH. MGH in turn is controlled by AC through an 83% ownership interest. G.research, is a broker-dealer registered under the Securities Exchange Act of 1934, as amended (“1934 Act”), which as a part of its business regularly purchases and sells securities for its own account.</w:t>
      </w:r>
    </w:p>
    <w:p>
      <w:pPr>
        <w:spacing w:after="0" w:line="2" w:lineRule="exact"/>
        <w:rPr>
          <w:sz w:val="20"/>
          <w:szCs w:val="20"/>
          <w:color w:val="auto"/>
        </w:rPr>
      </w:pPr>
    </w:p>
    <w:p>
      <w:pPr>
        <w:ind w:right="40" w:firstLine="1297"/>
        <w:spacing w:after="0" w:line="243" w:lineRule="auto"/>
        <w:rPr>
          <w:sz w:val="20"/>
          <w:szCs w:val="20"/>
          <w:color w:val="auto"/>
        </w:rPr>
      </w:pPr>
      <w:r>
        <w:rPr>
          <w:rFonts w:ascii="Arial" w:cs="Arial" w:eastAsia="Arial" w:hAnsi="Arial"/>
          <w:sz w:val="20"/>
          <w:szCs w:val="20"/>
          <w:color w:val="auto"/>
        </w:rPr>
        <w:t xml:space="preserve">Gabelli Funds, a wholly owned subsidiary of GBL, is a limited liability company. Gabelli Funds is an investment adviser registered under the Advisers Act which provides advisory services for The Gabelli Equity Trust Inc., The Gabelli Asset Fund, The GAMCO Growth Fund, The Gabelli Convertible and Income Securities Fund Inc., The Gabelli Value 25 Fund Inc., The Gabelli Small Cap Growth Fund, The Gabelli Equity Income Fund, The Gabelli ABC Fund, The GAMCO Global Content &amp; Connectivity Fund, The Gabelli Gold Fund, Inc., The Gabelli Multimedia Trust Inc., The Gabelli Global Rising Income &amp; Dividend Fund, The Gabelli Capital Asset Fund, The GAMCO International Growth Fund, Inc., The GAMCO Global Growth Fund, The Gabelli Utility Trust, The Gabelli Utilities Fund, The Gabelli Dividend Growth Fund, The Gabelli Focus Five Fund, The Comstock Capital Value Fund, The Gabelli Dividend and Income Trust, The Gabelli Global Utility &amp; Income Trust, The GAMCO Global Gold, Natural Resources, &amp; Income Trust, The GAMCO Natural Resources Gold &amp; Income Trust, The GDL Fund, Gabelli Enterprise Mergers &amp; Acquisitions Fund, The Gabelli ESG Fund, Inc., The Gabelli International Small Cap Fund, The Gabelli Healthcare &amp; Wellness </w:t>
      </w:r>
      <w:r>
        <w:rPr>
          <w:rFonts w:ascii="Arial" w:cs="Arial" w:eastAsia="Arial" w:hAnsi="Arial"/>
          <w:sz w:val="33"/>
          <w:szCs w:val="33"/>
          <w:color w:val="auto"/>
          <w:vertAlign w:val="superscript"/>
        </w:rPr>
        <w:t>Rx</w:t>
      </w:r>
      <w:r>
        <w:rPr>
          <w:rFonts w:ascii="Arial" w:cs="Arial" w:eastAsia="Arial" w:hAnsi="Arial"/>
          <w:sz w:val="20"/>
          <w:szCs w:val="20"/>
          <w:color w:val="auto"/>
        </w:rPr>
        <w:t xml:space="preserve"> Trust, The Gabelli Global Small and Mid Cap Value Trust, Gabelli Value Plus+ Trust, Gabelli Merger Plus+ Trust Plc, The Gabelli Global Financial Services Fund, The Gabelli Global Mini Mites Fund, The Gabelli Go Anywhere Trust, The Gabelli Media Mogul Fund, The Gabelli Pet Parents’ Fund, The Gabelli U.S. Treasury Money Market Fund, Bancroft Fund Ltd. and Ellsworth Growth &amp; Income Fund Ltd. (collectively, the “Funds”), which are registered investment companies. Gabelli Funds is also the investment adviser to The GAMCO International SICAV (sub-funds GAMCO Merger Arbitrage and GAMCO All Cap Value), a UCITS III vehicle.</w:t>
      </w:r>
    </w:p>
    <w:p>
      <w:pPr>
        <w:spacing w:after="0" w:line="13" w:lineRule="exact"/>
        <w:rPr>
          <w:sz w:val="20"/>
          <w:szCs w:val="20"/>
          <w:color w:val="auto"/>
        </w:rPr>
      </w:pPr>
    </w:p>
    <w:p>
      <w:pPr>
        <w:ind w:right="40" w:firstLine="1297"/>
        <w:spacing w:after="0" w:line="197" w:lineRule="auto"/>
        <w:rPr>
          <w:sz w:val="20"/>
          <w:szCs w:val="20"/>
          <w:color w:val="auto"/>
        </w:rPr>
      </w:pPr>
      <w:r>
        <w:rPr>
          <w:rFonts w:ascii="Arial" w:cs="Arial" w:eastAsia="Arial" w:hAnsi="Arial"/>
          <w:sz w:val="21"/>
          <w:szCs w:val="21"/>
          <w:color w:val="auto"/>
        </w:rPr>
        <w:t>Teton Advisors, an investment adviser registered under the Advisers Act, provides discretionary advisory services to The TETON Westwood Mighty Mites</w:t>
      </w:r>
      <w:r>
        <w:rPr>
          <w:rFonts w:ascii="Arial" w:cs="Arial" w:eastAsia="Arial" w:hAnsi="Arial"/>
          <w:sz w:val="35"/>
          <w:szCs w:val="35"/>
          <w:color w:val="auto"/>
          <w:vertAlign w:val="superscript"/>
        </w:rPr>
        <w:t>sm</w:t>
      </w:r>
      <w:r>
        <w:rPr>
          <w:rFonts w:ascii="Arial" w:cs="Arial" w:eastAsia="Arial" w:hAnsi="Arial"/>
          <w:sz w:val="21"/>
          <w:szCs w:val="21"/>
          <w:color w:val="auto"/>
        </w:rPr>
        <w:t xml:space="preserve"> Fund, The TETON Westwood Income Fund, The TETON Westwood SmallCap Equity Fund, TETON Westwood Intermediate Bond Fund, and The TETON Westwood Mid-Cap Equity Fund.</w:t>
      </w:r>
    </w:p>
    <w:p>
      <w:pPr>
        <w:spacing w:after="0" w:line="2" w:lineRule="exact"/>
        <w:rPr>
          <w:sz w:val="20"/>
          <w:szCs w:val="20"/>
          <w:color w:val="auto"/>
        </w:rPr>
      </w:pPr>
    </w:p>
    <w:p>
      <w:pPr>
        <w:ind w:right="120" w:firstLine="1297"/>
        <w:spacing w:after="0" w:line="287" w:lineRule="auto"/>
        <w:rPr>
          <w:sz w:val="20"/>
          <w:szCs w:val="20"/>
          <w:color w:val="auto"/>
        </w:rPr>
      </w:pPr>
      <w:r>
        <w:rPr>
          <w:rFonts w:ascii="Arial" w:cs="Arial" w:eastAsia="Arial" w:hAnsi="Arial"/>
          <w:sz w:val="19"/>
          <w:szCs w:val="19"/>
          <w:color w:val="auto"/>
        </w:rPr>
        <w:t>MJG Associates provides advisory services to private investment partnerships and offshore funds. Mario Gabelli is the sole shareholder, director and employee of MJG Associates. MJG Associates is the Investment Manager of Gabelli International Limited and Gabelli Fund, LDC. Mario J. Gabelli is the general partner of Gabelli Performance Partnership, LP.</w:t>
      </w:r>
    </w:p>
    <w:p>
      <w:pPr>
        <w:sectPr>
          <w:pgSz w:w="11900" w:h="16921" w:orient="portrait"/>
          <w:cols w:equalWidth="0" w:num="1">
            <w:col w:w="11420"/>
          </w:cols>
          <w:pgMar w:left="240" w:top="118" w:right="239" w:bottom="0" w:gutter="0" w:footer="0" w:header="0"/>
        </w:sectPr>
      </w:pPr>
    </w:p>
    <w:bookmarkStart w:id="9" w:name="page10"/>
    <w:bookmarkEnd w:id="9"/>
    <w:p>
      <w:pPr>
        <w:ind w:right="300" w:firstLine="1297"/>
        <w:spacing w:after="0" w:line="239" w:lineRule="auto"/>
        <w:rPr>
          <w:sz w:val="20"/>
          <w:szCs w:val="20"/>
          <w:color w:val="auto"/>
        </w:rPr>
      </w:pPr>
      <w:r>
        <w:rPr>
          <w:rFonts w:ascii="Arial" w:cs="Arial" w:eastAsia="Arial" w:hAnsi="Arial"/>
          <w:sz w:val="22"/>
          <w:szCs w:val="22"/>
          <w:color w:val="auto"/>
        </w:rPr>
        <w:t>The Foundation is a private foundation. Mario Gabelli is the Chairman, a Trustee and the Investment Manager of the Foundation. Elisa M. Wilson is the President of the Foundation.</w:t>
      </w:r>
    </w:p>
    <w:p>
      <w:pPr>
        <w:spacing w:after="0" w:line="1" w:lineRule="exact"/>
        <w:rPr>
          <w:sz w:val="20"/>
          <w:szCs w:val="20"/>
          <w:color w:val="auto"/>
        </w:rPr>
      </w:pPr>
    </w:p>
    <w:p>
      <w:pPr>
        <w:ind w:right="20" w:firstLine="1297"/>
        <w:spacing w:after="0" w:line="267" w:lineRule="auto"/>
        <w:rPr>
          <w:sz w:val="20"/>
          <w:szCs w:val="20"/>
          <w:color w:val="auto"/>
        </w:rPr>
      </w:pPr>
      <w:r>
        <w:rPr>
          <w:rFonts w:ascii="Arial" w:cs="Arial" w:eastAsia="Arial" w:hAnsi="Arial"/>
          <w:sz w:val="19"/>
          <w:szCs w:val="19"/>
          <w:color w:val="auto"/>
        </w:rPr>
        <w:t>LICT is a holding company with operating subsidiaries engaged primarily in the rural telephone industry. LICT actively pursues new business ventures and acquisitions. LICT makes investments in marketable securities to preserve capital and maintain liquidity for financing their business activities and acquisitions and are not engaged in the business of investing, or trading in securities. Mario J. Gabelli is the Chief Executive Officer, a director, and substantial shareholder of LICT.</w:t>
      </w:r>
    </w:p>
    <w:p>
      <w:pPr>
        <w:ind w:right="40" w:firstLine="1297"/>
        <w:spacing w:after="0" w:line="241" w:lineRule="auto"/>
        <w:rPr>
          <w:sz w:val="20"/>
          <w:szCs w:val="20"/>
          <w:color w:val="auto"/>
        </w:rPr>
      </w:pPr>
      <w:r>
        <w:rPr>
          <w:rFonts w:ascii="Arial" w:cs="Arial" w:eastAsia="Arial" w:hAnsi="Arial"/>
          <w:sz w:val="21"/>
          <w:szCs w:val="21"/>
          <w:color w:val="auto"/>
        </w:rPr>
        <w:t>CIBL is a holding company with interests in telecommunications operations, primarily in the rural telephone industry. CIBL actively pursues new business ventures and acquisitions. CIBL makes investments in marketable securities to preserve capital and maintain liquidity for financing their business activities and acquisitions and are not engaged in the business of investing, or trading in securities. Mario J. Gabelli is a director, and substantial shareholder of CIBL.</w:t>
      </w:r>
    </w:p>
    <w:p>
      <w:pPr>
        <w:spacing w:after="0" w:line="2" w:lineRule="exact"/>
        <w:rPr>
          <w:sz w:val="20"/>
          <w:szCs w:val="20"/>
          <w:color w:val="auto"/>
        </w:rPr>
      </w:pPr>
    </w:p>
    <w:p>
      <w:pPr>
        <w:ind w:right="100" w:firstLine="1297"/>
        <w:spacing w:after="0" w:line="230" w:lineRule="auto"/>
        <w:rPr>
          <w:sz w:val="20"/>
          <w:szCs w:val="20"/>
          <w:color w:val="auto"/>
        </w:rPr>
      </w:pPr>
      <w:r>
        <w:rPr>
          <w:rFonts w:ascii="Arial" w:cs="Arial" w:eastAsia="Arial" w:hAnsi="Arial"/>
          <w:sz w:val="22"/>
          <w:szCs w:val="22"/>
          <w:color w:val="auto"/>
        </w:rPr>
        <w:t>Mario Gabelli is the controlling stockholder, Chief Executive Officer and a director of GGCP and Chairman and Chief Executive Officer of GBL. He is the Executive Chairman of AC. Mario Gabelli is also a member of GGCP Holdings. Mario Gabelli is the controlling shareholder of Teton.</w:t>
      </w:r>
    </w:p>
    <w:p>
      <w:pPr>
        <w:ind w:left="1300"/>
        <w:spacing w:after="0" w:line="232" w:lineRule="auto"/>
        <w:rPr>
          <w:sz w:val="20"/>
          <w:szCs w:val="20"/>
          <w:color w:val="auto"/>
        </w:rPr>
      </w:pPr>
      <w:r>
        <w:rPr>
          <w:rFonts w:ascii="Arial" w:cs="Arial" w:eastAsia="Arial" w:hAnsi="Arial"/>
          <w:sz w:val="22"/>
          <w:szCs w:val="22"/>
          <w:color w:val="auto"/>
        </w:rPr>
        <w:t>The Reporting Persons do not admit that they constitute a group.</w:t>
      </w:r>
    </w:p>
    <w:p>
      <w:pPr>
        <w:spacing w:after="0" w:line="1" w:lineRule="exact"/>
        <w:rPr>
          <w:sz w:val="20"/>
          <w:szCs w:val="20"/>
          <w:color w:val="auto"/>
        </w:rPr>
      </w:pPr>
    </w:p>
    <w:p>
      <w:pPr>
        <w:ind w:right="20" w:firstLine="1297"/>
        <w:spacing w:after="0" w:line="267" w:lineRule="auto"/>
        <w:rPr>
          <w:sz w:val="20"/>
          <w:szCs w:val="20"/>
          <w:color w:val="auto"/>
        </w:rPr>
      </w:pPr>
      <w:r>
        <w:rPr>
          <w:rFonts w:ascii="Arial" w:cs="Arial" w:eastAsia="Arial" w:hAnsi="Arial"/>
          <w:sz w:val="19"/>
          <w:szCs w:val="19"/>
          <w:color w:val="auto"/>
        </w:rPr>
        <w:t>GAMCO is a New York corporation and GBL, MGH and Teton Advisors are Delaware corporations, each having its principal business office at One Corporate Center, Rye, New York 10580. GGCP is a Wyoming corporation and AC and GCIA are Delaware corporations each having its principal business office 191 Mason Street, Greenwich, CT 06830. GGCP Holdings is a Delaware limited liability corporation having its principal business office at 191 Mason Street, Greenwich, CT 06830. G.research is a Delaware limited liability company having its principal officers at One Corporate Center, Rye, New York 10580. Gabelli Funds is a New York limited liability company having its principal business office at One Corporate Center, Rye, New York 10580. MJG Associates is a Connecticut corporation having its principal business office at 191 Mason Street, Greenwich, CT</w:t>
      </w:r>
    </w:p>
    <w:p>
      <w:pPr>
        <w:spacing w:after="0"/>
        <w:rPr>
          <w:sz w:val="20"/>
          <w:szCs w:val="20"/>
          <w:color w:val="auto"/>
        </w:rPr>
      </w:pPr>
      <w:r>
        <w:rPr>
          <w:rFonts w:ascii="Arial" w:cs="Arial" w:eastAsia="Arial" w:hAnsi="Arial"/>
          <w:sz w:val="19"/>
          <w:szCs w:val="19"/>
          <w:color w:val="auto"/>
        </w:rPr>
        <w:t>06830. The Foundation is a Nevada corporation having its principal offices at 165 West Liberty Street, Reno, Nevada 89501.</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LICT is a Delaware corporation having its principal place of business as 401 Theodore Fremd Avenue, Rye, New York 10580.</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CIBL, Inc. is a Delaware corporation having its principal place of business as 165 West Liberty Street, Suite 220, Reno, NV 89501.</w:t>
      </w:r>
    </w:p>
    <w:p>
      <w:pPr>
        <w:spacing w:after="0" w:line="25" w:lineRule="exact"/>
        <w:rPr>
          <w:sz w:val="20"/>
          <w:szCs w:val="20"/>
          <w:color w:val="auto"/>
        </w:rPr>
      </w:pPr>
    </w:p>
    <w:p>
      <w:pPr>
        <w:jc w:val="both"/>
        <w:ind w:right="60" w:firstLine="1297"/>
        <w:spacing w:after="0" w:line="230" w:lineRule="auto"/>
        <w:rPr>
          <w:sz w:val="20"/>
          <w:szCs w:val="20"/>
          <w:color w:val="auto"/>
        </w:rPr>
      </w:pPr>
      <w:r>
        <w:rPr>
          <w:rFonts w:ascii="Arial" w:cs="Arial" w:eastAsia="Arial" w:hAnsi="Arial"/>
          <w:sz w:val="22"/>
          <w:szCs w:val="22"/>
          <w:color w:val="auto"/>
        </w:rPr>
        <w:t>For information required by instruction C to Schedule 13D with respect to the executive officers and directors of the foregoing entities and other related persons (collectively, “Covered Persons”), reference is made to Schedule I annexed hereto and incorporated herein by reference.</w:t>
      </w:r>
    </w:p>
    <w:p>
      <w:pPr>
        <w:ind w:left="1620" w:hanging="315"/>
        <w:spacing w:after="0" w:line="232" w:lineRule="auto"/>
        <w:tabs>
          <w:tab w:leader="none" w:pos="1620" w:val="left"/>
        </w:tabs>
        <w:numPr>
          <w:ilvl w:val="0"/>
          <w:numId w:val="45"/>
        </w:numPr>
        <w:rPr>
          <w:rFonts w:ascii="Arial" w:cs="Arial" w:eastAsia="Arial" w:hAnsi="Arial"/>
          <w:sz w:val="22"/>
          <w:szCs w:val="22"/>
          <w:color w:val="auto"/>
        </w:rPr>
      </w:pPr>
      <w:r>
        <w:rPr>
          <w:rFonts w:ascii="Arial" w:cs="Arial" w:eastAsia="Arial" w:hAnsi="Arial"/>
          <w:sz w:val="22"/>
          <w:szCs w:val="22"/>
          <w:color w:val="auto"/>
        </w:rPr>
        <w:t>– Not applicable.</w:t>
      </w:r>
    </w:p>
    <w:p>
      <w:pPr>
        <w:ind w:left="1600" w:hanging="295"/>
        <w:spacing w:after="0" w:line="230" w:lineRule="auto"/>
        <w:tabs>
          <w:tab w:leader="none" w:pos="1600" w:val="left"/>
        </w:tabs>
        <w:numPr>
          <w:ilvl w:val="0"/>
          <w:numId w:val="45"/>
        </w:numPr>
        <w:rPr>
          <w:rFonts w:ascii="Arial" w:cs="Arial" w:eastAsia="Arial" w:hAnsi="Arial"/>
          <w:sz w:val="22"/>
          <w:szCs w:val="22"/>
          <w:color w:val="auto"/>
        </w:rPr>
      </w:pPr>
      <w:r>
        <w:rPr>
          <w:rFonts w:ascii="Arial" w:cs="Arial" w:eastAsia="Arial" w:hAnsi="Arial"/>
          <w:sz w:val="22"/>
          <w:szCs w:val="22"/>
          <w:color w:val="auto"/>
        </w:rPr>
        <w:t>– Not applicable.</w:t>
      </w:r>
    </w:p>
    <w:p>
      <w:pPr>
        <w:ind w:left="1580" w:hanging="275"/>
        <w:spacing w:after="0"/>
        <w:tabs>
          <w:tab w:leader="none" w:pos="1580" w:val="left"/>
        </w:tabs>
        <w:numPr>
          <w:ilvl w:val="0"/>
          <w:numId w:val="45"/>
        </w:numPr>
        <w:rPr>
          <w:rFonts w:ascii="Arial" w:cs="Arial" w:eastAsia="Arial" w:hAnsi="Arial"/>
          <w:sz w:val="22"/>
          <w:szCs w:val="22"/>
          <w:color w:val="auto"/>
        </w:rPr>
      </w:pPr>
      <w:r>
        <w:rPr>
          <w:rFonts w:ascii="Arial" w:cs="Arial" w:eastAsia="Arial" w:hAnsi="Arial"/>
          <w:sz w:val="22"/>
          <w:szCs w:val="22"/>
          <w:color w:val="auto"/>
        </w:rPr>
        <w:t>– Reference is made to Schedule I hereto.</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60" w:type="dxa"/>
            <w:vAlign w:val="bottom"/>
          </w:tcPr>
          <w:p>
            <w:pPr>
              <w:spacing w:after="0"/>
              <w:rPr>
                <w:sz w:val="20"/>
                <w:szCs w:val="20"/>
                <w:color w:val="auto"/>
              </w:rPr>
            </w:pPr>
            <w:r>
              <w:rPr>
                <w:rFonts w:ascii="Arial" w:cs="Arial" w:eastAsia="Arial" w:hAnsi="Arial"/>
                <w:sz w:val="22"/>
                <w:szCs w:val="22"/>
                <w:color w:val="auto"/>
              </w:rPr>
              <w:t>Item 5.</w:t>
            </w:r>
          </w:p>
        </w:tc>
        <w:tc>
          <w:tcPr>
            <w:tcW w:w="1600" w:type="dxa"/>
            <w:vAlign w:val="bottom"/>
          </w:tcPr>
          <w:p>
            <w:pPr>
              <w:spacing w:after="0"/>
              <w:rPr>
                <w:sz w:val="21"/>
                <w:szCs w:val="21"/>
                <w:color w:val="auto"/>
              </w:rPr>
            </w:pPr>
          </w:p>
        </w:tc>
        <w:tc>
          <w:tcPr>
            <w:tcW w:w="30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8"/>
              </w:rPr>
              <w:t>Interest In Securities Of The Issuer</w:t>
            </w:r>
          </w:p>
        </w:tc>
        <w:tc>
          <w:tcPr>
            <w:tcW w:w="1320" w:type="dxa"/>
            <w:vAlign w:val="bottom"/>
          </w:tcPr>
          <w:p>
            <w:pPr>
              <w:spacing w:after="0"/>
              <w:rPr>
                <w:sz w:val="21"/>
                <w:szCs w:val="21"/>
                <w:color w:val="auto"/>
              </w:rPr>
            </w:pPr>
          </w:p>
        </w:tc>
      </w:tr>
      <w:tr>
        <w:trPr>
          <w:trHeight w:val="260"/>
        </w:trPr>
        <w:tc>
          <w:tcPr>
            <w:tcW w:w="960" w:type="dxa"/>
            <w:vAlign w:val="bottom"/>
          </w:tcPr>
          <w:p>
            <w:pPr>
              <w:spacing w:after="0"/>
              <w:rPr>
                <w:sz w:val="22"/>
                <w:szCs w:val="22"/>
                <w:color w:val="auto"/>
              </w:rPr>
            </w:pPr>
          </w:p>
        </w:tc>
        <w:tc>
          <w:tcPr>
            <w:tcW w:w="5960" w:type="dxa"/>
            <w:vAlign w:val="bottom"/>
            <w:gridSpan w:val="3"/>
          </w:tcPr>
          <w:p>
            <w:pPr>
              <w:ind w:left="340"/>
              <w:spacing w:after="0"/>
              <w:rPr>
                <w:sz w:val="20"/>
                <w:szCs w:val="20"/>
                <w:color w:val="auto"/>
              </w:rPr>
            </w:pPr>
            <w:r>
              <w:rPr>
                <w:rFonts w:ascii="Arial" w:cs="Arial" w:eastAsia="Arial" w:hAnsi="Arial"/>
                <w:sz w:val="22"/>
                <w:szCs w:val="22"/>
                <w:color w:val="auto"/>
                <w:w w:val="88"/>
              </w:rPr>
              <w:t>Item 5 to Schedule 13D is amended, in pertinent part, as follows:</w:t>
            </w:r>
          </w:p>
        </w:tc>
      </w:tr>
    </w:tbl>
    <w:p>
      <w:pPr>
        <w:ind w:right="240" w:firstLine="1305"/>
        <w:spacing w:after="0" w:line="243" w:lineRule="auto"/>
        <w:tabs>
          <w:tab w:leader="none" w:pos="1590" w:val="left"/>
        </w:tabs>
        <w:numPr>
          <w:ilvl w:val="0"/>
          <w:numId w:val="46"/>
        </w:numPr>
        <w:rPr>
          <w:rFonts w:ascii="Arial" w:cs="Arial" w:eastAsia="Arial" w:hAnsi="Arial"/>
          <w:sz w:val="21"/>
          <w:szCs w:val="21"/>
          <w:color w:val="auto"/>
        </w:rPr>
      </w:pPr>
      <w:r>
        <w:rPr>
          <w:rFonts w:ascii="Arial" w:cs="Arial" w:eastAsia="Arial" w:hAnsi="Arial"/>
          <w:sz w:val="21"/>
          <w:szCs w:val="21"/>
          <w:color w:val="auto"/>
        </w:rPr>
        <w:t>The aggregate number of Securities to which this Schedule 13D relates is 724,998 shares, representing 13.39% of the 5,413,839 shares outstanding as reported by the Issuer in its most recently filed Form 10-Q for the quarterly period ended October 31, 2019. The Reporting Persons beneficially own those Securities as follows:</w:t>
      </w:r>
    </w:p>
    <w:tbl>
      <w:tblPr>
        <w:tblLayout w:type="fixed"/>
        <w:tblInd w:w="0" w:type="dxa"/>
        <w:tblCellMar>
          <w:top w:w="0" w:type="dxa"/>
          <w:left w:w="0" w:type="dxa"/>
          <w:bottom w:w="0" w:type="dxa"/>
          <w:right w:w="0" w:type="dxa"/>
        </w:tblCellMar>
      </w:tblPr>
      <w:tr>
        <w:trPr>
          <w:trHeight w:val="201"/>
        </w:trPr>
        <w:tc>
          <w:tcPr>
            <w:tcW w:w="3280" w:type="dxa"/>
            <w:vAlign w:val="bottom"/>
          </w:tcPr>
          <w:p>
            <w:pPr>
              <w:spacing w:after="0"/>
              <w:rPr>
                <w:sz w:val="17"/>
                <w:szCs w:val="17"/>
                <w:color w:val="auto"/>
              </w:rPr>
            </w:pPr>
          </w:p>
        </w:tc>
        <w:tc>
          <w:tcPr>
            <w:tcW w:w="4520" w:type="dxa"/>
            <w:vAlign w:val="bottom"/>
          </w:tcPr>
          <w:p>
            <w:pPr>
              <w:jc w:val="center"/>
              <w:ind w:left="870"/>
              <w:spacing w:after="0" w:line="201" w:lineRule="exact"/>
              <w:rPr>
                <w:sz w:val="20"/>
                <w:szCs w:val="20"/>
                <w:color w:val="auto"/>
              </w:rPr>
            </w:pPr>
            <w:r>
              <w:rPr>
                <w:rFonts w:ascii="Arial" w:cs="Arial" w:eastAsia="Arial" w:hAnsi="Arial"/>
                <w:sz w:val="18"/>
                <w:szCs w:val="18"/>
                <w:color w:val="auto"/>
                <w:w w:val="88"/>
              </w:rPr>
              <w:t>Shares of</w:t>
            </w:r>
          </w:p>
        </w:tc>
        <w:tc>
          <w:tcPr>
            <w:tcW w:w="3620" w:type="dxa"/>
            <w:vAlign w:val="bottom"/>
          </w:tcPr>
          <w:p>
            <w:pPr>
              <w:jc w:val="center"/>
              <w:ind w:right="150"/>
              <w:spacing w:after="0" w:line="201" w:lineRule="exact"/>
              <w:rPr>
                <w:sz w:val="20"/>
                <w:szCs w:val="20"/>
                <w:color w:val="auto"/>
              </w:rPr>
            </w:pPr>
            <w:r>
              <w:rPr>
                <w:rFonts w:ascii="Arial" w:cs="Arial" w:eastAsia="Arial" w:hAnsi="Arial"/>
                <w:sz w:val="18"/>
                <w:szCs w:val="18"/>
                <w:color w:val="auto"/>
                <w:w w:val="92"/>
              </w:rPr>
              <w:t>% of Class of</w:t>
            </w: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jc w:val="center"/>
              <w:ind w:left="870"/>
              <w:spacing w:after="0"/>
              <w:rPr>
                <w:sz w:val="20"/>
                <w:szCs w:val="20"/>
                <w:color w:val="auto"/>
              </w:rPr>
            </w:pPr>
            <w:r>
              <w:rPr>
                <w:rFonts w:ascii="Arial" w:cs="Arial" w:eastAsia="Arial" w:hAnsi="Arial"/>
                <w:sz w:val="18"/>
                <w:szCs w:val="18"/>
                <w:color w:val="auto"/>
                <w:w w:val="90"/>
              </w:rPr>
              <w:t>Common Stock</w:t>
            </w:r>
          </w:p>
        </w:tc>
        <w:tc>
          <w:tcPr>
            <w:tcW w:w="3620" w:type="dxa"/>
            <w:vAlign w:val="bottom"/>
          </w:tcPr>
          <w:p>
            <w:pPr>
              <w:jc w:val="center"/>
              <w:ind w:right="130"/>
              <w:spacing w:after="0"/>
              <w:rPr>
                <w:sz w:val="20"/>
                <w:szCs w:val="20"/>
                <w:color w:val="auto"/>
              </w:rPr>
            </w:pPr>
            <w:r>
              <w:rPr>
                <w:rFonts w:ascii="Arial" w:cs="Arial" w:eastAsia="Arial" w:hAnsi="Arial"/>
                <w:sz w:val="18"/>
                <w:szCs w:val="18"/>
                <w:color w:val="auto"/>
                <w:w w:val="93"/>
              </w:rPr>
              <w:t>Common</w:t>
            </w:r>
          </w:p>
        </w:tc>
      </w:tr>
      <w:tr>
        <w:trPr>
          <w:trHeight w:val="223"/>
        </w:trPr>
        <w:tc>
          <w:tcPr>
            <w:tcW w:w="328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tcPr>
          <w:p>
            <w:pPr>
              <w:spacing w:after="0"/>
              <w:rPr>
                <w:sz w:val="19"/>
                <w:szCs w:val="19"/>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Gabelli Funds</w:t>
            </w:r>
          </w:p>
        </w:tc>
        <w:tc>
          <w:tcPr>
            <w:tcW w:w="4520" w:type="dxa"/>
            <w:vAlign w:val="bottom"/>
          </w:tcPr>
          <w:p>
            <w:pPr>
              <w:jc w:val="center"/>
              <w:ind w:left="870"/>
              <w:spacing w:after="0"/>
              <w:rPr>
                <w:sz w:val="20"/>
                <w:szCs w:val="20"/>
                <w:color w:val="auto"/>
              </w:rPr>
            </w:pPr>
            <w:r>
              <w:rPr>
                <w:rFonts w:ascii="Arial" w:cs="Arial" w:eastAsia="Arial" w:hAnsi="Arial"/>
                <w:sz w:val="18"/>
                <w:szCs w:val="18"/>
                <w:color w:val="auto"/>
                <w:w w:val="92"/>
              </w:rPr>
              <w:t>101,500</w:t>
            </w:r>
          </w:p>
        </w:tc>
        <w:tc>
          <w:tcPr>
            <w:tcW w:w="3620" w:type="dxa"/>
            <w:vAlign w:val="bottom"/>
          </w:tcPr>
          <w:p>
            <w:pPr>
              <w:jc w:val="center"/>
              <w:ind w:right="150"/>
              <w:spacing w:after="0"/>
              <w:rPr>
                <w:sz w:val="20"/>
                <w:szCs w:val="20"/>
                <w:color w:val="auto"/>
              </w:rPr>
            </w:pPr>
            <w:r>
              <w:rPr>
                <w:rFonts w:ascii="Arial" w:cs="Arial" w:eastAsia="Arial" w:hAnsi="Arial"/>
                <w:sz w:val="18"/>
                <w:szCs w:val="18"/>
                <w:color w:val="auto"/>
                <w:w w:val="90"/>
              </w:rPr>
              <w:t>1.87%</w:t>
            </w:r>
          </w:p>
        </w:tc>
      </w:tr>
      <w:tr>
        <w:trPr>
          <w:trHeight w:val="418"/>
        </w:trPr>
        <w:tc>
          <w:tcPr>
            <w:tcW w:w="3280" w:type="dxa"/>
            <w:vAlign w:val="bottom"/>
          </w:tcPr>
          <w:p>
            <w:pPr>
              <w:spacing w:after="0"/>
              <w:rPr>
                <w:sz w:val="20"/>
                <w:szCs w:val="20"/>
                <w:color w:val="auto"/>
              </w:rPr>
            </w:pPr>
            <w:r>
              <w:rPr>
                <w:rFonts w:ascii="Arial" w:cs="Arial" w:eastAsia="Arial" w:hAnsi="Arial"/>
                <w:sz w:val="18"/>
                <w:szCs w:val="18"/>
                <w:color w:val="auto"/>
              </w:rPr>
              <w:t>GAMCO</w:t>
            </w:r>
          </w:p>
        </w:tc>
        <w:tc>
          <w:tcPr>
            <w:tcW w:w="4520" w:type="dxa"/>
            <w:vAlign w:val="bottom"/>
          </w:tcPr>
          <w:p>
            <w:pPr>
              <w:jc w:val="center"/>
              <w:ind w:left="870"/>
              <w:spacing w:after="0"/>
              <w:rPr>
                <w:sz w:val="20"/>
                <w:szCs w:val="20"/>
                <w:color w:val="auto"/>
              </w:rPr>
            </w:pPr>
            <w:r>
              <w:rPr>
                <w:rFonts w:ascii="Arial" w:cs="Arial" w:eastAsia="Arial" w:hAnsi="Arial"/>
                <w:sz w:val="18"/>
                <w:szCs w:val="18"/>
                <w:color w:val="auto"/>
                <w:w w:val="92"/>
              </w:rPr>
              <w:t>528,630</w:t>
            </w:r>
          </w:p>
        </w:tc>
        <w:tc>
          <w:tcPr>
            <w:tcW w:w="3620" w:type="dxa"/>
            <w:vAlign w:val="bottom"/>
          </w:tcPr>
          <w:p>
            <w:pPr>
              <w:jc w:val="center"/>
              <w:ind w:right="150"/>
              <w:spacing w:after="0"/>
              <w:rPr>
                <w:sz w:val="20"/>
                <w:szCs w:val="20"/>
                <w:color w:val="auto"/>
              </w:rPr>
            </w:pPr>
            <w:r>
              <w:rPr>
                <w:rFonts w:ascii="Arial" w:cs="Arial" w:eastAsia="Arial" w:hAnsi="Arial"/>
                <w:sz w:val="18"/>
                <w:szCs w:val="18"/>
                <w:color w:val="auto"/>
                <w:w w:val="90"/>
              </w:rPr>
              <w:t>9.76%</w:t>
            </w: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Teton Advisors</w:t>
            </w:r>
          </w:p>
        </w:tc>
        <w:tc>
          <w:tcPr>
            <w:tcW w:w="4520" w:type="dxa"/>
            <w:vAlign w:val="bottom"/>
          </w:tcPr>
          <w:p>
            <w:pPr>
              <w:jc w:val="center"/>
              <w:ind w:left="870"/>
              <w:spacing w:after="0"/>
              <w:rPr>
                <w:sz w:val="20"/>
                <w:szCs w:val="20"/>
                <w:color w:val="auto"/>
              </w:rPr>
            </w:pPr>
            <w:r>
              <w:rPr>
                <w:rFonts w:ascii="Arial" w:cs="Arial" w:eastAsia="Arial" w:hAnsi="Arial"/>
                <w:sz w:val="18"/>
                <w:szCs w:val="18"/>
                <w:color w:val="auto"/>
                <w:w w:val="87"/>
              </w:rPr>
              <w:t>93,368</w:t>
            </w:r>
          </w:p>
        </w:tc>
        <w:tc>
          <w:tcPr>
            <w:tcW w:w="3620" w:type="dxa"/>
            <w:vAlign w:val="bottom"/>
          </w:tcPr>
          <w:p>
            <w:pPr>
              <w:jc w:val="center"/>
              <w:ind w:right="150"/>
              <w:spacing w:after="0"/>
              <w:rPr>
                <w:sz w:val="20"/>
                <w:szCs w:val="20"/>
                <w:color w:val="auto"/>
              </w:rPr>
            </w:pPr>
            <w:r>
              <w:rPr>
                <w:rFonts w:ascii="Arial" w:cs="Arial" w:eastAsia="Arial" w:hAnsi="Arial"/>
                <w:sz w:val="18"/>
                <w:szCs w:val="18"/>
                <w:color w:val="auto"/>
                <w:w w:val="90"/>
              </w:rPr>
              <w:t>1.72%</w:t>
            </w: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AC</w:t>
            </w:r>
          </w:p>
        </w:tc>
        <w:tc>
          <w:tcPr>
            <w:tcW w:w="4520" w:type="dxa"/>
            <w:vAlign w:val="bottom"/>
          </w:tcPr>
          <w:p>
            <w:pPr>
              <w:jc w:val="center"/>
              <w:ind w:left="870"/>
              <w:spacing w:after="0"/>
              <w:rPr>
                <w:sz w:val="20"/>
                <w:szCs w:val="20"/>
                <w:color w:val="auto"/>
              </w:rPr>
            </w:pPr>
            <w:r>
              <w:rPr>
                <w:rFonts w:ascii="Arial" w:cs="Arial" w:eastAsia="Arial" w:hAnsi="Arial"/>
                <w:sz w:val="18"/>
                <w:szCs w:val="18"/>
                <w:color w:val="auto"/>
                <w:w w:val="88"/>
              </w:rPr>
              <w:t>1,500</w:t>
            </w:r>
          </w:p>
        </w:tc>
        <w:tc>
          <w:tcPr>
            <w:tcW w:w="3620" w:type="dxa"/>
            <w:vAlign w:val="bottom"/>
          </w:tcPr>
          <w:p>
            <w:pPr>
              <w:jc w:val="center"/>
              <w:ind w:right="150"/>
              <w:spacing w:after="0"/>
              <w:rPr>
                <w:sz w:val="20"/>
                <w:szCs w:val="20"/>
                <w:color w:val="auto"/>
              </w:rPr>
            </w:pPr>
            <w:r>
              <w:rPr>
                <w:rFonts w:ascii="Arial" w:cs="Arial" w:eastAsia="Arial" w:hAnsi="Arial"/>
                <w:sz w:val="18"/>
                <w:szCs w:val="18"/>
                <w:color w:val="auto"/>
                <w:w w:val="90"/>
              </w:rPr>
              <w:t>0.03%</w:t>
            </w:r>
          </w:p>
        </w:tc>
      </w:tr>
    </w:tbl>
    <w:p>
      <w:pPr>
        <w:spacing w:after="0" w:line="222" w:lineRule="exact"/>
        <w:rPr>
          <w:sz w:val="20"/>
          <w:szCs w:val="20"/>
          <w:color w:val="auto"/>
        </w:rPr>
      </w:pPr>
    </w:p>
    <w:p>
      <w:pPr>
        <w:ind w:right="100" w:firstLine="1297"/>
        <w:spacing w:after="0" w:line="234" w:lineRule="auto"/>
        <w:rPr>
          <w:sz w:val="20"/>
          <w:szCs w:val="20"/>
          <w:color w:val="auto"/>
        </w:rPr>
      </w:pPr>
      <w:r>
        <w:rPr>
          <w:rFonts w:ascii="Arial" w:cs="Arial" w:eastAsia="Arial" w:hAnsi="Arial"/>
          <w:sz w:val="22"/>
          <w:szCs w:val="22"/>
          <w:color w:val="auto"/>
        </w:rPr>
        <w:t>Mario Gabelli is deemed to have beneficial ownership of the Securities owned beneficially by each of the foregoing persons. GCIA is deemed to have beneficial ownership of the Securities owned beneficially by G.research. AC, GBL and GGCP are deemed to have beneficial ownership of the Securities owned beneficially by each of the foregoing persons other than Mario Gabelli and the Foundation.</w:t>
      </w:r>
    </w:p>
    <w:p>
      <w:pPr>
        <w:spacing w:after="0" w:line="4" w:lineRule="exact"/>
        <w:rPr>
          <w:sz w:val="20"/>
          <w:szCs w:val="20"/>
          <w:color w:val="auto"/>
        </w:rPr>
      </w:pPr>
    </w:p>
    <w:p>
      <w:pPr>
        <w:ind w:right="120" w:firstLine="1305"/>
        <w:spacing w:after="0" w:line="267" w:lineRule="auto"/>
        <w:tabs>
          <w:tab w:leader="none" w:pos="1603" w:val="left"/>
        </w:tabs>
        <w:numPr>
          <w:ilvl w:val="0"/>
          <w:numId w:val="47"/>
        </w:numPr>
        <w:rPr>
          <w:rFonts w:ascii="Arial" w:cs="Arial" w:eastAsia="Arial" w:hAnsi="Arial"/>
          <w:sz w:val="19"/>
          <w:szCs w:val="19"/>
          <w:color w:val="auto"/>
        </w:rPr>
      </w:pPr>
      <w:r>
        <w:rPr>
          <w:rFonts w:ascii="Arial" w:cs="Arial" w:eastAsia="Arial" w:hAnsi="Arial"/>
          <w:sz w:val="19"/>
          <w:szCs w:val="19"/>
          <w:color w:val="auto"/>
        </w:rPr>
        <w:t>Each of the Reporting Persons and Covered Persons has the sole power to vote or direct the vote and sole power to dispose or to direct the disposition of the Securities reported for it, either for its own benefit or for the benefit of its investment clients or its partners, as the case may be, except that that (i) GAMCO does not have the authority to vote 31,801 of the reported</w:t>
      </w:r>
    </w:p>
    <w:p>
      <w:pPr>
        <w:ind w:right="120"/>
        <w:spacing w:after="0" w:line="267" w:lineRule="auto"/>
        <w:rPr>
          <w:sz w:val="20"/>
          <w:szCs w:val="20"/>
          <w:color w:val="auto"/>
        </w:rPr>
      </w:pPr>
      <w:r>
        <w:rPr>
          <w:rFonts w:ascii="Arial" w:cs="Arial" w:eastAsia="Arial" w:hAnsi="Arial"/>
          <w:sz w:val="19"/>
          <w:szCs w:val="19"/>
          <w:color w:val="auto"/>
        </w:rPr>
        <w:t>shares, (ii) Gabelli Funds has sole dispositive and voting power with respect to the shares of the Issuer held by the Funds so long as the aggregate voting interest of all joint filers does not exceed 25% of their total voting interest in the Issuer and, in that event, the Proxy Voting Committee of each Fund shall respectively vote that Fund’s shares, (iii) at any time, the Proxy Voting Committee of each such Fund may take and exercise in its sole discretion the entire voting power with respect to the shares held by such fund under special circumstances such as regulatory considerations, and (iv) the power of Mario Gabelli, AC, GBL, and GGCP is indirect with respect to Securities beneficially owned directly by other Reporting Persons.</w:t>
      </w:r>
    </w:p>
    <w:p>
      <w:pPr>
        <w:ind w:right="120" w:firstLine="1305"/>
        <w:spacing w:after="0" w:line="230" w:lineRule="auto"/>
        <w:tabs>
          <w:tab w:leader="none" w:pos="1590" w:val="left"/>
        </w:tabs>
        <w:numPr>
          <w:ilvl w:val="0"/>
          <w:numId w:val="48"/>
        </w:numPr>
        <w:rPr>
          <w:rFonts w:ascii="Arial" w:cs="Arial" w:eastAsia="Arial" w:hAnsi="Arial"/>
          <w:sz w:val="22"/>
          <w:szCs w:val="22"/>
          <w:color w:val="auto"/>
        </w:rPr>
      </w:pPr>
      <w:r>
        <w:rPr>
          <w:rFonts w:ascii="Arial" w:cs="Arial" w:eastAsia="Arial" w:hAnsi="Arial"/>
          <w:sz w:val="22"/>
          <w:szCs w:val="22"/>
          <w:color w:val="auto"/>
        </w:rPr>
        <w:t>Information with respect to all transactions in the Securities which were effected during the past sixty days or since the most recent filing on Schedule 13D, whichever is less, by each of the Reporting Persons and Covered Persons is set forth on Schedule II annexed hereto and incorporated herein by reference.</w:t>
      </w:r>
    </w:p>
    <w:p>
      <w:pPr>
        <w:spacing w:after="0" w:line="2" w:lineRule="exact"/>
        <w:rPr>
          <w:rFonts w:ascii="Arial" w:cs="Arial" w:eastAsia="Arial" w:hAnsi="Arial"/>
          <w:sz w:val="22"/>
          <w:szCs w:val="22"/>
          <w:color w:val="auto"/>
        </w:rPr>
      </w:pPr>
    </w:p>
    <w:p>
      <w:pPr>
        <w:ind w:left="1600" w:hanging="295"/>
        <w:spacing w:after="0"/>
        <w:tabs>
          <w:tab w:leader="none" w:pos="16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Not applicable.</w:t>
      </w:r>
    </w:p>
    <w:p>
      <w:pPr>
        <w:sectPr>
          <w:pgSz w:w="11900" w:h="16838" w:orient="portrait"/>
          <w:cols w:equalWidth="0" w:num="1">
            <w:col w:w="11420"/>
          </w:cols>
          <w:pgMar w:left="240" w:top="118" w:right="239" w:bottom="569" w:gutter="0" w:footer="0" w:header="0"/>
        </w:sectPr>
      </w:pPr>
    </w:p>
    <w:bookmarkStart w:id="10" w:name="page11"/>
    <w:bookmarkEnd w:id="10"/>
    <w:p>
      <w:pPr>
        <w:jc w:val="center"/>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67310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1" w:name="page12"/>
    <w:bookmarkEnd w:id="11"/>
    <w:p>
      <w:pPr>
        <w:spacing w:after="0"/>
        <w:rPr>
          <w:sz w:val="20"/>
          <w:szCs w:val="20"/>
          <w:color w:val="auto"/>
        </w:rPr>
      </w:pPr>
      <w:r>
        <w:rPr>
          <w:rFonts w:ascii="Arial" w:cs="Arial" w:eastAsia="Arial" w:hAnsi="Arial"/>
          <w:sz w:val="22"/>
          <w:szCs w:val="22"/>
          <w:u w:val="single" w:color="auto"/>
          <w:color w:val="auto"/>
        </w:rPr>
        <w:t>Signature</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After reasonable inquiry and to the best of my knowledge and belief, I certify that the information set forth in this statement</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is true, complete and correct.</w:t>
      </w:r>
    </w:p>
    <w:p>
      <w:pPr>
        <w:spacing w:after="0"/>
        <w:rPr>
          <w:sz w:val="20"/>
          <w:szCs w:val="20"/>
          <w:color w:val="auto"/>
        </w:rPr>
      </w:pPr>
      <w:r>
        <w:rPr>
          <w:rFonts w:ascii="Arial" w:cs="Arial" w:eastAsia="Arial" w:hAnsi="Arial"/>
          <w:sz w:val="22"/>
          <w:szCs w:val="22"/>
          <w:color w:val="auto"/>
        </w:rPr>
        <w:t>Dated: January 6, 2020</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GGCP, INC.</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MARIO J. GABELLI</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David Goldman</w:t>
      </w:r>
    </w:p>
    <w:p>
      <w:pPr>
        <w:ind w:left="4160"/>
        <w:spacing w:after="0" w:line="238" w:lineRule="auto"/>
        <w:rPr>
          <w:sz w:val="20"/>
          <w:szCs w:val="20"/>
          <w:color w:val="auto"/>
        </w:rPr>
      </w:pPr>
      <w:r>
        <w:rPr>
          <w:rFonts w:ascii="Arial" w:cs="Arial" w:eastAsia="Arial" w:hAnsi="Arial"/>
          <w:sz w:val="22"/>
          <w:szCs w:val="22"/>
          <w:color w:val="auto"/>
        </w:rPr>
        <w:t>David Goldman</w:t>
      </w:r>
    </w:p>
    <w:p>
      <w:pPr>
        <w:ind w:left="4160"/>
        <w:spacing w:after="0"/>
        <w:rPr>
          <w:sz w:val="20"/>
          <w:szCs w:val="20"/>
          <w:color w:val="auto"/>
        </w:rPr>
      </w:pPr>
      <w:r>
        <w:rPr>
          <w:rFonts w:ascii="Arial" w:cs="Arial" w:eastAsia="Arial" w:hAnsi="Arial"/>
          <w:sz w:val="22"/>
          <w:szCs w:val="22"/>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TETON ADVISORS, INC.</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GABELLI FUNDS, LLC</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David Goldman</w:t>
      </w:r>
    </w:p>
    <w:p>
      <w:pPr>
        <w:spacing w:after="0" w:line="3"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David Goldman</w:t>
      </w:r>
    </w:p>
    <w:p>
      <w:pPr>
        <w:jc w:val="center"/>
        <w:ind w:right="340"/>
        <w:spacing w:after="0"/>
        <w:rPr>
          <w:sz w:val="20"/>
          <w:szCs w:val="20"/>
          <w:color w:val="auto"/>
        </w:rPr>
      </w:pPr>
      <w:r>
        <w:rPr>
          <w:rFonts w:ascii="Arial" w:cs="Arial" w:eastAsia="Arial" w:hAnsi="Arial"/>
          <w:sz w:val="18"/>
          <w:szCs w:val="18"/>
          <w:color w:val="auto"/>
        </w:rPr>
        <w:t>General Counsel – Teton Advisors, Inc</w:t>
      </w:r>
      <w:r>
        <w:rPr>
          <w:rFonts w:ascii="Arial" w:cs="Arial" w:eastAsia="Arial" w:hAnsi="Arial"/>
          <w:sz w:val="18"/>
          <w:szCs w:val="18"/>
          <w:b w:val="1"/>
          <w:bCs w:val="1"/>
          <w:color w:val="auto"/>
        </w:rPr>
        <w:t>.</w:t>
      </w:r>
    </w:p>
    <w:p>
      <w:pPr>
        <w:spacing w:after="0" w:line="4"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&amp; Gabelli Funds, LLC</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GAMCO INVESTORS, INC.</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Kevin Handwerker</w:t>
      </w:r>
    </w:p>
    <w:p>
      <w:pPr>
        <w:spacing w:after="0" w:line="8"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Kevin Handwerker</w:t>
      </w:r>
    </w:p>
    <w:p>
      <w:pPr>
        <w:spacing w:after="0" w:line="13"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General Counsel &amp; Secretary – GAMCO Investors, Inc.</w:t>
      </w:r>
    </w:p>
    <w:p>
      <w:pPr>
        <w:spacing w:after="0" w:line="200" w:lineRule="exact"/>
        <w:rPr>
          <w:sz w:val="20"/>
          <w:szCs w:val="20"/>
          <w:color w:val="auto"/>
        </w:rPr>
      </w:pPr>
    </w:p>
    <w:p>
      <w:pPr>
        <w:spacing w:after="0" w:line="29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ASSOCIATED CAPITAL GROUP, INC.</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GAMCO ASSET MANAGEMENT INC.</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Douglas R. Jamieson</w:t>
      </w:r>
    </w:p>
    <w:p>
      <w:pPr>
        <w:ind w:left="4160"/>
        <w:spacing w:after="0" w:line="238" w:lineRule="auto"/>
        <w:rPr>
          <w:sz w:val="20"/>
          <w:szCs w:val="20"/>
          <w:color w:val="auto"/>
        </w:rPr>
      </w:pPr>
      <w:r>
        <w:rPr>
          <w:rFonts w:ascii="Arial" w:cs="Arial" w:eastAsia="Arial" w:hAnsi="Arial"/>
          <w:sz w:val="22"/>
          <w:szCs w:val="22"/>
          <w:color w:val="auto"/>
        </w:rPr>
        <w:t>Douglas R. Jamieson</w:t>
      </w:r>
    </w:p>
    <w:p>
      <w:pPr>
        <w:ind w:left="4320"/>
        <w:spacing w:after="0" w:line="230" w:lineRule="auto"/>
        <w:rPr>
          <w:sz w:val="20"/>
          <w:szCs w:val="20"/>
          <w:color w:val="auto"/>
        </w:rPr>
      </w:pPr>
      <w:r>
        <w:rPr>
          <w:rFonts w:ascii="Arial" w:cs="Arial" w:eastAsia="Arial" w:hAnsi="Arial"/>
          <w:sz w:val="22"/>
          <w:szCs w:val="22"/>
          <w:color w:val="auto"/>
        </w:rPr>
        <w:t>President &amp; Chief Executive Officer – Associated Capital</w:t>
      </w:r>
    </w:p>
    <w:p>
      <w:pPr>
        <w:ind w:left="4540"/>
        <w:spacing w:after="0" w:line="231" w:lineRule="auto"/>
        <w:rPr>
          <w:sz w:val="20"/>
          <w:szCs w:val="20"/>
          <w:color w:val="auto"/>
        </w:rPr>
      </w:pPr>
      <w:r>
        <w:rPr>
          <w:rFonts w:ascii="Arial" w:cs="Arial" w:eastAsia="Arial" w:hAnsi="Arial"/>
          <w:sz w:val="22"/>
          <w:szCs w:val="22"/>
          <w:color w:val="auto"/>
        </w:rPr>
        <w:t>Group, Inc.</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President – GAMCO Asset Management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4" w:right="239" w:bottom="1440" w:gutter="0" w:footer="0" w:header="0"/>
        </w:sectPr>
      </w:pPr>
    </w:p>
    <w:bookmarkStart w:id="12" w:name="page13"/>
    <w:bookmarkEnd w:id="12"/>
    <w:p>
      <w:pPr>
        <w:ind w:left="5420"/>
        <w:spacing w:after="0"/>
        <w:rPr>
          <w:sz w:val="20"/>
          <w:szCs w:val="20"/>
          <w:color w:val="auto"/>
        </w:rPr>
      </w:pPr>
      <w:r>
        <w:rPr>
          <w:rFonts w:ascii="Arial" w:cs="Arial" w:eastAsia="Arial" w:hAnsi="Arial"/>
          <w:sz w:val="22"/>
          <w:szCs w:val="22"/>
          <w:color w:val="auto"/>
        </w:rPr>
        <w:t>Schedule I</w:t>
      </w:r>
    </w:p>
    <w:p>
      <w:pPr>
        <w:ind w:left="2880"/>
        <w:spacing w:after="0" w:line="238" w:lineRule="auto"/>
        <w:rPr>
          <w:sz w:val="20"/>
          <w:szCs w:val="20"/>
          <w:color w:val="auto"/>
        </w:rPr>
      </w:pPr>
      <w:r>
        <w:rPr>
          <w:rFonts w:ascii="Arial" w:cs="Arial" w:eastAsia="Arial" w:hAnsi="Arial"/>
          <w:sz w:val="22"/>
          <w:szCs w:val="22"/>
          <w:color w:val="auto"/>
        </w:rPr>
        <w:t>Information with Respect to Executive</w:t>
      </w:r>
    </w:p>
    <w:p>
      <w:pPr>
        <w:ind w:left="3900"/>
        <w:spacing w:after="0" w:line="230" w:lineRule="auto"/>
        <w:rPr>
          <w:sz w:val="20"/>
          <w:szCs w:val="20"/>
          <w:color w:val="auto"/>
        </w:rPr>
      </w:pPr>
      <w:r>
        <w:rPr>
          <w:rFonts w:ascii="Arial" w:cs="Arial" w:eastAsia="Arial" w:hAnsi="Arial"/>
          <w:sz w:val="22"/>
          <w:szCs w:val="22"/>
          <w:u w:val="single" w:color="auto"/>
          <w:color w:val="auto"/>
        </w:rPr>
        <w:t>Officers and Directors of the Undersigned</w:t>
      </w:r>
    </w:p>
    <w:p>
      <w:pPr>
        <w:spacing w:after="0" w:line="1"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Schedule I to Schedule 13D is amended, in pertinent part, as follows:</w:t>
      </w:r>
    </w:p>
    <w:p>
      <w:pPr>
        <w:spacing w:after="0" w:line="22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sets forth as to each of the executive officers and directors of the undersigned: his name; his business address; his present principal occupation or employment and the name, principal business and address of any corporation or other organization in which such employment is conducted. Unless otherwise specified, the principal employer of each such individual is GAMCO Asset Management Inc., Gabelli Funds, LLC, Gabelli &amp; Company Investment Advisers, Inc., G.research, LLC, Teton Advisors, Inc., Associated Capital Group, Inc. or GAMCO Investors, Inc., the business address of each of which is One Corporate Center, Rye, New York 10580, and each such individual identified below is a citizen of the United States. To the knowledge of the undersigned, during the last five years, no such person has been convicted in a criminal proceeding (excluding traffic violations or similar misdemeanors), and no such person was a party to a civil proceeding of a judicial or administrative body of competent jurisdiction as a result of which he was or is subject to a judgment, decree or final order enjoining future violations of, or prohibiting or mandating activities subject to, federal or state securities law or finding any violation with respect to such laws except as reported in Item 2(d) and (e) of this Schedule 13D.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3" w:name="page14"/>
    <w:bookmarkEnd w:id="13"/>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GAMCO Investors,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52158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21585" cy="1714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ind w:left="680"/>
              <w:spacing w:after="0"/>
              <w:rPr>
                <w:sz w:val="20"/>
                <w:szCs w:val="20"/>
                <w:color w:val="auto"/>
              </w:rPr>
            </w:pPr>
            <w:r>
              <w:rPr>
                <w:rFonts w:ascii="Arial" w:cs="Arial" w:eastAsia="Arial" w:hAnsi="Arial"/>
                <w:sz w:val="18"/>
                <w:szCs w:val="18"/>
                <w:color w:val="auto"/>
              </w:rPr>
              <w:t>Edwin L. Artzt</w:t>
            </w:r>
          </w:p>
        </w:tc>
        <w:tc>
          <w:tcPr>
            <w:tcW w:w="6360" w:type="dxa"/>
            <w:vAlign w:val="bottom"/>
          </w:tcPr>
          <w:p>
            <w:pPr>
              <w:spacing w:after="0"/>
              <w:rPr>
                <w:sz w:val="20"/>
                <w:szCs w:val="20"/>
                <w:color w:val="auto"/>
              </w:rPr>
            </w:pPr>
            <w:r>
              <w:rPr>
                <w:rFonts w:ascii="Arial" w:cs="Arial" w:eastAsia="Arial" w:hAnsi="Arial"/>
                <w:sz w:val="18"/>
                <w:szCs w:val="18"/>
                <w:color w:val="auto"/>
              </w:rPr>
              <w:t>Former Chairman and Chief Executive Officer</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Procter &amp; Gamble Company</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900 Adams Crossing</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Cincinnati, OH 45202</w:t>
            </w:r>
          </w:p>
        </w:tc>
        <w:tc>
          <w:tcPr>
            <w:tcW w:w="0" w:type="dxa"/>
            <w:vAlign w:val="bottom"/>
          </w:tcPr>
          <w:p>
            <w:pPr>
              <w:spacing w:after="0"/>
              <w:rPr>
                <w:sz w:val="1"/>
                <w:szCs w:val="1"/>
                <w:color w:val="auto"/>
              </w:rPr>
            </w:pPr>
          </w:p>
        </w:tc>
      </w:tr>
      <w:tr>
        <w:trPr>
          <w:trHeight w:val="418"/>
        </w:trPr>
        <w:tc>
          <w:tcPr>
            <w:tcW w:w="3980" w:type="dxa"/>
            <w:vAlign w:val="bottom"/>
          </w:tcPr>
          <w:p>
            <w:pPr>
              <w:ind w:left="660"/>
              <w:spacing w:after="0"/>
              <w:rPr>
                <w:sz w:val="20"/>
                <w:szCs w:val="20"/>
                <w:color w:val="auto"/>
              </w:rPr>
            </w:pPr>
            <w:r>
              <w:rPr>
                <w:rFonts w:ascii="Arial" w:cs="Arial" w:eastAsia="Arial" w:hAnsi="Arial"/>
                <w:sz w:val="18"/>
                <w:szCs w:val="18"/>
                <w:color w:val="auto"/>
              </w:rPr>
              <w:t>Raymond C. Avansino</w:t>
            </w:r>
          </w:p>
        </w:tc>
        <w:tc>
          <w:tcPr>
            <w:tcW w:w="6360" w:type="dxa"/>
            <w:vAlign w:val="bottom"/>
          </w:tcPr>
          <w:p>
            <w:pPr>
              <w:spacing w:after="0"/>
              <w:rPr>
                <w:sz w:val="20"/>
                <w:szCs w:val="20"/>
                <w:color w:val="auto"/>
              </w:rPr>
            </w:pPr>
            <w:r>
              <w:rPr>
                <w:rFonts w:ascii="Arial" w:cs="Arial" w:eastAsia="Arial" w:hAnsi="Arial"/>
                <w:sz w:val="18"/>
                <w:szCs w:val="18"/>
                <w:color w:val="auto"/>
              </w:rPr>
              <w:t>Chairman &amp; Chief Executive Officer</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E.L. Wiegand Foundation</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165 West Liberty Street</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Reno, NV 89501</w:t>
            </w:r>
          </w:p>
        </w:tc>
        <w:tc>
          <w:tcPr>
            <w:tcW w:w="0" w:type="dxa"/>
            <w:vAlign w:val="bottom"/>
          </w:tcPr>
          <w:p>
            <w:pPr>
              <w:spacing w:after="0"/>
              <w:rPr>
                <w:sz w:val="1"/>
                <w:szCs w:val="1"/>
                <w:color w:val="auto"/>
              </w:rPr>
            </w:pPr>
          </w:p>
        </w:tc>
      </w:tr>
      <w:tr>
        <w:trPr>
          <w:trHeight w:val="418"/>
        </w:trPr>
        <w:tc>
          <w:tcPr>
            <w:tcW w:w="3980" w:type="dxa"/>
            <w:vAlign w:val="bottom"/>
          </w:tcPr>
          <w:p>
            <w:pPr>
              <w:ind w:left="640"/>
              <w:spacing w:after="0"/>
              <w:rPr>
                <w:sz w:val="20"/>
                <w:szCs w:val="20"/>
                <w:color w:val="auto"/>
              </w:rPr>
            </w:pPr>
            <w:r>
              <w:rPr>
                <w:rFonts w:ascii="Arial" w:cs="Arial" w:eastAsia="Arial" w:hAnsi="Arial"/>
                <w:sz w:val="18"/>
                <w:szCs w:val="18"/>
                <w:color w:val="auto"/>
              </w:rPr>
              <w:t>Leslie B. Daniels</w:t>
            </w:r>
          </w:p>
        </w:tc>
        <w:tc>
          <w:tcPr>
            <w:tcW w:w="6360" w:type="dxa"/>
            <w:vAlign w:val="bottom"/>
          </w:tcPr>
          <w:p>
            <w:pPr>
              <w:spacing w:after="0"/>
              <w:rPr>
                <w:sz w:val="20"/>
                <w:szCs w:val="20"/>
                <w:color w:val="auto"/>
              </w:rPr>
            </w:pPr>
            <w:r>
              <w:rPr>
                <w:rFonts w:ascii="Arial" w:cs="Arial" w:eastAsia="Arial" w:hAnsi="Arial"/>
                <w:sz w:val="18"/>
                <w:szCs w:val="18"/>
                <w:color w:val="auto"/>
              </w:rPr>
              <w:t>Operating Partner</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AE Industrial Partners, LP</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2500 N. Military Trail, Suite 470</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Boca Raton, FL 33431</w:t>
            </w:r>
          </w:p>
        </w:tc>
        <w:tc>
          <w:tcPr>
            <w:tcW w:w="0" w:type="dxa"/>
            <w:vAlign w:val="bottom"/>
          </w:tcPr>
          <w:p>
            <w:pPr>
              <w:spacing w:after="0"/>
              <w:rPr>
                <w:sz w:val="1"/>
                <w:szCs w:val="1"/>
                <w:color w:val="auto"/>
              </w:rPr>
            </w:pPr>
          </w:p>
        </w:tc>
      </w:tr>
      <w:tr>
        <w:trPr>
          <w:trHeight w:val="418"/>
        </w:trPr>
        <w:tc>
          <w:tcPr>
            <w:tcW w:w="3980" w:type="dxa"/>
            <w:vAlign w:val="bottom"/>
          </w:tcPr>
          <w:p>
            <w:pPr>
              <w:ind w:left="660"/>
              <w:spacing w:after="0"/>
              <w:rPr>
                <w:sz w:val="20"/>
                <w:szCs w:val="20"/>
                <w:color w:val="auto"/>
              </w:rPr>
            </w:pPr>
            <w:r>
              <w:rPr>
                <w:rFonts w:ascii="Arial" w:cs="Arial" w:eastAsia="Arial" w:hAnsi="Arial"/>
                <w:sz w:val="18"/>
                <w:szCs w:val="18"/>
                <w:color w:val="auto"/>
              </w:rPr>
              <w:t>Mario J. Gabelli</w:t>
            </w:r>
          </w:p>
        </w:tc>
        <w:tc>
          <w:tcPr>
            <w:tcW w:w="6360" w:type="dxa"/>
            <w:vAlign w:val="bottom"/>
          </w:tcPr>
          <w:p>
            <w:pPr>
              <w:spacing w:after="0"/>
              <w:rPr>
                <w:sz w:val="20"/>
                <w:szCs w:val="20"/>
                <w:color w:val="auto"/>
              </w:rPr>
            </w:pPr>
            <w:r>
              <w:rPr>
                <w:rFonts w:ascii="Arial" w:cs="Arial" w:eastAsia="Arial" w:hAnsi="Arial"/>
                <w:sz w:val="18"/>
                <w:szCs w:val="18"/>
                <w:color w:val="auto"/>
              </w:rPr>
              <w:t>Chief Executive Officer and Chief Investment Officer of GGCP, Inc.</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Chairman &amp; Chief Executive Officer of GAMCO Investors, Inc.</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Executive Chairman of Associated Capital Group, Inc.</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w w:val="91"/>
              </w:rPr>
              <w:t>Director/Trustee of all registered investment companies advised by Gabelli Funds, LLC.</w:t>
            </w:r>
          </w:p>
        </w:tc>
        <w:tc>
          <w:tcPr>
            <w:tcW w:w="0" w:type="dxa"/>
            <w:vAlign w:val="bottom"/>
          </w:tcPr>
          <w:p>
            <w:pPr>
              <w:spacing w:after="0"/>
              <w:rPr>
                <w:sz w:val="1"/>
                <w:szCs w:val="1"/>
                <w:color w:val="auto"/>
              </w:rPr>
            </w:pPr>
          </w:p>
        </w:tc>
      </w:tr>
      <w:tr>
        <w:trPr>
          <w:trHeight w:val="418"/>
        </w:trPr>
        <w:tc>
          <w:tcPr>
            <w:tcW w:w="398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c/o GAMCO Investors, Inc.</w:t>
            </w:r>
          </w:p>
        </w:tc>
        <w:tc>
          <w:tcPr>
            <w:tcW w:w="0" w:type="dxa"/>
            <w:vAlign w:val="bottom"/>
          </w:tcPr>
          <w:p>
            <w:pPr>
              <w:spacing w:after="0"/>
              <w:rPr>
                <w:sz w:val="1"/>
                <w:szCs w:val="1"/>
                <w:color w:val="auto"/>
              </w:rPr>
            </w:pPr>
          </w:p>
        </w:tc>
      </w:tr>
      <w:tr>
        <w:trPr>
          <w:trHeight w:val="216"/>
        </w:trPr>
        <w:tc>
          <w:tcPr>
            <w:tcW w:w="3980" w:type="dxa"/>
            <w:vAlign w:val="bottom"/>
          </w:tcPr>
          <w:p>
            <w:pPr>
              <w:ind w:left="640"/>
              <w:spacing w:after="0"/>
              <w:rPr>
                <w:sz w:val="20"/>
                <w:szCs w:val="20"/>
                <w:color w:val="auto"/>
              </w:rPr>
            </w:pPr>
            <w:r>
              <w:rPr>
                <w:rFonts w:ascii="Arial" w:cs="Arial" w:eastAsia="Arial" w:hAnsi="Arial"/>
                <w:sz w:val="18"/>
                <w:szCs w:val="18"/>
                <w:color w:val="auto"/>
              </w:rPr>
              <w:t>Elisa M. Wilson</w:t>
            </w:r>
          </w:p>
        </w:tc>
        <w:tc>
          <w:tcPr>
            <w:tcW w:w="6360" w:type="dxa"/>
            <w:vAlign w:val="bottom"/>
          </w:tcPr>
          <w:p>
            <w:pPr>
              <w:spacing w:after="0"/>
              <w:rPr>
                <w:sz w:val="20"/>
                <w:szCs w:val="20"/>
                <w:color w:val="auto"/>
              </w:rPr>
            </w:pPr>
            <w:r>
              <w:rPr>
                <w:rFonts w:ascii="Arial" w:cs="Arial" w:eastAsia="Arial" w:hAnsi="Arial"/>
                <w:sz w:val="18"/>
                <w:szCs w:val="18"/>
                <w:color w:val="auto"/>
              </w:rPr>
              <w:t>One Corporate Center</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Rye, NY 10580</w:t>
            </w:r>
          </w:p>
        </w:tc>
        <w:tc>
          <w:tcPr>
            <w:tcW w:w="0" w:type="dxa"/>
            <w:vAlign w:val="bottom"/>
          </w:tcPr>
          <w:p>
            <w:pPr>
              <w:spacing w:after="0"/>
              <w:rPr>
                <w:sz w:val="1"/>
                <w:szCs w:val="1"/>
                <w:color w:val="auto"/>
              </w:rPr>
            </w:pPr>
          </w:p>
        </w:tc>
      </w:tr>
      <w:tr>
        <w:trPr>
          <w:trHeight w:val="418"/>
        </w:trPr>
        <w:tc>
          <w:tcPr>
            <w:tcW w:w="3980" w:type="dxa"/>
            <w:vAlign w:val="bottom"/>
          </w:tcPr>
          <w:p>
            <w:pPr>
              <w:ind w:left="680"/>
              <w:spacing w:after="0"/>
              <w:rPr>
                <w:sz w:val="20"/>
                <w:szCs w:val="20"/>
                <w:color w:val="auto"/>
              </w:rPr>
            </w:pPr>
            <w:r>
              <w:rPr>
                <w:rFonts w:ascii="Arial" w:cs="Arial" w:eastAsia="Arial" w:hAnsi="Arial"/>
                <w:sz w:val="18"/>
                <w:szCs w:val="18"/>
                <w:color w:val="auto"/>
              </w:rPr>
              <w:t>Eugene R. McGrath</w:t>
            </w:r>
          </w:p>
        </w:tc>
        <w:tc>
          <w:tcPr>
            <w:tcW w:w="6360" w:type="dxa"/>
            <w:vAlign w:val="bottom"/>
          </w:tcPr>
          <w:p>
            <w:pPr>
              <w:spacing w:after="0"/>
              <w:rPr>
                <w:sz w:val="20"/>
                <w:szCs w:val="20"/>
                <w:color w:val="auto"/>
              </w:rPr>
            </w:pPr>
            <w:r>
              <w:rPr>
                <w:rFonts w:ascii="Arial" w:cs="Arial" w:eastAsia="Arial" w:hAnsi="Arial"/>
                <w:sz w:val="18"/>
                <w:szCs w:val="18"/>
                <w:color w:val="auto"/>
              </w:rPr>
              <w:t>Former Chairman and Chief Executive Officer</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Consolidated Edison, Inc.</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4 Irving Place</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New York, NY 10003</w:t>
            </w:r>
          </w:p>
        </w:tc>
        <w:tc>
          <w:tcPr>
            <w:tcW w:w="0" w:type="dxa"/>
            <w:vAlign w:val="bottom"/>
          </w:tcPr>
          <w:p>
            <w:pPr>
              <w:spacing w:after="0"/>
              <w:rPr>
                <w:sz w:val="1"/>
                <w:szCs w:val="1"/>
                <w:color w:val="auto"/>
              </w:rPr>
            </w:pPr>
          </w:p>
        </w:tc>
      </w:tr>
      <w:tr>
        <w:trPr>
          <w:trHeight w:val="418"/>
        </w:trPr>
        <w:tc>
          <w:tcPr>
            <w:tcW w:w="3980" w:type="dxa"/>
            <w:vAlign w:val="bottom"/>
          </w:tcPr>
          <w:p>
            <w:pPr>
              <w:ind w:left="680"/>
              <w:spacing w:after="0"/>
              <w:rPr>
                <w:sz w:val="20"/>
                <w:szCs w:val="20"/>
                <w:color w:val="auto"/>
              </w:rPr>
            </w:pPr>
            <w:r>
              <w:rPr>
                <w:rFonts w:ascii="Arial" w:cs="Arial" w:eastAsia="Arial" w:hAnsi="Arial"/>
                <w:sz w:val="18"/>
                <w:szCs w:val="18"/>
                <w:color w:val="auto"/>
              </w:rPr>
              <w:t>Robert S. Prather</w:t>
            </w:r>
          </w:p>
        </w:tc>
        <w:tc>
          <w:tcPr>
            <w:tcW w:w="6360" w:type="dxa"/>
            <w:vAlign w:val="bottom"/>
          </w:tcPr>
          <w:p>
            <w:pPr>
              <w:spacing w:after="0"/>
              <w:rPr>
                <w:sz w:val="20"/>
                <w:szCs w:val="20"/>
                <w:color w:val="auto"/>
              </w:rPr>
            </w:pPr>
            <w:r>
              <w:rPr>
                <w:rFonts w:ascii="Arial" w:cs="Arial" w:eastAsia="Arial" w:hAnsi="Arial"/>
                <w:sz w:val="18"/>
                <w:szCs w:val="18"/>
                <w:color w:val="auto"/>
              </w:rPr>
              <w:t>President &amp; Chief Executive Officer</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Heartland Media, LLC</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1843 West Wesley Road</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Atlanta, GA 30327</w:t>
            </w:r>
          </w:p>
        </w:tc>
        <w:tc>
          <w:tcPr>
            <w:tcW w:w="0" w:type="dxa"/>
            <w:vAlign w:val="bottom"/>
          </w:tcPr>
          <w:p>
            <w:pPr>
              <w:spacing w:after="0"/>
              <w:rPr>
                <w:sz w:val="1"/>
                <w:szCs w:val="1"/>
                <w:color w:val="auto"/>
              </w:rPr>
            </w:pPr>
          </w:p>
        </w:tc>
      </w:tr>
      <w:tr>
        <w:trPr>
          <w:trHeight w:val="418"/>
        </w:trPr>
        <w:tc>
          <w:tcPr>
            <w:tcW w:w="3980" w:type="dxa"/>
            <w:vAlign w:val="bottom"/>
          </w:tcPr>
          <w:p>
            <w:pPr>
              <w:spacing w:after="0"/>
              <w:rPr>
                <w:sz w:val="20"/>
                <w:szCs w:val="20"/>
                <w:color w:val="auto"/>
              </w:rPr>
            </w:pPr>
            <w:r>
              <w:rPr>
                <w:rFonts w:ascii="Arial" w:cs="Arial" w:eastAsia="Arial" w:hAnsi="Arial"/>
                <w:sz w:val="18"/>
                <w:szCs w:val="18"/>
                <w:color w:val="auto"/>
              </w:rPr>
              <w:t>Officers:</w:t>
            </w:r>
          </w:p>
        </w:tc>
        <w:tc>
          <w:tcPr>
            <w:tcW w:w="6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660"/>
              <w:spacing w:after="0"/>
              <w:rPr>
                <w:sz w:val="20"/>
                <w:szCs w:val="20"/>
                <w:color w:val="auto"/>
              </w:rPr>
            </w:pPr>
            <w:r>
              <w:rPr>
                <w:rFonts w:ascii="Arial" w:cs="Arial" w:eastAsia="Arial" w:hAnsi="Arial"/>
                <w:sz w:val="18"/>
                <w:szCs w:val="18"/>
                <w:color w:val="auto"/>
              </w:rPr>
              <w:t>Mario J. Gabelli</w:t>
            </w:r>
          </w:p>
        </w:tc>
        <w:tc>
          <w:tcPr>
            <w:tcW w:w="6360" w:type="dxa"/>
            <w:vAlign w:val="bottom"/>
          </w:tcPr>
          <w:p>
            <w:pPr>
              <w:spacing w:after="0"/>
              <w:rPr>
                <w:sz w:val="20"/>
                <w:szCs w:val="20"/>
                <w:color w:val="auto"/>
              </w:rPr>
            </w:pPr>
            <w:r>
              <w:rPr>
                <w:rFonts w:ascii="Arial" w:cs="Arial" w:eastAsia="Arial" w:hAnsi="Arial"/>
                <w:sz w:val="18"/>
                <w:szCs w:val="18"/>
                <w:color w:val="auto"/>
              </w:rPr>
              <w:t>Chairman and Chief Executive Officer</w:t>
            </w:r>
          </w:p>
        </w:tc>
        <w:tc>
          <w:tcPr>
            <w:tcW w:w="0" w:type="dxa"/>
            <w:vAlign w:val="bottom"/>
          </w:tcPr>
          <w:p>
            <w:pPr>
              <w:spacing w:after="0"/>
              <w:rPr>
                <w:sz w:val="1"/>
                <w:szCs w:val="1"/>
                <w:color w:val="auto"/>
              </w:rPr>
            </w:pPr>
          </w:p>
        </w:tc>
      </w:tr>
      <w:tr>
        <w:trPr>
          <w:trHeight w:val="432"/>
        </w:trPr>
        <w:tc>
          <w:tcPr>
            <w:tcW w:w="3980" w:type="dxa"/>
            <w:vAlign w:val="bottom"/>
          </w:tcPr>
          <w:p>
            <w:pPr>
              <w:ind w:left="660"/>
              <w:spacing w:after="0"/>
              <w:rPr>
                <w:sz w:val="20"/>
                <w:szCs w:val="20"/>
                <w:color w:val="auto"/>
              </w:rPr>
            </w:pPr>
            <w:r>
              <w:rPr>
                <w:rFonts w:ascii="Arial" w:cs="Arial" w:eastAsia="Arial" w:hAnsi="Arial"/>
                <w:sz w:val="18"/>
                <w:szCs w:val="18"/>
                <w:color w:val="auto"/>
              </w:rPr>
              <w:t>Henry G. Van der Eb</w:t>
            </w:r>
          </w:p>
        </w:tc>
        <w:tc>
          <w:tcPr>
            <w:tcW w:w="6360" w:type="dxa"/>
            <w:vAlign w:val="bottom"/>
          </w:tcPr>
          <w:p>
            <w:pPr>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r>
        <w:trPr>
          <w:trHeight w:val="432"/>
        </w:trPr>
        <w:tc>
          <w:tcPr>
            <w:tcW w:w="3980" w:type="dxa"/>
            <w:vAlign w:val="bottom"/>
          </w:tcPr>
          <w:p>
            <w:pPr>
              <w:ind w:left="660"/>
              <w:spacing w:after="0"/>
              <w:rPr>
                <w:sz w:val="20"/>
                <w:szCs w:val="20"/>
                <w:color w:val="auto"/>
              </w:rPr>
            </w:pPr>
            <w:r>
              <w:rPr>
                <w:rFonts w:ascii="Arial" w:cs="Arial" w:eastAsia="Arial" w:hAnsi="Arial"/>
                <w:sz w:val="18"/>
                <w:szCs w:val="18"/>
                <w:color w:val="auto"/>
              </w:rPr>
              <w:t>Bruce N. Alpert</w:t>
            </w:r>
          </w:p>
        </w:tc>
        <w:tc>
          <w:tcPr>
            <w:tcW w:w="6360" w:type="dxa"/>
            <w:vAlign w:val="bottom"/>
          </w:tcPr>
          <w:p>
            <w:pPr>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r>
        <w:trPr>
          <w:trHeight w:val="432"/>
        </w:trPr>
        <w:tc>
          <w:tcPr>
            <w:tcW w:w="3980" w:type="dxa"/>
            <w:vAlign w:val="bottom"/>
          </w:tcPr>
          <w:p>
            <w:pPr>
              <w:ind w:left="660"/>
              <w:spacing w:after="0"/>
              <w:rPr>
                <w:sz w:val="20"/>
                <w:szCs w:val="20"/>
                <w:color w:val="auto"/>
              </w:rPr>
            </w:pPr>
            <w:r>
              <w:rPr>
                <w:rFonts w:ascii="Arial" w:cs="Arial" w:eastAsia="Arial" w:hAnsi="Arial"/>
                <w:sz w:val="18"/>
                <w:szCs w:val="18"/>
                <w:color w:val="auto"/>
              </w:rPr>
              <w:t>Agnes Mullady</w:t>
            </w:r>
          </w:p>
        </w:tc>
        <w:tc>
          <w:tcPr>
            <w:tcW w:w="6360" w:type="dxa"/>
            <w:vAlign w:val="bottom"/>
          </w:tcPr>
          <w:p>
            <w:pPr>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r>
        <w:trPr>
          <w:trHeight w:val="432"/>
        </w:trPr>
        <w:tc>
          <w:tcPr>
            <w:tcW w:w="3980" w:type="dxa"/>
            <w:vAlign w:val="bottom"/>
          </w:tcPr>
          <w:p>
            <w:pPr>
              <w:ind w:left="660"/>
              <w:spacing w:after="0"/>
              <w:rPr>
                <w:sz w:val="20"/>
                <w:szCs w:val="20"/>
                <w:color w:val="auto"/>
              </w:rPr>
            </w:pPr>
            <w:r>
              <w:rPr>
                <w:rFonts w:ascii="Arial" w:cs="Arial" w:eastAsia="Arial" w:hAnsi="Arial"/>
                <w:sz w:val="18"/>
                <w:szCs w:val="18"/>
                <w:color w:val="auto"/>
              </w:rPr>
              <w:t>Kevin Handwerker</w:t>
            </w:r>
          </w:p>
        </w:tc>
        <w:tc>
          <w:tcPr>
            <w:tcW w:w="636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c>
          <w:tcPr>
            <w:tcW w:w="0" w:type="dxa"/>
            <w:vAlign w:val="bottom"/>
          </w:tcPr>
          <w:p>
            <w:pPr>
              <w:spacing w:after="0"/>
              <w:rPr>
                <w:sz w:val="1"/>
                <w:szCs w:val="1"/>
                <w:color w:val="auto"/>
              </w:rPr>
            </w:pPr>
          </w:p>
        </w:tc>
      </w:tr>
      <w:tr>
        <w:trPr>
          <w:trHeight w:val="432"/>
        </w:trPr>
        <w:tc>
          <w:tcPr>
            <w:tcW w:w="3980" w:type="dxa"/>
            <w:vAlign w:val="bottom"/>
          </w:tcPr>
          <w:p>
            <w:pPr>
              <w:ind w:left="660"/>
              <w:spacing w:after="0"/>
              <w:rPr>
                <w:sz w:val="20"/>
                <w:szCs w:val="20"/>
                <w:color w:val="auto"/>
              </w:rPr>
            </w:pPr>
            <w:r>
              <w:rPr>
                <w:rFonts w:ascii="Arial" w:cs="Arial" w:eastAsia="Arial" w:hAnsi="Arial"/>
                <w:sz w:val="18"/>
                <w:szCs w:val="18"/>
                <w:color w:val="auto"/>
              </w:rPr>
              <w:t>Kieran Caterina</w:t>
            </w:r>
          </w:p>
        </w:tc>
        <w:tc>
          <w:tcPr>
            <w:tcW w:w="6360" w:type="dxa"/>
            <w:vAlign w:val="bottom"/>
          </w:tcPr>
          <w:p>
            <w:pPr>
              <w:spacing w:after="0"/>
              <w:rPr>
                <w:sz w:val="20"/>
                <w:szCs w:val="20"/>
                <w:color w:val="auto"/>
              </w:rPr>
            </w:pPr>
            <w:r>
              <w:rPr>
                <w:rFonts w:ascii="Arial" w:cs="Arial" w:eastAsia="Arial" w:hAnsi="Arial"/>
                <w:sz w:val="18"/>
                <w:szCs w:val="18"/>
                <w:color w:val="auto"/>
              </w:rPr>
              <w:t>Chief Accounting Officer</w:t>
            </w:r>
          </w:p>
        </w:tc>
        <w:tc>
          <w:tcPr>
            <w:tcW w:w="0" w:type="dxa"/>
            <w:vAlign w:val="bottom"/>
          </w:tcPr>
          <w:p>
            <w:pPr>
              <w:spacing w:after="0"/>
              <w:rPr>
                <w:sz w:val="1"/>
                <w:szCs w:val="1"/>
                <w:color w:val="auto"/>
              </w:rPr>
            </w:pPr>
          </w:p>
        </w:tc>
      </w:tr>
      <w:tr>
        <w:trPr>
          <w:trHeight w:val="850"/>
        </w:trPr>
        <w:tc>
          <w:tcPr>
            <w:tcW w:w="3980" w:type="dxa"/>
            <w:vAlign w:val="bottom"/>
          </w:tcPr>
          <w:p>
            <w:pPr>
              <w:spacing w:after="0"/>
              <w:rPr>
                <w:sz w:val="20"/>
                <w:szCs w:val="20"/>
                <w:color w:val="auto"/>
              </w:rPr>
            </w:pPr>
            <w:r>
              <w:rPr>
                <w:rFonts w:ascii="Arial" w:cs="Arial" w:eastAsia="Arial" w:hAnsi="Arial"/>
                <w:sz w:val="18"/>
                <w:szCs w:val="18"/>
                <w:color w:val="auto"/>
              </w:rPr>
              <w:t>GAMCO Asset Management Inc.</w:t>
            </w:r>
          </w:p>
        </w:tc>
        <w:tc>
          <w:tcPr>
            <w:tcW w:w="6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Directors:</w:t>
            </w:r>
          </w:p>
        </w:tc>
        <w:tc>
          <w:tcPr>
            <w:tcW w:w="6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80" w:type="dxa"/>
            <w:vAlign w:val="bottom"/>
            <w:tcBorders>
              <w:bottom w:val="single" w:sz="8" w:color="auto"/>
            </w:tcBorders>
          </w:tcPr>
          <w:p>
            <w:pPr>
              <w:spacing w:after="0"/>
              <w:rPr>
                <w:sz w:val="19"/>
                <w:szCs w:val="19"/>
                <w:color w:val="auto"/>
              </w:rPr>
            </w:pPr>
          </w:p>
        </w:tc>
        <w:tc>
          <w:tcPr>
            <w:tcW w:w="6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980" w:type="dxa"/>
            <w:vAlign w:val="bottom"/>
          </w:tcPr>
          <w:p>
            <w:pPr>
              <w:ind w:left="660"/>
              <w:spacing w:after="0" w:line="201" w:lineRule="exact"/>
              <w:rPr>
                <w:sz w:val="20"/>
                <w:szCs w:val="20"/>
                <w:color w:val="auto"/>
              </w:rPr>
            </w:pPr>
            <w:r>
              <w:rPr>
                <w:rFonts w:ascii="Arial" w:cs="Arial" w:eastAsia="Arial" w:hAnsi="Arial"/>
                <w:sz w:val="18"/>
                <w:szCs w:val="18"/>
                <w:color w:val="auto"/>
              </w:rPr>
              <w:t>Douglas R. Jamieson</w:t>
            </w:r>
          </w:p>
        </w:tc>
        <w:tc>
          <w:tcPr>
            <w:tcW w:w="6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660"/>
              <w:spacing w:after="0"/>
              <w:rPr>
                <w:sz w:val="20"/>
                <w:szCs w:val="20"/>
                <w:color w:val="auto"/>
              </w:rPr>
            </w:pPr>
            <w:r>
              <w:rPr>
                <w:rFonts w:ascii="Arial" w:cs="Arial" w:eastAsia="Arial" w:hAnsi="Arial"/>
                <w:sz w:val="18"/>
                <w:szCs w:val="18"/>
                <w:color w:val="auto"/>
              </w:rPr>
              <w:t>Regina M. Pitaro</w:t>
            </w:r>
          </w:p>
        </w:tc>
        <w:tc>
          <w:tcPr>
            <w:tcW w:w="6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660"/>
              <w:spacing w:after="0"/>
              <w:rPr>
                <w:sz w:val="20"/>
                <w:szCs w:val="20"/>
                <w:color w:val="auto"/>
              </w:rPr>
            </w:pPr>
            <w:r>
              <w:rPr>
                <w:rFonts w:ascii="Arial" w:cs="Arial" w:eastAsia="Arial" w:hAnsi="Arial"/>
                <w:sz w:val="18"/>
                <w:szCs w:val="18"/>
                <w:color w:val="auto"/>
              </w:rPr>
              <w:t>William S. Selby</w:t>
            </w:r>
          </w:p>
        </w:tc>
        <w:tc>
          <w:tcPr>
            <w:tcW w:w="6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980" w:type="dxa"/>
            <w:vAlign w:val="bottom"/>
          </w:tcPr>
          <w:p>
            <w:pPr>
              <w:spacing w:after="0"/>
              <w:rPr>
                <w:sz w:val="20"/>
                <w:szCs w:val="20"/>
                <w:color w:val="auto"/>
              </w:rPr>
            </w:pPr>
            <w:r>
              <w:rPr>
                <w:rFonts w:ascii="Arial" w:cs="Arial" w:eastAsia="Arial" w:hAnsi="Arial"/>
                <w:sz w:val="18"/>
                <w:szCs w:val="18"/>
                <w:color w:val="auto"/>
              </w:rPr>
              <w:t>Officers:</w:t>
            </w:r>
          </w:p>
        </w:tc>
        <w:tc>
          <w:tcPr>
            <w:tcW w:w="6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80" w:type="dxa"/>
            <w:vAlign w:val="bottom"/>
          </w:tcPr>
          <w:p>
            <w:pPr>
              <w:ind w:left="660"/>
              <w:spacing w:after="0"/>
              <w:rPr>
                <w:sz w:val="20"/>
                <w:szCs w:val="20"/>
                <w:color w:val="auto"/>
              </w:rPr>
            </w:pPr>
            <w:r>
              <w:rPr>
                <w:rFonts w:ascii="Arial" w:cs="Arial" w:eastAsia="Arial" w:hAnsi="Arial"/>
                <w:sz w:val="18"/>
                <w:szCs w:val="18"/>
                <w:color w:val="auto"/>
              </w:rPr>
              <w:t>Mario J. Gabelli</w:t>
            </w:r>
          </w:p>
        </w:tc>
        <w:tc>
          <w:tcPr>
            <w:tcW w:w="6360" w:type="dxa"/>
            <w:vAlign w:val="bottom"/>
          </w:tcPr>
          <w:p>
            <w:pPr>
              <w:spacing w:after="0"/>
              <w:rPr>
                <w:sz w:val="20"/>
                <w:szCs w:val="20"/>
                <w:color w:val="auto"/>
              </w:rPr>
            </w:pPr>
            <w:r>
              <w:rPr>
                <w:rFonts w:ascii="Arial" w:cs="Arial" w:eastAsia="Arial" w:hAnsi="Arial"/>
                <w:sz w:val="18"/>
                <w:szCs w:val="18"/>
                <w:color w:val="auto"/>
              </w:rPr>
              <w:t>Chief Executive Officer and Chief Investment Officer – Value Portfolios</w:t>
            </w:r>
          </w:p>
        </w:tc>
        <w:tc>
          <w:tcPr>
            <w:tcW w:w="0" w:type="dxa"/>
            <w:vAlign w:val="bottom"/>
          </w:tcPr>
          <w:p>
            <w:pPr>
              <w:spacing w:after="0"/>
              <w:rPr>
                <w:sz w:val="1"/>
                <w:szCs w:val="1"/>
                <w:color w:val="auto"/>
              </w:rPr>
            </w:pPr>
          </w:p>
        </w:tc>
      </w:tr>
      <w:tr>
        <w:trPr>
          <w:trHeight w:val="432"/>
        </w:trPr>
        <w:tc>
          <w:tcPr>
            <w:tcW w:w="3980" w:type="dxa"/>
            <w:vAlign w:val="bottom"/>
          </w:tcPr>
          <w:p>
            <w:pPr>
              <w:ind w:left="660"/>
              <w:spacing w:after="0"/>
              <w:rPr>
                <w:sz w:val="20"/>
                <w:szCs w:val="20"/>
                <w:color w:val="auto"/>
              </w:rPr>
            </w:pPr>
            <w:r>
              <w:rPr>
                <w:rFonts w:ascii="Arial" w:cs="Arial" w:eastAsia="Arial" w:hAnsi="Arial"/>
                <w:sz w:val="18"/>
                <w:szCs w:val="18"/>
                <w:color w:val="auto"/>
              </w:rPr>
              <w:t>Douglas R. Jamieson</w:t>
            </w:r>
          </w:p>
        </w:tc>
        <w:tc>
          <w:tcPr>
            <w:tcW w:w="6360" w:type="dxa"/>
            <w:vAlign w:val="bottom"/>
          </w:tcPr>
          <w:p>
            <w:pPr>
              <w:spacing w:after="0"/>
              <w:rPr>
                <w:sz w:val="20"/>
                <w:szCs w:val="20"/>
                <w:color w:val="auto"/>
              </w:rPr>
            </w:pPr>
            <w:r>
              <w:rPr>
                <w:rFonts w:ascii="Arial" w:cs="Arial" w:eastAsia="Arial" w:hAnsi="Arial"/>
                <w:sz w:val="18"/>
                <w:szCs w:val="18"/>
                <w:color w:val="auto"/>
              </w:rPr>
              <w:t>President, Chief Operating Officer and Managing Director</w:t>
            </w:r>
          </w:p>
        </w:tc>
        <w:tc>
          <w:tcPr>
            <w:tcW w:w="0" w:type="dxa"/>
            <w:vAlign w:val="bottom"/>
          </w:tcPr>
          <w:p>
            <w:pPr>
              <w:spacing w:after="0"/>
              <w:rPr>
                <w:sz w:val="1"/>
                <w:szCs w:val="1"/>
                <w:color w:val="auto"/>
              </w:rPr>
            </w:pPr>
          </w:p>
        </w:tc>
      </w:tr>
      <w:tr>
        <w:trPr>
          <w:trHeight w:val="432"/>
        </w:trPr>
        <w:tc>
          <w:tcPr>
            <w:tcW w:w="3980" w:type="dxa"/>
            <w:vAlign w:val="bottom"/>
          </w:tcPr>
          <w:p>
            <w:pPr>
              <w:ind w:left="680"/>
              <w:spacing w:after="0"/>
              <w:rPr>
                <w:sz w:val="20"/>
                <w:szCs w:val="20"/>
                <w:color w:val="auto"/>
              </w:rPr>
            </w:pPr>
            <w:r>
              <w:rPr>
                <w:rFonts w:ascii="Arial" w:cs="Arial" w:eastAsia="Arial" w:hAnsi="Arial"/>
                <w:sz w:val="18"/>
                <w:szCs w:val="18"/>
                <w:color w:val="auto"/>
              </w:rPr>
              <w:t>David Goldman</w:t>
            </w:r>
          </w:p>
        </w:tc>
        <w:tc>
          <w:tcPr>
            <w:tcW w:w="6360" w:type="dxa"/>
            <w:vAlign w:val="bottom"/>
          </w:tcPr>
          <w:p>
            <w:pPr>
              <w:spacing w:after="0"/>
              <w:rPr>
                <w:sz w:val="20"/>
                <w:szCs w:val="20"/>
                <w:color w:val="auto"/>
              </w:rPr>
            </w:pPr>
            <w:r>
              <w:rPr>
                <w:rFonts w:ascii="Arial" w:cs="Arial" w:eastAsia="Arial" w:hAnsi="Arial"/>
                <w:sz w:val="18"/>
                <w:szCs w:val="18"/>
                <w:color w:val="auto"/>
              </w:rPr>
              <w:t>General Counsel, Secretary &amp; Chief Compliance Officer</w:t>
            </w:r>
          </w:p>
        </w:tc>
        <w:tc>
          <w:tcPr>
            <w:tcW w:w="0" w:type="dxa"/>
            <w:vAlign w:val="bottom"/>
          </w:tcPr>
          <w:p>
            <w:pPr>
              <w:spacing w:after="0"/>
              <w:rPr>
                <w:sz w:val="1"/>
                <w:szCs w:val="1"/>
                <w:color w:val="auto"/>
              </w:rPr>
            </w:pPr>
          </w:p>
        </w:tc>
      </w:tr>
      <w:tr>
        <w:trPr>
          <w:trHeight w:val="418"/>
        </w:trPr>
        <w:tc>
          <w:tcPr>
            <w:tcW w:w="3980" w:type="dxa"/>
            <w:vAlign w:val="bottom"/>
          </w:tcPr>
          <w:p>
            <w:pPr>
              <w:spacing w:after="0"/>
              <w:rPr>
                <w:sz w:val="20"/>
                <w:szCs w:val="20"/>
                <w:color w:val="auto"/>
              </w:rPr>
            </w:pPr>
            <w:r>
              <w:rPr>
                <w:rFonts w:ascii="Arial" w:cs="Arial" w:eastAsia="Arial" w:hAnsi="Arial"/>
                <w:sz w:val="18"/>
                <w:szCs w:val="18"/>
                <w:color w:val="auto"/>
              </w:rPr>
              <w:t>Gabelli Funds, LLC</w:t>
            </w:r>
          </w:p>
        </w:tc>
        <w:tc>
          <w:tcPr>
            <w:tcW w:w="6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Officers:</w:t>
            </w:r>
          </w:p>
        </w:tc>
        <w:tc>
          <w:tcPr>
            <w:tcW w:w="6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80" w:type="dxa"/>
            <w:vAlign w:val="bottom"/>
            <w:tcBorders>
              <w:bottom w:val="single" w:sz="8" w:color="auto"/>
            </w:tcBorders>
          </w:tcPr>
          <w:p>
            <w:pPr>
              <w:spacing w:after="0"/>
              <w:rPr>
                <w:sz w:val="19"/>
                <w:szCs w:val="19"/>
                <w:color w:val="auto"/>
              </w:rPr>
            </w:pPr>
          </w:p>
        </w:tc>
        <w:tc>
          <w:tcPr>
            <w:tcW w:w="6360" w:type="dxa"/>
            <w:vAlign w:val="bottom"/>
            <w:vMerge w:val="restart"/>
          </w:tcPr>
          <w:p>
            <w:pPr>
              <w:spacing w:after="0"/>
              <w:rPr>
                <w:sz w:val="20"/>
                <w:szCs w:val="20"/>
                <w:color w:val="auto"/>
              </w:rPr>
            </w:pPr>
            <w:r>
              <w:rPr>
                <w:rFonts w:ascii="Arial" w:cs="Arial" w:eastAsia="Arial" w:hAnsi="Arial"/>
                <w:sz w:val="18"/>
                <w:szCs w:val="18"/>
                <w:color w:val="auto"/>
              </w:rPr>
              <w:t>Chief Investment Officer – Value Portfolios</w:t>
            </w:r>
          </w:p>
        </w:tc>
        <w:tc>
          <w:tcPr>
            <w:tcW w:w="0" w:type="dxa"/>
            <w:vAlign w:val="bottom"/>
          </w:tcPr>
          <w:p>
            <w:pPr>
              <w:spacing w:after="0"/>
              <w:rPr>
                <w:sz w:val="1"/>
                <w:szCs w:val="1"/>
                <w:color w:val="auto"/>
              </w:rPr>
            </w:pPr>
          </w:p>
        </w:tc>
      </w:tr>
      <w:tr>
        <w:trPr>
          <w:trHeight w:val="230"/>
        </w:trPr>
        <w:tc>
          <w:tcPr>
            <w:tcW w:w="3980" w:type="dxa"/>
            <w:vAlign w:val="bottom"/>
          </w:tcPr>
          <w:p>
            <w:pPr>
              <w:ind w:left="660"/>
              <w:spacing w:after="0"/>
              <w:rPr>
                <w:sz w:val="20"/>
                <w:szCs w:val="20"/>
                <w:color w:val="auto"/>
              </w:rPr>
            </w:pPr>
            <w:r>
              <w:rPr>
                <w:rFonts w:ascii="Arial" w:cs="Arial" w:eastAsia="Arial" w:hAnsi="Arial"/>
                <w:sz w:val="18"/>
                <w:szCs w:val="18"/>
                <w:color w:val="auto"/>
              </w:rPr>
              <w:t>Mario J. Gabelli</w:t>
            </w:r>
          </w:p>
        </w:tc>
        <w:tc>
          <w:tcPr>
            <w:tcW w:w="6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980" w:type="dxa"/>
            <w:vAlign w:val="bottom"/>
          </w:tcPr>
          <w:p>
            <w:pPr>
              <w:ind w:left="660"/>
              <w:spacing w:after="0"/>
              <w:rPr>
                <w:sz w:val="20"/>
                <w:szCs w:val="20"/>
                <w:color w:val="auto"/>
              </w:rPr>
            </w:pPr>
            <w:r>
              <w:rPr>
                <w:rFonts w:ascii="Arial" w:cs="Arial" w:eastAsia="Arial" w:hAnsi="Arial"/>
                <w:sz w:val="18"/>
                <w:szCs w:val="18"/>
                <w:color w:val="auto"/>
              </w:rPr>
              <w:t>Bruce N. Alpert</w:t>
            </w:r>
          </w:p>
        </w:tc>
        <w:tc>
          <w:tcPr>
            <w:tcW w:w="6360" w:type="dxa"/>
            <w:vAlign w:val="bottom"/>
          </w:tcPr>
          <w:p>
            <w:pPr>
              <w:spacing w:after="0"/>
              <w:rPr>
                <w:sz w:val="20"/>
                <w:szCs w:val="20"/>
                <w:color w:val="auto"/>
              </w:rPr>
            </w:pPr>
            <w:r>
              <w:rPr>
                <w:rFonts w:ascii="Arial" w:cs="Arial" w:eastAsia="Arial" w:hAnsi="Arial"/>
                <w:sz w:val="18"/>
                <w:szCs w:val="18"/>
                <w:color w:val="auto"/>
              </w:rPr>
              <w:t>Executive Vice President and Chief Operating Officer</w:t>
            </w:r>
          </w:p>
        </w:tc>
        <w:tc>
          <w:tcPr>
            <w:tcW w:w="0" w:type="dxa"/>
            <w:vAlign w:val="bottom"/>
          </w:tcPr>
          <w:p>
            <w:pPr>
              <w:spacing w:after="0"/>
              <w:rPr>
                <w:sz w:val="1"/>
                <w:szCs w:val="1"/>
                <w:color w:val="auto"/>
              </w:rPr>
            </w:pPr>
          </w:p>
        </w:tc>
      </w:tr>
    </w:tbl>
    <w:p>
      <w:pPr>
        <w:sectPr>
          <w:pgSz w:w="11900" w:h="16897" w:orient="portrait"/>
          <w:cols w:equalWidth="0" w:num="1">
            <w:col w:w="10340"/>
          </w:cols>
          <w:pgMar w:left="240" w:top="611" w:right="131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ind w:left="680"/>
              <w:spacing w:after="0"/>
              <w:rPr>
                <w:sz w:val="20"/>
                <w:szCs w:val="20"/>
                <w:color w:val="auto"/>
              </w:rPr>
            </w:pPr>
            <w:r>
              <w:rPr>
                <w:rFonts w:ascii="Arial" w:cs="Arial" w:eastAsia="Arial" w:hAnsi="Arial"/>
                <w:sz w:val="18"/>
                <w:szCs w:val="18"/>
                <w:color w:val="auto"/>
              </w:rPr>
              <w:t>Agnes Mullady</w:t>
            </w:r>
          </w:p>
        </w:tc>
        <w:tc>
          <w:tcPr>
            <w:tcW w:w="4740" w:type="dxa"/>
            <w:vAlign w:val="bottom"/>
          </w:tcPr>
          <w:p>
            <w:pPr>
              <w:ind w:left="20"/>
              <w:spacing w:after="0"/>
              <w:rPr>
                <w:sz w:val="20"/>
                <w:szCs w:val="20"/>
                <w:color w:val="auto"/>
              </w:rPr>
            </w:pPr>
            <w:r>
              <w:rPr>
                <w:rFonts w:ascii="Arial" w:cs="Arial" w:eastAsia="Arial" w:hAnsi="Arial"/>
                <w:sz w:val="18"/>
                <w:szCs w:val="18"/>
                <w:color w:val="auto"/>
                <w:w w:val="91"/>
              </w:rPr>
              <w:t>President and Chief Operating Officer – Open End Fund Division</w:t>
            </w: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David Goldman</w:t>
            </w:r>
          </w:p>
        </w:tc>
        <w:tc>
          <w:tcPr>
            <w:tcW w:w="4740" w:type="dxa"/>
            <w:vAlign w:val="bottom"/>
          </w:tcPr>
          <w:p>
            <w:pPr>
              <w:ind w:left="20"/>
              <w:spacing w:after="0"/>
              <w:rPr>
                <w:sz w:val="20"/>
                <w:szCs w:val="20"/>
                <w:color w:val="auto"/>
              </w:rPr>
            </w:pPr>
            <w:r>
              <w:rPr>
                <w:rFonts w:ascii="Arial" w:cs="Arial" w:eastAsia="Arial" w:hAnsi="Arial"/>
                <w:sz w:val="18"/>
                <w:szCs w:val="18"/>
                <w:color w:val="auto"/>
              </w:rPr>
              <w:t>General Counsel</w:t>
            </w:r>
          </w:p>
        </w:tc>
      </w:tr>
      <w:tr>
        <w:trPr>
          <w:trHeight w:val="634"/>
        </w:trPr>
        <w:tc>
          <w:tcPr>
            <w:tcW w:w="3960" w:type="dxa"/>
            <w:vAlign w:val="bottom"/>
          </w:tcPr>
          <w:p>
            <w:pPr>
              <w:spacing w:after="0"/>
              <w:rPr>
                <w:sz w:val="20"/>
                <w:szCs w:val="20"/>
                <w:color w:val="auto"/>
              </w:rPr>
            </w:pPr>
            <w:r>
              <w:rPr>
                <w:rFonts w:ascii="Arial" w:cs="Arial" w:eastAsia="Arial" w:hAnsi="Arial"/>
                <w:sz w:val="18"/>
                <w:szCs w:val="18"/>
                <w:color w:val="auto"/>
              </w:rPr>
              <w:t>Gabelli Foundation, Inc.</w:t>
            </w:r>
          </w:p>
        </w:tc>
        <w:tc>
          <w:tcPr>
            <w:tcW w:w="4740" w:type="dxa"/>
            <w:vAlign w:val="bottom"/>
          </w:tcPr>
          <w:p>
            <w:pPr>
              <w:spacing w:after="0"/>
              <w:rPr>
                <w:sz w:val="24"/>
                <w:szCs w:val="24"/>
                <w:color w:val="auto"/>
              </w:rPr>
            </w:pPr>
          </w:p>
        </w:tc>
      </w:tr>
      <w:tr>
        <w:trPr>
          <w:trHeight w:val="237"/>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Officers:</w:t>
            </w:r>
          </w:p>
        </w:tc>
        <w:tc>
          <w:tcPr>
            <w:tcW w:w="4740" w:type="dxa"/>
            <w:vAlign w:val="bottom"/>
          </w:tcPr>
          <w:p>
            <w:pPr>
              <w:spacing w:after="0"/>
              <w:rPr>
                <w:sz w:val="20"/>
                <w:szCs w:val="20"/>
                <w:color w:val="auto"/>
              </w:rPr>
            </w:pPr>
          </w:p>
        </w:tc>
      </w:tr>
      <w:tr>
        <w:trPr>
          <w:trHeight w:val="230"/>
        </w:trPr>
        <w:tc>
          <w:tcPr>
            <w:tcW w:w="3960" w:type="dxa"/>
            <w:vAlign w:val="bottom"/>
          </w:tcPr>
          <w:p>
            <w:pPr>
              <w:ind w:left="720"/>
              <w:spacing w:after="0"/>
              <w:rPr>
                <w:sz w:val="20"/>
                <w:szCs w:val="20"/>
                <w:color w:val="auto"/>
              </w:rPr>
            </w:pPr>
            <w:r>
              <w:rPr>
                <w:rFonts w:ascii="Arial" w:cs="Arial" w:eastAsia="Arial" w:hAnsi="Arial"/>
                <w:sz w:val="18"/>
                <w:szCs w:val="18"/>
                <w:color w:val="auto"/>
              </w:rPr>
              <w:t>Mario J. Gabelli</w:t>
            </w:r>
          </w:p>
        </w:tc>
        <w:tc>
          <w:tcPr>
            <w:tcW w:w="4740" w:type="dxa"/>
            <w:vAlign w:val="bottom"/>
          </w:tcPr>
          <w:p>
            <w:pPr>
              <w:spacing w:after="0"/>
              <w:rPr>
                <w:sz w:val="20"/>
                <w:szCs w:val="20"/>
                <w:color w:val="auto"/>
              </w:rPr>
            </w:pPr>
            <w:r>
              <w:rPr>
                <w:rFonts w:ascii="Arial" w:cs="Arial" w:eastAsia="Arial" w:hAnsi="Arial"/>
                <w:sz w:val="18"/>
                <w:szCs w:val="18"/>
                <w:color w:val="auto"/>
              </w:rPr>
              <w:t>Chairman, Trustee &amp; Chief Investment Officer</w:t>
            </w:r>
          </w:p>
        </w:tc>
      </w:tr>
      <w:tr>
        <w:trPr>
          <w:trHeight w:val="418"/>
        </w:trPr>
        <w:tc>
          <w:tcPr>
            <w:tcW w:w="3960" w:type="dxa"/>
            <w:vAlign w:val="bottom"/>
          </w:tcPr>
          <w:p>
            <w:pPr>
              <w:ind w:left="720"/>
              <w:spacing w:after="0"/>
              <w:rPr>
                <w:sz w:val="20"/>
                <w:szCs w:val="20"/>
                <w:color w:val="auto"/>
              </w:rPr>
            </w:pPr>
            <w:r>
              <w:rPr>
                <w:rFonts w:ascii="Arial" w:cs="Arial" w:eastAsia="Arial" w:hAnsi="Arial"/>
                <w:sz w:val="18"/>
                <w:szCs w:val="18"/>
                <w:color w:val="auto"/>
              </w:rPr>
              <w:t>Elisa M. Wilson</w:t>
            </w:r>
          </w:p>
        </w:tc>
        <w:tc>
          <w:tcPr>
            <w:tcW w:w="474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3960" w:type="dxa"/>
            <w:vAlign w:val="bottom"/>
          </w:tcPr>
          <w:p>
            <w:pPr>
              <w:ind w:left="720"/>
              <w:spacing w:after="0"/>
              <w:rPr>
                <w:sz w:val="20"/>
                <w:szCs w:val="20"/>
                <w:color w:val="auto"/>
              </w:rPr>
            </w:pPr>
            <w:r>
              <w:rPr>
                <w:rFonts w:ascii="Arial" w:cs="Arial" w:eastAsia="Arial" w:hAnsi="Arial"/>
                <w:sz w:val="18"/>
                <w:szCs w:val="18"/>
                <w:color w:val="auto"/>
              </w:rPr>
              <w:t>Marc Gabelli</w:t>
            </w:r>
          </w:p>
        </w:tc>
        <w:tc>
          <w:tcPr>
            <w:tcW w:w="4740" w:type="dxa"/>
            <w:vAlign w:val="bottom"/>
          </w:tcPr>
          <w:p>
            <w:pPr>
              <w:spacing w:after="0"/>
              <w:rPr>
                <w:sz w:val="20"/>
                <w:szCs w:val="20"/>
                <w:color w:val="auto"/>
              </w:rPr>
            </w:pPr>
            <w:r>
              <w:rPr>
                <w:rFonts w:ascii="Arial" w:cs="Arial" w:eastAsia="Arial" w:hAnsi="Arial"/>
                <w:sz w:val="18"/>
                <w:szCs w:val="18"/>
                <w:color w:val="auto"/>
              </w:rPr>
              <w:t>Trustee</w:t>
            </w:r>
          </w:p>
        </w:tc>
      </w:tr>
      <w:tr>
        <w:trPr>
          <w:trHeight w:val="432"/>
        </w:trPr>
        <w:tc>
          <w:tcPr>
            <w:tcW w:w="3960" w:type="dxa"/>
            <w:vAlign w:val="bottom"/>
          </w:tcPr>
          <w:p>
            <w:pPr>
              <w:ind w:left="720"/>
              <w:spacing w:after="0"/>
              <w:rPr>
                <w:sz w:val="20"/>
                <w:szCs w:val="20"/>
                <w:color w:val="auto"/>
              </w:rPr>
            </w:pPr>
            <w:r>
              <w:rPr>
                <w:rFonts w:ascii="Arial" w:cs="Arial" w:eastAsia="Arial" w:hAnsi="Arial"/>
                <w:sz w:val="18"/>
                <w:szCs w:val="18"/>
                <w:color w:val="auto"/>
              </w:rPr>
              <w:t>Matthew R. Gabelli</w:t>
            </w:r>
          </w:p>
        </w:tc>
        <w:tc>
          <w:tcPr>
            <w:tcW w:w="4740" w:type="dxa"/>
            <w:vAlign w:val="bottom"/>
          </w:tcPr>
          <w:p>
            <w:pPr>
              <w:spacing w:after="0"/>
              <w:rPr>
                <w:sz w:val="20"/>
                <w:szCs w:val="20"/>
                <w:color w:val="auto"/>
              </w:rPr>
            </w:pPr>
            <w:r>
              <w:rPr>
                <w:rFonts w:ascii="Arial" w:cs="Arial" w:eastAsia="Arial" w:hAnsi="Arial"/>
                <w:sz w:val="18"/>
                <w:szCs w:val="18"/>
                <w:color w:val="auto"/>
              </w:rPr>
              <w:t>Trustee</w:t>
            </w:r>
          </w:p>
        </w:tc>
      </w:tr>
      <w:tr>
        <w:trPr>
          <w:trHeight w:val="432"/>
        </w:trPr>
        <w:tc>
          <w:tcPr>
            <w:tcW w:w="3960" w:type="dxa"/>
            <w:vAlign w:val="bottom"/>
          </w:tcPr>
          <w:p>
            <w:pPr>
              <w:ind w:left="720"/>
              <w:spacing w:after="0"/>
              <w:rPr>
                <w:sz w:val="20"/>
                <w:szCs w:val="20"/>
                <w:color w:val="auto"/>
              </w:rPr>
            </w:pPr>
            <w:r>
              <w:rPr>
                <w:rFonts w:ascii="Arial" w:cs="Arial" w:eastAsia="Arial" w:hAnsi="Arial"/>
                <w:sz w:val="18"/>
                <w:szCs w:val="18"/>
                <w:color w:val="auto"/>
              </w:rPr>
              <w:t>Michael Gabelli</w:t>
            </w:r>
          </w:p>
        </w:tc>
        <w:tc>
          <w:tcPr>
            <w:tcW w:w="4740" w:type="dxa"/>
            <w:vAlign w:val="bottom"/>
          </w:tcPr>
          <w:p>
            <w:pPr>
              <w:spacing w:after="0"/>
              <w:rPr>
                <w:sz w:val="20"/>
                <w:szCs w:val="20"/>
                <w:color w:val="auto"/>
              </w:rPr>
            </w:pPr>
            <w:r>
              <w:rPr>
                <w:rFonts w:ascii="Arial" w:cs="Arial" w:eastAsia="Arial" w:hAnsi="Arial"/>
                <w:sz w:val="18"/>
                <w:szCs w:val="18"/>
                <w:color w:val="auto"/>
              </w:rPr>
              <w:t>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15" w:name="page16"/>
    <w:bookmarkEnd w:id="15"/>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GGCP,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189"/>
        </w:trPr>
        <w:tc>
          <w:tcPr>
            <w:tcW w:w="4120" w:type="dxa"/>
            <w:vAlign w:val="bottom"/>
          </w:tcPr>
          <w:p>
            <w:pPr>
              <w:ind w:left="460"/>
              <w:spacing w:after="0" w:line="189" w:lineRule="exact"/>
              <w:rPr>
                <w:sz w:val="20"/>
                <w:szCs w:val="20"/>
                <w:color w:val="auto"/>
              </w:rPr>
            </w:pPr>
            <w:r>
              <w:rPr>
                <w:rFonts w:ascii="Arial" w:cs="Arial" w:eastAsia="Arial" w:hAnsi="Arial"/>
                <w:sz w:val="18"/>
                <w:szCs w:val="18"/>
                <w:color w:val="auto"/>
              </w:rPr>
              <w:t>Mario J. Gabelli</w:t>
            </w:r>
          </w:p>
        </w:tc>
        <w:tc>
          <w:tcPr>
            <w:tcW w:w="6900" w:type="dxa"/>
            <w:vAlign w:val="bottom"/>
            <w:gridSpan w:val="2"/>
          </w:tcPr>
          <w:p>
            <w:pPr>
              <w:spacing w:after="0" w:line="189" w:lineRule="exact"/>
              <w:rPr>
                <w:sz w:val="20"/>
                <w:szCs w:val="20"/>
                <w:color w:val="auto"/>
              </w:rPr>
            </w:pPr>
            <w:r>
              <w:rPr>
                <w:rFonts w:ascii="Arial" w:cs="Arial" w:eastAsia="Arial" w:hAnsi="Arial"/>
                <w:sz w:val="18"/>
                <w:szCs w:val="18"/>
                <w:color w:val="auto"/>
              </w:rPr>
              <w:t>Chief Executive Officer and Chief Investment Officer of GGCP, Inc.</w:t>
            </w:r>
          </w:p>
        </w:tc>
      </w:tr>
      <w:tr>
        <w:trPr>
          <w:trHeight w:val="216"/>
        </w:trPr>
        <w:tc>
          <w:tcPr>
            <w:tcW w:w="41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Chairman &amp; Chief Executive Officer of GAMCO Investors, Inc.</w:t>
            </w:r>
          </w:p>
        </w:tc>
      </w:tr>
      <w:tr>
        <w:trPr>
          <w:trHeight w:val="216"/>
        </w:trPr>
        <w:tc>
          <w:tcPr>
            <w:tcW w:w="41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Executive Chairman of Associated Capital Group, Inc.</w:t>
            </w:r>
          </w:p>
        </w:tc>
      </w:tr>
      <w:tr>
        <w:trPr>
          <w:trHeight w:val="230"/>
        </w:trPr>
        <w:tc>
          <w:tcPr>
            <w:tcW w:w="4120" w:type="dxa"/>
            <w:vAlign w:val="bottom"/>
          </w:tcPr>
          <w:p>
            <w:pPr>
              <w:spacing w:after="0"/>
              <w:rPr>
                <w:sz w:val="20"/>
                <w:szCs w:val="20"/>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w w:val="98"/>
              </w:rPr>
              <w:t>Director/Trustee of all registered investment companies advised by Gabelli Funds, LLC.</w:t>
            </w:r>
          </w:p>
        </w:tc>
      </w:tr>
      <w:tr>
        <w:trPr>
          <w:trHeight w:val="432"/>
        </w:trPr>
        <w:tc>
          <w:tcPr>
            <w:tcW w:w="4120" w:type="dxa"/>
            <w:vAlign w:val="bottom"/>
          </w:tcPr>
          <w:p>
            <w:pPr>
              <w:ind w:left="460"/>
              <w:spacing w:after="0"/>
              <w:rPr>
                <w:sz w:val="20"/>
                <w:szCs w:val="20"/>
                <w:color w:val="auto"/>
              </w:rPr>
            </w:pPr>
            <w:r>
              <w:rPr>
                <w:rFonts w:ascii="Arial" w:cs="Arial" w:eastAsia="Arial" w:hAnsi="Arial"/>
                <w:sz w:val="18"/>
                <w:szCs w:val="18"/>
                <w:color w:val="auto"/>
              </w:rPr>
              <w:t>Marc Gabelli</w:t>
            </w:r>
          </w:p>
        </w:tc>
        <w:tc>
          <w:tcPr>
            <w:tcW w:w="6900" w:type="dxa"/>
            <w:vAlign w:val="bottom"/>
            <w:gridSpan w:val="2"/>
          </w:tcPr>
          <w:p>
            <w:pPr>
              <w:spacing w:after="0"/>
              <w:rPr>
                <w:sz w:val="20"/>
                <w:szCs w:val="20"/>
                <w:color w:val="auto"/>
              </w:rPr>
            </w:pPr>
            <w:r>
              <w:rPr>
                <w:rFonts w:ascii="Arial" w:cs="Arial" w:eastAsia="Arial" w:hAnsi="Arial"/>
                <w:sz w:val="18"/>
                <w:szCs w:val="18"/>
                <w:color w:val="auto"/>
              </w:rPr>
              <w:t>President – GGCP, Inc.</w:t>
            </w:r>
          </w:p>
        </w:tc>
      </w:tr>
      <w:tr>
        <w:trPr>
          <w:trHeight w:val="418"/>
        </w:trPr>
        <w:tc>
          <w:tcPr>
            <w:tcW w:w="4120" w:type="dxa"/>
            <w:vAlign w:val="bottom"/>
          </w:tcPr>
          <w:p>
            <w:pPr>
              <w:ind w:left="460"/>
              <w:spacing w:after="0"/>
              <w:rPr>
                <w:sz w:val="20"/>
                <w:szCs w:val="20"/>
                <w:color w:val="auto"/>
              </w:rPr>
            </w:pPr>
            <w:r>
              <w:rPr>
                <w:rFonts w:ascii="Arial" w:cs="Arial" w:eastAsia="Arial" w:hAnsi="Arial"/>
                <w:sz w:val="18"/>
                <w:szCs w:val="18"/>
                <w:color w:val="auto"/>
              </w:rPr>
              <w:t>Matthew R. Gabelli</w:t>
            </w:r>
          </w:p>
        </w:tc>
        <w:tc>
          <w:tcPr>
            <w:tcW w:w="6900" w:type="dxa"/>
            <w:vAlign w:val="bottom"/>
            <w:gridSpan w:val="2"/>
          </w:tcPr>
          <w:p>
            <w:pPr>
              <w:spacing w:after="0"/>
              <w:rPr>
                <w:sz w:val="20"/>
                <w:szCs w:val="20"/>
                <w:color w:val="auto"/>
              </w:rPr>
            </w:pPr>
            <w:r>
              <w:rPr>
                <w:rFonts w:ascii="Arial" w:cs="Arial" w:eastAsia="Arial" w:hAnsi="Arial"/>
                <w:sz w:val="18"/>
                <w:szCs w:val="18"/>
                <w:color w:val="auto"/>
              </w:rPr>
              <w:t>Vice President – Trading</w:t>
            </w:r>
          </w:p>
        </w:tc>
      </w:tr>
      <w:tr>
        <w:trPr>
          <w:trHeight w:val="216"/>
        </w:trPr>
        <w:tc>
          <w:tcPr>
            <w:tcW w:w="41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G.research, LLC</w:t>
            </w:r>
          </w:p>
        </w:tc>
      </w:tr>
      <w:tr>
        <w:trPr>
          <w:trHeight w:val="216"/>
        </w:trPr>
        <w:tc>
          <w:tcPr>
            <w:tcW w:w="41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One Corporate Center</w:t>
            </w:r>
          </w:p>
        </w:tc>
      </w:tr>
      <w:tr>
        <w:trPr>
          <w:trHeight w:val="230"/>
        </w:trPr>
        <w:tc>
          <w:tcPr>
            <w:tcW w:w="4120" w:type="dxa"/>
            <w:vAlign w:val="bottom"/>
          </w:tcPr>
          <w:p>
            <w:pPr>
              <w:spacing w:after="0"/>
              <w:rPr>
                <w:sz w:val="20"/>
                <w:szCs w:val="20"/>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Rye, NY 10580</w:t>
            </w:r>
          </w:p>
        </w:tc>
      </w:tr>
      <w:tr>
        <w:trPr>
          <w:trHeight w:val="418"/>
        </w:trPr>
        <w:tc>
          <w:tcPr>
            <w:tcW w:w="4120" w:type="dxa"/>
            <w:vAlign w:val="bottom"/>
          </w:tcPr>
          <w:p>
            <w:pPr>
              <w:ind w:left="460"/>
              <w:spacing w:after="0"/>
              <w:rPr>
                <w:sz w:val="20"/>
                <w:szCs w:val="20"/>
                <w:color w:val="auto"/>
              </w:rPr>
            </w:pPr>
            <w:r>
              <w:rPr>
                <w:rFonts w:ascii="Arial" w:cs="Arial" w:eastAsia="Arial" w:hAnsi="Arial"/>
                <w:sz w:val="18"/>
                <w:szCs w:val="18"/>
                <w:color w:val="auto"/>
              </w:rPr>
              <w:t>Michael Gabelli</w:t>
            </w:r>
          </w:p>
        </w:tc>
        <w:tc>
          <w:tcPr>
            <w:tcW w:w="6900" w:type="dxa"/>
            <w:vAlign w:val="bottom"/>
            <w:gridSpan w:val="2"/>
          </w:tcPr>
          <w:p>
            <w:pPr>
              <w:spacing w:after="0"/>
              <w:rPr>
                <w:sz w:val="20"/>
                <w:szCs w:val="20"/>
                <w:color w:val="auto"/>
              </w:rPr>
            </w:pPr>
            <w:r>
              <w:rPr>
                <w:rFonts w:ascii="Arial" w:cs="Arial" w:eastAsia="Arial" w:hAnsi="Arial"/>
                <w:sz w:val="18"/>
                <w:szCs w:val="18"/>
                <w:color w:val="auto"/>
              </w:rPr>
              <w:t>President &amp; COO</w:t>
            </w:r>
          </w:p>
        </w:tc>
      </w:tr>
      <w:tr>
        <w:trPr>
          <w:trHeight w:val="216"/>
        </w:trPr>
        <w:tc>
          <w:tcPr>
            <w:tcW w:w="41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Gabelli &amp; Partners, LLC</w:t>
            </w:r>
          </w:p>
        </w:tc>
      </w:tr>
      <w:tr>
        <w:trPr>
          <w:trHeight w:val="216"/>
        </w:trPr>
        <w:tc>
          <w:tcPr>
            <w:tcW w:w="41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One Corporate Center</w:t>
            </w:r>
          </w:p>
        </w:tc>
      </w:tr>
      <w:tr>
        <w:trPr>
          <w:trHeight w:val="230"/>
        </w:trPr>
        <w:tc>
          <w:tcPr>
            <w:tcW w:w="4120" w:type="dxa"/>
            <w:vAlign w:val="bottom"/>
          </w:tcPr>
          <w:p>
            <w:pPr>
              <w:spacing w:after="0"/>
              <w:rPr>
                <w:sz w:val="20"/>
                <w:szCs w:val="20"/>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Rye, NY 10580</w:t>
            </w:r>
          </w:p>
        </w:tc>
      </w:tr>
      <w:tr>
        <w:trPr>
          <w:trHeight w:val="634"/>
        </w:trPr>
        <w:tc>
          <w:tcPr>
            <w:tcW w:w="4120" w:type="dxa"/>
            <w:vAlign w:val="bottom"/>
          </w:tcPr>
          <w:p>
            <w:pPr>
              <w:ind w:left="460"/>
              <w:spacing w:after="0"/>
              <w:rPr>
                <w:sz w:val="20"/>
                <w:szCs w:val="20"/>
                <w:color w:val="auto"/>
              </w:rPr>
            </w:pPr>
            <w:r>
              <w:rPr>
                <w:rFonts w:ascii="Arial" w:cs="Arial" w:eastAsia="Arial" w:hAnsi="Arial"/>
                <w:sz w:val="18"/>
                <w:szCs w:val="18"/>
                <w:color w:val="auto"/>
              </w:rPr>
              <w:t>Frederic V. Salerno</w:t>
            </w:r>
          </w:p>
        </w:tc>
        <w:tc>
          <w:tcPr>
            <w:tcW w:w="6900" w:type="dxa"/>
            <w:vAlign w:val="bottom"/>
            <w:gridSpan w:val="2"/>
          </w:tcPr>
          <w:p>
            <w:pPr>
              <w:spacing w:after="0"/>
              <w:rPr>
                <w:sz w:val="20"/>
                <w:szCs w:val="20"/>
                <w:color w:val="auto"/>
              </w:rPr>
            </w:pPr>
            <w:r>
              <w:rPr>
                <w:rFonts w:ascii="Arial" w:cs="Arial" w:eastAsia="Arial" w:hAnsi="Arial"/>
                <w:sz w:val="18"/>
                <w:szCs w:val="18"/>
                <w:color w:val="auto"/>
              </w:rPr>
              <w:t>Chairman</w:t>
            </w:r>
          </w:p>
        </w:tc>
      </w:tr>
      <w:tr>
        <w:trPr>
          <w:trHeight w:val="216"/>
        </w:trPr>
        <w:tc>
          <w:tcPr>
            <w:tcW w:w="41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Former Vice Chairman and Chief Financial Officer</w:t>
            </w:r>
          </w:p>
        </w:tc>
      </w:tr>
      <w:tr>
        <w:trPr>
          <w:trHeight w:val="230"/>
        </w:trPr>
        <w:tc>
          <w:tcPr>
            <w:tcW w:w="4120" w:type="dxa"/>
            <w:vAlign w:val="bottom"/>
          </w:tcPr>
          <w:p>
            <w:pPr>
              <w:spacing w:after="0"/>
              <w:rPr>
                <w:sz w:val="20"/>
                <w:szCs w:val="20"/>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Verizon Communications</w:t>
            </w:r>
          </w:p>
        </w:tc>
      </w:tr>
      <w:tr>
        <w:trPr>
          <w:trHeight w:val="648"/>
        </w:trPr>
        <w:tc>
          <w:tcPr>
            <w:tcW w:w="4120" w:type="dxa"/>
            <w:vAlign w:val="bottom"/>
          </w:tcPr>
          <w:p>
            <w:pPr>
              <w:ind w:left="500"/>
              <w:spacing w:after="0"/>
              <w:rPr>
                <w:sz w:val="20"/>
                <w:szCs w:val="20"/>
                <w:color w:val="auto"/>
              </w:rPr>
            </w:pPr>
            <w:r>
              <w:rPr>
                <w:rFonts w:ascii="Arial" w:cs="Arial" w:eastAsia="Arial" w:hAnsi="Arial"/>
                <w:sz w:val="18"/>
                <w:szCs w:val="18"/>
                <w:color w:val="auto"/>
              </w:rPr>
              <w:t>Vincent S. Tese</w:t>
            </w:r>
          </w:p>
        </w:tc>
        <w:tc>
          <w:tcPr>
            <w:tcW w:w="6900" w:type="dxa"/>
            <w:vAlign w:val="bottom"/>
            <w:gridSpan w:val="2"/>
          </w:tcPr>
          <w:p>
            <w:pPr>
              <w:spacing w:after="0"/>
              <w:rPr>
                <w:sz w:val="20"/>
                <w:szCs w:val="20"/>
                <w:color w:val="auto"/>
              </w:rPr>
            </w:pPr>
            <w:r>
              <w:rPr>
                <w:rFonts w:ascii="Arial" w:cs="Arial" w:eastAsia="Arial" w:hAnsi="Arial"/>
                <w:sz w:val="18"/>
                <w:szCs w:val="18"/>
                <w:color w:val="auto"/>
              </w:rPr>
              <w:t>Executive Chairman – FCB Financial Corp</w:t>
            </w:r>
          </w:p>
        </w:tc>
      </w:tr>
      <w:tr>
        <w:trPr>
          <w:trHeight w:val="432"/>
        </w:trPr>
        <w:tc>
          <w:tcPr>
            <w:tcW w:w="4120" w:type="dxa"/>
            <w:vAlign w:val="bottom"/>
          </w:tcPr>
          <w:p>
            <w:pPr>
              <w:ind w:left="500"/>
              <w:spacing w:after="0"/>
              <w:rPr>
                <w:sz w:val="20"/>
                <w:szCs w:val="20"/>
                <w:color w:val="auto"/>
              </w:rPr>
            </w:pPr>
            <w:r>
              <w:rPr>
                <w:rFonts w:ascii="Arial" w:cs="Arial" w:eastAsia="Arial" w:hAnsi="Arial"/>
                <w:sz w:val="18"/>
                <w:szCs w:val="18"/>
                <w:color w:val="auto"/>
              </w:rPr>
              <w:t>Elisa M. Wilson</w:t>
            </w:r>
          </w:p>
        </w:tc>
        <w:tc>
          <w:tcPr>
            <w:tcW w:w="69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418"/>
        </w:trPr>
        <w:tc>
          <w:tcPr>
            <w:tcW w:w="4120" w:type="dxa"/>
            <w:vAlign w:val="bottom"/>
          </w:tcPr>
          <w:p>
            <w:pPr>
              <w:spacing w:after="0"/>
              <w:rPr>
                <w:sz w:val="20"/>
                <w:szCs w:val="20"/>
                <w:color w:val="auto"/>
              </w:rPr>
            </w:pPr>
            <w:r>
              <w:rPr>
                <w:rFonts w:ascii="Arial" w:cs="Arial" w:eastAsia="Arial" w:hAnsi="Arial"/>
                <w:sz w:val="18"/>
                <w:szCs w:val="18"/>
                <w:color w:val="auto"/>
              </w:rPr>
              <w:t>Officers:</w:t>
            </w:r>
          </w:p>
        </w:tc>
        <w:tc>
          <w:tcPr>
            <w:tcW w:w="96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216"/>
        </w:trPr>
        <w:tc>
          <w:tcPr>
            <w:tcW w:w="4120" w:type="dxa"/>
            <w:vAlign w:val="bottom"/>
          </w:tcPr>
          <w:p>
            <w:pPr>
              <w:ind w:left="660"/>
              <w:spacing w:after="0"/>
              <w:rPr>
                <w:sz w:val="20"/>
                <w:szCs w:val="20"/>
                <w:color w:val="auto"/>
              </w:rPr>
            </w:pPr>
            <w:r>
              <w:rPr>
                <w:rFonts w:ascii="Arial" w:cs="Arial" w:eastAsia="Arial" w:hAnsi="Arial"/>
                <w:sz w:val="18"/>
                <w:szCs w:val="18"/>
                <w:color w:val="auto"/>
              </w:rPr>
              <w:t>Mario J. Gabelli</w:t>
            </w:r>
          </w:p>
        </w:tc>
        <w:tc>
          <w:tcPr>
            <w:tcW w:w="6900" w:type="dxa"/>
            <w:vAlign w:val="bottom"/>
            <w:gridSpan w:val="2"/>
          </w:tcPr>
          <w:p>
            <w:pPr>
              <w:spacing w:after="0"/>
              <w:rPr>
                <w:sz w:val="20"/>
                <w:szCs w:val="20"/>
                <w:color w:val="auto"/>
              </w:rPr>
            </w:pPr>
            <w:r>
              <w:rPr>
                <w:rFonts w:ascii="Arial" w:cs="Arial" w:eastAsia="Arial" w:hAnsi="Arial"/>
                <w:sz w:val="18"/>
                <w:szCs w:val="18"/>
                <w:color w:val="auto"/>
              </w:rPr>
              <w:t>Chief Executive Officer and Chief Investment Officer</w:t>
            </w:r>
          </w:p>
        </w:tc>
      </w:tr>
      <w:tr>
        <w:trPr>
          <w:trHeight w:val="216"/>
        </w:trPr>
        <w:tc>
          <w:tcPr>
            <w:tcW w:w="4120" w:type="dxa"/>
            <w:vAlign w:val="bottom"/>
          </w:tcPr>
          <w:p>
            <w:pPr>
              <w:ind w:left="640"/>
              <w:spacing w:after="0"/>
              <w:rPr>
                <w:sz w:val="20"/>
                <w:szCs w:val="20"/>
                <w:color w:val="auto"/>
              </w:rPr>
            </w:pPr>
            <w:r>
              <w:rPr>
                <w:rFonts w:ascii="Arial" w:cs="Arial" w:eastAsia="Arial" w:hAnsi="Arial"/>
                <w:sz w:val="18"/>
                <w:szCs w:val="18"/>
                <w:color w:val="auto"/>
              </w:rPr>
              <w:t>Marc Gabelli</w:t>
            </w:r>
          </w:p>
        </w:tc>
        <w:tc>
          <w:tcPr>
            <w:tcW w:w="6900" w:type="dxa"/>
            <w:vAlign w:val="bottom"/>
            <w:gridSpan w:val="2"/>
          </w:tcPr>
          <w:p>
            <w:pPr>
              <w:spacing w:after="0"/>
              <w:rPr>
                <w:sz w:val="20"/>
                <w:szCs w:val="20"/>
                <w:color w:val="auto"/>
              </w:rPr>
            </w:pPr>
            <w:r>
              <w:rPr>
                <w:rFonts w:ascii="Arial" w:cs="Arial" w:eastAsia="Arial" w:hAnsi="Arial"/>
                <w:sz w:val="18"/>
                <w:szCs w:val="18"/>
                <w:color w:val="auto"/>
              </w:rPr>
              <w:t>President</w:t>
            </w:r>
          </w:p>
        </w:tc>
      </w:tr>
      <w:tr>
        <w:trPr>
          <w:trHeight w:val="216"/>
        </w:trPr>
        <w:tc>
          <w:tcPr>
            <w:tcW w:w="4120" w:type="dxa"/>
            <w:vAlign w:val="bottom"/>
          </w:tcPr>
          <w:p>
            <w:pPr>
              <w:ind w:left="640"/>
              <w:spacing w:after="0"/>
              <w:rPr>
                <w:sz w:val="20"/>
                <w:szCs w:val="20"/>
                <w:color w:val="auto"/>
              </w:rPr>
            </w:pPr>
            <w:r>
              <w:rPr>
                <w:rFonts w:ascii="Arial" w:cs="Arial" w:eastAsia="Arial" w:hAnsi="Arial"/>
                <w:sz w:val="18"/>
                <w:szCs w:val="18"/>
                <w:color w:val="auto"/>
              </w:rPr>
              <w:t>Francis J. Conroy</w:t>
            </w:r>
          </w:p>
        </w:tc>
        <w:tc>
          <w:tcPr>
            <w:tcW w:w="6900" w:type="dxa"/>
            <w:vAlign w:val="bottom"/>
            <w:gridSpan w:val="2"/>
          </w:tcPr>
          <w:p>
            <w:pPr>
              <w:spacing w:after="0"/>
              <w:rPr>
                <w:sz w:val="20"/>
                <w:szCs w:val="20"/>
                <w:color w:val="auto"/>
              </w:rPr>
            </w:pPr>
            <w:r>
              <w:rPr>
                <w:rFonts w:ascii="Arial" w:cs="Arial" w:eastAsia="Arial" w:hAnsi="Arial"/>
                <w:sz w:val="18"/>
                <w:szCs w:val="18"/>
                <w:color w:val="auto"/>
              </w:rPr>
              <w:t>Special Assistant to CEO, Secretary</w:t>
            </w:r>
          </w:p>
        </w:tc>
      </w:tr>
      <w:tr>
        <w:trPr>
          <w:trHeight w:val="216"/>
        </w:trPr>
        <w:tc>
          <w:tcPr>
            <w:tcW w:w="4120" w:type="dxa"/>
            <w:vAlign w:val="bottom"/>
          </w:tcPr>
          <w:p>
            <w:pPr>
              <w:ind w:left="640"/>
              <w:spacing w:after="0"/>
              <w:rPr>
                <w:sz w:val="20"/>
                <w:szCs w:val="20"/>
                <w:color w:val="auto"/>
              </w:rPr>
            </w:pPr>
            <w:r>
              <w:rPr>
                <w:rFonts w:ascii="Arial" w:cs="Arial" w:eastAsia="Arial" w:hAnsi="Arial"/>
                <w:sz w:val="18"/>
                <w:szCs w:val="18"/>
                <w:color w:val="auto"/>
              </w:rPr>
              <w:t>Silvio A. Berni</w:t>
            </w:r>
          </w:p>
        </w:tc>
        <w:tc>
          <w:tcPr>
            <w:tcW w:w="6900" w:type="dxa"/>
            <w:vAlign w:val="bottom"/>
            <w:gridSpan w:val="2"/>
          </w:tcPr>
          <w:p>
            <w:pPr>
              <w:spacing w:after="0"/>
              <w:rPr>
                <w:sz w:val="20"/>
                <w:szCs w:val="20"/>
                <w:color w:val="auto"/>
              </w:rPr>
            </w:pPr>
            <w:r>
              <w:rPr>
                <w:rFonts w:ascii="Arial" w:cs="Arial" w:eastAsia="Arial" w:hAnsi="Arial"/>
                <w:sz w:val="18"/>
                <w:szCs w:val="18"/>
                <w:color w:val="auto"/>
                <w:w w:val="91"/>
              </w:rPr>
              <w:t>Chief Financial and Accounting Officer, Vice President Corporate Development and Controller,</w:t>
            </w:r>
          </w:p>
        </w:tc>
      </w:tr>
      <w:tr>
        <w:trPr>
          <w:trHeight w:val="230"/>
        </w:trPr>
        <w:tc>
          <w:tcPr>
            <w:tcW w:w="4120" w:type="dxa"/>
            <w:vAlign w:val="bottom"/>
          </w:tcPr>
          <w:p>
            <w:pPr>
              <w:spacing w:after="0"/>
              <w:rPr>
                <w:sz w:val="20"/>
                <w:szCs w:val="20"/>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Assistant Secretary</w:t>
            </w:r>
          </w:p>
        </w:tc>
      </w:tr>
      <w:tr>
        <w:trPr>
          <w:trHeight w:val="418"/>
        </w:trPr>
        <w:tc>
          <w:tcPr>
            <w:tcW w:w="4120" w:type="dxa"/>
            <w:vAlign w:val="bottom"/>
          </w:tcPr>
          <w:p>
            <w:pPr>
              <w:spacing w:after="0"/>
              <w:rPr>
                <w:sz w:val="20"/>
                <w:szCs w:val="20"/>
                <w:color w:val="auto"/>
              </w:rPr>
            </w:pPr>
            <w:r>
              <w:rPr>
                <w:rFonts w:ascii="Arial" w:cs="Arial" w:eastAsia="Arial" w:hAnsi="Arial"/>
                <w:sz w:val="18"/>
                <w:szCs w:val="18"/>
                <w:color w:val="auto"/>
              </w:rPr>
              <w:t>GGCP Holdings LLC</w:t>
            </w:r>
          </w:p>
        </w:tc>
        <w:tc>
          <w:tcPr>
            <w:tcW w:w="96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Members:</w:t>
            </w:r>
          </w:p>
        </w:tc>
        <w:tc>
          <w:tcPr>
            <w:tcW w:w="960" w:type="dxa"/>
            <w:vAlign w:val="bottom"/>
          </w:tcPr>
          <w:p>
            <w:pPr>
              <w:spacing w:after="0"/>
              <w:rPr>
                <w:sz w:val="20"/>
                <w:szCs w:val="20"/>
                <w:color w:val="auto"/>
              </w:rPr>
            </w:pPr>
          </w:p>
        </w:tc>
        <w:tc>
          <w:tcPr>
            <w:tcW w:w="5940" w:type="dxa"/>
            <w:vAlign w:val="bottom"/>
          </w:tcPr>
          <w:p>
            <w:pPr>
              <w:spacing w:after="0"/>
              <w:rPr>
                <w:sz w:val="20"/>
                <w:szCs w:val="20"/>
                <w:color w:val="auto"/>
              </w:rPr>
            </w:pPr>
          </w:p>
        </w:tc>
      </w:tr>
      <w:tr>
        <w:trPr>
          <w:trHeight w:val="432"/>
        </w:trPr>
        <w:tc>
          <w:tcPr>
            <w:tcW w:w="4120" w:type="dxa"/>
            <w:vAlign w:val="bottom"/>
          </w:tcPr>
          <w:p>
            <w:pPr>
              <w:ind w:left="640"/>
              <w:spacing w:after="0"/>
              <w:rPr>
                <w:sz w:val="20"/>
                <w:szCs w:val="20"/>
                <w:color w:val="auto"/>
              </w:rPr>
            </w:pPr>
            <w:r>
              <w:rPr>
                <w:rFonts w:ascii="Arial" w:cs="Arial" w:eastAsia="Arial" w:hAnsi="Arial"/>
                <w:sz w:val="18"/>
                <w:szCs w:val="18"/>
                <w:color w:val="auto"/>
              </w:rPr>
              <w:t>GGCP, Inc.</w:t>
            </w:r>
          </w:p>
        </w:tc>
        <w:tc>
          <w:tcPr>
            <w:tcW w:w="6900" w:type="dxa"/>
            <w:vAlign w:val="bottom"/>
            <w:gridSpan w:val="2"/>
          </w:tcPr>
          <w:p>
            <w:pPr>
              <w:spacing w:after="0"/>
              <w:rPr>
                <w:sz w:val="20"/>
                <w:szCs w:val="20"/>
                <w:color w:val="auto"/>
              </w:rPr>
            </w:pPr>
            <w:r>
              <w:rPr>
                <w:rFonts w:ascii="Arial" w:cs="Arial" w:eastAsia="Arial" w:hAnsi="Arial"/>
                <w:sz w:val="18"/>
                <w:szCs w:val="18"/>
                <w:color w:val="auto"/>
              </w:rPr>
              <w:t>Manager and Member</w:t>
            </w:r>
          </w:p>
        </w:tc>
      </w:tr>
      <w:tr>
        <w:trPr>
          <w:trHeight w:val="439"/>
        </w:trPr>
        <w:tc>
          <w:tcPr>
            <w:tcW w:w="41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Mario J. Gabelli</w:t>
            </w:r>
          </w:p>
        </w:tc>
        <w:tc>
          <w:tcPr>
            <w:tcW w:w="6900" w:type="dxa"/>
            <w:vAlign w:val="bottom"/>
            <w:gridSpan w:val="2"/>
          </w:tcPr>
          <w:p>
            <w:pPr>
              <w:spacing w:after="0"/>
              <w:rPr>
                <w:sz w:val="20"/>
                <w:szCs w:val="20"/>
                <w:color w:val="auto"/>
              </w:rPr>
            </w:pPr>
            <w:r>
              <w:rPr>
                <w:rFonts w:ascii="Arial" w:cs="Arial" w:eastAsia="Arial" w:hAnsi="Arial"/>
                <w:sz w:val="18"/>
                <w:szCs w:val="18"/>
                <w:color w:val="auto"/>
              </w:rPr>
              <w:t>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20"/>
          </w:cols>
          <w:pgMar w:left="240" w:top="1440" w:right="6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Teton Advisors,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2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Marc Gabelli</w:t>
            </w:r>
          </w:p>
        </w:tc>
        <w:tc>
          <w:tcPr>
            <w:tcW w:w="4640" w:type="dxa"/>
            <w:vAlign w:val="bottom"/>
          </w:tcPr>
          <w:p>
            <w:pPr>
              <w:spacing w:after="0"/>
              <w:rPr>
                <w:sz w:val="20"/>
                <w:szCs w:val="20"/>
                <w:color w:val="auto"/>
              </w:rPr>
            </w:pPr>
            <w:r>
              <w:rPr>
                <w:rFonts w:ascii="Arial" w:cs="Arial" w:eastAsia="Arial" w:hAnsi="Arial"/>
                <w:sz w:val="18"/>
                <w:szCs w:val="18"/>
                <w:color w:val="auto"/>
              </w:rPr>
              <w:t>Executive Chairman</w:t>
            </w:r>
          </w:p>
        </w:tc>
      </w:tr>
      <w:tr>
        <w:trPr>
          <w:trHeight w:val="418"/>
        </w:trPr>
        <w:tc>
          <w:tcPr>
            <w:tcW w:w="4120" w:type="dxa"/>
            <w:vAlign w:val="bottom"/>
          </w:tcPr>
          <w:p>
            <w:pPr>
              <w:ind w:left="680"/>
              <w:spacing w:after="0"/>
              <w:rPr>
                <w:sz w:val="20"/>
                <w:szCs w:val="20"/>
                <w:color w:val="auto"/>
              </w:rPr>
            </w:pPr>
            <w:r>
              <w:rPr>
                <w:rFonts w:ascii="Arial" w:cs="Arial" w:eastAsia="Arial" w:hAnsi="Arial"/>
                <w:sz w:val="18"/>
                <w:szCs w:val="18"/>
                <w:color w:val="auto"/>
              </w:rPr>
              <w:t>Vincent J. Amabile</w:t>
            </w:r>
          </w:p>
        </w:tc>
        <w:tc>
          <w:tcPr>
            <w:tcW w:w="4640" w:type="dxa"/>
            <w:vAlign w:val="bottom"/>
          </w:tcPr>
          <w:p>
            <w:pPr>
              <w:spacing w:after="0"/>
              <w:rPr>
                <w:sz w:val="20"/>
                <w:szCs w:val="20"/>
                <w:color w:val="auto"/>
              </w:rPr>
            </w:pPr>
            <w:r>
              <w:rPr>
                <w:rFonts w:ascii="Arial" w:cs="Arial" w:eastAsia="Arial" w:hAnsi="Arial"/>
                <w:sz w:val="18"/>
                <w:szCs w:val="18"/>
                <w:color w:val="auto"/>
              </w:rPr>
              <w:t>Founder- Amabile Partners</w:t>
            </w:r>
          </w:p>
        </w:tc>
      </w:tr>
      <w:tr>
        <w:trPr>
          <w:trHeight w:val="432"/>
        </w:trPr>
        <w:tc>
          <w:tcPr>
            <w:tcW w:w="4120" w:type="dxa"/>
            <w:vAlign w:val="bottom"/>
          </w:tcPr>
          <w:p>
            <w:pPr>
              <w:ind w:left="680"/>
              <w:spacing w:after="0"/>
              <w:rPr>
                <w:sz w:val="20"/>
                <w:szCs w:val="20"/>
                <w:color w:val="auto"/>
              </w:rPr>
            </w:pPr>
            <w:r>
              <w:rPr>
                <w:rFonts w:ascii="Arial" w:cs="Arial" w:eastAsia="Arial" w:hAnsi="Arial"/>
                <w:sz w:val="18"/>
                <w:szCs w:val="18"/>
                <w:color w:val="auto"/>
              </w:rPr>
              <w:t>Stephen G. Bondi, CPA</w:t>
            </w:r>
          </w:p>
        </w:tc>
        <w:tc>
          <w:tcPr>
            <w:tcW w:w="4640" w:type="dxa"/>
            <w:vAlign w:val="bottom"/>
          </w:tcPr>
          <w:p>
            <w:pPr>
              <w:spacing w:after="0"/>
              <w:rPr>
                <w:sz w:val="20"/>
                <w:szCs w:val="20"/>
                <w:color w:val="auto"/>
              </w:rPr>
            </w:pPr>
            <w:r>
              <w:rPr>
                <w:rFonts w:ascii="Arial" w:cs="Arial" w:eastAsia="Arial" w:hAnsi="Arial"/>
                <w:sz w:val="18"/>
                <w:szCs w:val="18"/>
                <w:color w:val="auto"/>
              </w:rPr>
              <w:t>Chief Financial Officer – Mittleman Brothers, LLC</w:t>
            </w:r>
          </w:p>
        </w:tc>
      </w:tr>
      <w:tr>
        <w:trPr>
          <w:trHeight w:val="432"/>
        </w:trPr>
        <w:tc>
          <w:tcPr>
            <w:tcW w:w="4120" w:type="dxa"/>
            <w:vAlign w:val="bottom"/>
          </w:tcPr>
          <w:p>
            <w:pPr>
              <w:ind w:left="680"/>
              <w:spacing w:after="0"/>
              <w:rPr>
                <w:sz w:val="20"/>
                <w:szCs w:val="20"/>
                <w:color w:val="auto"/>
              </w:rPr>
            </w:pPr>
            <w:r>
              <w:rPr>
                <w:rFonts w:ascii="Arial" w:cs="Arial" w:eastAsia="Arial" w:hAnsi="Arial"/>
                <w:sz w:val="18"/>
                <w:szCs w:val="18"/>
                <w:color w:val="auto"/>
              </w:rPr>
              <w:t>Aaron J. Feingold, M.D.</w:t>
            </w:r>
          </w:p>
        </w:tc>
        <w:tc>
          <w:tcPr>
            <w:tcW w:w="4640" w:type="dxa"/>
            <w:vAlign w:val="bottom"/>
          </w:tcPr>
          <w:p>
            <w:pPr>
              <w:spacing w:after="0"/>
              <w:rPr>
                <w:sz w:val="20"/>
                <w:szCs w:val="20"/>
                <w:color w:val="auto"/>
              </w:rPr>
            </w:pPr>
            <w:r>
              <w:rPr>
                <w:rFonts w:ascii="Arial" w:cs="Arial" w:eastAsia="Arial" w:hAnsi="Arial"/>
                <w:sz w:val="18"/>
                <w:szCs w:val="18"/>
                <w:color w:val="auto"/>
              </w:rPr>
              <w:t>President and Founder – Raritan Bay Cardiology Group</w:t>
            </w:r>
          </w:p>
        </w:tc>
      </w:tr>
      <w:tr>
        <w:trPr>
          <w:trHeight w:val="432"/>
        </w:trPr>
        <w:tc>
          <w:tcPr>
            <w:tcW w:w="4120" w:type="dxa"/>
            <w:vAlign w:val="bottom"/>
          </w:tcPr>
          <w:p>
            <w:pPr>
              <w:ind w:left="680"/>
              <w:spacing w:after="0"/>
              <w:rPr>
                <w:sz w:val="20"/>
                <w:szCs w:val="20"/>
                <w:color w:val="auto"/>
              </w:rPr>
            </w:pPr>
            <w:r>
              <w:rPr>
                <w:rFonts w:ascii="Arial" w:cs="Arial" w:eastAsia="Arial" w:hAnsi="Arial"/>
                <w:sz w:val="18"/>
                <w:szCs w:val="18"/>
                <w:color w:val="auto"/>
              </w:rPr>
              <w:t>Nicholas F. Galluccio</w:t>
            </w:r>
          </w:p>
        </w:tc>
        <w:tc>
          <w:tcPr>
            <w:tcW w:w="464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432"/>
        </w:trPr>
        <w:tc>
          <w:tcPr>
            <w:tcW w:w="4120" w:type="dxa"/>
            <w:vAlign w:val="bottom"/>
          </w:tcPr>
          <w:p>
            <w:pPr>
              <w:ind w:left="680"/>
              <w:spacing w:after="0"/>
              <w:rPr>
                <w:sz w:val="20"/>
                <w:szCs w:val="20"/>
                <w:color w:val="auto"/>
              </w:rPr>
            </w:pPr>
            <w:r>
              <w:rPr>
                <w:rFonts w:ascii="Arial" w:cs="Arial" w:eastAsia="Arial" w:hAnsi="Arial"/>
                <w:sz w:val="18"/>
                <w:szCs w:val="18"/>
                <w:color w:val="auto"/>
              </w:rPr>
              <w:t>Kevin M. Keeley</w:t>
            </w:r>
          </w:p>
        </w:tc>
        <w:tc>
          <w:tcPr>
            <w:tcW w:w="4640" w:type="dxa"/>
            <w:vAlign w:val="bottom"/>
          </w:tcPr>
          <w:p>
            <w:pPr>
              <w:spacing w:after="0"/>
              <w:rPr>
                <w:sz w:val="20"/>
                <w:szCs w:val="20"/>
                <w:color w:val="auto"/>
              </w:rPr>
            </w:pPr>
            <w:r>
              <w:rPr>
                <w:rFonts w:ascii="Arial" w:cs="Arial" w:eastAsia="Arial" w:hAnsi="Arial"/>
                <w:sz w:val="18"/>
                <w:szCs w:val="18"/>
                <w:color w:val="auto"/>
                <w:w w:val="91"/>
              </w:rPr>
              <w:t>President &amp; Executive Chairman – Keeley Teton Advisors, LLC</w:t>
            </w:r>
          </w:p>
        </w:tc>
      </w:tr>
      <w:tr>
        <w:trPr>
          <w:trHeight w:val="432"/>
        </w:trPr>
        <w:tc>
          <w:tcPr>
            <w:tcW w:w="4120" w:type="dxa"/>
            <w:vAlign w:val="bottom"/>
          </w:tcPr>
          <w:p>
            <w:pPr>
              <w:ind w:left="680"/>
              <w:spacing w:after="0"/>
              <w:rPr>
                <w:sz w:val="20"/>
                <w:szCs w:val="20"/>
                <w:color w:val="auto"/>
              </w:rPr>
            </w:pPr>
            <w:r>
              <w:rPr>
                <w:rFonts w:ascii="Arial" w:cs="Arial" w:eastAsia="Arial" w:hAnsi="Arial"/>
                <w:sz w:val="18"/>
                <w:szCs w:val="18"/>
                <w:color w:val="auto"/>
              </w:rPr>
              <w:t>John M. Tesoro, CPA</w:t>
            </w:r>
          </w:p>
        </w:tc>
        <w:tc>
          <w:tcPr>
            <w:tcW w:w="4640" w:type="dxa"/>
            <w:vAlign w:val="bottom"/>
          </w:tcPr>
          <w:p>
            <w:pPr>
              <w:spacing w:after="0"/>
              <w:rPr>
                <w:sz w:val="20"/>
                <w:szCs w:val="20"/>
                <w:color w:val="auto"/>
              </w:rPr>
            </w:pPr>
            <w:r>
              <w:rPr>
                <w:rFonts w:ascii="Arial" w:cs="Arial" w:eastAsia="Arial" w:hAnsi="Arial"/>
                <w:sz w:val="18"/>
                <w:szCs w:val="18"/>
                <w:color w:val="auto"/>
              </w:rPr>
              <w:t>Retired Partner – KPMG LLP</w:t>
            </w:r>
          </w:p>
        </w:tc>
      </w:tr>
      <w:tr>
        <w:trPr>
          <w:trHeight w:val="648"/>
        </w:trPr>
        <w:tc>
          <w:tcPr>
            <w:tcW w:w="4120" w:type="dxa"/>
            <w:vAlign w:val="bottom"/>
          </w:tcPr>
          <w:p>
            <w:pPr>
              <w:spacing w:after="0"/>
              <w:rPr>
                <w:sz w:val="20"/>
                <w:szCs w:val="20"/>
                <w:color w:val="auto"/>
              </w:rPr>
            </w:pPr>
            <w:r>
              <w:rPr>
                <w:rFonts w:ascii="Arial" w:cs="Arial" w:eastAsia="Arial" w:hAnsi="Arial"/>
                <w:sz w:val="18"/>
                <w:szCs w:val="18"/>
                <w:color w:val="auto"/>
              </w:rPr>
              <w:t>Officers:</w:t>
            </w:r>
          </w:p>
        </w:tc>
        <w:tc>
          <w:tcPr>
            <w:tcW w:w="4640" w:type="dxa"/>
            <w:vAlign w:val="bottom"/>
          </w:tcPr>
          <w:p>
            <w:pPr>
              <w:spacing w:after="0"/>
              <w:rPr>
                <w:sz w:val="24"/>
                <w:szCs w:val="24"/>
                <w:color w:val="auto"/>
              </w:rPr>
            </w:pPr>
          </w:p>
        </w:tc>
      </w:tr>
      <w:tr>
        <w:trPr>
          <w:trHeight w:val="432"/>
        </w:trPr>
        <w:tc>
          <w:tcPr>
            <w:tcW w:w="4120" w:type="dxa"/>
            <w:vAlign w:val="bottom"/>
          </w:tcPr>
          <w:p>
            <w:pPr>
              <w:ind w:left="680"/>
              <w:spacing w:after="0"/>
              <w:rPr>
                <w:sz w:val="20"/>
                <w:szCs w:val="20"/>
                <w:color w:val="auto"/>
              </w:rPr>
            </w:pPr>
            <w:r>
              <w:rPr>
                <w:rFonts w:ascii="Arial" w:cs="Arial" w:eastAsia="Arial" w:hAnsi="Arial"/>
                <w:sz w:val="18"/>
                <w:szCs w:val="18"/>
                <w:color w:val="auto"/>
              </w:rPr>
              <w:t>Nicholas F. Galluccio</w:t>
            </w:r>
          </w:p>
        </w:tc>
        <w:tc>
          <w:tcPr>
            <w:tcW w:w="4640" w:type="dxa"/>
            <w:vAlign w:val="bottom"/>
          </w:tcPr>
          <w:p>
            <w:pPr>
              <w:spacing w:after="0"/>
              <w:rPr>
                <w:sz w:val="20"/>
                <w:szCs w:val="20"/>
                <w:color w:val="auto"/>
              </w:rPr>
            </w:pPr>
            <w:r>
              <w:rPr>
                <w:rFonts w:ascii="Arial" w:cs="Arial" w:eastAsia="Arial" w:hAnsi="Arial"/>
                <w:sz w:val="18"/>
                <w:szCs w:val="18"/>
                <w:color w:val="auto"/>
              </w:rPr>
              <w:t>See above</w:t>
            </w:r>
          </w:p>
        </w:tc>
      </w:tr>
      <w:tr>
        <w:trPr>
          <w:trHeight w:val="432"/>
        </w:trPr>
        <w:tc>
          <w:tcPr>
            <w:tcW w:w="4120" w:type="dxa"/>
            <w:vAlign w:val="bottom"/>
          </w:tcPr>
          <w:p>
            <w:pPr>
              <w:ind w:left="680"/>
              <w:spacing w:after="0"/>
              <w:rPr>
                <w:sz w:val="20"/>
                <w:szCs w:val="20"/>
                <w:color w:val="auto"/>
              </w:rPr>
            </w:pPr>
            <w:r>
              <w:rPr>
                <w:rFonts w:ascii="Arial" w:cs="Arial" w:eastAsia="Arial" w:hAnsi="Arial"/>
                <w:sz w:val="18"/>
                <w:szCs w:val="18"/>
                <w:color w:val="auto"/>
              </w:rPr>
              <w:t>Patrick B. Huvane, CPA, CFA</w:t>
            </w:r>
          </w:p>
        </w:tc>
        <w:tc>
          <w:tcPr>
            <w:tcW w:w="46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4120" w:type="dxa"/>
            <w:vAlign w:val="bottom"/>
          </w:tcPr>
          <w:p>
            <w:pPr>
              <w:ind w:left="680"/>
              <w:spacing w:after="0"/>
              <w:rPr>
                <w:sz w:val="20"/>
                <w:szCs w:val="20"/>
                <w:color w:val="auto"/>
              </w:rPr>
            </w:pPr>
            <w:r>
              <w:rPr>
                <w:rFonts w:ascii="Arial" w:cs="Arial" w:eastAsia="Arial" w:hAnsi="Arial"/>
                <w:sz w:val="18"/>
                <w:szCs w:val="18"/>
                <w:color w:val="auto"/>
              </w:rPr>
              <w:t>Deanna B. Marotz</w:t>
            </w:r>
          </w:p>
        </w:tc>
        <w:tc>
          <w:tcPr>
            <w:tcW w:w="4640" w:type="dxa"/>
            <w:vAlign w:val="bottom"/>
          </w:tcPr>
          <w:p>
            <w:pPr>
              <w:spacing w:after="0"/>
              <w:rPr>
                <w:sz w:val="20"/>
                <w:szCs w:val="20"/>
                <w:color w:val="auto"/>
              </w:rPr>
            </w:pPr>
            <w:r>
              <w:rPr>
                <w:rFonts w:ascii="Arial" w:cs="Arial" w:eastAsia="Arial" w:hAnsi="Arial"/>
                <w:sz w:val="18"/>
                <w:szCs w:val="18"/>
                <w:color w:val="auto"/>
              </w:rPr>
              <w:t>Chief Compliance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071" w:right="1440"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Associated Capital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96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rPr>
              <w:t>Mario J. Gabelli</w:t>
            </w:r>
          </w:p>
        </w:tc>
        <w:tc>
          <w:tcPr>
            <w:tcW w:w="160" w:type="dxa"/>
            <w:vAlign w:val="bottom"/>
            <w:tcBorders>
              <w:top w:val="single" w:sz="8" w:color="auto"/>
            </w:tcBorders>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Chief Executive Officer and Chief Investment Officer of GGCP, Inc.</w:t>
            </w:r>
          </w:p>
        </w:tc>
      </w:tr>
      <w:tr>
        <w:trPr>
          <w:trHeight w:val="216"/>
        </w:trPr>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Chairman &amp; Chief Executive Officer of GAMCO Investors, Inc.</w:t>
            </w:r>
          </w:p>
        </w:tc>
      </w:tr>
      <w:tr>
        <w:trPr>
          <w:trHeight w:val="216"/>
        </w:trPr>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Executive Chairman of Associated Capital Group, Inc.</w:t>
            </w:r>
          </w:p>
        </w:tc>
      </w:tr>
      <w:tr>
        <w:trPr>
          <w:trHeight w:val="230"/>
        </w:trPr>
        <w:tc>
          <w:tcPr>
            <w:tcW w:w="3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w w:val="91"/>
              </w:rPr>
              <w:t>Director/Trustee of all registered investment companies advised by Gabelli Funds, LLC.</w:t>
            </w:r>
          </w:p>
        </w:tc>
      </w:tr>
      <w:tr>
        <w:trPr>
          <w:trHeight w:val="648"/>
        </w:trPr>
        <w:tc>
          <w:tcPr>
            <w:tcW w:w="3960" w:type="dxa"/>
            <w:vAlign w:val="bottom"/>
          </w:tcPr>
          <w:p>
            <w:pPr>
              <w:ind w:left="640"/>
              <w:spacing w:after="0"/>
              <w:rPr>
                <w:sz w:val="20"/>
                <w:szCs w:val="20"/>
                <w:color w:val="auto"/>
              </w:rPr>
            </w:pPr>
            <w:r>
              <w:rPr>
                <w:rFonts w:ascii="Arial" w:cs="Arial" w:eastAsia="Arial" w:hAnsi="Arial"/>
                <w:sz w:val="18"/>
                <w:szCs w:val="18"/>
                <w:color w:val="auto"/>
              </w:rPr>
              <w:t>Marc Gabelli</w:t>
            </w: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President – GGCP, Inc.</w:t>
            </w:r>
          </w:p>
        </w:tc>
      </w:tr>
      <w:tr>
        <w:trPr>
          <w:trHeight w:val="432"/>
        </w:trPr>
        <w:tc>
          <w:tcPr>
            <w:tcW w:w="3960" w:type="dxa"/>
            <w:vAlign w:val="bottom"/>
          </w:tcPr>
          <w:p>
            <w:pPr>
              <w:ind w:left="640"/>
              <w:spacing w:after="0"/>
              <w:rPr>
                <w:sz w:val="20"/>
                <w:szCs w:val="20"/>
                <w:color w:val="auto"/>
              </w:rPr>
            </w:pPr>
            <w:r>
              <w:rPr>
                <w:rFonts w:ascii="Arial" w:cs="Arial" w:eastAsia="Arial" w:hAnsi="Arial"/>
                <w:sz w:val="18"/>
                <w:szCs w:val="18"/>
                <w:color w:val="auto"/>
              </w:rPr>
              <w:t>Douglas R. Jamieson</w:t>
            </w: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960" w:type="dxa"/>
            <w:vAlign w:val="bottom"/>
          </w:tcPr>
          <w:p>
            <w:pPr>
              <w:ind w:left="640"/>
              <w:spacing w:after="0"/>
              <w:rPr>
                <w:sz w:val="20"/>
                <w:szCs w:val="20"/>
                <w:color w:val="auto"/>
              </w:rPr>
            </w:pPr>
            <w:r>
              <w:rPr>
                <w:rFonts w:ascii="Arial" w:cs="Arial" w:eastAsia="Arial" w:hAnsi="Arial"/>
                <w:sz w:val="18"/>
                <w:szCs w:val="18"/>
                <w:color w:val="auto"/>
              </w:rPr>
              <w:t>Bruce Lisman</w:t>
            </w: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Former Chairman - JP Morgan – Global Equity Division</w:t>
            </w:r>
          </w:p>
        </w:tc>
      </w:tr>
      <w:tr>
        <w:trPr>
          <w:trHeight w:val="634"/>
        </w:trPr>
        <w:tc>
          <w:tcPr>
            <w:tcW w:w="3960" w:type="dxa"/>
            <w:vAlign w:val="bottom"/>
          </w:tcPr>
          <w:p>
            <w:pPr>
              <w:ind w:left="660"/>
              <w:spacing w:after="0"/>
              <w:rPr>
                <w:sz w:val="20"/>
                <w:szCs w:val="20"/>
                <w:color w:val="auto"/>
              </w:rPr>
            </w:pPr>
            <w:r>
              <w:rPr>
                <w:rFonts w:ascii="Arial" w:cs="Arial" w:eastAsia="Arial" w:hAnsi="Arial"/>
                <w:sz w:val="18"/>
                <w:szCs w:val="18"/>
                <w:color w:val="auto"/>
              </w:rPr>
              <w:t>Daniel R. Lee</w:t>
            </w: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Full House Resorts, Inc.</w:t>
            </w:r>
          </w:p>
        </w:tc>
      </w:tr>
      <w:tr>
        <w:trPr>
          <w:trHeight w:val="216"/>
        </w:trPr>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4670 South Ford Apache Road, Suite 190</w:t>
            </w:r>
          </w:p>
        </w:tc>
      </w:tr>
      <w:tr>
        <w:trPr>
          <w:trHeight w:val="230"/>
        </w:trPr>
        <w:tc>
          <w:tcPr>
            <w:tcW w:w="3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Las Vegas, NV 89147</w:t>
            </w:r>
          </w:p>
        </w:tc>
      </w:tr>
      <w:tr>
        <w:trPr>
          <w:trHeight w:val="432"/>
        </w:trPr>
        <w:tc>
          <w:tcPr>
            <w:tcW w:w="3960" w:type="dxa"/>
            <w:vAlign w:val="bottom"/>
          </w:tcPr>
          <w:p>
            <w:pPr>
              <w:ind w:left="640"/>
              <w:spacing w:after="0"/>
              <w:rPr>
                <w:sz w:val="20"/>
                <w:szCs w:val="20"/>
                <w:color w:val="auto"/>
              </w:rPr>
            </w:pPr>
            <w:r>
              <w:rPr>
                <w:rFonts w:ascii="Arial" w:cs="Arial" w:eastAsia="Arial" w:hAnsi="Arial"/>
                <w:sz w:val="18"/>
                <w:szCs w:val="18"/>
                <w:color w:val="auto"/>
              </w:rPr>
              <w:t>Salvatore F. Sodano</w:t>
            </w: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Vice Chairman – Broadridge Financial Solutions</w:t>
            </w:r>
          </w:p>
        </w:tc>
      </w:tr>
      <w:tr>
        <w:trPr>
          <w:trHeight w:val="648"/>
        </w:trPr>
        <w:tc>
          <w:tcPr>
            <w:tcW w:w="3960" w:type="dxa"/>
            <w:vAlign w:val="bottom"/>
          </w:tcPr>
          <w:p>
            <w:pPr>
              <w:ind w:left="640"/>
              <w:spacing w:after="0"/>
              <w:rPr>
                <w:sz w:val="20"/>
                <w:szCs w:val="20"/>
                <w:color w:val="auto"/>
              </w:rPr>
            </w:pPr>
            <w:r>
              <w:rPr>
                <w:rFonts w:ascii="Arial" w:cs="Arial" w:eastAsia="Arial" w:hAnsi="Arial"/>
                <w:sz w:val="18"/>
                <w:szCs w:val="18"/>
                <w:color w:val="auto"/>
              </w:rPr>
              <w:t>Frederic V. Salerno</w:t>
            </w: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See above</w:t>
            </w:r>
          </w:p>
        </w:tc>
      </w:tr>
      <w:tr>
        <w:trPr>
          <w:trHeight w:val="648"/>
        </w:trPr>
        <w:tc>
          <w:tcPr>
            <w:tcW w:w="3960" w:type="dxa"/>
            <w:vAlign w:val="bottom"/>
          </w:tcPr>
          <w:p>
            <w:pPr>
              <w:ind w:left="640"/>
              <w:spacing w:after="0"/>
              <w:rPr>
                <w:sz w:val="20"/>
                <w:szCs w:val="20"/>
                <w:color w:val="auto"/>
              </w:rPr>
            </w:pPr>
            <w:r>
              <w:rPr>
                <w:rFonts w:ascii="Arial" w:cs="Arial" w:eastAsia="Arial" w:hAnsi="Arial"/>
                <w:sz w:val="18"/>
                <w:szCs w:val="18"/>
                <w:color w:val="auto"/>
              </w:rPr>
              <w:t>Elisa M. Wilson</w:t>
            </w: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Director</w:t>
            </w:r>
          </w:p>
        </w:tc>
      </w:tr>
      <w:tr>
        <w:trPr>
          <w:trHeight w:val="418"/>
        </w:trPr>
        <w:tc>
          <w:tcPr>
            <w:tcW w:w="3960" w:type="dxa"/>
            <w:vAlign w:val="bottom"/>
          </w:tcPr>
          <w:p>
            <w:pPr>
              <w:spacing w:after="0"/>
              <w:rPr>
                <w:sz w:val="20"/>
                <w:szCs w:val="20"/>
                <w:color w:val="auto"/>
              </w:rPr>
            </w:pPr>
            <w:r>
              <w:rPr>
                <w:rFonts w:ascii="Arial" w:cs="Arial" w:eastAsia="Arial" w:hAnsi="Arial"/>
                <w:sz w:val="18"/>
                <w:szCs w:val="18"/>
                <w:color w:val="auto"/>
              </w:rPr>
              <w:t>Officers:</w:t>
            </w:r>
          </w:p>
        </w:tc>
        <w:tc>
          <w:tcPr>
            <w:tcW w:w="16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230"/>
        </w:trPr>
        <w:tc>
          <w:tcPr>
            <w:tcW w:w="3960" w:type="dxa"/>
            <w:vAlign w:val="bottom"/>
          </w:tcPr>
          <w:p>
            <w:pPr>
              <w:ind w:left="660"/>
              <w:spacing w:after="0"/>
              <w:rPr>
                <w:sz w:val="20"/>
                <w:szCs w:val="20"/>
                <w:color w:val="auto"/>
              </w:rPr>
            </w:pPr>
            <w:r>
              <w:rPr>
                <w:rFonts w:ascii="Arial" w:cs="Arial" w:eastAsia="Arial" w:hAnsi="Arial"/>
                <w:sz w:val="18"/>
                <w:szCs w:val="18"/>
                <w:color w:val="auto"/>
              </w:rPr>
              <w:t>Mario J. Gabelli</w:t>
            </w:r>
          </w:p>
        </w:tc>
        <w:tc>
          <w:tcPr>
            <w:tcW w:w="16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Executive Chairman</w:t>
            </w: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Douglas R. Jamieson</w:t>
            </w: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Kenneth D. Masiello</w:t>
            </w: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Chief Accounting Officer</w:t>
            </w: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Kevin Handwerker</w:t>
            </w: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David Fitzgerald</w:t>
            </w: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Assistant Secretary</w:t>
            </w:r>
          </w:p>
        </w:tc>
      </w:tr>
      <w:tr>
        <w:trPr>
          <w:trHeight w:val="655"/>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Gabelli &amp; Company Investment Advisers, Inc.</w:t>
            </w:r>
          </w:p>
        </w:tc>
        <w:tc>
          <w:tcPr>
            <w:tcW w:w="160" w:type="dxa"/>
            <w:vAlign w:val="bottom"/>
            <w:tcBorders>
              <w:bottom w:val="single" w:sz="8" w:color="auto"/>
            </w:tcBorders>
          </w:tcPr>
          <w:p>
            <w:pPr>
              <w:spacing w:after="0"/>
              <w:rPr>
                <w:sz w:val="24"/>
                <w:szCs w:val="24"/>
                <w:color w:val="auto"/>
              </w:rPr>
            </w:pPr>
          </w:p>
        </w:tc>
        <w:tc>
          <w:tcPr>
            <w:tcW w:w="6360" w:type="dxa"/>
            <w:vAlign w:val="bottom"/>
          </w:tcPr>
          <w:p>
            <w:pPr>
              <w:spacing w:after="0"/>
              <w:rPr>
                <w:sz w:val="24"/>
                <w:szCs w:val="24"/>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Directors:</w:t>
            </w:r>
          </w:p>
        </w:tc>
        <w:tc>
          <w:tcPr>
            <w:tcW w:w="160" w:type="dxa"/>
            <w:vAlign w:val="bottom"/>
          </w:tcPr>
          <w:p>
            <w:pPr>
              <w:spacing w:after="0"/>
              <w:rPr>
                <w:sz w:val="20"/>
                <w:szCs w:val="20"/>
                <w:color w:val="auto"/>
              </w:rPr>
            </w:pPr>
          </w:p>
        </w:tc>
        <w:tc>
          <w:tcPr>
            <w:tcW w:w="6360" w:type="dxa"/>
            <w:vAlign w:val="bottom"/>
          </w:tcPr>
          <w:p>
            <w:pPr>
              <w:spacing w:after="0"/>
              <w:rPr>
                <w:sz w:val="20"/>
                <w:szCs w:val="20"/>
                <w:color w:val="auto"/>
              </w:rPr>
            </w:pPr>
          </w:p>
        </w:tc>
      </w:tr>
      <w:tr>
        <w:trPr>
          <w:trHeight w:val="418"/>
        </w:trPr>
        <w:tc>
          <w:tcPr>
            <w:tcW w:w="3960" w:type="dxa"/>
            <w:vAlign w:val="bottom"/>
          </w:tcPr>
          <w:p>
            <w:pPr>
              <w:ind w:left="640"/>
              <w:spacing w:after="0"/>
              <w:rPr>
                <w:sz w:val="20"/>
                <w:szCs w:val="20"/>
                <w:color w:val="auto"/>
              </w:rPr>
            </w:pPr>
            <w:r>
              <w:rPr>
                <w:rFonts w:ascii="Arial" w:cs="Arial" w:eastAsia="Arial" w:hAnsi="Arial"/>
                <w:sz w:val="18"/>
                <w:szCs w:val="18"/>
                <w:color w:val="auto"/>
              </w:rPr>
              <w:t>Douglas R. Jamieson</w:t>
            </w:r>
          </w:p>
        </w:tc>
        <w:tc>
          <w:tcPr>
            <w:tcW w:w="16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661"/>
        </w:trPr>
        <w:tc>
          <w:tcPr>
            <w:tcW w:w="3960" w:type="dxa"/>
            <w:vAlign w:val="bottom"/>
          </w:tcPr>
          <w:p>
            <w:pPr>
              <w:spacing w:after="0"/>
              <w:rPr>
                <w:sz w:val="20"/>
                <w:szCs w:val="20"/>
                <w:color w:val="auto"/>
              </w:rPr>
            </w:pPr>
            <w:r>
              <w:rPr>
                <w:rFonts w:ascii="Arial" w:cs="Arial" w:eastAsia="Arial" w:hAnsi="Arial"/>
                <w:sz w:val="18"/>
                <w:szCs w:val="18"/>
                <w:color w:val="auto"/>
              </w:rPr>
              <w:t>Officers:</w:t>
            </w:r>
          </w:p>
        </w:tc>
        <w:tc>
          <w:tcPr>
            <w:tcW w:w="16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230"/>
        </w:trPr>
        <w:tc>
          <w:tcPr>
            <w:tcW w:w="3960" w:type="dxa"/>
            <w:vAlign w:val="bottom"/>
          </w:tcPr>
          <w:p>
            <w:pPr>
              <w:ind w:left="640"/>
              <w:spacing w:after="0"/>
              <w:rPr>
                <w:sz w:val="20"/>
                <w:szCs w:val="20"/>
                <w:color w:val="auto"/>
              </w:rPr>
            </w:pPr>
            <w:r>
              <w:rPr>
                <w:rFonts w:ascii="Arial" w:cs="Arial" w:eastAsia="Arial" w:hAnsi="Arial"/>
                <w:sz w:val="18"/>
                <w:szCs w:val="18"/>
                <w:color w:val="auto"/>
              </w:rPr>
              <w:t>Douglas R. Jamieson</w:t>
            </w:r>
          </w:p>
        </w:tc>
        <w:tc>
          <w:tcPr>
            <w:tcW w:w="6520" w:type="dxa"/>
            <w:vAlign w:val="bottom"/>
            <w:gridSpan w:val="2"/>
          </w:tcPr>
          <w:p>
            <w:pPr>
              <w:spacing w:after="0"/>
              <w:rPr>
                <w:sz w:val="20"/>
                <w:szCs w:val="20"/>
                <w:color w:val="auto"/>
              </w:rPr>
            </w:pPr>
            <w:r>
              <w:rPr>
                <w:rFonts w:ascii="Arial" w:cs="Arial" w:eastAsia="Arial" w:hAnsi="Arial"/>
                <w:sz w:val="18"/>
                <w:szCs w:val="18"/>
                <w:color w:val="auto"/>
              </w:rPr>
              <w:t>Chief Executive Officer and President</w:t>
            </w:r>
          </w:p>
        </w:tc>
      </w:tr>
      <w:tr>
        <w:trPr>
          <w:trHeight w:val="432"/>
        </w:trPr>
        <w:tc>
          <w:tcPr>
            <w:tcW w:w="3960" w:type="dxa"/>
            <w:vAlign w:val="bottom"/>
          </w:tcPr>
          <w:p>
            <w:pPr>
              <w:ind w:left="640"/>
              <w:spacing w:after="0"/>
              <w:rPr>
                <w:sz w:val="20"/>
                <w:szCs w:val="20"/>
                <w:color w:val="auto"/>
              </w:rPr>
            </w:pPr>
            <w:r>
              <w:rPr>
                <w:rFonts w:ascii="Arial" w:cs="Arial" w:eastAsia="Arial" w:hAnsi="Arial"/>
                <w:sz w:val="18"/>
                <w:szCs w:val="18"/>
                <w:color w:val="auto"/>
              </w:rPr>
              <w:t>John Givissis</w:t>
            </w:r>
          </w:p>
        </w:tc>
        <w:tc>
          <w:tcPr>
            <w:tcW w:w="6520" w:type="dxa"/>
            <w:vAlign w:val="bottom"/>
            <w:gridSpan w:val="2"/>
          </w:tcPr>
          <w:p>
            <w:pPr>
              <w:spacing w:after="0"/>
              <w:rPr>
                <w:sz w:val="20"/>
                <w:szCs w:val="20"/>
                <w:color w:val="auto"/>
              </w:rPr>
            </w:pPr>
            <w:r>
              <w:rPr>
                <w:rFonts w:ascii="Arial" w:cs="Arial" w:eastAsia="Arial" w:hAnsi="Arial"/>
                <w:sz w:val="18"/>
                <w:szCs w:val="18"/>
                <w:color w:val="auto"/>
              </w:rPr>
              <w:t>Controller</w:t>
            </w:r>
          </w:p>
        </w:tc>
      </w:tr>
      <w:tr>
        <w:trPr>
          <w:trHeight w:val="432"/>
        </w:trPr>
        <w:tc>
          <w:tcPr>
            <w:tcW w:w="3960" w:type="dxa"/>
            <w:vAlign w:val="bottom"/>
          </w:tcPr>
          <w:p>
            <w:pPr>
              <w:ind w:left="660"/>
              <w:spacing w:after="0"/>
              <w:rPr>
                <w:sz w:val="20"/>
                <w:szCs w:val="20"/>
                <w:color w:val="auto"/>
              </w:rPr>
            </w:pPr>
            <w:r>
              <w:rPr>
                <w:rFonts w:ascii="Arial" w:cs="Arial" w:eastAsia="Arial" w:hAnsi="Arial"/>
                <w:sz w:val="18"/>
                <w:szCs w:val="18"/>
                <w:color w:val="auto"/>
              </w:rPr>
              <w:t>Kevin Handwerker</w:t>
            </w:r>
          </w:p>
        </w:tc>
        <w:tc>
          <w:tcPr>
            <w:tcW w:w="6520" w:type="dxa"/>
            <w:vAlign w:val="bottom"/>
            <w:gridSpan w:val="2"/>
          </w:tcPr>
          <w:p>
            <w:pPr>
              <w:spacing w:after="0"/>
              <w:rPr>
                <w:sz w:val="20"/>
                <w:szCs w:val="20"/>
                <w:color w:val="auto"/>
              </w:rPr>
            </w:pPr>
            <w:r>
              <w:rPr>
                <w:rFonts w:ascii="Arial" w:cs="Arial" w:eastAsia="Arial" w:hAnsi="Arial"/>
                <w:sz w:val="18"/>
                <w:szCs w:val="18"/>
                <w:color w:val="auto"/>
              </w:rPr>
              <w:t>Secretary</w:t>
            </w:r>
          </w:p>
        </w:tc>
      </w:tr>
      <w:tr>
        <w:trPr>
          <w:trHeight w:val="432"/>
        </w:trPr>
        <w:tc>
          <w:tcPr>
            <w:tcW w:w="3960" w:type="dxa"/>
            <w:vAlign w:val="bottom"/>
          </w:tcPr>
          <w:p>
            <w:pPr>
              <w:ind w:left="660"/>
              <w:spacing w:after="0"/>
              <w:rPr>
                <w:sz w:val="20"/>
                <w:szCs w:val="20"/>
                <w:color w:val="auto"/>
              </w:rPr>
            </w:pPr>
            <w:r>
              <w:rPr>
                <w:rFonts w:ascii="Arial" w:cs="Arial" w:eastAsia="Arial" w:hAnsi="Arial"/>
                <w:sz w:val="18"/>
                <w:szCs w:val="18"/>
                <w:color w:val="auto"/>
              </w:rPr>
              <w:t>David Fitzgerald</w:t>
            </w:r>
          </w:p>
        </w:tc>
        <w:tc>
          <w:tcPr>
            <w:tcW w:w="6520" w:type="dxa"/>
            <w:vAlign w:val="bottom"/>
            <w:gridSpan w:val="2"/>
          </w:tcPr>
          <w:p>
            <w:pPr>
              <w:spacing w:after="0"/>
              <w:rPr>
                <w:sz w:val="20"/>
                <w:szCs w:val="20"/>
                <w:color w:val="auto"/>
              </w:rPr>
            </w:pPr>
            <w:r>
              <w:rPr>
                <w:rFonts w:ascii="Arial" w:cs="Arial" w:eastAsia="Arial" w:hAnsi="Arial"/>
                <w:sz w:val="18"/>
                <w:szCs w:val="18"/>
                <w:color w:val="auto"/>
              </w:rPr>
              <w:t>Assistant Secretary</w:t>
            </w:r>
          </w:p>
        </w:tc>
      </w:tr>
      <w:tr>
        <w:trPr>
          <w:trHeight w:val="439"/>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G.research, LLC</w:t>
            </w:r>
          </w:p>
        </w:tc>
        <w:tc>
          <w:tcPr>
            <w:tcW w:w="16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418"/>
        </w:trPr>
        <w:tc>
          <w:tcPr>
            <w:tcW w:w="3960" w:type="dxa"/>
            <w:vAlign w:val="bottom"/>
          </w:tcPr>
          <w:p>
            <w:pPr>
              <w:spacing w:after="0"/>
              <w:rPr>
                <w:sz w:val="20"/>
                <w:szCs w:val="20"/>
                <w:color w:val="auto"/>
              </w:rPr>
            </w:pPr>
            <w:r>
              <w:rPr>
                <w:rFonts w:ascii="Arial" w:cs="Arial" w:eastAsia="Arial" w:hAnsi="Arial"/>
                <w:sz w:val="18"/>
                <w:szCs w:val="18"/>
                <w:color w:val="auto"/>
              </w:rPr>
              <w:t>Officers:</w:t>
            </w:r>
          </w:p>
        </w:tc>
        <w:tc>
          <w:tcPr>
            <w:tcW w:w="16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230"/>
        </w:trPr>
        <w:tc>
          <w:tcPr>
            <w:tcW w:w="3960" w:type="dxa"/>
            <w:vAlign w:val="bottom"/>
          </w:tcPr>
          <w:p>
            <w:pPr>
              <w:ind w:left="680"/>
              <w:spacing w:after="0"/>
              <w:rPr>
                <w:sz w:val="20"/>
                <w:szCs w:val="20"/>
                <w:color w:val="auto"/>
              </w:rPr>
            </w:pPr>
            <w:r>
              <w:rPr>
                <w:rFonts w:ascii="Arial" w:cs="Arial" w:eastAsia="Arial" w:hAnsi="Arial"/>
                <w:sz w:val="18"/>
                <w:szCs w:val="18"/>
                <w:color w:val="auto"/>
              </w:rPr>
              <w:t>Cornelius V. McGinity</w:t>
            </w:r>
          </w:p>
        </w:tc>
        <w:tc>
          <w:tcPr>
            <w:tcW w:w="6520" w:type="dxa"/>
            <w:vAlign w:val="bottom"/>
            <w:gridSpan w:val="2"/>
          </w:tcPr>
          <w:p>
            <w:pPr>
              <w:spacing w:after="0"/>
              <w:rPr>
                <w:sz w:val="20"/>
                <w:szCs w:val="20"/>
                <w:color w:val="auto"/>
              </w:rPr>
            </w:pPr>
            <w:r>
              <w:rPr>
                <w:rFonts w:ascii="Arial" w:cs="Arial" w:eastAsia="Arial" w:hAnsi="Arial"/>
                <w:sz w:val="18"/>
                <w:szCs w:val="18"/>
                <w:color w:val="auto"/>
              </w:rPr>
              <w:t>Office of the Chairman</w:t>
            </w: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Vincent Amabile</w:t>
            </w:r>
          </w:p>
        </w:tc>
        <w:tc>
          <w:tcPr>
            <w:tcW w:w="6520" w:type="dxa"/>
            <w:vAlign w:val="bottom"/>
            <w:gridSpan w:val="2"/>
          </w:tcPr>
          <w:p>
            <w:pPr>
              <w:spacing w:after="0"/>
              <w:rPr>
                <w:sz w:val="20"/>
                <w:szCs w:val="20"/>
                <w:color w:val="auto"/>
              </w:rPr>
            </w:pPr>
            <w:r>
              <w:rPr>
                <w:rFonts w:ascii="Arial" w:cs="Arial" w:eastAsia="Arial" w:hAnsi="Arial"/>
                <w:sz w:val="18"/>
                <w:szCs w:val="18"/>
                <w:color w:val="auto"/>
              </w:rPr>
              <w:t>President</w:t>
            </w:r>
          </w:p>
        </w:tc>
      </w:tr>
      <w:tr>
        <w:trPr>
          <w:trHeight w:val="432"/>
        </w:trPr>
        <w:tc>
          <w:tcPr>
            <w:tcW w:w="3960" w:type="dxa"/>
            <w:vAlign w:val="bottom"/>
          </w:tcPr>
          <w:p>
            <w:pPr>
              <w:ind w:left="660"/>
              <w:spacing w:after="0"/>
              <w:rPr>
                <w:sz w:val="20"/>
                <w:szCs w:val="20"/>
                <w:color w:val="auto"/>
              </w:rPr>
            </w:pPr>
            <w:r>
              <w:rPr>
                <w:rFonts w:ascii="Arial" w:cs="Arial" w:eastAsia="Arial" w:hAnsi="Arial"/>
                <w:sz w:val="18"/>
                <w:szCs w:val="18"/>
                <w:color w:val="auto"/>
              </w:rPr>
              <w:t>Bruce N. Alpert</w:t>
            </w:r>
          </w:p>
        </w:tc>
        <w:tc>
          <w:tcPr>
            <w:tcW w:w="65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Douglas R. Jamieson</w:t>
            </w:r>
          </w:p>
        </w:tc>
        <w:tc>
          <w:tcPr>
            <w:tcW w:w="6520" w:type="dxa"/>
            <w:vAlign w:val="bottom"/>
            <w:gridSpan w:val="2"/>
          </w:tcPr>
          <w:p>
            <w:pPr>
              <w:spacing w:after="0"/>
              <w:rPr>
                <w:sz w:val="20"/>
                <w:szCs w:val="20"/>
                <w:color w:val="auto"/>
              </w:rPr>
            </w:pPr>
            <w:r>
              <w:rPr>
                <w:rFonts w:ascii="Arial" w:cs="Arial" w:eastAsia="Arial" w:hAnsi="Arial"/>
                <w:sz w:val="18"/>
                <w:szCs w:val="18"/>
                <w:color w:val="auto"/>
              </w:rPr>
              <w:t>Secretary</w:t>
            </w: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Kevin Handwerker</w:t>
            </w:r>
          </w:p>
        </w:tc>
        <w:tc>
          <w:tcPr>
            <w:tcW w:w="6520" w:type="dxa"/>
            <w:vAlign w:val="bottom"/>
            <w:gridSpan w:val="2"/>
          </w:tcPr>
          <w:p>
            <w:pPr>
              <w:spacing w:after="0"/>
              <w:rPr>
                <w:sz w:val="20"/>
                <w:szCs w:val="20"/>
                <w:color w:val="auto"/>
              </w:rPr>
            </w:pPr>
            <w:r>
              <w:rPr>
                <w:rFonts w:ascii="Arial" w:cs="Arial" w:eastAsia="Arial" w:hAnsi="Arial"/>
                <w:sz w:val="18"/>
                <w:szCs w:val="18"/>
                <w:color w:val="auto"/>
              </w:rPr>
              <w:t>Assistant Secretary</w:t>
            </w: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David Fitzgerald</w:t>
            </w:r>
          </w:p>
        </w:tc>
        <w:tc>
          <w:tcPr>
            <w:tcW w:w="6520" w:type="dxa"/>
            <w:vAlign w:val="bottom"/>
            <w:gridSpan w:val="2"/>
          </w:tcPr>
          <w:p>
            <w:pPr>
              <w:spacing w:after="0"/>
              <w:rPr>
                <w:sz w:val="20"/>
                <w:szCs w:val="20"/>
                <w:color w:val="auto"/>
              </w:rPr>
            </w:pPr>
            <w:r>
              <w:rPr>
                <w:rFonts w:ascii="Arial" w:cs="Arial" w:eastAsia="Arial" w:hAnsi="Arial"/>
                <w:sz w:val="18"/>
                <w:szCs w:val="18"/>
                <w:color w:val="auto"/>
              </w:rPr>
              <w:t>Assistant Secretary</w:t>
            </w: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David Goldman</w:t>
            </w:r>
          </w:p>
        </w:tc>
        <w:tc>
          <w:tcPr>
            <w:tcW w:w="6520" w:type="dxa"/>
            <w:vAlign w:val="bottom"/>
            <w:gridSpan w:val="2"/>
          </w:tcPr>
          <w:p>
            <w:pPr>
              <w:spacing w:after="0"/>
              <w:rPr>
                <w:sz w:val="20"/>
                <w:szCs w:val="20"/>
                <w:color w:val="auto"/>
              </w:rPr>
            </w:pPr>
            <w:r>
              <w:rPr>
                <w:rFonts w:ascii="Arial" w:cs="Arial" w:eastAsia="Arial" w:hAnsi="Arial"/>
                <w:sz w:val="18"/>
                <w:szCs w:val="18"/>
                <w:color w:val="auto"/>
              </w:rPr>
              <w:t>Assistant Secretary</w:t>
            </w: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Josephine D. LaFauci</w:t>
            </w:r>
          </w:p>
        </w:tc>
        <w:tc>
          <w:tcPr>
            <w:tcW w:w="6520" w:type="dxa"/>
            <w:vAlign w:val="bottom"/>
            <w:gridSpan w:val="2"/>
          </w:tcPr>
          <w:p>
            <w:pPr>
              <w:spacing w:after="0"/>
              <w:rPr>
                <w:sz w:val="20"/>
                <w:szCs w:val="20"/>
                <w:color w:val="auto"/>
              </w:rPr>
            </w:pPr>
            <w:r>
              <w:rPr>
                <w:rFonts w:ascii="Arial" w:cs="Arial" w:eastAsia="Arial" w:hAnsi="Arial"/>
                <w:sz w:val="18"/>
                <w:szCs w:val="18"/>
                <w:color w:val="auto"/>
              </w:rPr>
              <w:t>Chief Compliance Officer</w:t>
            </w:r>
          </w:p>
        </w:tc>
      </w:tr>
    </w:tbl>
    <w:p>
      <w:pPr>
        <w:sectPr>
          <w:pgSz w:w="11900" w:h="16838" w:orient="portrait"/>
          <w:cols w:equalWidth="0" w:num="1">
            <w:col w:w="10480"/>
          </w:cols>
          <w:pgMar w:left="240" w:top="611" w:right="1179" w:bottom="0" w:gutter="0" w:footer="0" w:header="0"/>
        </w:sectPr>
      </w:pPr>
    </w:p>
    <w:bookmarkStart w:id="18" w:name="page19"/>
    <w:bookmarkEnd w:id="18"/>
    <w:p>
      <w:pPr>
        <w:spacing w:after="0" w:line="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52705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 w:name="page20"/>
    <w:bookmarkEnd w:id="19"/>
    <w:p>
      <w:pPr>
        <w:ind w:left="1832"/>
        <w:spacing w:after="0"/>
        <w:rPr>
          <w:sz w:val="20"/>
          <w:szCs w:val="20"/>
          <w:color w:val="auto"/>
        </w:rPr>
      </w:pPr>
      <w:r>
        <w:rPr>
          <w:rFonts w:ascii="Arial" w:cs="Arial" w:eastAsia="Arial" w:hAnsi="Arial"/>
          <w:sz w:val="22"/>
          <w:szCs w:val="22"/>
          <w:color w:val="auto"/>
        </w:rPr>
        <w:t>SCHEDULE II</w:t>
      </w:r>
    </w:p>
    <w:p>
      <w:pPr>
        <w:ind w:left="1512"/>
        <w:spacing w:after="0" w:line="238" w:lineRule="auto"/>
        <w:rPr>
          <w:sz w:val="20"/>
          <w:szCs w:val="20"/>
          <w:color w:val="auto"/>
        </w:rPr>
      </w:pPr>
      <w:r>
        <w:rPr>
          <w:rFonts w:ascii="Arial" w:cs="Arial" w:eastAsia="Arial" w:hAnsi="Arial"/>
          <w:sz w:val="22"/>
          <w:szCs w:val="22"/>
          <w:color w:val="auto"/>
        </w:rPr>
        <w:t>INFORMATION WITH RESPECT TO</w:t>
      </w:r>
    </w:p>
    <w:p>
      <w:pPr>
        <w:ind w:left="912" w:right="2939" w:hanging="3"/>
        <w:spacing w:after="0" w:line="241" w:lineRule="auto"/>
        <w:rPr>
          <w:sz w:val="20"/>
          <w:szCs w:val="20"/>
          <w:color w:val="auto"/>
        </w:rPr>
      </w:pPr>
      <w:r>
        <w:rPr>
          <w:rFonts w:ascii="Arial" w:cs="Arial" w:eastAsia="Arial" w:hAnsi="Arial"/>
          <w:sz w:val="21"/>
          <w:szCs w:val="21"/>
          <w:color w:val="auto"/>
        </w:rPr>
        <w:t>TRANSACTIONS EFFECTED DURING THE PAST SIXTY DAYS OR SINCE THE MOST RECENT FILING ON SCHEDULE 13D (1)</w:t>
      </w:r>
    </w:p>
    <w:tbl>
      <w:tblPr>
        <w:tblLayout w:type="fixed"/>
        <w:tblInd w:w="52" w:type="dxa"/>
        <w:tblCellMar>
          <w:top w:w="0" w:type="dxa"/>
          <w:left w:w="0" w:type="dxa"/>
          <w:bottom w:w="0" w:type="dxa"/>
          <w:right w:w="0" w:type="dxa"/>
        </w:tblCellMar>
      </w:tblPr>
      <w:tr>
        <w:trPr>
          <w:trHeight w:val="226"/>
        </w:trPr>
        <w:tc>
          <w:tcPr>
            <w:tcW w:w="4420" w:type="dxa"/>
            <w:vAlign w:val="bottom"/>
            <w:gridSpan w:val="3"/>
          </w:tcPr>
          <w:p>
            <w:pPr>
              <w:ind w:left="1840"/>
              <w:spacing w:after="0" w:line="226" w:lineRule="exact"/>
              <w:rPr>
                <w:sz w:val="20"/>
                <w:szCs w:val="20"/>
                <w:color w:val="auto"/>
              </w:rPr>
            </w:pPr>
            <w:r>
              <w:rPr>
                <w:rFonts w:ascii="Arial" w:cs="Arial" w:eastAsia="Arial" w:hAnsi="Arial"/>
                <w:sz w:val="22"/>
                <w:szCs w:val="22"/>
                <w:color w:val="auto"/>
              </w:rPr>
              <w:t>SHARES PURCHASED</w:t>
            </w:r>
          </w:p>
        </w:tc>
        <w:tc>
          <w:tcPr>
            <w:tcW w:w="1140" w:type="dxa"/>
            <w:vAlign w:val="bottom"/>
          </w:tcPr>
          <w:p>
            <w:pPr>
              <w:ind w:left="20"/>
              <w:spacing w:after="0" w:line="226" w:lineRule="exact"/>
              <w:rPr>
                <w:sz w:val="20"/>
                <w:szCs w:val="20"/>
                <w:color w:val="auto"/>
              </w:rPr>
            </w:pPr>
            <w:r>
              <w:rPr>
                <w:rFonts w:ascii="Arial" w:cs="Arial" w:eastAsia="Arial" w:hAnsi="Arial"/>
                <w:sz w:val="22"/>
                <w:szCs w:val="22"/>
                <w:color w:val="auto"/>
              </w:rPr>
              <w:t>AVERAGE</w:t>
            </w:r>
          </w:p>
        </w:tc>
      </w:tr>
      <w:tr>
        <w:trPr>
          <w:trHeight w:val="275"/>
        </w:trPr>
        <w:tc>
          <w:tcPr>
            <w:tcW w:w="2180" w:type="dxa"/>
            <w:vAlign w:val="bottom"/>
          </w:tcPr>
          <w:p>
            <w:pPr>
              <w:ind w:left="1240"/>
              <w:spacing w:after="0"/>
              <w:rPr>
                <w:sz w:val="20"/>
                <w:szCs w:val="20"/>
                <w:color w:val="auto"/>
              </w:rPr>
            </w:pPr>
            <w:r>
              <w:rPr>
                <w:rFonts w:ascii="Arial" w:cs="Arial" w:eastAsia="Arial" w:hAnsi="Arial"/>
                <w:sz w:val="22"/>
                <w:szCs w:val="22"/>
                <w:color w:val="auto"/>
              </w:rPr>
              <w:t>DATE</w:t>
            </w:r>
          </w:p>
        </w:tc>
        <w:tc>
          <w:tcPr>
            <w:tcW w:w="1260" w:type="dxa"/>
            <w:vAlign w:val="bottom"/>
          </w:tcPr>
          <w:p>
            <w:pPr>
              <w:jc w:val="center"/>
              <w:spacing w:after="0"/>
              <w:rPr>
                <w:sz w:val="20"/>
                <w:szCs w:val="20"/>
                <w:color w:val="auto"/>
              </w:rPr>
            </w:pPr>
            <w:r>
              <w:rPr>
                <w:rFonts w:ascii="Arial" w:cs="Arial" w:eastAsia="Arial" w:hAnsi="Arial"/>
                <w:sz w:val="22"/>
                <w:szCs w:val="22"/>
                <w:color w:val="auto"/>
                <w:w w:val="95"/>
              </w:rPr>
              <w:t>SOLD(-)</w:t>
            </w:r>
          </w:p>
        </w:tc>
        <w:tc>
          <w:tcPr>
            <w:tcW w:w="2120" w:type="dxa"/>
            <w:vAlign w:val="bottom"/>
            <w:gridSpan w:val="2"/>
          </w:tcPr>
          <w:p>
            <w:pPr>
              <w:ind w:left="480"/>
              <w:spacing w:after="0"/>
              <w:rPr>
                <w:sz w:val="20"/>
                <w:szCs w:val="20"/>
                <w:color w:val="auto"/>
              </w:rPr>
            </w:pPr>
            <w:r>
              <w:rPr>
                <w:rFonts w:ascii="Arial" w:cs="Arial" w:eastAsia="Arial" w:hAnsi="Arial"/>
                <w:sz w:val="22"/>
                <w:szCs w:val="22"/>
                <w:color w:val="auto"/>
              </w:rPr>
              <w:t>PRICE(2)</w:t>
            </w:r>
          </w:p>
        </w:tc>
      </w:tr>
      <w:tr>
        <w:trPr>
          <w:trHeight w:val="486"/>
        </w:trPr>
        <w:tc>
          <w:tcPr>
            <w:tcW w:w="5560" w:type="dxa"/>
            <w:vAlign w:val="bottom"/>
            <w:gridSpan w:val="4"/>
          </w:tcPr>
          <w:p>
            <w:pPr>
              <w:spacing w:after="0"/>
              <w:rPr>
                <w:sz w:val="20"/>
                <w:szCs w:val="20"/>
                <w:color w:val="auto"/>
              </w:rPr>
            </w:pPr>
            <w:r>
              <w:rPr>
                <w:rFonts w:ascii="Arial" w:cs="Arial" w:eastAsia="Arial" w:hAnsi="Arial"/>
                <w:sz w:val="22"/>
                <w:szCs w:val="22"/>
                <w:color w:val="auto"/>
                <w:w w:val="94"/>
              </w:rPr>
              <w:t>COMMON STOCK-OIL DRI CORPORATION OF AMERICA</w:t>
            </w:r>
          </w:p>
        </w:tc>
      </w:tr>
      <w:tr>
        <w:trPr>
          <w:trHeight w:val="455"/>
        </w:trPr>
        <w:tc>
          <w:tcPr>
            <w:tcW w:w="4420" w:type="dxa"/>
            <w:vAlign w:val="bottom"/>
            <w:gridSpan w:val="3"/>
          </w:tcPr>
          <w:p>
            <w:pPr>
              <w:ind w:left="480"/>
              <w:spacing w:after="0"/>
              <w:rPr>
                <w:sz w:val="20"/>
                <w:szCs w:val="20"/>
                <w:color w:val="auto"/>
              </w:rPr>
            </w:pPr>
            <w:r>
              <w:rPr>
                <w:rFonts w:ascii="Arial" w:cs="Arial" w:eastAsia="Arial" w:hAnsi="Arial"/>
                <w:sz w:val="22"/>
                <w:szCs w:val="22"/>
                <w:color w:val="auto"/>
              </w:rPr>
              <w:t>GAMCO ASSET MANAGEMENT INC.</w:t>
            </w:r>
          </w:p>
        </w:tc>
        <w:tc>
          <w:tcPr>
            <w:tcW w:w="1140" w:type="dxa"/>
            <w:vAlign w:val="bottom"/>
          </w:tcPr>
          <w:p>
            <w:pPr>
              <w:spacing w:after="0"/>
              <w:rPr>
                <w:sz w:val="24"/>
                <w:szCs w:val="24"/>
                <w:color w:val="auto"/>
              </w:rPr>
            </w:pPr>
          </w:p>
        </w:tc>
      </w:tr>
      <w:tr>
        <w:trPr>
          <w:trHeight w:val="243"/>
        </w:trPr>
        <w:tc>
          <w:tcPr>
            <w:tcW w:w="2180" w:type="dxa"/>
            <w:vAlign w:val="bottom"/>
          </w:tcPr>
          <w:p>
            <w:pPr>
              <w:ind w:left="1140"/>
              <w:spacing w:after="0" w:line="243" w:lineRule="exact"/>
              <w:rPr>
                <w:sz w:val="20"/>
                <w:szCs w:val="20"/>
                <w:color w:val="auto"/>
              </w:rPr>
            </w:pPr>
            <w:r>
              <w:rPr>
                <w:rFonts w:ascii="Arial" w:cs="Arial" w:eastAsia="Arial" w:hAnsi="Arial"/>
                <w:sz w:val="22"/>
                <w:szCs w:val="22"/>
                <w:color w:val="auto"/>
              </w:rPr>
              <w:t>12/20/19</w:t>
            </w:r>
          </w:p>
        </w:tc>
        <w:tc>
          <w:tcPr>
            <w:tcW w:w="126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800-</w:t>
            </w:r>
          </w:p>
        </w:tc>
        <w:tc>
          <w:tcPr>
            <w:tcW w:w="980" w:type="dxa"/>
            <w:vAlign w:val="bottom"/>
          </w:tcPr>
          <w:p>
            <w:pPr>
              <w:ind w:left="220"/>
              <w:spacing w:after="0" w:line="243" w:lineRule="exact"/>
              <w:rPr>
                <w:sz w:val="20"/>
                <w:szCs w:val="20"/>
                <w:color w:val="auto"/>
              </w:rPr>
            </w:pPr>
            <w:r>
              <w:rPr>
                <w:rFonts w:ascii="Arial" w:cs="Arial" w:eastAsia="Arial" w:hAnsi="Arial"/>
                <w:sz w:val="22"/>
                <w:szCs w:val="22"/>
                <w:color w:val="auto"/>
                <w:w w:val="93"/>
              </w:rPr>
              <w:t>37.6807</w:t>
            </w:r>
          </w:p>
        </w:tc>
        <w:tc>
          <w:tcPr>
            <w:tcW w:w="1140" w:type="dxa"/>
            <w:vAlign w:val="bottom"/>
          </w:tcPr>
          <w:p>
            <w:pPr>
              <w:spacing w:after="0"/>
              <w:rPr>
                <w:sz w:val="21"/>
                <w:szCs w:val="21"/>
                <w:color w:val="auto"/>
              </w:rPr>
            </w:pPr>
          </w:p>
        </w:tc>
      </w:tr>
      <w:tr>
        <w:trPr>
          <w:trHeight w:val="243"/>
        </w:trPr>
        <w:tc>
          <w:tcPr>
            <w:tcW w:w="2180" w:type="dxa"/>
            <w:vAlign w:val="bottom"/>
          </w:tcPr>
          <w:p>
            <w:pPr>
              <w:ind w:left="1140"/>
              <w:spacing w:after="0" w:line="243" w:lineRule="exact"/>
              <w:rPr>
                <w:sz w:val="20"/>
                <w:szCs w:val="20"/>
                <w:color w:val="auto"/>
              </w:rPr>
            </w:pPr>
            <w:r>
              <w:rPr>
                <w:rFonts w:ascii="Arial" w:cs="Arial" w:eastAsia="Arial" w:hAnsi="Arial"/>
                <w:sz w:val="22"/>
                <w:szCs w:val="22"/>
                <w:color w:val="auto"/>
              </w:rPr>
              <w:t>12/20/19</w:t>
            </w:r>
          </w:p>
        </w:tc>
        <w:tc>
          <w:tcPr>
            <w:tcW w:w="126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199-</w:t>
            </w:r>
          </w:p>
        </w:tc>
        <w:tc>
          <w:tcPr>
            <w:tcW w:w="980" w:type="dxa"/>
            <w:vAlign w:val="bottom"/>
          </w:tcPr>
          <w:p>
            <w:pPr>
              <w:ind w:left="220"/>
              <w:spacing w:after="0" w:line="243" w:lineRule="exact"/>
              <w:rPr>
                <w:sz w:val="20"/>
                <w:szCs w:val="20"/>
                <w:color w:val="auto"/>
              </w:rPr>
            </w:pPr>
            <w:r>
              <w:rPr>
                <w:rFonts w:ascii="Arial" w:cs="Arial" w:eastAsia="Arial" w:hAnsi="Arial"/>
                <w:sz w:val="22"/>
                <w:szCs w:val="22"/>
                <w:color w:val="auto"/>
                <w:w w:val="93"/>
              </w:rPr>
              <w:t>38.0013</w:t>
            </w:r>
          </w:p>
        </w:tc>
        <w:tc>
          <w:tcPr>
            <w:tcW w:w="1140" w:type="dxa"/>
            <w:vAlign w:val="bottom"/>
          </w:tcPr>
          <w:p>
            <w:pPr>
              <w:spacing w:after="0"/>
              <w:rPr>
                <w:sz w:val="21"/>
                <w:szCs w:val="21"/>
                <w:color w:val="auto"/>
              </w:rPr>
            </w:pPr>
          </w:p>
        </w:tc>
      </w:tr>
      <w:tr>
        <w:trPr>
          <w:trHeight w:val="243"/>
        </w:trPr>
        <w:tc>
          <w:tcPr>
            <w:tcW w:w="2180" w:type="dxa"/>
            <w:vAlign w:val="bottom"/>
          </w:tcPr>
          <w:p>
            <w:pPr>
              <w:ind w:left="1140"/>
              <w:spacing w:after="0" w:line="243" w:lineRule="exact"/>
              <w:rPr>
                <w:sz w:val="20"/>
                <w:szCs w:val="20"/>
                <w:color w:val="auto"/>
              </w:rPr>
            </w:pPr>
            <w:r>
              <w:rPr>
                <w:rFonts w:ascii="Arial" w:cs="Arial" w:eastAsia="Arial" w:hAnsi="Arial"/>
                <w:sz w:val="22"/>
                <w:szCs w:val="22"/>
                <w:color w:val="auto"/>
              </w:rPr>
              <w:t>12/19/19</w:t>
            </w:r>
          </w:p>
        </w:tc>
        <w:tc>
          <w:tcPr>
            <w:tcW w:w="126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300-</w:t>
            </w:r>
          </w:p>
        </w:tc>
        <w:tc>
          <w:tcPr>
            <w:tcW w:w="980" w:type="dxa"/>
            <w:vAlign w:val="bottom"/>
          </w:tcPr>
          <w:p>
            <w:pPr>
              <w:ind w:left="220"/>
              <w:spacing w:after="0" w:line="243" w:lineRule="exact"/>
              <w:rPr>
                <w:sz w:val="20"/>
                <w:szCs w:val="20"/>
                <w:color w:val="auto"/>
              </w:rPr>
            </w:pPr>
            <w:r>
              <w:rPr>
                <w:rFonts w:ascii="Arial" w:cs="Arial" w:eastAsia="Arial" w:hAnsi="Arial"/>
                <w:sz w:val="22"/>
                <w:szCs w:val="22"/>
                <w:color w:val="auto"/>
                <w:w w:val="93"/>
              </w:rPr>
              <w:t>37.0216</w:t>
            </w:r>
          </w:p>
        </w:tc>
        <w:tc>
          <w:tcPr>
            <w:tcW w:w="1140" w:type="dxa"/>
            <w:vAlign w:val="bottom"/>
          </w:tcPr>
          <w:p>
            <w:pPr>
              <w:spacing w:after="0"/>
              <w:rPr>
                <w:sz w:val="21"/>
                <w:szCs w:val="21"/>
                <w:color w:val="auto"/>
              </w:rPr>
            </w:pPr>
          </w:p>
        </w:tc>
      </w:tr>
      <w:tr>
        <w:trPr>
          <w:trHeight w:val="243"/>
        </w:trPr>
        <w:tc>
          <w:tcPr>
            <w:tcW w:w="2180" w:type="dxa"/>
            <w:vAlign w:val="bottom"/>
          </w:tcPr>
          <w:p>
            <w:pPr>
              <w:ind w:left="1140"/>
              <w:spacing w:after="0" w:line="243" w:lineRule="exact"/>
              <w:rPr>
                <w:sz w:val="20"/>
                <w:szCs w:val="20"/>
                <w:color w:val="auto"/>
              </w:rPr>
            </w:pPr>
            <w:r>
              <w:rPr>
                <w:rFonts w:ascii="Arial" w:cs="Arial" w:eastAsia="Arial" w:hAnsi="Arial"/>
                <w:sz w:val="22"/>
                <w:szCs w:val="22"/>
                <w:color w:val="auto"/>
              </w:rPr>
              <w:t>12/13/19</w:t>
            </w:r>
          </w:p>
        </w:tc>
        <w:tc>
          <w:tcPr>
            <w:tcW w:w="126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600-</w:t>
            </w:r>
          </w:p>
        </w:tc>
        <w:tc>
          <w:tcPr>
            <w:tcW w:w="980" w:type="dxa"/>
            <w:vAlign w:val="bottom"/>
          </w:tcPr>
          <w:p>
            <w:pPr>
              <w:ind w:left="220"/>
              <w:spacing w:after="0" w:line="243" w:lineRule="exact"/>
              <w:rPr>
                <w:sz w:val="20"/>
                <w:szCs w:val="20"/>
                <w:color w:val="auto"/>
              </w:rPr>
            </w:pPr>
            <w:r>
              <w:rPr>
                <w:rFonts w:ascii="Arial" w:cs="Arial" w:eastAsia="Arial" w:hAnsi="Arial"/>
                <w:sz w:val="22"/>
                <w:szCs w:val="22"/>
                <w:color w:val="auto"/>
                <w:w w:val="93"/>
              </w:rPr>
              <w:t>36.8950</w:t>
            </w:r>
          </w:p>
        </w:tc>
        <w:tc>
          <w:tcPr>
            <w:tcW w:w="1140" w:type="dxa"/>
            <w:vAlign w:val="bottom"/>
          </w:tcPr>
          <w:p>
            <w:pPr>
              <w:spacing w:after="0"/>
              <w:rPr>
                <w:sz w:val="21"/>
                <w:szCs w:val="21"/>
                <w:color w:val="auto"/>
              </w:rPr>
            </w:pPr>
          </w:p>
        </w:tc>
      </w:tr>
      <w:tr>
        <w:trPr>
          <w:trHeight w:val="243"/>
        </w:trPr>
        <w:tc>
          <w:tcPr>
            <w:tcW w:w="2180" w:type="dxa"/>
            <w:vAlign w:val="bottom"/>
          </w:tcPr>
          <w:p>
            <w:pPr>
              <w:ind w:left="1140"/>
              <w:spacing w:after="0" w:line="243" w:lineRule="exact"/>
              <w:rPr>
                <w:sz w:val="20"/>
                <w:szCs w:val="20"/>
                <w:color w:val="auto"/>
              </w:rPr>
            </w:pPr>
            <w:r>
              <w:rPr>
                <w:rFonts w:ascii="Arial" w:cs="Arial" w:eastAsia="Arial" w:hAnsi="Arial"/>
                <w:sz w:val="22"/>
                <w:szCs w:val="22"/>
                <w:color w:val="auto"/>
              </w:rPr>
              <w:t>12/09/19</w:t>
            </w:r>
          </w:p>
        </w:tc>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9"/>
              </w:rPr>
              <w:t>1,000-</w:t>
            </w:r>
          </w:p>
        </w:tc>
        <w:tc>
          <w:tcPr>
            <w:tcW w:w="980" w:type="dxa"/>
            <w:vAlign w:val="bottom"/>
          </w:tcPr>
          <w:p>
            <w:pPr>
              <w:ind w:left="260"/>
              <w:spacing w:after="0" w:line="243" w:lineRule="exact"/>
              <w:rPr>
                <w:sz w:val="20"/>
                <w:szCs w:val="20"/>
                <w:color w:val="auto"/>
              </w:rPr>
            </w:pPr>
            <w:r>
              <w:rPr>
                <w:rFonts w:ascii="Arial" w:cs="Arial" w:eastAsia="Arial" w:hAnsi="Arial"/>
                <w:sz w:val="22"/>
                <w:szCs w:val="22"/>
                <w:color w:val="auto"/>
                <w:w w:val="87"/>
              </w:rPr>
              <w:t>35.2507</w:t>
            </w:r>
          </w:p>
        </w:tc>
        <w:tc>
          <w:tcPr>
            <w:tcW w:w="1140" w:type="dxa"/>
            <w:vAlign w:val="bottom"/>
          </w:tcPr>
          <w:p>
            <w:pPr>
              <w:spacing w:after="0"/>
              <w:rPr>
                <w:sz w:val="21"/>
                <w:szCs w:val="21"/>
                <w:color w:val="auto"/>
              </w:rPr>
            </w:pPr>
          </w:p>
        </w:tc>
      </w:tr>
      <w:tr>
        <w:trPr>
          <w:trHeight w:val="243"/>
        </w:trPr>
        <w:tc>
          <w:tcPr>
            <w:tcW w:w="2180" w:type="dxa"/>
            <w:vAlign w:val="bottom"/>
          </w:tcPr>
          <w:p>
            <w:pPr>
              <w:ind w:left="1140"/>
              <w:spacing w:after="0" w:line="243" w:lineRule="exact"/>
              <w:rPr>
                <w:sz w:val="20"/>
                <w:szCs w:val="20"/>
                <w:color w:val="auto"/>
              </w:rPr>
            </w:pPr>
            <w:r>
              <w:rPr>
                <w:rFonts w:ascii="Arial" w:cs="Arial" w:eastAsia="Arial" w:hAnsi="Arial"/>
                <w:sz w:val="22"/>
                <w:szCs w:val="22"/>
                <w:color w:val="auto"/>
              </w:rPr>
              <w:t>12/02/19</w:t>
            </w:r>
          </w:p>
        </w:tc>
        <w:tc>
          <w:tcPr>
            <w:tcW w:w="126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312-</w:t>
            </w:r>
          </w:p>
        </w:tc>
        <w:tc>
          <w:tcPr>
            <w:tcW w:w="980" w:type="dxa"/>
            <w:vAlign w:val="bottom"/>
          </w:tcPr>
          <w:p>
            <w:pPr>
              <w:ind w:left="220"/>
              <w:spacing w:after="0" w:line="243" w:lineRule="exact"/>
              <w:rPr>
                <w:sz w:val="20"/>
                <w:szCs w:val="20"/>
                <w:color w:val="auto"/>
              </w:rPr>
            </w:pPr>
            <w:r>
              <w:rPr>
                <w:rFonts w:ascii="Arial" w:cs="Arial" w:eastAsia="Arial" w:hAnsi="Arial"/>
                <w:sz w:val="22"/>
                <w:szCs w:val="22"/>
                <w:color w:val="auto"/>
                <w:w w:val="93"/>
              </w:rPr>
              <w:t>36.3000</w:t>
            </w:r>
          </w:p>
        </w:tc>
        <w:tc>
          <w:tcPr>
            <w:tcW w:w="1140" w:type="dxa"/>
            <w:vAlign w:val="bottom"/>
          </w:tcPr>
          <w:p>
            <w:pPr>
              <w:spacing w:after="0"/>
              <w:rPr>
                <w:sz w:val="21"/>
                <w:szCs w:val="21"/>
                <w:color w:val="auto"/>
              </w:rPr>
            </w:pPr>
          </w:p>
        </w:tc>
      </w:tr>
      <w:tr>
        <w:trPr>
          <w:trHeight w:val="243"/>
        </w:trPr>
        <w:tc>
          <w:tcPr>
            <w:tcW w:w="2180" w:type="dxa"/>
            <w:vAlign w:val="bottom"/>
          </w:tcPr>
          <w:p>
            <w:pPr>
              <w:ind w:left="1140"/>
              <w:spacing w:after="0" w:line="243" w:lineRule="exact"/>
              <w:rPr>
                <w:sz w:val="20"/>
                <w:szCs w:val="20"/>
                <w:color w:val="auto"/>
              </w:rPr>
            </w:pPr>
            <w:r>
              <w:rPr>
                <w:rFonts w:ascii="Arial" w:cs="Arial" w:eastAsia="Arial" w:hAnsi="Arial"/>
                <w:sz w:val="22"/>
                <w:szCs w:val="22"/>
                <w:color w:val="auto"/>
              </w:rPr>
              <w:t>11/27/19</w:t>
            </w:r>
          </w:p>
        </w:tc>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6"/>
              </w:rPr>
              <w:t>288-</w:t>
            </w:r>
          </w:p>
        </w:tc>
        <w:tc>
          <w:tcPr>
            <w:tcW w:w="980" w:type="dxa"/>
            <w:vAlign w:val="bottom"/>
          </w:tcPr>
          <w:p>
            <w:pPr>
              <w:ind w:left="200"/>
              <w:spacing w:after="0" w:line="243" w:lineRule="exact"/>
              <w:rPr>
                <w:sz w:val="20"/>
                <w:szCs w:val="20"/>
                <w:color w:val="auto"/>
              </w:rPr>
            </w:pPr>
            <w:r>
              <w:rPr>
                <w:rFonts w:ascii="Arial" w:cs="Arial" w:eastAsia="Arial" w:hAnsi="Arial"/>
                <w:sz w:val="22"/>
                <w:szCs w:val="22"/>
                <w:color w:val="auto"/>
                <w:w w:val="95"/>
              </w:rPr>
              <w:t>36.1810</w:t>
            </w:r>
          </w:p>
        </w:tc>
        <w:tc>
          <w:tcPr>
            <w:tcW w:w="1140" w:type="dxa"/>
            <w:vAlign w:val="bottom"/>
          </w:tcPr>
          <w:p>
            <w:pPr>
              <w:spacing w:after="0"/>
              <w:rPr>
                <w:sz w:val="21"/>
                <w:szCs w:val="21"/>
                <w:color w:val="auto"/>
              </w:rPr>
            </w:pPr>
          </w:p>
        </w:tc>
      </w:tr>
      <w:tr>
        <w:trPr>
          <w:trHeight w:val="243"/>
        </w:trPr>
        <w:tc>
          <w:tcPr>
            <w:tcW w:w="2180" w:type="dxa"/>
            <w:vAlign w:val="bottom"/>
          </w:tcPr>
          <w:p>
            <w:pPr>
              <w:ind w:left="1140"/>
              <w:spacing w:after="0" w:line="243" w:lineRule="exact"/>
              <w:rPr>
                <w:sz w:val="20"/>
                <w:szCs w:val="20"/>
                <w:color w:val="auto"/>
              </w:rPr>
            </w:pPr>
            <w:r>
              <w:rPr>
                <w:rFonts w:ascii="Arial" w:cs="Arial" w:eastAsia="Arial" w:hAnsi="Arial"/>
                <w:sz w:val="22"/>
                <w:szCs w:val="22"/>
                <w:color w:val="auto"/>
              </w:rPr>
              <w:t>11/26/19</w:t>
            </w:r>
          </w:p>
        </w:tc>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6"/>
              </w:rPr>
              <w:t>400-</w:t>
            </w:r>
          </w:p>
        </w:tc>
        <w:tc>
          <w:tcPr>
            <w:tcW w:w="980" w:type="dxa"/>
            <w:vAlign w:val="bottom"/>
          </w:tcPr>
          <w:p>
            <w:pPr>
              <w:ind w:left="200"/>
              <w:spacing w:after="0" w:line="243" w:lineRule="exact"/>
              <w:rPr>
                <w:sz w:val="20"/>
                <w:szCs w:val="20"/>
                <w:color w:val="auto"/>
              </w:rPr>
            </w:pPr>
            <w:r>
              <w:rPr>
                <w:rFonts w:ascii="Arial" w:cs="Arial" w:eastAsia="Arial" w:hAnsi="Arial"/>
                <w:sz w:val="22"/>
                <w:szCs w:val="22"/>
                <w:color w:val="auto"/>
                <w:w w:val="95"/>
              </w:rPr>
              <w:t>35.7368</w:t>
            </w:r>
          </w:p>
        </w:tc>
        <w:tc>
          <w:tcPr>
            <w:tcW w:w="1140" w:type="dxa"/>
            <w:vAlign w:val="bottom"/>
          </w:tcPr>
          <w:p>
            <w:pPr>
              <w:spacing w:after="0"/>
              <w:rPr>
                <w:sz w:val="21"/>
                <w:szCs w:val="21"/>
                <w:color w:val="auto"/>
              </w:rPr>
            </w:pPr>
          </w:p>
        </w:tc>
      </w:tr>
      <w:tr>
        <w:trPr>
          <w:trHeight w:val="243"/>
        </w:trPr>
        <w:tc>
          <w:tcPr>
            <w:tcW w:w="2180" w:type="dxa"/>
            <w:vAlign w:val="bottom"/>
          </w:tcPr>
          <w:p>
            <w:pPr>
              <w:ind w:left="1140"/>
              <w:spacing w:after="0" w:line="243" w:lineRule="exact"/>
              <w:rPr>
                <w:sz w:val="20"/>
                <w:szCs w:val="20"/>
                <w:color w:val="auto"/>
              </w:rPr>
            </w:pPr>
            <w:r>
              <w:rPr>
                <w:rFonts w:ascii="Arial" w:cs="Arial" w:eastAsia="Arial" w:hAnsi="Arial"/>
                <w:sz w:val="22"/>
                <w:szCs w:val="22"/>
                <w:color w:val="auto"/>
              </w:rPr>
              <w:t>11/25/19</w:t>
            </w:r>
          </w:p>
        </w:tc>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9"/>
              </w:rPr>
              <w:t>1,400-</w:t>
            </w:r>
          </w:p>
        </w:tc>
        <w:tc>
          <w:tcPr>
            <w:tcW w:w="980" w:type="dxa"/>
            <w:vAlign w:val="bottom"/>
          </w:tcPr>
          <w:p>
            <w:pPr>
              <w:ind w:left="260"/>
              <w:spacing w:after="0" w:line="243" w:lineRule="exact"/>
              <w:rPr>
                <w:sz w:val="20"/>
                <w:szCs w:val="20"/>
                <w:color w:val="auto"/>
              </w:rPr>
            </w:pPr>
            <w:r>
              <w:rPr>
                <w:rFonts w:ascii="Arial" w:cs="Arial" w:eastAsia="Arial" w:hAnsi="Arial"/>
                <w:sz w:val="22"/>
                <w:szCs w:val="22"/>
                <w:color w:val="auto"/>
                <w:w w:val="87"/>
              </w:rPr>
              <w:t>35.1011</w:t>
            </w:r>
          </w:p>
        </w:tc>
        <w:tc>
          <w:tcPr>
            <w:tcW w:w="1140" w:type="dxa"/>
            <w:vAlign w:val="bottom"/>
          </w:tcPr>
          <w:p>
            <w:pPr>
              <w:spacing w:after="0"/>
              <w:rPr>
                <w:sz w:val="21"/>
                <w:szCs w:val="21"/>
                <w:color w:val="auto"/>
              </w:rPr>
            </w:pPr>
          </w:p>
        </w:tc>
      </w:tr>
      <w:tr>
        <w:trPr>
          <w:trHeight w:val="243"/>
        </w:trPr>
        <w:tc>
          <w:tcPr>
            <w:tcW w:w="2180" w:type="dxa"/>
            <w:vAlign w:val="bottom"/>
          </w:tcPr>
          <w:p>
            <w:pPr>
              <w:ind w:left="1140"/>
              <w:spacing w:after="0" w:line="243" w:lineRule="exact"/>
              <w:rPr>
                <w:sz w:val="20"/>
                <w:szCs w:val="20"/>
                <w:color w:val="auto"/>
              </w:rPr>
            </w:pPr>
            <w:r>
              <w:rPr>
                <w:rFonts w:ascii="Arial" w:cs="Arial" w:eastAsia="Arial" w:hAnsi="Arial"/>
                <w:sz w:val="22"/>
                <w:szCs w:val="22"/>
                <w:color w:val="auto"/>
              </w:rPr>
              <w:t>11/18/19</w:t>
            </w:r>
          </w:p>
        </w:tc>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6"/>
              </w:rPr>
              <w:t>489-</w:t>
            </w:r>
          </w:p>
        </w:tc>
        <w:tc>
          <w:tcPr>
            <w:tcW w:w="980" w:type="dxa"/>
            <w:vAlign w:val="bottom"/>
          </w:tcPr>
          <w:p>
            <w:pPr>
              <w:ind w:left="200"/>
              <w:spacing w:after="0" w:line="243" w:lineRule="exact"/>
              <w:rPr>
                <w:sz w:val="20"/>
                <w:szCs w:val="20"/>
                <w:color w:val="auto"/>
              </w:rPr>
            </w:pPr>
            <w:r>
              <w:rPr>
                <w:rFonts w:ascii="Arial" w:cs="Arial" w:eastAsia="Arial" w:hAnsi="Arial"/>
                <w:sz w:val="22"/>
                <w:szCs w:val="22"/>
                <w:color w:val="auto"/>
                <w:w w:val="95"/>
              </w:rPr>
              <w:t>34.6191</w:t>
            </w:r>
          </w:p>
        </w:tc>
        <w:tc>
          <w:tcPr>
            <w:tcW w:w="1140" w:type="dxa"/>
            <w:vAlign w:val="bottom"/>
          </w:tcPr>
          <w:p>
            <w:pPr>
              <w:spacing w:after="0"/>
              <w:rPr>
                <w:sz w:val="21"/>
                <w:szCs w:val="21"/>
                <w:color w:val="auto"/>
              </w:rPr>
            </w:pPr>
          </w:p>
        </w:tc>
      </w:tr>
      <w:tr>
        <w:trPr>
          <w:trHeight w:val="243"/>
        </w:trPr>
        <w:tc>
          <w:tcPr>
            <w:tcW w:w="2180" w:type="dxa"/>
            <w:vAlign w:val="bottom"/>
          </w:tcPr>
          <w:p>
            <w:pPr>
              <w:ind w:left="1140"/>
              <w:spacing w:after="0" w:line="243" w:lineRule="exact"/>
              <w:rPr>
                <w:sz w:val="20"/>
                <w:szCs w:val="20"/>
                <w:color w:val="auto"/>
              </w:rPr>
            </w:pPr>
            <w:r>
              <w:rPr>
                <w:rFonts w:ascii="Arial" w:cs="Arial" w:eastAsia="Arial" w:hAnsi="Arial"/>
                <w:sz w:val="22"/>
                <w:szCs w:val="22"/>
                <w:color w:val="auto"/>
              </w:rPr>
              <w:t>11/15/19</w:t>
            </w:r>
          </w:p>
        </w:tc>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9"/>
              </w:rPr>
              <w:t>4,100-</w:t>
            </w:r>
          </w:p>
        </w:tc>
        <w:tc>
          <w:tcPr>
            <w:tcW w:w="980" w:type="dxa"/>
            <w:vAlign w:val="bottom"/>
          </w:tcPr>
          <w:p>
            <w:pPr>
              <w:ind w:left="260"/>
              <w:spacing w:after="0" w:line="243" w:lineRule="exact"/>
              <w:rPr>
                <w:sz w:val="20"/>
                <w:szCs w:val="20"/>
                <w:color w:val="auto"/>
              </w:rPr>
            </w:pPr>
            <w:r>
              <w:rPr>
                <w:rFonts w:ascii="Arial" w:cs="Arial" w:eastAsia="Arial" w:hAnsi="Arial"/>
                <w:sz w:val="22"/>
                <w:szCs w:val="22"/>
                <w:color w:val="auto"/>
                <w:w w:val="87"/>
              </w:rPr>
              <w:t>34.7224</w:t>
            </w:r>
          </w:p>
        </w:tc>
        <w:tc>
          <w:tcPr>
            <w:tcW w:w="1140" w:type="dxa"/>
            <w:vAlign w:val="bottom"/>
          </w:tcPr>
          <w:p>
            <w:pPr>
              <w:spacing w:after="0"/>
              <w:rPr>
                <w:sz w:val="21"/>
                <w:szCs w:val="21"/>
                <w:color w:val="auto"/>
              </w:rPr>
            </w:pPr>
          </w:p>
        </w:tc>
      </w:tr>
      <w:tr>
        <w:trPr>
          <w:trHeight w:val="243"/>
        </w:trPr>
        <w:tc>
          <w:tcPr>
            <w:tcW w:w="2180" w:type="dxa"/>
            <w:vAlign w:val="bottom"/>
          </w:tcPr>
          <w:p>
            <w:pPr>
              <w:ind w:left="1140"/>
              <w:spacing w:after="0" w:line="243" w:lineRule="exact"/>
              <w:rPr>
                <w:sz w:val="20"/>
                <w:szCs w:val="20"/>
                <w:color w:val="auto"/>
              </w:rPr>
            </w:pPr>
            <w:r>
              <w:rPr>
                <w:rFonts w:ascii="Arial" w:cs="Arial" w:eastAsia="Arial" w:hAnsi="Arial"/>
                <w:sz w:val="22"/>
                <w:szCs w:val="22"/>
                <w:color w:val="auto"/>
              </w:rPr>
              <w:t>11/14/19</w:t>
            </w:r>
          </w:p>
        </w:tc>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6"/>
              </w:rPr>
              <w:t>400-</w:t>
            </w:r>
          </w:p>
        </w:tc>
        <w:tc>
          <w:tcPr>
            <w:tcW w:w="980" w:type="dxa"/>
            <w:vAlign w:val="bottom"/>
          </w:tcPr>
          <w:p>
            <w:pPr>
              <w:ind w:left="200"/>
              <w:spacing w:after="0" w:line="243" w:lineRule="exact"/>
              <w:rPr>
                <w:sz w:val="20"/>
                <w:szCs w:val="20"/>
                <w:color w:val="auto"/>
              </w:rPr>
            </w:pPr>
            <w:r>
              <w:rPr>
                <w:rFonts w:ascii="Arial" w:cs="Arial" w:eastAsia="Arial" w:hAnsi="Arial"/>
                <w:sz w:val="22"/>
                <w:szCs w:val="22"/>
                <w:color w:val="auto"/>
                <w:w w:val="95"/>
              </w:rPr>
              <w:t>34.3000</w:t>
            </w:r>
          </w:p>
        </w:tc>
        <w:tc>
          <w:tcPr>
            <w:tcW w:w="1140" w:type="dxa"/>
            <w:vAlign w:val="bottom"/>
          </w:tcPr>
          <w:p>
            <w:pPr>
              <w:spacing w:after="0"/>
              <w:rPr>
                <w:sz w:val="21"/>
                <w:szCs w:val="21"/>
                <w:color w:val="auto"/>
              </w:rPr>
            </w:pPr>
          </w:p>
        </w:tc>
      </w:tr>
      <w:tr>
        <w:trPr>
          <w:trHeight w:val="243"/>
        </w:trPr>
        <w:tc>
          <w:tcPr>
            <w:tcW w:w="2180" w:type="dxa"/>
            <w:vAlign w:val="bottom"/>
          </w:tcPr>
          <w:p>
            <w:pPr>
              <w:ind w:left="1140"/>
              <w:spacing w:after="0" w:line="243" w:lineRule="exact"/>
              <w:rPr>
                <w:sz w:val="20"/>
                <w:szCs w:val="20"/>
                <w:color w:val="auto"/>
              </w:rPr>
            </w:pPr>
            <w:r>
              <w:rPr>
                <w:rFonts w:ascii="Arial" w:cs="Arial" w:eastAsia="Arial" w:hAnsi="Arial"/>
                <w:sz w:val="22"/>
                <w:szCs w:val="22"/>
                <w:color w:val="auto"/>
              </w:rPr>
              <w:t>11/13/19</w:t>
            </w:r>
          </w:p>
        </w:tc>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9"/>
              </w:rPr>
              <w:t>1,000-</w:t>
            </w:r>
          </w:p>
        </w:tc>
        <w:tc>
          <w:tcPr>
            <w:tcW w:w="980" w:type="dxa"/>
            <w:vAlign w:val="bottom"/>
          </w:tcPr>
          <w:p>
            <w:pPr>
              <w:ind w:left="260"/>
              <w:spacing w:after="0" w:line="243" w:lineRule="exact"/>
              <w:rPr>
                <w:sz w:val="20"/>
                <w:szCs w:val="20"/>
                <w:color w:val="auto"/>
              </w:rPr>
            </w:pPr>
            <w:r>
              <w:rPr>
                <w:rFonts w:ascii="Arial" w:cs="Arial" w:eastAsia="Arial" w:hAnsi="Arial"/>
                <w:sz w:val="22"/>
                <w:szCs w:val="22"/>
                <w:color w:val="auto"/>
                <w:w w:val="87"/>
              </w:rPr>
              <w:t>34.1381</w:t>
            </w:r>
          </w:p>
        </w:tc>
        <w:tc>
          <w:tcPr>
            <w:tcW w:w="1140" w:type="dxa"/>
            <w:vAlign w:val="bottom"/>
          </w:tcPr>
          <w:p>
            <w:pPr>
              <w:spacing w:after="0"/>
              <w:rPr>
                <w:sz w:val="21"/>
                <w:szCs w:val="21"/>
                <w:color w:val="auto"/>
              </w:rPr>
            </w:pPr>
          </w:p>
        </w:tc>
      </w:tr>
      <w:tr>
        <w:trPr>
          <w:trHeight w:val="243"/>
        </w:trPr>
        <w:tc>
          <w:tcPr>
            <w:tcW w:w="2180" w:type="dxa"/>
            <w:vAlign w:val="bottom"/>
          </w:tcPr>
          <w:p>
            <w:pPr>
              <w:ind w:left="1140"/>
              <w:spacing w:after="0" w:line="243" w:lineRule="exact"/>
              <w:rPr>
                <w:sz w:val="20"/>
                <w:szCs w:val="20"/>
                <w:color w:val="auto"/>
              </w:rPr>
            </w:pPr>
            <w:r>
              <w:rPr>
                <w:rFonts w:ascii="Arial" w:cs="Arial" w:eastAsia="Arial" w:hAnsi="Arial"/>
                <w:sz w:val="22"/>
                <w:szCs w:val="22"/>
                <w:color w:val="auto"/>
              </w:rPr>
              <w:t>11/13/19</w:t>
            </w:r>
          </w:p>
        </w:tc>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9"/>
              </w:rPr>
              <w:t>2,200-</w:t>
            </w:r>
          </w:p>
        </w:tc>
        <w:tc>
          <w:tcPr>
            <w:tcW w:w="980" w:type="dxa"/>
            <w:vAlign w:val="bottom"/>
          </w:tcPr>
          <w:p>
            <w:pPr>
              <w:ind w:left="260"/>
              <w:spacing w:after="0" w:line="243" w:lineRule="exact"/>
              <w:rPr>
                <w:sz w:val="20"/>
                <w:szCs w:val="20"/>
                <w:color w:val="auto"/>
              </w:rPr>
            </w:pPr>
            <w:r>
              <w:rPr>
                <w:rFonts w:ascii="Arial" w:cs="Arial" w:eastAsia="Arial" w:hAnsi="Arial"/>
                <w:sz w:val="22"/>
                <w:szCs w:val="22"/>
                <w:color w:val="auto"/>
                <w:w w:val="87"/>
              </w:rPr>
              <w:t>34.2514</w:t>
            </w:r>
          </w:p>
        </w:tc>
        <w:tc>
          <w:tcPr>
            <w:tcW w:w="1140" w:type="dxa"/>
            <w:vAlign w:val="bottom"/>
          </w:tcPr>
          <w:p>
            <w:pPr>
              <w:spacing w:after="0"/>
              <w:rPr>
                <w:sz w:val="21"/>
                <w:szCs w:val="21"/>
                <w:color w:val="auto"/>
              </w:rPr>
            </w:pPr>
          </w:p>
        </w:tc>
      </w:tr>
      <w:tr>
        <w:trPr>
          <w:trHeight w:val="243"/>
        </w:trPr>
        <w:tc>
          <w:tcPr>
            <w:tcW w:w="2180" w:type="dxa"/>
            <w:vAlign w:val="bottom"/>
          </w:tcPr>
          <w:p>
            <w:pPr>
              <w:ind w:left="1140"/>
              <w:spacing w:after="0" w:line="243" w:lineRule="exact"/>
              <w:rPr>
                <w:sz w:val="20"/>
                <w:szCs w:val="20"/>
                <w:color w:val="auto"/>
              </w:rPr>
            </w:pPr>
            <w:r>
              <w:rPr>
                <w:rFonts w:ascii="Arial" w:cs="Arial" w:eastAsia="Arial" w:hAnsi="Arial"/>
                <w:sz w:val="22"/>
                <w:szCs w:val="22"/>
                <w:color w:val="auto"/>
              </w:rPr>
              <w:t>11/12/19</w:t>
            </w:r>
          </w:p>
        </w:tc>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6"/>
              </w:rPr>
              <w:t>200-</w:t>
            </w:r>
          </w:p>
        </w:tc>
        <w:tc>
          <w:tcPr>
            <w:tcW w:w="980" w:type="dxa"/>
            <w:vAlign w:val="bottom"/>
          </w:tcPr>
          <w:p>
            <w:pPr>
              <w:ind w:left="200"/>
              <w:spacing w:after="0" w:line="243" w:lineRule="exact"/>
              <w:rPr>
                <w:sz w:val="20"/>
                <w:szCs w:val="20"/>
                <w:color w:val="auto"/>
              </w:rPr>
            </w:pPr>
            <w:r>
              <w:rPr>
                <w:rFonts w:ascii="Arial" w:cs="Arial" w:eastAsia="Arial" w:hAnsi="Arial"/>
                <w:sz w:val="22"/>
                <w:szCs w:val="22"/>
                <w:color w:val="auto"/>
                <w:w w:val="95"/>
              </w:rPr>
              <w:t>35.3599</w:t>
            </w:r>
          </w:p>
        </w:tc>
        <w:tc>
          <w:tcPr>
            <w:tcW w:w="1140" w:type="dxa"/>
            <w:vAlign w:val="bottom"/>
          </w:tcPr>
          <w:p>
            <w:pPr>
              <w:spacing w:after="0"/>
              <w:rPr>
                <w:sz w:val="21"/>
                <w:szCs w:val="21"/>
                <w:color w:val="auto"/>
              </w:rPr>
            </w:pPr>
          </w:p>
        </w:tc>
      </w:tr>
      <w:tr>
        <w:trPr>
          <w:trHeight w:val="243"/>
        </w:trPr>
        <w:tc>
          <w:tcPr>
            <w:tcW w:w="2180" w:type="dxa"/>
            <w:vAlign w:val="bottom"/>
          </w:tcPr>
          <w:p>
            <w:pPr>
              <w:ind w:left="1140"/>
              <w:spacing w:after="0" w:line="243" w:lineRule="exact"/>
              <w:rPr>
                <w:sz w:val="20"/>
                <w:szCs w:val="20"/>
                <w:color w:val="auto"/>
              </w:rPr>
            </w:pPr>
            <w:r>
              <w:rPr>
                <w:rFonts w:ascii="Arial" w:cs="Arial" w:eastAsia="Arial" w:hAnsi="Arial"/>
                <w:sz w:val="22"/>
                <w:szCs w:val="22"/>
                <w:color w:val="auto"/>
              </w:rPr>
              <w:t>11/12/19</w:t>
            </w:r>
          </w:p>
        </w:tc>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6"/>
              </w:rPr>
              <w:t>500-</w:t>
            </w:r>
          </w:p>
        </w:tc>
        <w:tc>
          <w:tcPr>
            <w:tcW w:w="980" w:type="dxa"/>
            <w:vAlign w:val="bottom"/>
          </w:tcPr>
          <w:p>
            <w:pPr>
              <w:ind w:left="200"/>
              <w:spacing w:after="0" w:line="243" w:lineRule="exact"/>
              <w:rPr>
                <w:sz w:val="20"/>
                <w:szCs w:val="20"/>
                <w:color w:val="auto"/>
              </w:rPr>
            </w:pPr>
            <w:r>
              <w:rPr>
                <w:rFonts w:ascii="Arial" w:cs="Arial" w:eastAsia="Arial" w:hAnsi="Arial"/>
                <w:sz w:val="22"/>
                <w:szCs w:val="22"/>
                <w:color w:val="auto"/>
                <w:w w:val="95"/>
              </w:rPr>
              <w:t>35.1853</w:t>
            </w:r>
          </w:p>
        </w:tc>
        <w:tc>
          <w:tcPr>
            <w:tcW w:w="1140" w:type="dxa"/>
            <w:vAlign w:val="bottom"/>
          </w:tcPr>
          <w:p>
            <w:pPr>
              <w:spacing w:after="0"/>
              <w:rPr>
                <w:sz w:val="21"/>
                <w:szCs w:val="21"/>
                <w:color w:val="auto"/>
              </w:rPr>
            </w:pPr>
          </w:p>
        </w:tc>
      </w:tr>
      <w:tr>
        <w:trPr>
          <w:trHeight w:val="243"/>
        </w:trPr>
        <w:tc>
          <w:tcPr>
            <w:tcW w:w="2180" w:type="dxa"/>
            <w:vAlign w:val="bottom"/>
          </w:tcPr>
          <w:p>
            <w:pPr>
              <w:ind w:left="1140"/>
              <w:spacing w:after="0" w:line="243" w:lineRule="exact"/>
              <w:rPr>
                <w:sz w:val="20"/>
                <w:szCs w:val="20"/>
                <w:color w:val="auto"/>
              </w:rPr>
            </w:pPr>
            <w:r>
              <w:rPr>
                <w:rFonts w:ascii="Arial" w:cs="Arial" w:eastAsia="Arial" w:hAnsi="Arial"/>
                <w:sz w:val="22"/>
                <w:szCs w:val="22"/>
                <w:color w:val="auto"/>
              </w:rPr>
              <w:t>11/12/19</w:t>
            </w:r>
          </w:p>
        </w:tc>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6"/>
              </w:rPr>
              <w:t>300-</w:t>
            </w:r>
          </w:p>
        </w:tc>
        <w:tc>
          <w:tcPr>
            <w:tcW w:w="980" w:type="dxa"/>
            <w:vAlign w:val="bottom"/>
          </w:tcPr>
          <w:p>
            <w:pPr>
              <w:ind w:left="200"/>
              <w:spacing w:after="0" w:line="243" w:lineRule="exact"/>
              <w:rPr>
                <w:sz w:val="20"/>
                <w:szCs w:val="20"/>
                <w:color w:val="auto"/>
              </w:rPr>
            </w:pPr>
            <w:r>
              <w:rPr>
                <w:rFonts w:ascii="Arial" w:cs="Arial" w:eastAsia="Arial" w:hAnsi="Arial"/>
                <w:sz w:val="22"/>
                <w:szCs w:val="22"/>
                <w:color w:val="auto"/>
                <w:w w:val="95"/>
              </w:rPr>
              <w:t>36.0470</w:t>
            </w:r>
          </w:p>
        </w:tc>
        <w:tc>
          <w:tcPr>
            <w:tcW w:w="1140" w:type="dxa"/>
            <w:vAlign w:val="bottom"/>
          </w:tcPr>
          <w:p>
            <w:pPr>
              <w:spacing w:after="0"/>
              <w:rPr>
                <w:sz w:val="21"/>
                <w:szCs w:val="21"/>
                <w:color w:val="auto"/>
              </w:rPr>
            </w:pPr>
          </w:p>
        </w:tc>
      </w:tr>
      <w:tr>
        <w:trPr>
          <w:trHeight w:val="243"/>
        </w:trPr>
        <w:tc>
          <w:tcPr>
            <w:tcW w:w="3440" w:type="dxa"/>
            <w:vAlign w:val="bottom"/>
            <w:gridSpan w:val="2"/>
          </w:tcPr>
          <w:p>
            <w:pPr>
              <w:ind w:left="480"/>
              <w:spacing w:after="0" w:line="243" w:lineRule="exact"/>
              <w:rPr>
                <w:sz w:val="20"/>
                <w:szCs w:val="20"/>
                <w:color w:val="auto"/>
              </w:rPr>
            </w:pPr>
            <w:r>
              <w:rPr>
                <w:rFonts w:ascii="Arial" w:cs="Arial" w:eastAsia="Arial" w:hAnsi="Arial"/>
                <w:sz w:val="22"/>
                <w:szCs w:val="22"/>
                <w:color w:val="auto"/>
              </w:rPr>
              <w:t>TETON ADVISORS, INC.</w:t>
            </w:r>
          </w:p>
        </w:tc>
        <w:tc>
          <w:tcPr>
            <w:tcW w:w="9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2180" w:type="dxa"/>
            <w:vAlign w:val="bottom"/>
          </w:tcPr>
          <w:p>
            <w:pPr>
              <w:ind w:left="1140"/>
              <w:spacing w:after="0" w:line="243" w:lineRule="exact"/>
              <w:rPr>
                <w:sz w:val="20"/>
                <w:szCs w:val="20"/>
                <w:color w:val="auto"/>
              </w:rPr>
            </w:pPr>
            <w:r>
              <w:rPr>
                <w:rFonts w:ascii="Arial" w:cs="Arial" w:eastAsia="Arial" w:hAnsi="Arial"/>
                <w:sz w:val="22"/>
                <w:szCs w:val="22"/>
                <w:color w:val="auto"/>
              </w:rPr>
              <w:t>12/16/19</w:t>
            </w:r>
          </w:p>
        </w:tc>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9"/>
              </w:rPr>
              <w:t>1,632-</w:t>
            </w:r>
          </w:p>
        </w:tc>
        <w:tc>
          <w:tcPr>
            <w:tcW w:w="980" w:type="dxa"/>
            <w:vAlign w:val="bottom"/>
          </w:tcPr>
          <w:p>
            <w:pPr>
              <w:ind w:left="260"/>
              <w:spacing w:after="0" w:line="243" w:lineRule="exact"/>
              <w:rPr>
                <w:sz w:val="20"/>
                <w:szCs w:val="20"/>
                <w:color w:val="auto"/>
              </w:rPr>
            </w:pPr>
            <w:r>
              <w:rPr>
                <w:rFonts w:ascii="Arial" w:cs="Arial" w:eastAsia="Arial" w:hAnsi="Arial"/>
                <w:sz w:val="22"/>
                <w:szCs w:val="22"/>
                <w:color w:val="auto"/>
                <w:w w:val="87"/>
              </w:rPr>
              <w:t>37.2016</w:t>
            </w:r>
          </w:p>
        </w:tc>
        <w:tc>
          <w:tcPr>
            <w:tcW w:w="1140" w:type="dxa"/>
            <w:vAlign w:val="bottom"/>
          </w:tcPr>
          <w:p>
            <w:pPr>
              <w:spacing w:after="0"/>
              <w:rPr>
                <w:sz w:val="21"/>
                <w:szCs w:val="21"/>
                <w:color w:val="auto"/>
              </w:rPr>
            </w:pPr>
          </w:p>
        </w:tc>
      </w:tr>
      <w:tr>
        <w:trPr>
          <w:trHeight w:val="243"/>
        </w:trPr>
        <w:tc>
          <w:tcPr>
            <w:tcW w:w="2180" w:type="dxa"/>
            <w:vAlign w:val="bottom"/>
          </w:tcPr>
          <w:p>
            <w:pPr>
              <w:ind w:left="1140"/>
              <w:spacing w:after="0" w:line="243" w:lineRule="exact"/>
              <w:rPr>
                <w:sz w:val="20"/>
                <w:szCs w:val="20"/>
                <w:color w:val="auto"/>
              </w:rPr>
            </w:pPr>
            <w:r>
              <w:rPr>
                <w:rFonts w:ascii="Arial" w:cs="Arial" w:eastAsia="Arial" w:hAnsi="Arial"/>
                <w:sz w:val="22"/>
                <w:szCs w:val="22"/>
                <w:color w:val="auto"/>
              </w:rPr>
              <w:t>11/27/19</w:t>
            </w:r>
          </w:p>
        </w:tc>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6"/>
              </w:rPr>
              <w:t>494-</w:t>
            </w:r>
          </w:p>
        </w:tc>
        <w:tc>
          <w:tcPr>
            <w:tcW w:w="980" w:type="dxa"/>
            <w:vAlign w:val="bottom"/>
          </w:tcPr>
          <w:p>
            <w:pPr>
              <w:ind w:left="200"/>
              <w:spacing w:after="0" w:line="243" w:lineRule="exact"/>
              <w:rPr>
                <w:sz w:val="20"/>
                <w:szCs w:val="20"/>
                <w:color w:val="auto"/>
              </w:rPr>
            </w:pPr>
            <w:r>
              <w:rPr>
                <w:rFonts w:ascii="Arial" w:cs="Arial" w:eastAsia="Arial" w:hAnsi="Arial"/>
                <w:sz w:val="22"/>
                <w:szCs w:val="22"/>
                <w:color w:val="auto"/>
                <w:w w:val="95"/>
              </w:rPr>
              <w:t>35.9159</w:t>
            </w:r>
          </w:p>
        </w:tc>
        <w:tc>
          <w:tcPr>
            <w:tcW w:w="1140" w:type="dxa"/>
            <w:vAlign w:val="bottom"/>
          </w:tcPr>
          <w:p>
            <w:pPr>
              <w:spacing w:after="0"/>
              <w:rPr>
                <w:sz w:val="21"/>
                <w:szCs w:val="21"/>
                <w:color w:val="auto"/>
              </w:rPr>
            </w:pPr>
          </w:p>
        </w:tc>
      </w:tr>
      <w:tr>
        <w:trPr>
          <w:trHeight w:val="243"/>
        </w:trPr>
        <w:tc>
          <w:tcPr>
            <w:tcW w:w="2180" w:type="dxa"/>
            <w:vAlign w:val="bottom"/>
          </w:tcPr>
          <w:p>
            <w:pPr>
              <w:ind w:left="1140"/>
              <w:spacing w:after="0" w:line="243" w:lineRule="exact"/>
              <w:rPr>
                <w:sz w:val="20"/>
                <w:szCs w:val="20"/>
                <w:color w:val="auto"/>
              </w:rPr>
            </w:pPr>
            <w:r>
              <w:rPr>
                <w:rFonts w:ascii="Arial" w:cs="Arial" w:eastAsia="Arial" w:hAnsi="Arial"/>
                <w:sz w:val="22"/>
                <w:szCs w:val="22"/>
                <w:color w:val="auto"/>
              </w:rPr>
              <w:t>11/22/19</w:t>
            </w:r>
          </w:p>
        </w:tc>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6"/>
              </w:rPr>
              <w:t>795-</w:t>
            </w:r>
          </w:p>
        </w:tc>
        <w:tc>
          <w:tcPr>
            <w:tcW w:w="980" w:type="dxa"/>
            <w:vAlign w:val="bottom"/>
          </w:tcPr>
          <w:p>
            <w:pPr>
              <w:ind w:left="200"/>
              <w:spacing w:after="0" w:line="243" w:lineRule="exact"/>
              <w:rPr>
                <w:sz w:val="20"/>
                <w:szCs w:val="20"/>
                <w:color w:val="auto"/>
              </w:rPr>
            </w:pPr>
            <w:r>
              <w:rPr>
                <w:rFonts w:ascii="Arial" w:cs="Arial" w:eastAsia="Arial" w:hAnsi="Arial"/>
                <w:sz w:val="22"/>
                <w:szCs w:val="22"/>
                <w:color w:val="auto"/>
                <w:w w:val="95"/>
              </w:rPr>
              <w:t>35.1000</w:t>
            </w:r>
          </w:p>
        </w:tc>
        <w:tc>
          <w:tcPr>
            <w:tcW w:w="1140" w:type="dxa"/>
            <w:vAlign w:val="bottom"/>
          </w:tcPr>
          <w:p>
            <w:pPr>
              <w:spacing w:after="0"/>
              <w:rPr>
                <w:sz w:val="21"/>
                <w:szCs w:val="21"/>
                <w:color w:val="auto"/>
              </w:rPr>
            </w:pPr>
          </w:p>
        </w:tc>
      </w:tr>
      <w:tr>
        <w:trPr>
          <w:trHeight w:val="243"/>
        </w:trPr>
        <w:tc>
          <w:tcPr>
            <w:tcW w:w="2180" w:type="dxa"/>
            <w:vAlign w:val="bottom"/>
          </w:tcPr>
          <w:p>
            <w:pPr>
              <w:ind w:left="1140"/>
              <w:spacing w:after="0" w:line="243" w:lineRule="exact"/>
              <w:rPr>
                <w:sz w:val="20"/>
                <w:szCs w:val="20"/>
                <w:color w:val="auto"/>
              </w:rPr>
            </w:pPr>
            <w:r>
              <w:rPr>
                <w:rFonts w:ascii="Arial" w:cs="Arial" w:eastAsia="Arial" w:hAnsi="Arial"/>
                <w:sz w:val="22"/>
                <w:szCs w:val="22"/>
                <w:color w:val="auto"/>
              </w:rPr>
              <w:t>11/20/19</w:t>
            </w:r>
          </w:p>
        </w:tc>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9"/>
              </w:rPr>
              <w:t>3,302-</w:t>
            </w:r>
          </w:p>
        </w:tc>
        <w:tc>
          <w:tcPr>
            <w:tcW w:w="980" w:type="dxa"/>
            <w:vAlign w:val="bottom"/>
          </w:tcPr>
          <w:p>
            <w:pPr>
              <w:ind w:left="260"/>
              <w:spacing w:after="0" w:line="243" w:lineRule="exact"/>
              <w:rPr>
                <w:sz w:val="20"/>
                <w:szCs w:val="20"/>
                <w:color w:val="auto"/>
              </w:rPr>
            </w:pPr>
            <w:r>
              <w:rPr>
                <w:rFonts w:ascii="Arial" w:cs="Arial" w:eastAsia="Arial" w:hAnsi="Arial"/>
                <w:sz w:val="22"/>
                <w:szCs w:val="22"/>
                <w:color w:val="auto"/>
                <w:w w:val="87"/>
              </w:rPr>
              <w:t>35.4589</w:t>
            </w:r>
          </w:p>
        </w:tc>
        <w:tc>
          <w:tcPr>
            <w:tcW w:w="1140" w:type="dxa"/>
            <w:vAlign w:val="bottom"/>
          </w:tcPr>
          <w:p>
            <w:pPr>
              <w:spacing w:after="0"/>
              <w:rPr>
                <w:sz w:val="21"/>
                <w:szCs w:val="21"/>
                <w:color w:val="auto"/>
              </w:rPr>
            </w:pPr>
          </w:p>
        </w:tc>
      </w:tr>
      <w:tr>
        <w:trPr>
          <w:trHeight w:val="243"/>
        </w:trPr>
        <w:tc>
          <w:tcPr>
            <w:tcW w:w="2180" w:type="dxa"/>
            <w:vAlign w:val="bottom"/>
          </w:tcPr>
          <w:p>
            <w:pPr>
              <w:ind w:left="1140"/>
              <w:spacing w:after="0" w:line="243" w:lineRule="exact"/>
              <w:rPr>
                <w:sz w:val="20"/>
                <w:szCs w:val="20"/>
                <w:color w:val="auto"/>
              </w:rPr>
            </w:pPr>
            <w:r>
              <w:rPr>
                <w:rFonts w:ascii="Arial" w:cs="Arial" w:eastAsia="Arial" w:hAnsi="Arial"/>
                <w:sz w:val="22"/>
                <w:szCs w:val="22"/>
                <w:color w:val="auto"/>
              </w:rPr>
              <w:t>11/19/19</w:t>
            </w:r>
          </w:p>
        </w:tc>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9"/>
              </w:rPr>
              <w:t>3,909-</w:t>
            </w:r>
          </w:p>
        </w:tc>
        <w:tc>
          <w:tcPr>
            <w:tcW w:w="980" w:type="dxa"/>
            <w:vAlign w:val="bottom"/>
          </w:tcPr>
          <w:p>
            <w:pPr>
              <w:ind w:left="260"/>
              <w:spacing w:after="0" w:line="243" w:lineRule="exact"/>
              <w:rPr>
                <w:sz w:val="20"/>
                <w:szCs w:val="20"/>
                <w:color w:val="auto"/>
              </w:rPr>
            </w:pPr>
            <w:r>
              <w:rPr>
                <w:rFonts w:ascii="Arial" w:cs="Arial" w:eastAsia="Arial" w:hAnsi="Arial"/>
                <w:sz w:val="22"/>
                <w:szCs w:val="22"/>
                <w:color w:val="auto"/>
                <w:w w:val="87"/>
              </w:rPr>
              <w:t>35.4109</w:t>
            </w:r>
          </w:p>
        </w:tc>
        <w:tc>
          <w:tcPr>
            <w:tcW w:w="1140" w:type="dxa"/>
            <w:vAlign w:val="bottom"/>
          </w:tcPr>
          <w:p>
            <w:pPr>
              <w:spacing w:after="0"/>
              <w:rPr>
                <w:sz w:val="21"/>
                <w:szCs w:val="21"/>
                <w:color w:val="auto"/>
              </w:rPr>
            </w:pPr>
          </w:p>
        </w:tc>
      </w:tr>
      <w:tr>
        <w:trPr>
          <w:trHeight w:val="243"/>
        </w:trPr>
        <w:tc>
          <w:tcPr>
            <w:tcW w:w="2180" w:type="dxa"/>
            <w:vAlign w:val="bottom"/>
          </w:tcPr>
          <w:p>
            <w:pPr>
              <w:ind w:left="1140"/>
              <w:spacing w:after="0" w:line="243" w:lineRule="exact"/>
              <w:rPr>
                <w:sz w:val="20"/>
                <w:szCs w:val="20"/>
                <w:color w:val="auto"/>
              </w:rPr>
            </w:pPr>
            <w:r>
              <w:rPr>
                <w:rFonts w:ascii="Arial" w:cs="Arial" w:eastAsia="Arial" w:hAnsi="Arial"/>
                <w:sz w:val="22"/>
                <w:szCs w:val="22"/>
                <w:color w:val="auto"/>
              </w:rPr>
              <w:t>11/18/19</w:t>
            </w:r>
          </w:p>
        </w:tc>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9"/>
              </w:rPr>
              <w:t>7,800-</w:t>
            </w:r>
          </w:p>
        </w:tc>
        <w:tc>
          <w:tcPr>
            <w:tcW w:w="980" w:type="dxa"/>
            <w:vAlign w:val="bottom"/>
          </w:tcPr>
          <w:p>
            <w:pPr>
              <w:ind w:left="260"/>
              <w:spacing w:after="0" w:line="243" w:lineRule="exact"/>
              <w:rPr>
                <w:sz w:val="20"/>
                <w:szCs w:val="20"/>
                <w:color w:val="auto"/>
              </w:rPr>
            </w:pPr>
            <w:r>
              <w:rPr>
                <w:rFonts w:ascii="Arial" w:cs="Arial" w:eastAsia="Arial" w:hAnsi="Arial"/>
                <w:sz w:val="22"/>
                <w:szCs w:val="22"/>
                <w:color w:val="auto"/>
                <w:w w:val="87"/>
              </w:rPr>
              <w:t>34.8234</w:t>
            </w:r>
          </w:p>
        </w:tc>
        <w:tc>
          <w:tcPr>
            <w:tcW w:w="1140" w:type="dxa"/>
            <w:vAlign w:val="bottom"/>
          </w:tcPr>
          <w:p>
            <w:pPr>
              <w:spacing w:after="0"/>
              <w:rPr>
                <w:sz w:val="21"/>
                <w:szCs w:val="21"/>
                <w:color w:val="auto"/>
              </w:rPr>
            </w:pPr>
          </w:p>
        </w:tc>
      </w:tr>
      <w:tr>
        <w:trPr>
          <w:trHeight w:val="243"/>
        </w:trPr>
        <w:tc>
          <w:tcPr>
            <w:tcW w:w="3440" w:type="dxa"/>
            <w:vAlign w:val="bottom"/>
            <w:gridSpan w:val="2"/>
          </w:tcPr>
          <w:p>
            <w:pPr>
              <w:ind w:left="480"/>
              <w:spacing w:after="0" w:line="243" w:lineRule="exact"/>
              <w:rPr>
                <w:sz w:val="20"/>
                <w:szCs w:val="20"/>
                <w:color w:val="auto"/>
              </w:rPr>
            </w:pPr>
            <w:r>
              <w:rPr>
                <w:rFonts w:ascii="Arial" w:cs="Arial" w:eastAsia="Arial" w:hAnsi="Arial"/>
                <w:sz w:val="22"/>
                <w:szCs w:val="22"/>
                <w:color w:val="auto"/>
              </w:rPr>
              <w:t>GABELLI FUNDS, LLC.</w:t>
            </w:r>
          </w:p>
        </w:tc>
        <w:tc>
          <w:tcPr>
            <w:tcW w:w="9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5560" w:type="dxa"/>
            <w:vAlign w:val="bottom"/>
            <w:gridSpan w:val="4"/>
          </w:tcPr>
          <w:p>
            <w:pPr>
              <w:ind w:left="660"/>
              <w:spacing w:after="0" w:line="243" w:lineRule="exact"/>
              <w:rPr>
                <w:sz w:val="20"/>
                <w:szCs w:val="20"/>
                <w:color w:val="auto"/>
              </w:rPr>
            </w:pPr>
            <w:r>
              <w:rPr>
                <w:rFonts w:ascii="Arial" w:cs="Arial" w:eastAsia="Arial" w:hAnsi="Arial"/>
                <w:sz w:val="22"/>
                <w:szCs w:val="22"/>
                <w:color w:val="auto"/>
              </w:rPr>
              <w:t>GABELLI SMALL CAP GROWTH FUND</w:t>
            </w:r>
          </w:p>
        </w:tc>
      </w:tr>
      <w:tr>
        <w:trPr>
          <w:trHeight w:val="243"/>
        </w:trPr>
        <w:tc>
          <w:tcPr>
            <w:tcW w:w="2180" w:type="dxa"/>
            <w:vAlign w:val="bottom"/>
          </w:tcPr>
          <w:p>
            <w:pPr>
              <w:ind w:left="1200"/>
              <w:spacing w:after="0" w:line="243" w:lineRule="exact"/>
              <w:rPr>
                <w:sz w:val="20"/>
                <w:szCs w:val="20"/>
                <w:color w:val="auto"/>
              </w:rPr>
            </w:pPr>
            <w:r>
              <w:rPr>
                <w:rFonts w:ascii="Arial" w:cs="Arial" w:eastAsia="Arial" w:hAnsi="Arial"/>
                <w:sz w:val="22"/>
                <w:szCs w:val="22"/>
                <w:color w:val="auto"/>
              </w:rPr>
              <w:t>1/03/20</w:t>
            </w:r>
          </w:p>
        </w:tc>
        <w:tc>
          <w:tcPr>
            <w:tcW w:w="126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2,000-</w:t>
            </w:r>
          </w:p>
        </w:tc>
        <w:tc>
          <w:tcPr>
            <w:tcW w:w="980" w:type="dxa"/>
            <w:vAlign w:val="bottom"/>
          </w:tcPr>
          <w:p>
            <w:pPr>
              <w:ind w:left="220"/>
              <w:spacing w:after="0" w:line="243" w:lineRule="exact"/>
              <w:rPr>
                <w:sz w:val="20"/>
                <w:szCs w:val="20"/>
                <w:color w:val="auto"/>
              </w:rPr>
            </w:pPr>
            <w:r>
              <w:rPr>
                <w:rFonts w:ascii="Arial" w:cs="Arial" w:eastAsia="Arial" w:hAnsi="Arial"/>
                <w:sz w:val="22"/>
                <w:szCs w:val="22"/>
                <w:color w:val="auto"/>
                <w:w w:val="93"/>
              </w:rPr>
              <w:t>35.1073</w:t>
            </w:r>
          </w:p>
        </w:tc>
        <w:tc>
          <w:tcPr>
            <w:tcW w:w="1140" w:type="dxa"/>
            <w:vAlign w:val="bottom"/>
          </w:tcPr>
          <w:p>
            <w:pPr>
              <w:spacing w:after="0"/>
              <w:rPr>
                <w:sz w:val="21"/>
                <w:szCs w:val="21"/>
                <w:color w:val="auto"/>
              </w:rPr>
            </w:pPr>
          </w:p>
        </w:tc>
      </w:tr>
      <w:tr>
        <w:trPr>
          <w:trHeight w:val="243"/>
        </w:trPr>
        <w:tc>
          <w:tcPr>
            <w:tcW w:w="2180" w:type="dxa"/>
            <w:vAlign w:val="bottom"/>
          </w:tcPr>
          <w:p>
            <w:pPr>
              <w:ind w:left="1140"/>
              <w:spacing w:after="0" w:line="243" w:lineRule="exact"/>
              <w:rPr>
                <w:sz w:val="20"/>
                <w:szCs w:val="20"/>
                <w:color w:val="auto"/>
              </w:rPr>
            </w:pPr>
            <w:r>
              <w:rPr>
                <w:rFonts w:ascii="Arial" w:cs="Arial" w:eastAsia="Arial" w:hAnsi="Arial"/>
                <w:sz w:val="22"/>
                <w:szCs w:val="22"/>
                <w:color w:val="auto"/>
              </w:rPr>
              <w:t>12/20/19</w:t>
            </w:r>
          </w:p>
        </w:tc>
        <w:tc>
          <w:tcPr>
            <w:tcW w:w="126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500-</w:t>
            </w:r>
          </w:p>
        </w:tc>
        <w:tc>
          <w:tcPr>
            <w:tcW w:w="980" w:type="dxa"/>
            <w:vAlign w:val="bottom"/>
          </w:tcPr>
          <w:p>
            <w:pPr>
              <w:ind w:left="220"/>
              <w:spacing w:after="0" w:line="243" w:lineRule="exact"/>
              <w:rPr>
                <w:sz w:val="20"/>
                <w:szCs w:val="20"/>
                <w:color w:val="auto"/>
              </w:rPr>
            </w:pPr>
            <w:r>
              <w:rPr>
                <w:rFonts w:ascii="Arial" w:cs="Arial" w:eastAsia="Arial" w:hAnsi="Arial"/>
                <w:sz w:val="22"/>
                <w:szCs w:val="22"/>
                <w:color w:val="auto"/>
                <w:w w:val="93"/>
              </w:rPr>
              <w:t>37.8880</w:t>
            </w:r>
          </w:p>
        </w:tc>
        <w:tc>
          <w:tcPr>
            <w:tcW w:w="1140" w:type="dxa"/>
            <w:vAlign w:val="bottom"/>
          </w:tcPr>
          <w:p>
            <w:pPr>
              <w:spacing w:after="0"/>
              <w:rPr>
                <w:sz w:val="21"/>
                <w:szCs w:val="21"/>
                <w:color w:val="auto"/>
              </w:rPr>
            </w:pPr>
          </w:p>
        </w:tc>
      </w:tr>
      <w:tr>
        <w:trPr>
          <w:trHeight w:val="243"/>
        </w:trPr>
        <w:tc>
          <w:tcPr>
            <w:tcW w:w="2180" w:type="dxa"/>
            <w:vAlign w:val="bottom"/>
          </w:tcPr>
          <w:p>
            <w:pPr>
              <w:ind w:left="1140"/>
              <w:spacing w:after="0" w:line="243" w:lineRule="exact"/>
              <w:rPr>
                <w:sz w:val="20"/>
                <w:szCs w:val="20"/>
                <w:color w:val="auto"/>
              </w:rPr>
            </w:pPr>
            <w:r>
              <w:rPr>
                <w:rFonts w:ascii="Arial" w:cs="Arial" w:eastAsia="Arial" w:hAnsi="Arial"/>
                <w:sz w:val="22"/>
                <w:szCs w:val="22"/>
                <w:color w:val="auto"/>
              </w:rPr>
              <w:t>12/19/19</w:t>
            </w:r>
          </w:p>
        </w:tc>
        <w:tc>
          <w:tcPr>
            <w:tcW w:w="126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727-</w:t>
            </w:r>
          </w:p>
        </w:tc>
        <w:tc>
          <w:tcPr>
            <w:tcW w:w="980" w:type="dxa"/>
            <w:vAlign w:val="bottom"/>
          </w:tcPr>
          <w:p>
            <w:pPr>
              <w:ind w:left="220"/>
              <w:spacing w:after="0" w:line="243" w:lineRule="exact"/>
              <w:rPr>
                <w:sz w:val="20"/>
                <w:szCs w:val="20"/>
                <w:color w:val="auto"/>
              </w:rPr>
            </w:pPr>
            <w:r>
              <w:rPr>
                <w:rFonts w:ascii="Arial" w:cs="Arial" w:eastAsia="Arial" w:hAnsi="Arial"/>
                <w:sz w:val="22"/>
                <w:szCs w:val="22"/>
                <w:color w:val="auto"/>
                <w:w w:val="93"/>
              </w:rPr>
              <w:t>37.2584</w:t>
            </w:r>
          </w:p>
        </w:tc>
        <w:tc>
          <w:tcPr>
            <w:tcW w:w="1140" w:type="dxa"/>
            <w:vAlign w:val="bottom"/>
          </w:tcPr>
          <w:p>
            <w:pPr>
              <w:spacing w:after="0"/>
              <w:rPr>
                <w:sz w:val="21"/>
                <w:szCs w:val="21"/>
                <w:color w:val="auto"/>
              </w:rPr>
            </w:pPr>
          </w:p>
        </w:tc>
      </w:tr>
      <w:tr>
        <w:trPr>
          <w:trHeight w:val="243"/>
        </w:trPr>
        <w:tc>
          <w:tcPr>
            <w:tcW w:w="2180" w:type="dxa"/>
            <w:vAlign w:val="bottom"/>
          </w:tcPr>
          <w:p>
            <w:pPr>
              <w:ind w:left="1140"/>
              <w:spacing w:after="0" w:line="243" w:lineRule="exact"/>
              <w:rPr>
                <w:sz w:val="20"/>
                <w:szCs w:val="20"/>
                <w:color w:val="auto"/>
              </w:rPr>
            </w:pPr>
            <w:r>
              <w:rPr>
                <w:rFonts w:ascii="Arial" w:cs="Arial" w:eastAsia="Arial" w:hAnsi="Arial"/>
                <w:sz w:val="22"/>
                <w:szCs w:val="22"/>
                <w:color w:val="auto"/>
              </w:rPr>
              <w:t>12/18/19</w:t>
            </w:r>
          </w:p>
        </w:tc>
        <w:tc>
          <w:tcPr>
            <w:tcW w:w="126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410-</w:t>
            </w:r>
          </w:p>
        </w:tc>
        <w:tc>
          <w:tcPr>
            <w:tcW w:w="980" w:type="dxa"/>
            <w:vAlign w:val="bottom"/>
          </w:tcPr>
          <w:p>
            <w:pPr>
              <w:ind w:left="220"/>
              <w:spacing w:after="0" w:line="243" w:lineRule="exact"/>
              <w:rPr>
                <w:sz w:val="20"/>
                <w:szCs w:val="20"/>
                <w:color w:val="auto"/>
              </w:rPr>
            </w:pPr>
            <w:r>
              <w:rPr>
                <w:rFonts w:ascii="Arial" w:cs="Arial" w:eastAsia="Arial" w:hAnsi="Arial"/>
                <w:sz w:val="22"/>
                <w:szCs w:val="22"/>
                <w:color w:val="auto"/>
                <w:w w:val="93"/>
              </w:rPr>
              <w:t>36.7968</w:t>
            </w:r>
          </w:p>
        </w:tc>
        <w:tc>
          <w:tcPr>
            <w:tcW w:w="1140" w:type="dxa"/>
            <w:vAlign w:val="bottom"/>
          </w:tcPr>
          <w:p>
            <w:pPr>
              <w:spacing w:after="0"/>
              <w:rPr>
                <w:sz w:val="21"/>
                <w:szCs w:val="21"/>
                <w:color w:val="auto"/>
              </w:rPr>
            </w:pPr>
          </w:p>
        </w:tc>
      </w:tr>
      <w:tr>
        <w:trPr>
          <w:trHeight w:val="243"/>
        </w:trPr>
        <w:tc>
          <w:tcPr>
            <w:tcW w:w="2180" w:type="dxa"/>
            <w:vAlign w:val="bottom"/>
          </w:tcPr>
          <w:p>
            <w:pPr>
              <w:ind w:left="1140"/>
              <w:spacing w:after="0" w:line="243" w:lineRule="exact"/>
              <w:rPr>
                <w:sz w:val="20"/>
                <w:szCs w:val="20"/>
                <w:color w:val="auto"/>
              </w:rPr>
            </w:pPr>
            <w:r>
              <w:rPr>
                <w:rFonts w:ascii="Arial" w:cs="Arial" w:eastAsia="Arial" w:hAnsi="Arial"/>
                <w:sz w:val="22"/>
                <w:szCs w:val="22"/>
                <w:color w:val="auto"/>
              </w:rPr>
              <w:t>12/16/19</w:t>
            </w:r>
          </w:p>
        </w:tc>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9"/>
              </w:rPr>
              <w:t>1,123-</w:t>
            </w:r>
          </w:p>
        </w:tc>
        <w:tc>
          <w:tcPr>
            <w:tcW w:w="980" w:type="dxa"/>
            <w:vAlign w:val="bottom"/>
          </w:tcPr>
          <w:p>
            <w:pPr>
              <w:ind w:left="260"/>
              <w:spacing w:after="0" w:line="243" w:lineRule="exact"/>
              <w:rPr>
                <w:sz w:val="20"/>
                <w:szCs w:val="20"/>
                <w:color w:val="auto"/>
              </w:rPr>
            </w:pPr>
            <w:r>
              <w:rPr>
                <w:rFonts w:ascii="Arial" w:cs="Arial" w:eastAsia="Arial" w:hAnsi="Arial"/>
                <w:sz w:val="22"/>
                <w:szCs w:val="22"/>
                <w:color w:val="auto"/>
                <w:w w:val="87"/>
              </w:rPr>
              <w:t>37.5207</w:t>
            </w:r>
          </w:p>
        </w:tc>
        <w:tc>
          <w:tcPr>
            <w:tcW w:w="1140" w:type="dxa"/>
            <w:vAlign w:val="bottom"/>
          </w:tcPr>
          <w:p>
            <w:pPr>
              <w:spacing w:after="0"/>
              <w:rPr>
                <w:sz w:val="21"/>
                <w:szCs w:val="21"/>
                <w:color w:val="auto"/>
              </w:rPr>
            </w:pPr>
          </w:p>
        </w:tc>
      </w:tr>
      <w:tr>
        <w:trPr>
          <w:trHeight w:val="243"/>
        </w:trPr>
        <w:tc>
          <w:tcPr>
            <w:tcW w:w="2180" w:type="dxa"/>
            <w:vAlign w:val="bottom"/>
          </w:tcPr>
          <w:p>
            <w:pPr>
              <w:ind w:left="1140"/>
              <w:spacing w:after="0" w:line="243" w:lineRule="exact"/>
              <w:rPr>
                <w:sz w:val="20"/>
                <w:szCs w:val="20"/>
                <w:color w:val="auto"/>
              </w:rPr>
            </w:pPr>
            <w:r>
              <w:rPr>
                <w:rFonts w:ascii="Arial" w:cs="Arial" w:eastAsia="Arial" w:hAnsi="Arial"/>
                <w:sz w:val="22"/>
                <w:szCs w:val="22"/>
                <w:color w:val="auto"/>
              </w:rPr>
              <w:t>12/13/19</w:t>
            </w:r>
          </w:p>
        </w:tc>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9"/>
              </w:rPr>
              <w:t>2,240-</w:t>
            </w:r>
          </w:p>
        </w:tc>
        <w:tc>
          <w:tcPr>
            <w:tcW w:w="980" w:type="dxa"/>
            <w:vAlign w:val="bottom"/>
          </w:tcPr>
          <w:p>
            <w:pPr>
              <w:ind w:left="260"/>
              <w:spacing w:after="0" w:line="243" w:lineRule="exact"/>
              <w:rPr>
                <w:sz w:val="20"/>
                <w:szCs w:val="20"/>
                <w:color w:val="auto"/>
              </w:rPr>
            </w:pPr>
            <w:r>
              <w:rPr>
                <w:rFonts w:ascii="Arial" w:cs="Arial" w:eastAsia="Arial" w:hAnsi="Arial"/>
                <w:sz w:val="22"/>
                <w:szCs w:val="22"/>
                <w:color w:val="auto"/>
                <w:w w:val="87"/>
              </w:rPr>
              <w:t>37.0000</w:t>
            </w:r>
          </w:p>
        </w:tc>
        <w:tc>
          <w:tcPr>
            <w:tcW w:w="1140" w:type="dxa"/>
            <w:vAlign w:val="bottom"/>
          </w:tcPr>
          <w:p>
            <w:pPr>
              <w:spacing w:after="0"/>
              <w:rPr>
                <w:sz w:val="21"/>
                <w:szCs w:val="21"/>
                <w:color w:val="auto"/>
              </w:rPr>
            </w:pPr>
          </w:p>
        </w:tc>
      </w:tr>
      <w:tr>
        <w:trPr>
          <w:trHeight w:val="243"/>
        </w:trPr>
        <w:tc>
          <w:tcPr>
            <w:tcW w:w="2180" w:type="dxa"/>
            <w:vAlign w:val="bottom"/>
          </w:tcPr>
          <w:p>
            <w:pPr>
              <w:ind w:left="1140"/>
              <w:spacing w:after="0" w:line="243" w:lineRule="exact"/>
              <w:rPr>
                <w:sz w:val="20"/>
                <w:szCs w:val="20"/>
                <w:color w:val="auto"/>
              </w:rPr>
            </w:pPr>
            <w:r>
              <w:rPr>
                <w:rFonts w:ascii="Arial" w:cs="Arial" w:eastAsia="Arial" w:hAnsi="Arial"/>
                <w:sz w:val="22"/>
                <w:szCs w:val="22"/>
                <w:color w:val="auto"/>
              </w:rPr>
              <w:t>12/12/19</w:t>
            </w:r>
          </w:p>
        </w:tc>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9"/>
              </w:rPr>
              <w:t>4,400-</w:t>
            </w:r>
          </w:p>
        </w:tc>
        <w:tc>
          <w:tcPr>
            <w:tcW w:w="980" w:type="dxa"/>
            <w:vAlign w:val="bottom"/>
          </w:tcPr>
          <w:p>
            <w:pPr>
              <w:ind w:left="260"/>
              <w:spacing w:after="0" w:line="243" w:lineRule="exact"/>
              <w:rPr>
                <w:sz w:val="20"/>
                <w:szCs w:val="20"/>
                <w:color w:val="auto"/>
              </w:rPr>
            </w:pPr>
            <w:r>
              <w:rPr>
                <w:rFonts w:ascii="Arial" w:cs="Arial" w:eastAsia="Arial" w:hAnsi="Arial"/>
                <w:sz w:val="22"/>
                <w:szCs w:val="22"/>
                <w:color w:val="auto"/>
                <w:w w:val="87"/>
              </w:rPr>
              <w:t>36.9868</w:t>
            </w:r>
          </w:p>
        </w:tc>
        <w:tc>
          <w:tcPr>
            <w:tcW w:w="1140" w:type="dxa"/>
            <w:vAlign w:val="bottom"/>
          </w:tcPr>
          <w:p>
            <w:pPr>
              <w:spacing w:after="0"/>
              <w:rPr>
                <w:sz w:val="21"/>
                <w:szCs w:val="21"/>
                <w:color w:val="auto"/>
              </w:rPr>
            </w:pPr>
          </w:p>
        </w:tc>
      </w:tr>
      <w:tr>
        <w:trPr>
          <w:trHeight w:val="243"/>
        </w:trPr>
        <w:tc>
          <w:tcPr>
            <w:tcW w:w="2180" w:type="dxa"/>
            <w:vAlign w:val="bottom"/>
          </w:tcPr>
          <w:p>
            <w:pPr>
              <w:ind w:left="1140"/>
              <w:spacing w:after="0" w:line="243" w:lineRule="exact"/>
              <w:rPr>
                <w:sz w:val="20"/>
                <w:szCs w:val="20"/>
                <w:color w:val="auto"/>
              </w:rPr>
            </w:pPr>
            <w:r>
              <w:rPr>
                <w:rFonts w:ascii="Arial" w:cs="Arial" w:eastAsia="Arial" w:hAnsi="Arial"/>
                <w:sz w:val="22"/>
                <w:szCs w:val="22"/>
                <w:color w:val="auto"/>
              </w:rPr>
              <w:t>12/11/19</w:t>
            </w:r>
          </w:p>
        </w:tc>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9"/>
              </w:rPr>
              <w:t>1,348-</w:t>
            </w:r>
          </w:p>
        </w:tc>
        <w:tc>
          <w:tcPr>
            <w:tcW w:w="980" w:type="dxa"/>
            <w:vAlign w:val="bottom"/>
          </w:tcPr>
          <w:p>
            <w:pPr>
              <w:ind w:left="260"/>
              <w:spacing w:after="0" w:line="243" w:lineRule="exact"/>
              <w:rPr>
                <w:sz w:val="20"/>
                <w:szCs w:val="20"/>
                <w:color w:val="auto"/>
              </w:rPr>
            </w:pPr>
            <w:r>
              <w:rPr>
                <w:rFonts w:ascii="Arial" w:cs="Arial" w:eastAsia="Arial" w:hAnsi="Arial"/>
                <w:sz w:val="22"/>
                <w:szCs w:val="22"/>
                <w:color w:val="auto"/>
                <w:w w:val="87"/>
              </w:rPr>
              <w:t>36.2394</w:t>
            </w:r>
          </w:p>
        </w:tc>
        <w:tc>
          <w:tcPr>
            <w:tcW w:w="1140" w:type="dxa"/>
            <w:vAlign w:val="bottom"/>
          </w:tcPr>
          <w:p>
            <w:pPr>
              <w:spacing w:after="0"/>
              <w:rPr>
                <w:sz w:val="21"/>
                <w:szCs w:val="21"/>
                <w:color w:val="auto"/>
              </w:rPr>
            </w:pPr>
          </w:p>
        </w:tc>
      </w:tr>
      <w:tr>
        <w:trPr>
          <w:trHeight w:val="243"/>
        </w:trPr>
        <w:tc>
          <w:tcPr>
            <w:tcW w:w="2180" w:type="dxa"/>
            <w:vAlign w:val="bottom"/>
          </w:tcPr>
          <w:p>
            <w:pPr>
              <w:ind w:left="1140"/>
              <w:spacing w:after="0" w:line="243" w:lineRule="exact"/>
              <w:rPr>
                <w:sz w:val="20"/>
                <w:szCs w:val="20"/>
                <w:color w:val="auto"/>
              </w:rPr>
            </w:pPr>
            <w:r>
              <w:rPr>
                <w:rFonts w:ascii="Arial" w:cs="Arial" w:eastAsia="Arial" w:hAnsi="Arial"/>
                <w:sz w:val="22"/>
                <w:szCs w:val="22"/>
                <w:color w:val="auto"/>
              </w:rPr>
              <w:t>12/10/19</w:t>
            </w:r>
          </w:p>
        </w:tc>
        <w:tc>
          <w:tcPr>
            <w:tcW w:w="126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952-</w:t>
            </w:r>
          </w:p>
        </w:tc>
        <w:tc>
          <w:tcPr>
            <w:tcW w:w="980" w:type="dxa"/>
            <w:vAlign w:val="bottom"/>
          </w:tcPr>
          <w:p>
            <w:pPr>
              <w:ind w:left="220"/>
              <w:spacing w:after="0" w:line="243" w:lineRule="exact"/>
              <w:rPr>
                <w:sz w:val="20"/>
                <w:szCs w:val="20"/>
                <w:color w:val="auto"/>
              </w:rPr>
            </w:pPr>
            <w:r>
              <w:rPr>
                <w:rFonts w:ascii="Arial" w:cs="Arial" w:eastAsia="Arial" w:hAnsi="Arial"/>
                <w:sz w:val="22"/>
                <w:szCs w:val="22"/>
                <w:color w:val="auto"/>
                <w:w w:val="93"/>
              </w:rPr>
              <w:t>36.0524</w:t>
            </w:r>
          </w:p>
        </w:tc>
        <w:tc>
          <w:tcPr>
            <w:tcW w:w="1140" w:type="dxa"/>
            <w:vAlign w:val="bottom"/>
          </w:tcPr>
          <w:p>
            <w:pPr>
              <w:spacing w:after="0"/>
              <w:rPr>
                <w:sz w:val="21"/>
                <w:szCs w:val="21"/>
                <w:color w:val="auto"/>
              </w:rPr>
            </w:pPr>
          </w:p>
        </w:tc>
      </w:tr>
      <w:tr>
        <w:trPr>
          <w:trHeight w:val="243"/>
        </w:trPr>
        <w:tc>
          <w:tcPr>
            <w:tcW w:w="2180" w:type="dxa"/>
            <w:vAlign w:val="bottom"/>
          </w:tcPr>
          <w:p>
            <w:pPr>
              <w:ind w:left="1140"/>
              <w:spacing w:after="0" w:line="243" w:lineRule="exact"/>
              <w:rPr>
                <w:sz w:val="20"/>
                <w:szCs w:val="20"/>
                <w:color w:val="auto"/>
              </w:rPr>
            </w:pPr>
            <w:r>
              <w:rPr>
                <w:rFonts w:ascii="Arial" w:cs="Arial" w:eastAsia="Arial" w:hAnsi="Arial"/>
                <w:sz w:val="22"/>
                <w:szCs w:val="22"/>
                <w:color w:val="auto"/>
              </w:rPr>
              <w:t>12/06/19</w:t>
            </w:r>
          </w:p>
        </w:tc>
        <w:tc>
          <w:tcPr>
            <w:tcW w:w="126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300-</w:t>
            </w:r>
          </w:p>
        </w:tc>
        <w:tc>
          <w:tcPr>
            <w:tcW w:w="980" w:type="dxa"/>
            <w:vAlign w:val="bottom"/>
          </w:tcPr>
          <w:p>
            <w:pPr>
              <w:ind w:left="220"/>
              <w:spacing w:after="0" w:line="243" w:lineRule="exact"/>
              <w:rPr>
                <w:sz w:val="20"/>
                <w:szCs w:val="20"/>
                <w:color w:val="auto"/>
              </w:rPr>
            </w:pPr>
            <w:r>
              <w:rPr>
                <w:rFonts w:ascii="Arial" w:cs="Arial" w:eastAsia="Arial" w:hAnsi="Arial"/>
                <w:sz w:val="22"/>
                <w:szCs w:val="22"/>
                <w:color w:val="auto"/>
                <w:w w:val="93"/>
              </w:rPr>
              <w:t>35.4333</w:t>
            </w:r>
          </w:p>
        </w:tc>
        <w:tc>
          <w:tcPr>
            <w:tcW w:w="1140" w:type="dxa"/>
            <w:vAlign w:val="bottom"/>
          </w:tcPr>
          <w:p>
            <w:pPr>
              <w:spacing w:after="0"/>
              <w:rPr>
                <w:sz w:val="21"/>
                <w:szCs w:val="21"/>
                <w:color w:val="auto"/>
              </w:rPr>
            </w:pPr>
          </w:p>
        </w:tc>
      </w:tr>
      <w:tr>
        <w:trPr>
          <w:trHeight w:val="243"/>
        </w:trPr>
        <w:tc>
          <w:tcPr>
            <w:tcW w:w="2180" w:type="dxa"/>
            <w:vAlign w:val="bottom"/>
          </w:tcPr>
          <w:p>
            <w:pPr>
              <w:ind w:left="1140"/>
              <w:spacing w:after="0" w:line="243" w:lineRule="exact"/>
              <w:rPr>
                <w:sz w:val="20"/>
                <w:szCs w:val="20"/>
                <w:color w:val="auto"/>
              </w:rPr>
            </w:pPr>
            <w:r>
              <w:rPr>
                <w:rFonts w:ascii="Arial" w:cs="Arial" w:eastAsia="Arial" w:hAnsi="Arial"/>
                <w:sz w:val="22"/>
                <w:szCs w:val="22"/>
                <w:color w:val="auto"/>
              </w:rPr>
              <w:t>12/05/19</w:t>
            </w:r>
          </w:p>
        </w:tc>
        <w:tc>
          <w:tcPr>
            <w:tcW w:w="126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500-</w:t>
            </w:r>
          </w:p>
        </w:tc>
        <w:tc>
          <w:tcPr>
            <w:tcW w:w="980" w:type="dxa"/>
            <w:vAlign w:val="bottom"/>
          </w:tcPr>
          <w:p>
            <w:pPr>
              <w:ind w:left="220"/>
              <w:spacing w:after="0" w:line="243" w:lineRule="exact"/>
              <w:rPr>
                <w:sz w:val="20"/>
                <w:szCs w:val="20"/>
                <w:color w:val="auto"/>
              </w:rPr>
            </w:pPr>
            <w:r>
              <w:rPr>
                <w:rFonts w:ascii="Arial" w:cs="Arial" w:eastAsia="Arial" w:hAnsi="Arial"/>
                <w:sz w:val="22"/>
                <w:szCs w:val="22"/>
                <w:color w:val="auto"/>
                <w:w w:val="93"/>
              </w:rPr>
              <w:t>34.0980</w:t>
            </w:r>
          </w:p>
        </w:tc>
        <w:tc>
          <w:tcPr>
            <w:tcW w:w="1140" w:type="dxa"/>
            <w:vAlign w:val="bottom"/>
          </w:tcPr>
          <w:p>
            <w:pPr>
              <w:spacing w:after="0"/>
              <w:rPr>
                <w:sz w:val="21"/>
                <w:szCs w:val="21"/>
                <w:color w:val="auto"/>
              </w:rPr>
            </w:pPr>
          </w:p>
        </w:tc>
      </w:tr>
      <w:tr>
        <w:trPr>
          <w:trHeight w:val="243"/>
        </w:trPr>
        <w:tc>
          <w:tcPr>
            <w:tcW w:w="2180" w:type="dxa"/>
            <w:vAlign w:val="bottom"/>
          </w:tcPr>
          <w:p>
            <w:pPr>
              <w:ind w:left="1140"/>
              <w:spacing w:after="0" w:line="243" w:lineRule="exact"/>
              <w:rPr>
                <w:sz w:val="20"/>
                <w:szCs w:val="20"/>
                <w:color w:val="auto"/>
              </w:rPr>
            </w:pPr>
            <w:r>
              <w:rPr>
                <w:rFonts w:ascii="Arial" w:cs="Arial" w:eastAsia="Arial" w:hAnsi="Arial"/>
                <w:sz w:val="22"/>
                <w:szCs w:val="22"/>
                <w:color w:val="auto"/>
              </w:rPr>
              <w:t>12/02/19</w:t>
            </w:r>
          </w:p>
        </w:tc>
        <w:tc>
          <w:tcPr>
            <w:tcW w:w="126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783-</w:t>
            </w:r>
          </w:p>
        </w:tc>
        <w:tc>
          <w:tcPr>
            <w:tcW w:w="980" w:type="dxa"/>
            <w:vAlign w:val="bottom"/>
          </w:tcPr>
          <w:p>
            <w:pPr>
              <w:ind w:left="220"/>
              <w:spacing w:after="0" w:line="243" w:lineRule="exact"/>
              <w:rPr>
                <w:sz w:val="20"/>
                <w:szCs w:val="20"/>
                <w:color w:val="auto"/>
              </w:rPr>
            </w:pPr>
            <w:r>
              <w:rPr>
                <w:rFonts w:ascii="Arial" w:cs="Arial" w:eastAsia="Arial" w:hAnsi="Arial"/>
                <w:sz w:val="22"/>
                <w:szCs w:val="22"/>
                <w:color w:val="auto"/>
                <w:w w:val="93"/>
              </w:rPr>
              <w:t>36.3000</w:t>
            </w:r>
          </w:p>
        </w:tc>
        <w:tc>
          <w:tcPr>
            <w:tcW w:w="1140" w:type="dxa"/>
            <w:vAlign w:val="bottom"/>
          </w:tcPr>
          <w:p>
            <w:pPr>
              <w:spacing w:after="0"/>
              <w:rPr>
                <w:sz w:val="21"/>
                <w:szCs w:val="21"/>
                <w:color w:val="auto"/>
              </w:rPr>
            </w:pPr>
          </w:p>
        </w:tc>
      </w:tr>
      <w:tr>
        <w:trPr>
          <w:trHeight w:val="243"/>
        </w:trPr>
        <w:tc>
          <w:tcPr>
            <w:tcW w:w="2180" w:type="dxa"/>
            <w:vAlign w:val="bottom"/>
          </w:tcPr>
          <w:p>
            <w:pPr>
              <w:ind w:left="1140"/>
              <w:spacing w:after="0" w:line="243" w:lineRule="exact"/>
              <w:rPr>
                <w:sz w:val="20"/>
                <w:szCs w:val="20"/>
                <w:color w:val="auto"/>
              </w:rPr>
            </w:pPr>
            <w:r>
              <w:rPr>
                <w:rFonts w:ascii="Arial" w:cs="Arial" w:eastAsia="Arial" w:hAnsi="Arial"/>
                <w:sz w:val="22"/>
                <w:szCs w:val="22"/>
                <w:color w:val="auto"/>
              </w:rPr>
              <w:t>11/27/19</w:t>
            </w:r>
          </w:p>
        </w:tc>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6"/>
              </w:rPr>
              <w:t>717-</w:t>
            </w:r>
          </w:p>
        </w:tc>
        <w:tc>
          <w:tcPr>
            <w:tcW w:w="980" w:type="dxa"/>
            <w:vAlign w:val="bottom"/>
          </w:tcPr>
          <w:p>
            <w:pPr>
              <w:ind w:left="200"/>
              <w:spacing w:after="0" w:line="243" w:lineRule="exact"/>
              <w:rPr>
                <w:sz w:val="20"/>
                <w:szCs w:val="20"/>
                <w:color w:val="auto"/>
              </w:rPr>
            </w:pPr>
            <w:r>
              <w:rPr>
                <w:rFonts w:ascii="Arial" w:cs="Arial" w:eastAsia="Arial" w:hAnsi="Arial"/>
                <w:sz w:val="22"/>
                <w:szCs w:val="22"/>
                <w:color w:val="auto"/>
                <w:w w:val="95"/>
              </w:rPr>
              <w:t>36.1810</w:t>
            </w:r>
          </w:p>
        </w:tc>
        <w:tc>
          <w:tcPr>
            <w:tcW w:w="1140" w:type="dxa"/>
            <w:vAlign w:val="bottom"/>
          </w:tcPr>
          <w:p>
            <w:pPr>
              <w:spacing w:after="0"/>
              <w:rPr>
                <w:sz w:val="21"/>
                <w:szCs w:val="21"/>
                <w:color w:val="auto"/>
              </w:rPr>
            </w:pPr>
          </w:p>
        </w:tc>
      </w:tr>
      <w:tr>
        <w:trPr>
          <w:trHeight w:val="243"/>
        </w:trPr>
        <w:tc>
          <w:tcPr>
            <w:tcW w:w="2180" w:type="dxa"/>
            <w:vAlign w:val="bottom"/>
          </w:tcPr>
          <w:p>
            <w:pPr>
              <w:ind w:left="1140"/>
              <w:spacing w:after="0" w:line="243" w:lineRule="exact"/>
              <w:rPr>
                <w:sz w:val="20"/>
                <w:szCs w:val="20"/>
                <w:color w:val="auto"/>
              </w:rPr>
            </w:pPr>
            <w:r>
              <w:rPr>
                <w:rFonts w:ascii="Arial" w:cs="Arial" w:eastAsia="Arial" w:hAnsi="Arial"/>
                <w:sz w:val="22"/>
                <w:szCs w:val="22"/>
                <w:color w:val="auto"/>
              </w:rPr>
              <w:t>11/22/19</w:t>
            </w:r>
          </w:p>
        </w:tc>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9"/>
              </w:rPr>
              <w:t>1,800-</w:t>
            </w:r>
          </w:p>
        </w:tc>
        <w:tc>
          <w:tcPr>
            <w:tcW w:w="980" w:type="dxa"/>
            <w:vAlign w:val="bottom"/>
          </w:tcPr>
          <w:p>
            <w:pPr>
              <w:ind w:left="260"/>
              <w:spacing w:after="0" w:line="243" w:lineRule="exact"/>
              <w:rPr>
                <w:sz w:val="20"/>
                <w:szCs w:val="20"/>
                <w:color w:val="auto"/>
              </w:rPr>
            </w:pPr>
            <w:r>
              <w:rPr>
                <w:rFonts w:ascii="Arial" w:cs="Arial" w:eastAsia="Arial" w:hAnsi="Arial"/>
                <w:sz w:val="22"/>
                <w:szCs w:val="22"/>
                <w:color w:val="auto"/>
                <w:w w:val="87"/>
              </w:rPr>
              <w:t>35.0000</w:t>
            </w:r>
          </w:p>
        </w:tc>
        <w:tc>
          <w:tcPr>
            <w:tcW w:w="1140" w:type="dxa"/>
            <w:vAlign w:val="bottom"/>
          </w:tcPr>
          <w:p>
            <w:pPr>
              <w:spacing w:after="0"/>
              <w:rPr>
                <w:sz w:val="21"/>
                <w:szCs w:val="21"/>
                <w:color w:val="auto"/>
              </w:rPr>
            </w:pPr>
          </w:p>
        </w:tc>
      </w:tr>
      <w:tr>
        <w:trPr>
          <w:trHeight w:val="275"/>
        </w:trPr>
        <w:tc>
          <w:tcPr>
            <w:tcW w:w="2180" w:type="dxa"/>
            <w:vAlign w:val="bottom"/>
          </w:tcPr>
          <w:p>
            <w:pPr>
              <w:ind w:left="1140"/>
              <w:spacing w:after="0"/>
              <w:rPr>
                <w:sz w:val="20"/>
                <w:szCs w:val="20"/>
                <w:color w:val="auto"/>
              </w:rPr>
            </w:pPr>
            <w:r>
              <w:rPr>
                <w:rFonts w:ascii="Arial" w:cs="Arial" w:eastAsia="Arial" w:hAnsi="Arial"/>
                <w:sz w:val="22"/>
                <w:szCs w:val="22"/>
                <w:color w:val="auto"/>
              </w:rPr>
              <w:t>11/21/19</w:t>
            </w:r>
          </w:p>
        </w:tc>
        <w:tc>
          <w:tcPr>
            <w:tcW w:w="1260" w:type="dxa"/>
            <w:vAlign w:val="bottom"/>
          </w:tcPr>
          <w:p>
            <w:pPr>
              <w:jc w:val="center"/>
              <w:spacing w:after="0"/>
              <w:rPr>
                <w:sz w:val="20"/>
                <w:szCs w:val="20"/>
                <w:color w:val="auto"/>
              </w:rPr>
            </w:pPr>
            <w:r>
              <w:rPr>
                <w:rFonts w:ascii="Arial" w:cs="Arial" w:eastAsia="Arial" w:hAnsi="Arial"/>
                <w:sz w:val="22"/>
                <w:szCs w:val="22"/>
                <w:color w:val="auto"/>
                <w:w w:val="86"/>
              </w:rPr>
              <w:t>200-</w:t>
            </w:r>
          </w:p>
        </w:tc>
        <w:tc>
          <w:tcPr>
            <w:tcW w:w="980" w:type="dxa"/>
            <w:vAlign w:val="bottom"/>
          </w:tcPr>
          <w:p>
            <w:pPr>
              <w:ind w:left="200"/>
              <w:spacing w:after="0"/>
              <w:rPr>
                <w:sz w:val="20"/>
                <w:szCs w:val="20"/>
                <w:color w:val="auto"/>
              </w:rPr>
            </w:pPr>
            <w:r>
              <w:rPr>
                <w:rFonts w:ascii="Arial" w:cs="Arial" w:eastAsia="Arial" w:hAnsi="Arial"/>
                <w:sz w:val="22"/>
                <w:szCs w:val="22"/>
                <w:color w:val="auto"/>
                <w:w w:val="95"/>
              </w:rPr>
              <w:t>35.0000</w:t>
            </w:r>
          </w:p>
        </w:tc>
        <w:tc>
          <w:tcPr>
            <w:tcW w:w="1140" w:type="dxa"/>
            <w:vAlign w:val="bottom"/>
          </w:tcPr>
          <w:p>
            <w:pPr>
              <w:spacing w:after="0"/>
              <w:rPr>
                <w:sz w:val="23"/>
                <w:szCs w:val="23"/>
                <w:color w:val="auto"/>
              </w:rPr>
            </w:pPr>
          </w:p>
        </w:tc>
      </w:tr>
    </w:tbl>
    <w:p>
      <w:pPr>
        <w:spacing w:after="0" w:line="212" w:lineRule="exact"/>
        <w:rPr>
          <w:sz w:val="20"/>
          <w:szCs w:val="20"/>
          <w:color w:val="auto"/>
        </w:rPr>
      </w:pPr>
    </w:p>
    <w:p>
      <w:pPr>
        <w:ind w:left="212" w:right="2579" w:hanging="212"/>
        <w:spacing w:after="0" w:line="251" w:lineRule="auto"/>
        <w:tabs>
          <w:tab w:leader="none" w:pos="302" w:val="left"/>
        </w:tabs>
        <w:numPr>
          <w:ilvl w:val="0"/>
          <w:numId w:val="50"/>
        </w:numPr>
        <w:rPr>
          <w:rFonts w:ascii="Arial" w:cs="Arial" w:eastAsia="Arial" w:hAnsi="Arial"/>
          <w:sz w:val="22"/>
          <w:szCs w:val="22"/>
          <w:color w:val="auto"/>
        </w:rPr>
      </w:pPr>
      <w:r>
        <w:rPr>
          <w:rFonts w:ascii="Arial" w:cs="Arial" w:eastAsia="Arial" w:hAnsi="Arial"/>
          <w:sz w:val="22"/>
          <w:szCs w:val="22"/>
          <w:color w:val="auto"/>
        </w:rPr>
        <w:t>UNLESS OTHERWISE INDICATED, ALL TRANSACTIONS WERE EFFECTED ON THE NYSE.</w:t>
      </w:r>
    </w:p>
    <w:p>
      <w:pPr>
        <w:spacing w:after="0" w:line="200" w:lineRule="exact"/>
        <w:rPr>
          <w:rFonts w:ascii="Arial" w:cs="Arial" w:eastAsia="Arial" w:hAnsi="Arial"/>
          <w:sz w:val="22"/>
          <w:szCs w:val="22"/>
          <w:color w:val="auto"/>
        </w:rPr>
      </w:pPr>
    </w:p>
    <w:p>
      <w:pPr>
        <w:ind w:left="312" w:hanging="312"/>
        <w:spacing w:after="0"/>
        <w:tabs>
          <w:tab w:leader="none" w:pos="312" w:val="left"/>
        </w:tabs>
        <w:numPr>
          <w:ilvl w:val="0"/>
          <w:numId w:val="50"/>
        </w:numPr>
        <w:rPr>
          <w:rFonts w:ascii="Arial" w:cs="Arial" w:eastAsia="Arial" w:hAnsi="Arial"/>
          <w:sz w:val="22"/>
          <w:szCs w:val="22"/>
          <w:color w:val="auto"/>
        </w:rPr>
      </w:pPr>
      <w:r>
        <w:rPr>
          <w:rFonts w:ascii="Arial" w:cs="Arial" w:eastAsia="Arial" w:hAnsi="Arial"/>
          <w:sz w:val="22"/>
          <w:szCs w:val="22"/>
          <w:color w:val="auto"/>
        </w:rPr>
        <w:t>PRICE EXCLUDES COMMISSION.</w:t>
      </w:r>
    </w:p>
    <w:p>
      <w:pPr>
        <w:sectPr>
          <w:pgSz w:w="11900" w:h="16838" w:orient="portrait"/>
          <w:cols w:equalWidth="0" w:num="1">
            <w:col w:w="10211"/>
          </w:cols>
          <w:pgMar w:left="248" w:top="1090" w:right="1440" w:bottom="1440" w:gutter="0" w:footer="0" w:header="0"/>
        </w:sectPr>
      </w:pPr>
    </w:p>
    <w:p>
      <w:pPr>
        <w:spacing w:after="0" w:line="5" w:lineRule="exact"/>
        <w:rPr>
          <w:sz w:val="20"/>
          <w:szCs w:val="20"/>
          <w:color w:val="auto"/>
        </w:rPr>
      </w:pPr>
    </w:p>
    <w:p>
      <w:pPr>
        <w:ind w:left="5632"/>
        <w:spacing w:after="0"/>
        <w:rPr>
          <w:sz w:val="20"/>
          <w:szCs w:val="20"/>
          <w:color w:val="auto"/>
        </w:rPr>
      </w:pPr>
      <w:r>
        <w:rPr>
          <w:rFonts w:ascii="Arial" w:cs="Arial" w:eastAsia="Arial" w:hAnsi="Arial"/>
          <w:sz w:val="12"/>
          <w:szCs w:val="12"/>
          <w:color w:val="auto"/>
        </w:rPr>
        <w:t>16</w:t>
      </w:r>
    </w:p>
    <w:sectPr>
      <w:pgSz w:w="11900" w:h="16838" w:orient="portrait"/>
      <w:cols w:equalWidth="0" w:num="1">
        <w:col w:w="10211"/>
      </w:cols>
      <w:pgMar w:left="248" w:top="109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bullet"/>
      <w:start w:val="1"/>
    </w:lvl>
  </w:abstractNum>
  <w:abstractNum w:abstractNumId="1">
    <w:nsid w:val="B03E0C6"/>
    <w:multiLevelType w:val="hybridMultilevel"/>
    <w:lvl w:ilvl="0">
      <w:lvlJc w:val="left"/>
      <w:lvlText w:val="3"/>
      <w:numFmt w:val="bullet"/>
      <w:start w:val="1"/>
    </w:lvl>
  </w:abstractNum>
  <w:abstractNum w:abstractNumId="2">
    <w:nsid w:val="189A769B"/>
    <w:multiLevelType w:val="hybridMultilevel"/>
    <w:lvl w:ilvl="0">
      <w:lvlJc w:val="left"/>
      <w:lvlText w:val="4"/>
      <w:numFmt w:val="bullet"/>
      <w:start w:val="1"/>
    </w:lvl>
  </w:abstractNum>
  <w:abstractNum w:abstractNumId="3">
    <w:nsid w:val="54E49EB4"/>
    <w:multiLevelType w:val="hybridMultilevel"/>
    <w:lvl w:ilvl="0">
      <w:lvlJc w:val="left"/>
      <w:lvlText w:val="5"/>
      <w:numFmt w:val="bullet"/>
      <w:start w:val="1"/>
    </w:lvl>
  </w:abstractNum>
  <w:abstractNum w:abstractNumId="4">
    <w:nsid w:val="71F32454"/>
    <w:multiLevelType w:val="hybridMultilevel"/>
    <w:lvl w:ilvl="0">
      <w:lvlJc w:val="left"/>
      <w:lvlText w:val="6"/>
      <w:numFmt w:val="bullet"/>
      <w:start w:val="1"/>
    </w:lvl>
  </w:abstractNum>
  <w:abstractNum w:abstractNumId="5">
    <w:nsid w:val="2CA88611"/>
    <w:multiLevelType w:val="hybridMultilevel"/>
    <w:lvl w:ilvl="0">
      <w:lvlJc w:val="left"/>
      <w:lvlText w:val="%1"/>
      <w:numFmt w:val="decimal"/>
      <w:start w:val="11"/>
    </w:lvl>
  </w:abstractNum>
  <w:abstractNum w:abstractNumId="6">
    <w:nsid w:val="836C40E"/>
    <w:multiLevelType w:val="hybridMultilevel"/>
    <w:lvl w:ilvl="0">
      <w:lvlJc w:val="left"/>
      <w:lvlText w:val="%1"/>
      <w:numFmt w:val="decimal"/>
      <w:start w:val="13"/>
    </w:lvl>
  </w:abstractNum>
  <w:abstractNum w:abstractNumId="7">
    <w:nsid w:val="2901D82"/>
    <w:multiLevelType w:val="hybridMultilevel"/>
    <w:lvl w:ilvl="0">
      <w:lvlJc w:val="left"/>
      <w:lvlText w:val="1"/>
      <w:numFmt w:val="bullet"/>
      <w:start w:val="1"/>
    </w:lvl>
  </w:abstractNum>
  <w:abstractNum w:abstractNumId="8">
    <w:nsid w:val="3A95F874"/>
    <w:multiLevelType w:val="hybridMultilevel"/>
    <w:lvl w:ilvl="0">
      <w:lvlJc w:val="left"/>
      <w:lvlText w:val="3"/>
      <w:numFmt w:val="bullet"/>
      <w:start w:val="1"/>
    </w:lvl>
  </w:abstractNum>
  <w:abstractNum w:abstractNumId="9">
    <w:nsid w:val="8138641"/>
    <w:multiLevelType w:val="hybridMultilevel"/>
    <w:lvl w:ilvl="0">
      <w:lvlJc w:val="left"/>
      <w:lvlText w:val="4"/>
      <w:numFmt w:val="bullet"/>
      <w:start w:val="1"/>
    </w:lvl>
  </w:abstractNum>
  <w:abstractNum w:abstractNumId="10">
    <w:nsid w:val="1E7FF521"/>
    <w:multiLevelType w:val="hybridMultilevel"/>
    <w:lvl w:ilvl="0">
      <w:lvlJc w:val="left"/>
      <w:lvlText w:val="5"/>
      <w:numFmt w:val="bullet"/>
      <w:start w:val="1"/>
    </w:lvl>
  </w:abstractNum>
  <w:abstractNum w:abstractNumId="11">
    <w:nsid w:val="7C3DBD3D"/>
    <w:multiLevelType w:val="hybridMultilevel"/>
    <w:lvl w:ilvl="0">
      <w:lvlJc w:val="left"/>
      <w:lvlText w:val="6"/>
      <w:numFmt w:val="bullet"/>
      <w:start w:val="1"/>
    </w:lvl>
  </w:abstractNum>
  <w:abstractNum w:abstractNumId="12">
    <w:nsid w:val="737B8DDC"/>
    <w:multiLevelType w:val="hybridMultilevel"/>
    <w:lvl w:ilvl="0">
      <w:lvlJc w:val="left"/>
      <w:lvlText w:val="%1"/>
      <w:numFmt w:val="decimal"/>
      <w:start w:val="11"/>
    </w:lvl>
  </w:abstractNum>
  <w:abstractNum w:abstractNumId="13">
    <w:nsid w:val="6CEAF087"/>
    <w:multiLevelType w:val="hybridMultilevel"/>
    <w:lvl w:ilvl="0">
      <w:lvlJc w:val="left"/>
      <w:lvlText w:val="%1"/>
      <w:numFmt w:val="decimal"/>
      <w:start w:val="13"/>
    </w:lvl>
  </w:abstractNum>
  <w:abstractNum w:abstractNumId="14">
    <w:nsid w:val="22221A70"/>
    <w:multiLevelType w:val="hybridMultilevel"/>
    <w:lvl w:ilvl="0">
      <w:lvlJc w:val="left"/>
      <w:lvlText w:val="1"/>
      <w:numFmt w:val="bullet"/>
      <w:start w:val="1"/>
    </w:lvl>
  </w:abstractNum>
  <w:abstractNum w:abstractNumId="15">
    <w:nsid w:val="4516DDE9"/>
    <w:multiLevelType w:val="hybridMultilevel"/>
    <w:lvl w:ilvl="0">
      <w:lvlJc w:val="left"/>
      <w:lvlText w:val="3"/>
      <w:numFmt w:val="bullet"/>
      <w:start w:val="1"/>
    </w:lvl>
  </w:abstractNum>
  <w:abstractNum w:abstractNumId="16">
    <w:nsid w:val="3006C83E"/>
    <w:multiLevelType w:val="hybridMultilevel"/>
    <w:lvl w:ilvl="0">
      <w:lvlJc w:val="left"/>
      <w:lvlText w:val="4"/>
      <w:numFmt w:val="bullet"/>
      <w:start w:val="1"/>
    </w:lvl>
  </w:abstractNum>
  <w:abstractNum w:abstractNumId="17">
    <w:nsid w:val="614FD4A1"/>
    <w:multiLevelType w:val="hybridMultilevel"/>
    <w:lvl w:ilvl="0">
      <w:lvlJc w:val="left"/>
      <w:lvlText w:val="5"/>
      <w:numFmt w:val="bullet"/>
      <w:start w:val="1"/>
    </w:lvl>
  </w:abstractNum>
  <w:abstractNum w:abstractNumId="18">
    <w:nsid w:val="419AC241"/>
    <w:multiLevelType w:val="hybridMultilevel"/>
    <w:lvl w:ilvl="0">
      <w:lvlJc w:val="left"/>
      <w:lvlText w:val="6"/>
      <w:numFmt w:val="bullet"/>
      <w:start w:val="1"/>
    </w:lvl>
  </w:abstractNum>
  <w:abstractNum w:abstractNumId="19">
    <w:nsid w:val="5577F8E1"/>
    <w:multiLevelType w:val="hybridMultilevel"/>
    <w:lvl w:ilvl="0">
      <w:lvlJc w:val="left"/>
      <w:lvlText w:val="%1"/>
      <w:numFmt w:val="decimal"/>
      <w:start w:val="11"/>
    </w:lvl>
  </w:abstractNum>
  <w:abstractNum w:abstractNumId="20">
    <w:nsid w:val="440BADFC"/>
    <w:multiLevelType w:val="hybridMultilevel"/>
    <w:lvl w:ilvl="0">
      <w:lvlJc w:val="left"/>
      <w:lvlText w:val="1"/>
      <w:numFmt w:val="bullet"/>
      <w:start w:val="1"/>
    </w:lvl>
  </w:abstractNum>
  <w:abstractNum w:abstractNumId="21">
    <w:nsid w:val="5072367"/>
    <w:multiLevelType w:val="hybridMultilevel"/>
    <w:lvl w:ilvl="0">
      <w:lvlJc w:val="left"/>
      <w:lvlText w:val="3"/>
      <w:numFmt w:val="bullet"/>
      <w:start w:val="1"/>
    </w:lvl>
  </w:abstractNum>
  <w:abstractNum w:abstractNumId="22">
    <w:nsid w:val="3804823E"/>
    <w:multiLevelType w:val="hybridMultilevel"/>
    <w:lvl w:ilvl="0">
      <w:lvlJc w:val="left"/>
      <w:lvlText w:val="4"/>
      <w:numFmt w:val="bullet"/>
      <w:start w:val="1"/>
    </w:lvl>
  </w:abstractNum>
  <w:abstractNum w:abstractNumId="23">
    <w:nsid w:val="77465F01"/>
    <w:multiLevelType w:val="hybridMultilevel"/>
    <w:lvl w:ilvl="0">
      <w:lvlJc w:val="left"/>
      <w:lvlText w:val="5"/>
      <w:numFmt w:val="bullet"/>
      <w:start w:val="1"/>
    </w:lvl>
  </w:abstractNum>
  <w:abstractNum w:abstractNumId="24">
    <w:nsid w:val="7724C67E"/>
    <w:multiLevelType w:val="hybridMultilevel"/>
    <w:lvl w:ilvl="0">
      <w:lvlJc w:val="left"/>
      <w:lvlText w:val="6"/>
      <w:numFmt w:val="bullet"/>
      <w:start w:val="1"/>
    </w:lvl>
  </w:abstractNum>
  <w:abstractNum w:abstractNumId="25">
    <w:nsid w:val="5C482A97"/>
    <w:multiLevelType w:val="hybridMultilevel"/>
    <w:lvl w:ilvl="0">
      <w:lvlJc w:val="left"/>
      <w:lvlText w:val="%1"/>
      <w:numFmt w:val="decimal"/>
      <w:start w:val="11"/>
    </w:lvl>
  </w:abstractNum>
  <w:abstractNum w:abstractNumId="26">
    <w:nsid w:val="2463B9EA"/>
    <w:multiLevelType w:val="hybridMultilevel"/>
    <w:lvl w:ilvl="0">
      <w:lvlJc w:val="left"/>
      <w:lvlText w:val="1"/>
      <w:numFmt w:val="bullet"/>
      <w:start w:val="1"/>
    </w:lvl>
  </w:abstractNum>
  <w:abstractNum w:abstractNumId="27">
    <w:nsid w:val="5E884ADC"/>
    <w:multiLevelType w:val="hybridMultilevel"/>
    <w:lvl w:ilvl="0">
      <w:lvlJc w:val="left"/>
      <w:lvlText w:val="3"/>
      <w:numFmt w:val="bullet"/>
      <w:start w:val="1"/>
    </w:lvl>
  </w:abstractNum>
  <w:abstractNum w:abstractNumId="28">
    <w:nsid w:val="51EAD36B"/>
    <w:multiLevelType w:val="hybridMultilevel"/>
    <w:lvl w:ilvl="0">
      <w:lvlJc w:val="left"/>
      <w:lvlText w:val="4"/>
      <w:numFmt w:val="bullet"/>
      <w:start w:val="1"/>
    </w:lvl>
  </w:abstractNum>
  <w:abstractNum w:abstractNumId="29">
    <w:nsid w:val="2D517796"/>
    <w:multiLevelType w:val="hybridMultilevel"/>
    <w:lvl w:ilvl="0">
      <w:lvlJc w:val="left"/>
      <w:lvlText w:val="5"/>
      <w:numFmt w:val="bullet"/>
      <w:start w:val="1"/>
    </w:lvl>
  </w:abstractNum>
  <w:abstractNum w:abstractNumId="30">
    <w:nsid w:val="580BD78F"/>
    <w:multiLevelType w:val="hybridMultilevel"/>
    <w:lvl w:ilvl="0">
      <w:lvlJc w:val="left"/>
      <w:lvlText w:val="6"/>
      <w:numFmt w:val="bullet"/>
      <w:start w:val="1"/>
    </w:lvl>
  </w:abstractNum>
  <w:abstractNum w:abstractNumId="31">
    <w:nsid w:val="153EA438"/>
    <w:multiLevelType w:val="hybridMultilevel"/>
    <w:lvl w:ilvl="0">
      <w:lvlJc w:val="left"/>
      <w:lvlText w:val="%1"/>
      <w:numFmt w:val="decimal"/>
      <w:start w:val="11"/>
    </w:lvl>
  </w:abstractNum>
  <w:abstractNum w:abstractNumId="32">
    <w:nsid w:val="3855585C"/>
    <w:multiLevelType w:val="hybridMultilevel"/>
    <w:lvl w:ilvl="0">
      <w:lvlJc w:val="left"/>
      <w:lvlText w:val="1"/>
      <w:numFmt w:val="bullet"/>
      <w:start w:val="1"/>
    </w:lvl>
  </w:abstractNum>
  <w:abstractNum w:abstractNumId="33">
    <w:nsid w:val="70A64E2A"/>
    <w:multiLevelType w:val="hybridMultilevel"/>
    <w:lvl w:ilvl="0">
      <w:lvlJc w:val="left"/>
      <w:lvlText w:val="3"/>
      <w:numFmt w:val="bullet"/>
      <w:start w:val="1"/>
    </w:lvl>
  </w:abstractNum>
  <w:abstractNum w:abstractNumId="34">
    <w:nsid w:val="6A2342EC"/>
    <w:multiLevelType w:val="hybridMultilevel"/>
    <w:lvl w:ilvl="0">
      <w:lvlJc w:val="left"/>
      <w:lvlText w:val="4"/>
      <w:numFmt w:val="bullet"/>
      <w:start w:val="1"/>
    </w:lvl>
  </w:abstractNum>
  <w:abstractNum w:abstractNumId="35">
    <w:nsid w:val="2A487CB0"/>
    <w:multiLevelType w:val="hybridMultilevel"/>
    <w:lvl w:ilvl="0">
      <w:lvlJc w:val="left"/>
      <w:lvlText w:val="5"/>
      <w:numFmt w:val="bullet"/>
      <w:start w:val="1"/>
    </w:lvl>
  </w:abstractNum>
  <w:abstractNum w:abstractNumId="36">
    <w:nsid w:val="1D4ED43B"/>
    <w:multiLevelType w:val="hybridMultilevel"/>
    <w:lvl w:ilvl="0">
      <w:lvlJc w:val="left"/>
      <w:lvlText w:val="6"/>
      <w:numFmt w:val="bullet"/>
      <w:start w:val="1"/>
    </w:lvl>
  </w:abstractNum>
  <w:abstractNum w:abstractNumId="37">
    <w:nsid w:val="725A06FB"/>
    <w:multiLevelType w:val="hybridMultilevel"/>
    <w:lvl w:ilvl="0">
      <w:lvlJc w:val="left"/>
      <w:lvlText w:val="%1"/>
      <w:numFmt w:val="decimal"/>
      <w:start w:val="11"/>
    </w:lvl>
  </w:abstractNum>
  <w:abstractNum w:abstractNumId="38">
    <w:nsid w:val="2CD89A32"/>
    <w:multiLevelType w:val="hybridMultilevel"/>
    <w:lvl w:ilvl="0">
      <w:lvlJc w:val="left"/>
      <w:lvlText w:val="1"/>
      <w:numFmt w:val="bullet"/>
      <w:start w:val="1"/>
    </w:lvl>
  </w:abstractNum>
  <w:abstractNum w:abstractNumId="39">
    <w:nsid w:val="57E4CCAF"/>
    <w:multiLevelType w:val="hybridMultilevel"/>
    <w:lvl w:ilvl="0">
      <w:lvlJc w:val="left"/>
      <w:lvlText w:val="3"/>
      <w:numFmt w:val="bullet"/>
      <w:start w:val="1"/>
    </w:lvl>
  </w:abstractNum>
  <w:abstractNum w:abstractNumId="40">
    <w:nsid w:val="7A6D8D3C"/>
    <w:multiLevelType w:val="hybridMultilevel"/>
    <w:lvl w:ilvl="0">
      <w:lvlJc w:val="left"/>
      <w:lvlText w:val="4"/>
      <w:numFmt w:val="bullet"/>
      <w:start w:val="1"/>
    </w:lvl>
  </w:abstractNum>
  <w:abstractNum w:abstractNumId="41">
    <w:nsid w:val="4B588F54"/>
    <w:multiLevelType w:val="hybridMultilevel"/>
    <w:lvl w:ilvl="0">
      <w:lvlJc w:val="left"/>
      <w:lvlText w:val="5"/>
      <w:numFmt w:val="bullet"/>
      <w:start w:val="1"/>
    </w:lvl>
  </w:abstractNum>
  <w:abstractNum w:abstractNumId="42">
    <w:nsid w:val="542289EC"/>
    <w:multiLevelType w:val="hybridMultilevel"/>
    <w:lvl w:ilvl="0">
      <w:lvlJc w:val="left"/>
      <w:lvlText w:val="6"/>
      <w:numFmt w:val="bullet"/>
      <w:start w:val="1"/>
    </w:lvl>
  </w:abstractNum>
  <w:abstractNum w:abstractNumId="43">
    <w:nsid w:val="6DE91B18"/>
    <w:multiLevelType w:val="hybridMultilevel"/>
    <w:lvl w:ilvl="0">
      <w:lvlJc w:val="left"/>
      <w:lvlText w:val="%1"/>
      <w:numFmt w:val="decimal"/>
      <w:start w:val="11"/>
    </w:lvl>
  </w:abstractNum>
  <w:abstractNum w:abstractNumId="44">
    <w:nsid w:val="38437FDB"/>
    <w:multiLevelType w:val="hybridMultilevel"/>
    <w:lvl w:ilvl="0">
      <w:lvlJc w:val="left"/>
      <w:lvlText w:val="(%1)"/>
      <w:numFmt w:val="lowerLetter"/>
      <w:start w:val="4"/>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1)"/>
      <w:numFmt w:val="lowerLetter"/>
      <w:start w:val="2"/>
    </w:lvl>
  </w:abstractNum>
  <w:abstractNum w:abstractNumId="47">
    <w:nsid w:val="684A481A"/>
    <w:multiLevelType w:val="hybridMultilevel"/>
    <w:lvl w:ilvl="0">
      <w:lvlJc w:val="left"/>
      <w:lvlText w:val="(%1)"/>
      <w:numFmt w:val="lowerLetter"/>
      <w:start w:val="3"/>
    </w:lvl>
  </w:abstractNum>
  <w:abstractNum w:abstractNumId="48">
    <w:nsid w:val="579478FE"/>
    <w:multiLevelType w:val="hybridMultilevel"/>
    <w:lvl w:ilvl="0">
      <w:lvlJc w:val="left"/>
      <w:lvlText w:val="(%1)"/>
      <w:numFmt w:val="lowerLetter"/>
      <w:start w:val="5"/>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2020-01-06T15:12:51Z</dcterms:created>
  <dcterms:modified xsi:type="dcterms:W3CDTF">2020-01-06T15:12:51Z</dcterms:modified>
</cp:coreProperties>
</file>