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176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March 17, 2014</w:t>
            </w:r>
          </w:p>
        </w:tc>
        <w:tc>
          <w:tcPr>
            <w:tcW w:w="3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44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center"/>
              <w:ind w:right="870"/>
              <w:spacing w:after="0"/>
              <w:rPr>
                <w:sz w:val="20"/>
                <w:szCs w:val="20"/>
                <w:color w:val="auto"/>
              </w:rPr>
            </w:pPr>
            <w:r>
              <w:rPr>
                <w:rFonts w:ascii="Arial" w:cs="Arial" w:eastAsia="Arial" w:hAnsi="Arial"/>
                <w:sz w:val="18"/>
                <w:szCs w:val="18"/>
                <w:b w:val="1"/>
                <w:bCs w:val="1"/>
                <w:color w:val="auto"/>
                <w:w w:val="94"/>
              </w:rPr>
              <w:t>Oil-Dri Corporation of America</w:t>
            </w:r>
          </w:p>
        </w:tc>
        <w:tc>
          <w:tcPr>
            <w:tcW w:w="3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7960" w:type="dxa"/>
            <w:vAlign w:val="bottom"/>
            <w:gridSpan w:val="3"/>
          </w:tcPr>
          <w:p>
            <w:pPr>
              <w:jc w:val="center"/>
              <w:ind w:left="3390"/>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50"/>
        </w:trPr>
        <w:tc>
          <w:tcPr>
            <w:tcW w:w="442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b w:val="1"/>
                <w:bCs w:val="1"/>
                <w:color w:val="auto"/>
                <w:w w:val="90"/>
              </w:rPr>
              <w:t>001-12622</w:t>
            </w:r>
          </w:p>
        </w:tc>
        <w:tc>
          <w:tcPr>
            <w:tcW w:w="17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36-2048898</w:t>
            </w:r>
          </w:p>
        </w:tc>
        <w:tc>
          <w:tcPr>
            <w:tcW w:w="20" w:type="dxa"/>
            <w:vAlign w:val="bottom"/>
          </w:tcPr>
          <w:p>
            <w:pPr>
              <w:spacing w:after="0"/>
              <w:rPr>
                <w:sz w:val="24"/>
                <w:szCs w:val="24"/>
                <w:color w:val="auto"/>
              </w:rPr>
            </w:pPr>
          </w:p>
        </w:tc>
      </w:tr>
      <w:tr>
        <w:trPr>
          <w:trHeight w:val="224"/>
        </w:trPr>
        <w:tc>
          <w:tcPr>
            <w:tcW w:w="4420" w:type="dxa"/>
            <w:vAlign w:val="bottom"/>
          </w:tcPr>
          <w:p>
            <w:pPr>
              <w:jc w:val="center"/>
              <w:ind w:right="650"/>
              <w:spacing w:after="0"/>
              <w:rPr>
                <w:sz w:val="20"/>
                <w:szCs w:val="20"/>
                <w:color w:val="auto"/>
              </w:rPr>
            </w:pPr>
            <w:r>
              <w:rPr>
                <w:rFonts w:ascii="Arial" w:cs="Arial" w:eastAsia="Arial" w:hAnsi="Arial"/>
                <w:sz w:val="18"/>
                <w:szCs w:val="18"/>
                <w:color w:val="auto"/>
                <w:w w:val="92"/>
              </w:rPr>
              <w:t>(State or other jurisdiction of incorporation)</w:t>
            </w:r>
          </w:p>
        </w:tc>
        <w:tc>
          <w:tcPr>
            <w:tcW w:w="3540" w:type="dxa"/>
            <w:vAlign w:val="bottom"/>
            <w:gridSpan w:val="2"/>
          </w:tcPr>
          <w:p>
            <w:pPr>
              <w:jc w:val="center"/>
              <w:ind w:right="830"/>
              <w:spacing w:after="0"/>
              <w:rPr>
                <w:sz w:val="20"/>
                <w:szCs w:val="20"/>
                <w:color w:val="auto"/>
              </w:rPr>
            </w:pPr>
            <w:r>
              <w:rPr>
                <w:rFonts w:ascii="Arial" w:cs="Arial" w:eastAsia="Arial" w:hAnsi="Arial"/>
                <w:sz w:val="18"/>
                <w:szCs w:val="18"/>
                <w:color w:val="auto"/>
                <w:w w:val="92"/>
              </w:rPr>
              <w:t>(Commission File Number)</w:t>
            </w:r>
          </w:p>
        </w:tc>
        <w:tc>
          <w:tcPr>
            <w:tcW w:w="3460" w:type="dxa"/>
            <w:vAlign w:val="bottom"/>
          </w:tcPr>
          <w:p>
            <w:pPr>
              <w:jc w:val="right"/>
              <w:ind w:right="490"/>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19"/>
                <w:szCs w:val="19"/>
                <w:color w:val="auto"/>
              </w:rPr>
            </w:pPr>
          </w:p>
        </w:tc>
      </w:tr>
      <w:tr>
        <w:trPr>
          <w:trHeight w:val="832"/>
        </w:trPr>
        <w:tc>
          <w:tcPr>
            <w:tcW w:w="44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410 North Michigan Avenue</w:t>
            </w:r>
          </w:p>
        </w:tc>
        <w:tc>
          <w:tcPr>
            <w:tcW w:w="1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4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Suite 400</w:t>
            </w:r>
          </w:p>
        </w:tc>
        <w:tc>
          <w:tcPr>
            <w:tcW w:w="17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420" w:type="dxa"/>
            <w:vAlign w:val="bottom"/>
            <w:tcBorders>
              <w:bottom w:val="single" w:sz="8" w:color="auto"/>
            </w:tcBorders>
          </w:tcPr>
          <w:p>
            <w:pPr>
              <w:jc w:val="center"/>
              <w:ind w:left="1330"/>
              <w:spacing w:after="0"/>
              <w:rPr>
                <w:sz w:val="20"/>
                <w:szCs w:val="20"/>
                <w:color w:val="auto"/>
              </w:rPr>
            </w:pPr>
            <w:r>
              <w:rPr>
                <w:rFonts w:ascii="Arial" w:cs="Arial" w:eastAsia="Arial" w:hAnsi="Arial"/>
                <w:sz w:val="18"/>
                <w:szCs w:val="18"/>
                <w:b w:val="1"/>
                <w:bCs w:val="1"/>
                <w:color w:val="auto"/>
                <w:w w:val="89"/>
              </w:rPr>
              <w:t>Chicago, Illinois</w:t>
            </w:r>
          </w:p>
        </w:tc>
        <w:tc>
          <w:tcPr>
            <w:tcW w:w="17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44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80" w:type="dxa"/>
            <w:vAlign w:val="bottom"/>
            <w:gridSpan w:val="2"/>
          </w:tcPr>
          <w:p>
            <w:pPr>
              <w:jc w:val="right"/>
              <w:ind w:right="20"/>
              <w:spacing w:after="0"/>
              <w:rPr>
                <w:sz w:val="20"/>
                <w:szCs w:val="20"/>
                <w:color w:val="auto"/>
              </w:rPr>
            </w:pPr>
            <w:r>
              <w:rPr>
                <w:rFonts w:ascii="Arial" w:cs="Arial" w:eastAsia="Arial" w:hAnsi="Arial"/>
                <w:sz w:val="18"/>
                <w:szCs w:val="18"/>
                <w:color w:val="auto"/>
              </w:rPr>
              <w:t>(Zip Code)</w:t>
            </w:r>
          </w:p>
        </w:tc>
      </w:tr>
      <w:tr>
        <w:trPr>
          <w:trHeight w:val="634"/>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89"/>
              </w:rPr>
              <w:t>Registrant’s telephone number, including area code</w:t>
            </w:r>
          </w:p>
        </w:tc>
        <w:tc>
          <w:tcPr>
            <w:tcW w:w="176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(312) 321-1515</w:t>
            </w:r>
          </w:p>
        </w:tc>
        <w:tc>
          <w:tcPr>
            <w:tcW w:w="3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4.01</w:t>
      </w:r>
      <w:r>
        <w:rPr>
          <w:rFonts w:ascii="Arial" w:cs="Arial" w:eastAsia="Arial" w:hAnsi="Arial"/>
          <w:sz w:val="18"/>
          <w:szCs w:val="18"/>
          <w:b w:val="1"/>
          <w:bCs w:val="1"/>
          <w:color w:val="auto"/>
        </w:rPr>
        <w:t xml:space="preserve"> Changes in Registrant’s Certifying Accountant.</w:t>
      </w:r>
    </w:p>
    <w:p>
      <w:pPr>
        <w:spacing w:after="0" w:line="229" w:lineRule="exact"/>
        <w:rPr>
          <w:sz w:val="20"/>
          <w:szCs w:val="20"/>
          <w:color w:val="auto"/>
        </w:rPr>
      </w:pPr>
    </w:p>
    <w:p>
      <w:pPr>
        <w:ind w:firstLine="656"/>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March 17, 2014, the Audit Committee of the Board of Directors of Oil-Dri Corporation of America (the “Registrant”) dismissed PricewaterhouseCoopers LLP (“PwC”) as the Registrant’s independent registered public accounting firm.</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PwC’s audit reports on the consolidated financial statements of the Registrant and its subsidiaries as of and for the fiscal years ended July 31, 2013 and 2012 did not contain an adverse opinion or a disclaimer of opinion, and were not qualified or modified as to uncertainty, audit scope, or accounting principles.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Registrant’s two most recent fiscal years ended July 31, 2013 and 2012 and through March 17, 2014, there were (i) no disagreements between the Registrant and PwC on any matter of accounting principles or practices, financial statement disclosure, or auditing scope or procedure, which disagreements, if not resolved to the satisfaction of PwC, would have caused them to make reference thereto in their reports on the consolidated financial statements for such years and (ii) no “reportable events” as that term is defined in Item 304(a)(1)(v) of Regulation S-K.</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Registrant has provided PwC with a copy of the foregoing disclosures and has requested that PwC review such disclosures and provide a letter addressed to the U.S. Securities and Exchange Commission (“SEC”) as specified by Item 304(a)(3) of Regulation S-K. A copy of PwC’s letter, dated March 21, 2014, to the SEC is attached to this report as Exhibit 16.1.</w:t>
      </w:r>
    </w:p>
    <w:p>
      <w:pPr>
        <w:spacing w:after="0" w:line="181" w:lineRule="exact"/>
        <w:rPr>
          <w:sz w:val="20"/>
          <w:szCs w:val="20"/>
          <w:color w:val="auto"/>
        </w:rPr>
      </w:pPr>
    </w:p>
    <w:p>
      <w:pPr>
        <w:jc w:val="both"/>
        <w:ind w:firstLine="656"/>
        <w:spacing w:after="0" w:line="259" w:lineRule="auto"/>
        <w:tabs>
          <w:tab w:leader="none" w:pos="936"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17, 2014, the Audit Committee of the Board of Directors of the Registrant appointed Grant Thornton LLP as the Registrant’s independent registered public accounting firm for its fiscal year ending July 31, 2014, effective immediately. During the Registrant’s two most recent fiscal years ended July 31, 2013 and 2012 and through March 17, 2014, neither the Registrant nor anyone acting on its behalf consulted with Grant Thornton LLP regarding any of the matters or events set forth in Item 304(a)(2)(i) and (ii) of Regulation 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29"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On March 17, 2014, the Registrant’s Board of Directors declared quarterly cash dividends of $0.19 per share of the Registrant’s Common Stock and $0.1425 per share of the Registrant’s Class B Stock. The dividends will be payable on May 30, 2014, to stockholders of record at the close of business on May 16, 2014. A copy of the Registrant’s press release announcing these matters is attached as Exhibit 99.1 and the information contained therein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29"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30"/>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260"/>
              <w:spacing w:after="0"/>
              <w:rPr>
                <w:sz w:val="20"/>
                <w:szCs w:val="20"/>
                <w:color w:val="auto"/>
              </w:rPr>
            </w:pPr>
            <w:r>
              <w:rPr>
                <w:rFonts w:ascii="Arial" w:cs="Arial" w:eastAsia="Arial" w:hAnsi="Arial"/>
                <w:sz w:val="18"/>
                <w:szCs w:val="18"/>
                <w:color w:val="auto"/>
              </w:rPr>
              <w:t>Description of Exhibits</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16.1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Letter from PricewaterhouseCoopers LLP, dated as of March 21, 2014.</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Press Release dated March 21, 2014 (Cash Dividends).</w:t>
            </w:r>
          </w:p>
        </w:tc>
      </w:tr>
      <w:tr>
        <w:trPr>
          <w:trHeight w:val="648"/>
        </w:trPr>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7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OIL-DRI CORPORATION OF AMERICA</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A. Graham</w:t>
            </w:r>
          </w:p>
        </w:tc>
      </w:tr>
      <w:tr>
        <w:trPr>
          <w:trHeight w:val="195"/>
        </w:trPr>
        <w:tc>
          <w:tcPr>
            <w:tcW w:w="58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Douglas A. Graham</w:t>
            </w:r>
          </w:p>
        </w:tc>
      </w:tr>
      <w:tr>
        <w:trPr>
          <w:trHeight w:val="230"/>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904" w:right="5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3"/>
          </w:tcPr>
          <w:p>
            <w:pPr>
              <w:ind w:left="3960"/>
              <w:spacing w:after="0"/>
              <w:rPr>
                <w:sz w:val="20"/>
                <w:szCs w:val="20"/>
                <w:color w:val="auto"/>
              </w:rPr>
            </w:pPr>
            <w:r>
              <w:rPr>
                <w:rFonts w:ascii="Arial" w:cs="Arial" w:eastAsia="Arial" w:hAnsi="Arial"/>
                <w:sz w:val="18"/>
                <w:szCs w:val="18"/>
                <w:color w:val="auto"/>
              </w:rPr>
              <w:t>Exhibit Index</w:t>
            </w:r>
          </w:p>
        </w:tc>
      </w:tr>
      <w:tr>
        <w:trPr>
          <w:trHeight w:val="654"/>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0"/>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Description of Exhibits</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16.1</w:t>
            </w:r>
          </w:p>
        </w:tc>
        <w:tc>
          <w:tcPr>
            <w:tcW w:w="10260" w:type="dxa"/>
            <w:vAlign w:val="bottom"/>
            <w:gridSpan w:val="4"/>
          </w:tcPr>
          <w:p>
            <w:pPr>
              <w:ind w:left="100"/>
              <w:spacing w:after="0"/>
              <w:rPr>
                <w:sz w:val="20"/>
                <w:szCs w:val="20"/>
                <w:color w:val="auto"/>
              </w:rPr>
            </w:pPr>
            <w:r>
              <w:rPr>
                <w:rFonts w:ascii="Arial" w:cs="Arial" w:eastAsia="Arial" w:hAnsi="Arial"/>
                <w:sz w:val="18"/>
                <w:szCs w:val="18"/>
                <w:color w:val="auto"/>
              </w:rPr>
              <w:t>Letter from PricewaterhouseCoopers LLP, dated as of March 21, 2014.</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4"/>
          </w:tcPr>
          <w:p>
            <w:pPr>
              <w:ind w:left="100"/>
              <w:spacing w:after="0"/>
              <w:rPr>
                <w:sz w:val="20"/>
                <w:szCs w:val="20"/>
                <w:color w:val="auto"/>
              </w:rPr>
            </w:pPr>
            <w:r>
              <w:rPr>
                <w:rFonts w:ascii="Arial" w:cs="Arial" w:eastAsia="Arial" w:hAnsi="Arial"/>
                <w:sz w:val="18"/>
                <w:szCs w:val="18"/>
                <w:color w:val="auto"/>
              </w:rPr>
              <w:t>Press Release dated March 21, 2014 (Cash Dividends).</w:t>
            </w:r>
          </w:p>
        </w:tc>
      </w:tr>
      <w:tr>
        <w:trPr>
          <w:trHeight w:val="648"/>
        </w:trPr>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1269365" cy="1071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March 21,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have read the statements made by Oil-Dri Corporation of America (copy attached), which we understand will be filed with the Securities and Exchange Commission, pursuant to Item 4.01 of Form 8-K, as part of the Form 8-K of Oil-Dri Corporation of America dated March 17, 2014. We agree with the statements concerning our Firm in Item 4.01 of such Form 8-K.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PricewaterhouseCoopers LLP, One North Wacker Drive, Chicago, IL 60606</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T: (312) 298 2000, F: (312) 298 2001, www.pwc.com/us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5" w:name="page6"/>
    <w:bookmarkEnd w:id="5"/>
    <w:p>
      <w:pPr>
        <w:jc w:val="center"/>
        <w:ind w:right="220"/>
        <w:spacing w:after="0"/>
        <w:rPr>
          <w:sz w:val="20"/>
          <w:szCs w:val="20"/>
          <w:color w:val="auto"/>
        </w:rPr>
      </w:pPr>
      <w:r>
        <w:rPr>
          <w:rFonts w:ascii="Arial" w:cs="Arial" w:eastAsia="Arial" w:hAnsi="Arial"/>
          <w:sz w:val="18"/>
          <w:szCs w:val="18"/>
          <w:color w:val="002D69"/>
        </w:rPr>
        <w:drawing>
          <wp:anchor simplePos="0" relativeHeight="251657728" behindDoc="1" locked="0" layoutInCell="0" allowOverlap="1">
            <wp:simplePos x="0" y="0"/>
            <wp:positionH relativeFrom="page">
              <wp:posOffset>3124835</wp:posOffset>
            </wp:positionH>
            <wp:positionV relativeFrom="page">
              <wp:posOffset>88900</wp:posOffset>
            </wp:positionV>
            <wp:extent cx="1346200"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46200" cy="454660"/>
                    </a:xfrm>
                    <a:prstGeom prst="rect">
                      <a:avLst/>
                    </a:prstGeom>
                    <a:noFill/>
                  </pic:spPr>
                </pic:pic>
              </a:graphicData>
            </a:graphic>
          </wp:anchor>
        </w:drawing>
        <w:t>410 N. Michigan Ave. Chicago, Illinois 60611, U.S.A</w:t>
      </w:r>
    </w:p>
    <w:p>
      <w:pPr>
        <w:spacing w:after="0" w:line="22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002D69"/>
        </w:rPr>
        <w:t>News Announcement</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Oil-Dri Board of Directors Declares Quarterly Dividends</w:t>
      </w:r>
    </w:p>
    <w:p>
      <w:pPr>
        <w:spacing w:after="0" w:line="200" w:lineRule="exact"/>
        <w:rPr>
          <w:sz w:val="20"/>
          <w:szCs w:val="20"/>
          <w:color w:val="auto"/>
        </w:rPr>
      </w:pPr>
    </w:p>
    <w:p>
      <w:pPr>
        <w:spacing w:after="0" w:line="245" w:lineRule="exact"/>
        <w:rPr>
          <w:sz w:val="20"/>
          <w:szCs w:val="20"/>
          <w:color w:val="auto"/>
        </w:rPr>
      </w:pPr>
    </w:p>
    <w:p>
      <w:pPr>
        <w:ind w:left="100" w:right="580"/>
        <w:spacing w:after="0" w:line="264" w:lineRule="auto"/>
        <w:rPr>
          <w:sz w:val="20"/>
          <w:szCs w:val="20"/>
          <w:color w:val="auto"/>
        </w:rPr>
      </w:pPr>
      <w:r>
        <w:rPr>
          <w:rFonts w:ascii="Arial" w:cs="Arial" w:eastAsia="Arial" w:hAnsi="Arial"/>
          <w:sz w:val="18"/>
          <w:szCs w:val="18"/>
          <w:color w:val="auto"/>
        </w:rPr>
        <w:t>CHICAGO—(March 21, 2014)—The Board of Directors of Oil-Dri Corporation of America (NYSE: ODC) declared quarterly cash dividends of $0.19 per share of the Company’s Common Stock and $0.1425 per share of the Company’s Class B Stock on March 17, 2014.</w:t>
      </w:r>
    </w:p>
    <w:p>
      <w:pPr>
        <w:spacing w:after="0" w:line="181" w:lineRule="exact"/>
        <w:rPr>
          <w:sz w:val="20"/>
          <w:szCs w:val="20"/>
          <w:color w:val="auto"/>
        </w:rPr>
      </w:pPr>
    </w:p>
    <w:p>
      <w:pPr>
        <w:jc w:val="both"/>
        <w:ind w:left="100" w:right="400"/>
        <w:spacing w:after="0" w:line="264" w:lineRule="auto"/>
        <w:rPr>
          <w:sz w:val="20"/>
          <w:szCs w:val="20"/>
          <w:color w:val="auto"/>
        </w:rPr>
      </w:pPr>
      <w:r>
        <w:rPr>
          <w:rFonts w:ascii="Arial" w:cs="Arial" w:eastAsia="Arial" w:hAnsi="Arial"/>
          <w:sz w:val="18"/>
          <w:szCs w:val="18"/>
          <w:color w:val="auto"/>
        </w:rPr>
        <w:t>The declared dividends will be payable in the fourth quarter of fiscal 2014, on May 30, 2014, to stockholders of record at the close of business on May 16, 2014. The Company has paid cash dividends continuously since 1974 and has increased dividends annually for each of the last ten years.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left="100" w:right="320"/>
        <w:spacing w:after="0" w:line="342"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industrial, automotive, agricultural, horticultural and specialty markets and the world’s largest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396240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002D69"/>
        </w:rPr>
        <w:t>Reagan Culbertson</w:t>
      </w:r>
    </w:p>
    <w:p>
      <w:pPr>
        <w:spacing w:after="0" w:line="23" w:lineRule="exact"/>
        <w:rPr>
          <w:sz w:val="20"/>
          <w:szCs w:val="20"/>
          <w:color w:val="auto"/>
        </w:rPr>
      </w:pPr>
    </w:p>
    <w:p>
      <w:pPr>
        <w:jc w:val="center"/>
        <w:ind w:right="220"/>
        <w:spacing w:after="0"/>
        <w:rPr>
          <w:sz w:val="20"/>
          <w:szCs w:val="20"/>
          <w:color w:val="auto"/>
        </w:rPr>
      </w:pPr>
      <w:r>
        <w:rPr>
          <w:rFonts w:ascii="Arial" w:cs="Arial" w:eastAsia="Arial" w:hAnsi="Arial"/>
          <w:sz w:val="18"/>
          <w:szCs w:val="18"/>
          <w:i w:val="1"/>
          <w:iCs w:val="1"/>
          <w:color w:val="002D69"/>
        </w:rPr>
        <w:t>Investor Relations Manager</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002D69"/>
        </w:rPr>
        <w:t>reagan.culbertson@oildri.com</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240"/>
      </w:cols>
      <w:pgMar w:left="1440" w:top="138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2020-01-26T12:16:45Z</dcterms:created>
  <dcterms:modified xsi:type="dcterms:W3CDTF">2020-01-26T12:16:45Z</dcterms:modified>
</cp:coreProperties>
</file>