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ind w:left="0" w:right="0" w:firstLine="540"/>
        <w:jc w:val="left"/>
        <w:rPr>
          <w:color w:val="000000"/>
        </w:rPr>
      </w:pPr>
      <w:r>
        <w:rPr>
          <w:color w:val="000000"/>
        </w:rPr>
        <w:t> </w:t>
      </w:r>
    </w:p>
    <w:tbl>
      <w:tblPr>
        <w:tblW w:w="5084" w:type="dxa"/>
        <w:jc w:val="left"/>
        <w:tblInd w:w="0" w:type="dxa"/>
        <w:tblLayout w:type="fixed"/>
        <w:tblCellMar>
          <w:top w:w="28" w:type="dxa"/>
          <w:left w:w="28" w:type="dxa"/>
          <w:bottom w:w="28" w:type="dxa"/>
          <w:right w:w="28" w:type="dxa"/>
        </w:tblCellMar>
      </w:tblPr>
      <w:tblGrid>
        <w:gridCol w:w="1411"/>
        <w:gridCol w:w="1239"/>
        <w:gridCol w:w="1249"/>
        <w:gridCol w:w="347"/>
        <w:gridCol w:w="347"/>
        <w:gridCol w:w="491"/>
      </w:tblGrid>
      <w:tr>
        <w:trPr/>
        <w:tc>
          <w:tcPr>
            <w:tcW w:w="141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11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June 8, 2026</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OIL-DRI CORPORATION OF AMERICA</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the registrant as specified in its charter)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42"/>
        <w:gridCol w:w="738"/>
        <w:gridCol w:w="738"/>
        <w:gridCol w:w="738"/>
        <w:gridCol w:w="738"/>
        <w:gridCol w:w="772"/>
        <w:gridCol w:w="109"/>
        <w:gridCol w:w="109"/>
        <w:gridCol w:w="109"/>
        <w:gridCol w:w="718"/>
        <w:gridCol w:w="718"/>
        <w:gridCol w:w="725"/>
        <w:gridCol w:w="109"/>
        <w:gridCol w:w="109"/>
        <w:gridCol w:w="109"/>
        <w:gridCol w:w="822"/>
        <w:gridCol w:w="822"/>
        <w:gridCol w:w="1180"/>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Delaware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001-12622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36-2048898</w:t>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410 North Michigan Avenue, Suite 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Chicago, 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60611-4213</w:t>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registrant's telephone number, including area code: (312) 321-1515 </w:t>
            </w:r>
          </w:p>
        </w:tc>
      </w:tr>
    </w:tbl>
    <w:p>
      <w:pPr>
        <w:pStyle w:val="TextBody"/>
        <w:bidi w:val="0"/>
        <w:spacing w:lineRule="auto" w:line="288" w:before="100" w:after="283"/>
        <w:jc w:val="center"/>
        <w:rPr>
          <w:color w:val="000000"/>
        </w:rPr>
      </w:pPr>
      <w:r>
        <w:rPr>
          <w:color w:val="000000"/>
        </w:rPr>
        <w:t> </w:t>
      </w:r>
    </w:p>
    <w:tbl>
      <w:tblPr>
        <w:tblW w:w="5115" w:type="dxa"/>
        <w:jc w:val="left"/>
        <w:tblInd w:w="0" w:type="dxa"/>
        <w:tblLayout w:type="fixed"/>
        <w:tblCellMar>
          <w:top w:w="28" w:type="dxa"/>
          <w:left w:w="28" w:type="dxa"/>
          <w:bottom w:w="28" w:type="dxa"/>
          <w:right w:w="28" w:type="dxa"/>
        </w:tblCellMar>
      </w:tblPr>
      <w:tblGrid>
        <w:gridCol w:w="1637"/>
        <w:gridCol w:w="1440"/>
        <w:gridCol w:w="2038"/>
      </w:tblGrid>
      <w:tr>
        <w:trPr/>
        <w:tc>
          <w:tcPr>
            <w:tcW w:w="163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$0.10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ODC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335"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1199"/>
        <w:gridCol w:w="1199"/>
        <w:gridCol w:w="16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8, 2026, Oil-Dri Corporation of America (the “Company”) issued a press release announcing its results of operations for its third quarter ended April 30, 2026. A copy of the press release is attached as Exhibit 99.1, and the information contained therein is incorporated herein by reference.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hereto, is being furnished and shall not be deemed “filed” for purposes of Section 18 of the Securities Exchange Act of 1934, as amended (the “Exchange Act”), or otherwise subject to the liabilities of that section. This information shall not be deemed to be incorporated by reference into any filing under the Securities Act of 1933, as amended, or the Exchange Act, except as shall be expressly set forth by specific reference to such disclosure in this Form 8-K in such a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45"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381"/>
        <w:gridCol w:w="381"/>
        <w:gridCol w:w="5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its regular meeting on June 3, 2026, the Board of Directors of the Company (the “Board”) declared quarterly cash dividends of $0.225 per share of Common Stock, and $0.168 per share of Class B Stock. The dividends will be payable on August 21, 2026 to stockholders of record at the close of business on August 7, 2026.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At its June 3, 2026 meeting, the Board also authorized the repurchase of up to 500,000 shares of Common Stock. These shares are in addition to the 172,261 shares of Common Stock and 208,197 shares of Class B Stock available for repurchase as of April 30, 2026 under prior authorizations from the Board. Repurchases may be made on the open market (pursuant to Rule 10b5-1 plans or otherwise) or in negotiated transactions. The timing, number and manner of share repurchases will be determined by our management pursuant to the repurchase plan previously approved by our Board.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 copy of the press release issued on June 3, 2026 announcing these matters is attached as Exhibit 99.2, and the information contained therein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16"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9695" w:type="dxa"/>
        <w:jc w:val="left"/>
        <w:tblInd w:w="0" w:type="dxa"/>
        <w:tblLayout w:type="fixed"/>
        <w:tblCellMar>
          <w:top w:w="28" w:type="dxa"/>
          <w:left w:w="28" w:type="dxa"/>
          <w:bottom w:w="28" w:type="dxa"/>
          <w:right w:w="28" w:type="dxa"/>
        </w:tblCellMar>
      </w:tblPr>
      <w:tblGrid>
        <w:gridCol w:w="279"/>
        <w:gridCol w:w="247"/>
        <w:gridCol w:w="247"/>
        <w:gridCol w:w="109"/>
        <w:gridCol w:w="109"/>
        <w:gridCol w:w="109"/>
        <w:gridCol w:w="2516"/>
        <w:gridCol w:w="2516"/>
        <w:gridCol w:w="3563"/>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563"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 of Exhibits</w:t>
            </w:r>
          </w:p>
        </w:tc>
      </w:tr>
      <w:tr>
        <w:trPr/>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dcf26q3ex991-earningsrele.htm">
              <w:r>
                <w:rPr>
                  <w:rStyle w:val="InternetLink"/>
                  <w:rFonts w:ascii="Times New Roman;serif" w:hAnsi="Times New Roman;serif"/>
                  <w:b w:val="false"/>
                  <w:color w:val="0000FF"/>
                  <w:sz w:val="20"/>
                  <w:u w:val="single"/>
                </w:rPr>
                <w:t>Press Release of the Company dated June 8, 2026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dcf26q3ex992-dividendrele.htm">
              <w:r>
                <w:rPr>
                  <w:rStyle w:val="InternetLink"/>
                  <w:rFonts w:ascii="Times New Roman;serif" w:hAnsi="Times New Roman;serif"/>
                  <w:b w:val="false"/>
                  <w:color w:val="0000FF"/>
                  <w:sz w:val="20"/>
                  <w:u w:val="single"/>
                </w:rPr>
                <w:t>Press Release of the Company dated June 3, 2026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iXBRL document)</w:t>
            </w:r>
          </w:p>
        </w:tc>
      </w:tr>
    </w:tbl>
    <w:p>
      <w:pPr>
        <w:pStyle w:val="TextBody"/>
        <w:bidi w:val="0"/>
        <w:spacing w:before="1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ind w:left="0" w:right="0" w:firstLine="58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firstLine="585"/>
        <w:jc w:val="left"/>
        <w:rPr>
          <w:color w:val="000000"/>
        </w:rPr>
      </w:pPr>
      <w:r>
        <w:rPr>
          <w:color w:val="000000"/>
        </w:rPr>
        <w:t> </w:t>
      </w:r>
    </w:p>
    <w:tbl>
      <w:tblPr>
        <w:tblW w:w="5203" w:type="dxa"/>
        <w:jc w:val="left"/>
        <w:tblInd w:w="0" w:type="dxa"/>
        <w:tblLayout w:type="fixed"/>
        <w:tblCellMar>
          <w:top w:w="28" w:type="dxa"/>
          <w:left w:w="28" w:type="dxa"/>
          <w:bottom w:w="28" w:type="dxa"/>
          <w:right w:w="28" w:type="dxa"/>
        </w:tblCellMar>
      </w:tblPr>
      <w:tblGrid>
        <w:gridCol w:w="124"/>
        <w:gridCol w:w="109"/>
        <w:gridCol w:w="109"/>
        <w:gridCol w:w="371"/>
        <w:gridCol w:w="371"/>
        <w:gridCol w:w="371"/>
        <w:gridCol w:w="762"/>
        <w:gridCol w:w="762"/>
        <w:gridCol w:w="762"/>
        <w:gridCol w:w="428"/>
        <w:gridCol w:w="428"/>
        <w:gridCol w:w="6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OIL-DRI CORPORATION OF AMERICA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W. Parker</w:t>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W. Parker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General Counsel &amp; Secretary</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June 8,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542925"/>
                    </a:xfrm>
                    <a:prstGeom prst="rect">
                      <a:avLst/>
                    </a:prstGeom>
                  </pic:spPr>
                </pic:pic>
              </a:graphicData>
            </a:graphic>
          </wp:inline>
        </w:drawing>
      </w:r>
    </w:p>
    <w:p>
      <w:pPr>
        <w:pStyle w:val="TextBody"/>
        <w:bidi w:val="0"/>
        <w:spacing w:lineRule="auto" w:line="417" w:before="0" w:after="0"/>
        <w:jc w:val="center"/>
        <w:rPr>
          <w:rFonts w:ascii="Arial;sans-serif" w:hAnsi="Arial;sans-serif"/>
          <w:b w:val="false"/>
          <w:i/>
          <w:color w:val="002D69"/>
          <w:sz w:val="17"/>
        </w:rPr>
      </w:pPr>
      <w:r>
        <w:rPr>
          <w:rFonts w:ascii="Arial;sans-serif" w:hAnsi="Arial;sans-serif"/>
          <w:b w:val="false"/>
          <w:i/>
          <w:color w:val="002D69"/>
          <w:sz w:val="17"/>
        </w:rPr>
        <w:t>410 N. Michigan Ave. Chicago, Illinois 60611, U.S.A</w:t>
      </w:r>
    </w:p>
    <w:p>
      <w:pPr>
        <w:pStyle w:val="TextBody"/>
        <w:bidi w:val="0"/>
        <w:spacing w:lineRule="auto" w:line="288" w:before="0" w:after="0"/>
        <w:jc w:val="center"/>
        <w:rPr>
          <w:rFonts w:ascii="Times New Roman;serif" w:hAnsi="Times New Roman;serif"/>
          <w:b/>
          <w:color w:val="002D69"/>
          <w:sz w:val="24"/>
        </w:rPr>
      </w:pPr>
      <w:r>
        <w:rPr>
          <w:rFonts w:ascii="Times New Roman;serif" w:hAnsi="Times New Roman;serif"/>
          <w:b/>
          <w:color w:val="002D69"/>
          <w:sz w:val="24"/>
        </w:rPr>
        <w:t>News Announcement</w:t>
      </w:r>
    </w:p>
    <w:p>
      <w:pPr>
        <w:pStyle w:val="TextBody"/>
        <w:bidi w:val="0"/>
        <w:spacing w:lineRule="auto" w:line="288" w:before="0" w:after="0"/>
        <w:jc w:val="center"/>
        <w:rPr>
          <w:rFonts w:ascii="Times New Roman;serif" w:hAnsi="Times New Roman;serif"/>
          <w:b w:val="false"/>
          <w:i/>
          <w:color w:val="002D69"/>
          <w:sz w:val="24"/>
        </w:rPr>
      </w:pPr>
      <w:r>
        <w:rPr>
          <w:rFonts w:ascii="Times New Roman;serif" w:hAnsi="Times New Roman;serif"/>
          <w:b w:val="false"/>
          <w:i/>
          <w:color w:val="002D69"/>
          <w:sz w:val="24"/>
        </w:rPr>
        <w:t>For Immediate Release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val="false"/>
          <w:color w:val="000000"/>
          <w:sz w:val="24"/>
        </w:rPr>
      </w:pPr>
      <w:r>
        <w:rPr>
          <w:rFonts w:ascii="Times New Roman;serif" w:hAnsi="Times New Roman;serif"/>
          <w:b w:val="false"/>
          <w:color w:val="000000"/>
          <w:sz w:val="24"/>
        </w:rPr>
        <w:t>Exhibit 99.1</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Oil-Dri Reports Record Third Quarter Revenues and Strong Earnings Growth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CHICAGO-(June 8, 2026) - Oil-Dri Corporation of America (NYSE: ODC), producer and marketer of sorbent mineral products, today announced results for its third quarter and first nine- months of fiscal year 2026.</w:t>
      </w:r>
    </w:p>
    <w:tbl>
      <w:tblPr>
        <w:tblW w:w="9535" w:type="dxa"/>
        <w:jc w:val="center"/>
        <w:tblInd w:w="0" w:type="dxa"/>
        <w:tblLayout w:type="fixed"/>
        <w:tblCellMar>
          <w:top w:w="28" w:type="dxa"/>
          <w:left w:w="28" w:type="dxa"/>
          <w:bottom w:w="28" w:type="dxa"/>
          <w:right w:w="28" w:type="dxa"/>
        </w:tblCellMar>
      </w:tblPr>
      <w:tblGrid>
        <w:gridCol w:w="1233"/>
        <w:gridCol w:w="1082"/>
        <w:gridCol w:w="1089"/>
        <w:gridCol w:w="211"/>
        <w:gridCol w:w="826"/>
        <w:gridCol w:w="109"/>
        <w:gridCol w:w="211"/>
        <w:gridCol w:w="826"/>
        <w:gridCol w:w="109"/>
        <w:gridCol w:w="250"/>
        <w:gridCol w:w="250"/>
        <w:gridCol w:w="251"/>
        <w:gridCol w:w="211"/>
        <w:gridCol w:w="826"/>
        <w:gridCol w:w="109"/>
        <w:gridCol w:w="211"/>
        <w:gridCol w:w="826"/>
        <w:gridCol w:w="109"/>
        <w:gridCol w:w="233"/>
        <w:gridCol w:w="233"/>
        <w:gridCol w:w="330"/>
      </w:tblGrid>
      <w:tr>
        <w:trPr/>
        <w:tc>
          <w:tcPr>
            <w:tcW w:w="1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Third Quarter</w:t>
            </w:r>
          </w:p>
        </w:tc>
        <w:tc>
          <w:tcPr>
            <w:tcW w:w="3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to Date</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Ended April 30, </w:t>
            </w:r>
          </w:p>
        </w:tc>
        <w:tc>
          <w:tcPr>
            <w:tcW w:w="3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Ended April 30, </w:t>
            </w:r>
          </w:p>
        </w:tc>
      </w:tr>
      <w:tr>
        <w:trPr/>
        <w:tc>
          <w:tcPr>
            <w:tcW w:w="340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1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9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04" w:type="dxa"/>
            <w:gridSpan w:val="3"/>
            <w:tcBorders>
              <w:left w:val="single" w:sz="8" w:space="0" w:color="000000"/>
            </w:tcBorders>
            <w:shd w:fill="000000"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Consolidated Results</w:t>
            </w:r>
          </w:p>
        </w:tc>
        <w:tc>
          <w:tcPr>
            <w:tcW w:w="1146"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right w:val="single" w:sz="8" w:space="0" w:color="000000"/>
            </w:tcBorders>
            <w:shd w:fill="00000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4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34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4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EPS - Common </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left w:val="single" w:sz="8" w:space="0" w:color="000000"/>
            </w:tcBorders>
            <w:shd w:fill="000000"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Business to Business</w:t>
            </w:r>
          </w:p>
        </w:tc>
        <w:tc>
          <w:tcPr>
            <w:tcW w:w="1146"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right w:val="single" w:sz="8" w:space="0" w:color="000000"/>
            </w:tcBorders>
            <w:shd w:fill="00000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4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3404" w:type="dxa"/>
            <w:gridSpan w:val="3"/>
            <w:tcBorders>
              <w:left w:val="single" w:sz="8" w:space="0" w:color="000000"/>
            </w:tcBorders>
            <w:shd w:fill="000000"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Retail and Wholesale</w:t>
            </w:r>
          </w:p>
        </w:tc>
        <w:tc>
          <w:tcPr>
            <w:tcW w:w="1146"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right w:val="single" w:sz="8" w:space="0" w:color="000000"/>
            </w:tcBorders>
            <w:shd w:fill="00000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3404"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11,299 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9,709 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211" w:type="dxa"/>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34,470 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34,414 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76" w:before="0" w:after="0"/>
        <w:jc w:val="left"/>
        <w:rPr>
          <w:rFonts w:ascii="Times New Roman;serif" w:hAnsi="Times New Roman;serif"/>
          <w:b w:val="false"/>
          <w:i/>
          <w:color w:val="000000"/>
          <w:sz w:val="13"/>
        </w:rPr>
      </w:pPr>
      <w:r>
        <w:rPr>
          <w:rFonts w:ascii="Times New Roman;serif" w:hAnsi="Times New Roman;serif"/>
          <w:b w:val="false"/>
          <w:i/>
          <w:color w:val="000000"/>
          <w:sz w:val="13"/>
        </w:rPr>
        <w:t>* Comprised of Consolidated Operating Income less unallocated corporate expenses.</w:t>
        <w:br/>
        <w:t>† Please refer to Reconciliation of Non-GAAP Financial Measures below for a reconciliation of Non-GAAP items to the comparable 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Daniel S. Jaffee, President and Chief Executive Officer, stated, “I am pleased to announce that after two consecutive quarters of challenging year-over-year comparisons, our recent results surpassed the prior year. Record third quarter consolidated net sales grew 9% and, combined with disciplined expense management, drove a 25% increase in net income despite inflationary pressure on cost of goods sold. Substantial cash generation also enabled us to continue returning value to our shareholders. While the ongoing conflict in the Middle East has contributed to broad market volatility, it did not have a material impact on our results for the third quarter. As we move into the final three months of our fiscal year, we expect to achieve our annual plan and surpass last year’s net income, although ongoing geopolitical unrest and related increases in transportation and input costs could create headwinds that may affect our ability to do so.”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 xml:space="preserve">Consolidated Results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As previously reported, the Company was impacted by Winter Storm Fern in January 2026, which disrupted Oil-Dri’s supply chain and affected customers’ ability to receive or pick up orders. Following the storm, operations recovered quickly, and service levels remained strong. During the third quarter of fiscal year 2026, the Company achieved fill rates of 99.9%, reflecting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operational resilience. As a result, our backlog declined by $2.2 million from the end of the prior quarter, causing a shift in revenue recognition into the third quarter of fiscal year 2026.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Consolidated net sales for the three months ended April 30, 2026 reached $126.3 million, up 9% from the prior year period. Higher revenues were achieved across both the Business to Business ("B2B") and Retail &amp; Wholesale ("R&amp;W") Products Groups, with elevated cat litter demand driving the majority of the growth.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Consolidated gross profit for the third quarter of fiscal year 2026 was $33.7 million, an increase of 2% over the prior year. Gross margins were 26.7% in the third quarter of fiscal year 2026 compared to 28.6% in the same period in fiscal year 2025. A 6% increase in per ton domestic cost of goods sold contributed to the erosion in margin.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Selling, general and administrative ("SG&amp;A") expenses were $16.6 million during the third quarter of fiscal year 2026 compared to $19.1 million in the prior year. This $2.5 million, or 13%, decline primarily resulted from a lower corporate bonus accrual.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Consolidated income from operations was $17.1 million in the third quarter of fiscal year 2026, or 23% greater than the same period in fiscal year 2025. Higher sales coupled with lower SG&amp;A expenses were partially offset by elevated per ton cost of goods sold.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Total other income, net was $800,000 for the three months ended April 30, 2026, compared to $300,000 in the same period last year.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During the third quarter of fiscal 2026, income tax expense rose to $3.4 million from $2.6 million in the prior-year period, driven by higher pre-tax income.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Consolidated net income for the third quarter of fiscal year 2026 was $14.5 million versus $11.6 million last year, representing a 25% improvement over the prior year.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Cash and cash equivalents for the three month period ended April 30, 2026 totaled $62.9 million compared to $50.5 million at the end of fiscal year 2025. Significant uses of cash during the third quarter of fiscal 2026 include capital investments for manufacturing infrastructure improvements and dividends.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 xml:space="preserve">Product Group Review </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B2B Products Group’s third quarter fiscal year 2026 revenues were $43.8 million, up 3% from the prior year. Year-over-year topline growth was generated by the Company’s agricultural and animal health businesses, while revenues from fluids purification products declined slightly. Sales of agricultural products reached $12.4 million, a 7% increase over last year, driven by elevated demand from new and existing customers and from order timing. Amlan International, Oil-Dri’s animal health business, reported sales of $6.4 million during the third quarter of fiscal 2026, up 10% over the prior year. This improvement was attributable to higher volumes, including additional demand from new end-user accounts gained during the year, as well as from the successful recovery of a portion of a distributor’s previously lost sales from a key customer. Revenues from fluids purification products totaled $25.0 million in the third quarter of fiscal year 2026, reflecting a relatively steady performance, albeit a decrease of 1% from the prior year.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SG&amp;A expenses within the B2B Products Group for the third quarter of fiscal year 2026 remained flat compared to the same period last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Operating income for the B2B Products Group was $13.0 million in the third quarter of fiscal year 2026 compared to $13.4 million in the prior year period, reflecting a decrease of 3%. Higher net sales were offset by elevated cost of goods sold.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R&amp;W Products Group delivered record sales of $82.5 million in the third quarter of fiscal year 2026, up 13% from the prior year. Gains were primarily driven by higher revenues from cat litter, and to a lesser extent, from industrial and sports products. Domestic cat litter sales, excluding co-packaged products, totaled $57.9 million for the third quarter of fiscal year 2026, up 10% from the prior year period. This improvement was primarily due to higher demand and the shift of orders into the third quarter caused by delays from Winter Storm Fern. Crystal cat litter volumes reached record levels, and sales of lightweight and coarse litter products increased over the prior year. In addition, co-packaged cat litter sales surged 94% to a new record high in the third quarter, supported by an expanded product portfolio that now includes lightweight litter. These results are consistent with 13-week retail data ended April 18, 2026¹, which showed that the lightweight litter segment again outperformed the overall cat litter category. Domestic industrial and sports products achieved record sales of $12.7 million for the third quarter of fiscal year 2026, up 3% from the third quarter of fiscal year 2025. Growth was driven by pricing actions to offset higher costs. The Company’s Canadian subsidiary reported a 2% revenue increase in the third quarter of fiscal year 2026 compared to the same period last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During the third quarter of fiscal 2026, SG&amp;A expenses within the R&amp;W Products Group decreased by $500,000, or 9%, from the prior year, primarily due to the timing of advertising spending.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Operating income for the R&amp;W Products Group was $11.3 million in the third quarter of fiscal year 2026, an increase of 16% compared to the same period last year. Higher sales and decreased SG&amp;A expenses drove this improvement.</w:t>
      </w:r>
    </w:p>
    <w:p>
      <w:pPr>
        <w:pStyle w:val="TextBody"/>
        <w:bidi w:val="0"/>
        <w:spacing w:before="0" w:after="0"/>
        <w:jc w:val="left"/>
        <w:rPr/>
      </w:pPr>
      <w:r>
        <w:rPr/>
      </w:r>
    </w:p>
    <w:p>
      <w:pPr>
        <w:pStyle w:val="TextBody"/>
        <w:bidi w:val="0"/>
        <w:spacing w:lineRule="auto" w:line="266"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will host its third quarter fiscal year 2026 earnings discussion virtually via a live webcast on Tuesday, June 9, 2026 at 10:00 a.m. Central Time. Participation details are available on the Company’s website’s Events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extBody"/>
        <w:bidi w:val="0"/>
        <w:spacing w:before="0" w:after="0"/>
        <w:jc w:val="center"/>
        <w:rPr/>
      </w:pPr>
      <w:r>
        <w:rPr/>
      </w:r>
    </w:p>
    <w:p>
      <w:pPr>
        <w:pStyle w:val="TextBody"/>
        <w:bidi w:val="0"/>
        <w:spacing w:lineRule="auto" w:line="276" w:before="0" w:after="0"/>
        <w:jc w:val="both"/>
        <w:rPr/>
      </w:pPr>
      <w:r>
        <w:rPr>
          <w:color w:val="000000"/>
        </w:rPr>
        <w:t>“</w:t>
      </w:r>
      <w:r>
        <w:rPr>
          <w:rFonts w:ascii="Times New Roman;serif" w:hAnsi="Times New Roman;serif"/>
          <w:b w:val="false"/>
          <w:i/>
          <w:color w:val="000000"/>
          <w:sz w:val="20"/>
        </w:rPr>
        <w:t>Oil-Dri” and “Amlan”</w:t>
      </w:r>
      <w:r>
        <w:rPr>
          <w:color w:val="000000"/>
        </w:rPr>
        <w:t xml:space="preserve"> </w:t>
      </w:r>
      <w:r>
        <w:rPr>
          <w:rFonts w:ascii="Times New Roman;serif" w:hAnsi="Times New Roman;serif"/>
          <w:b w:val="false"/>
          <w:i/>
          <w:color w:val="000000"/>
          <w:sz w:val="20"/>
        </w:rPr>
        <w:t>are registered trademarks of Oil-Dri Corporation of America and its subsidiaries.</w:t>
      </w:r>
      <w:r>
        <w:rPr>
          <w:color w:val="000000"/>
        </w:rPr>
        <w:t xml:space="preserv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13"/>
        </w:rPr>
        <w:t>1</w:t>
      </w:r>
      <w:r>
        <w:rPr>
          <w:rFonts w:ascii="Times New Roman;serif" w:hAnsi="Times New Roman;serif"/>
          <w:b w:val="false"/>
          <w:i/>
          <w:color w:val="000000"/>
          <w:sz w:val="20"/>
        </w:rPr>
        <w:t>Based in part on data reported by NielsenIQ through its Scantrack Service for the Cat Litter Category in the 13-week period ended April 18, 2026, for the U.S. xAOC+Pet Supers market. Copyright © 2026 NielsenIQ.</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About Oil-Dri Corporation of America</w:t>
      </w:r>
    </w:p>
    <w:p>
      <w:pPr>
        <w:pStyle w:val="TextBody"/>
        <w:bidi w:val="0"/>
        <w:spacing w:lineRule="auto" w:line="276"/>
        <w:jc w:val="left"/>
        <w:rPr>
          <w:rFonts w:ascii="Times New Roman;serif" w:hAnsi="Times New Roman;serif"/>
          <w:b w:val="false"/>
          <w:color w:val="000000"/>
          <w:sz w:val="24"/>
        </w:rPr>
      </w:pPr>
      <w:r>
        <w:rPr>
          <w:rFonts w:ascii="Times New Roman;serif" w:hAnsi="Times New Roman;serif"/>
          <w:b w:val="false"/>
          <w:color w:val="000000"/>
          <w:sz w:val="24"/>
        </w:rPr>
        <w:t xml:space="preserve">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w:t>
      </w: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4" w:before="0" w:after="0"/>
        <w:jc w:val="center"/>
        <w:rPr/>
      </w:pPr>
      <w:r>
        <w:rPr/>
        <w:drawing>
          <wp:inline distT="0" distB="0" distL="0" distR="0">
            <wp:extent cx="1638300" cy="5429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638300" cy="542925"/>
                    </a:xfrm>
                    <a:prstGeom prst="rect">
                      <a:avLst/>
                    </a:prstGeom>
                  </pic:spPr>
                </pic:pic>
              </a:graphicData>
            </a:graphic>
          </wp:inline>
        </w:drawing>
      </w:r>
      <w:r>
        <w:rPr>
          <w:rFonts w:ascii="Times New Roman;serif" w:hAnsi="Times New Roman;serif"/>
          <w:b w:val="false"/>
          <w:color w:val="000000"/>
          <w:sz w:val="20"/>
        </w:rPr>
        <w:t>4</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supply chain to marketing and sales. With over 80 years of experience, the Company continues to fulfill its mission to Create Value from Sorbent Minerals.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Certain statements in this press release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variations of such words and similar references to future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in our most recent Annual Report on Form 10-K and from time to time in our other filings with the Securities and Exchange Commission. Investors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Non-GAAP Financial Measures</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To supplement our consolidated financial statements prepared in accordance with generally accepted accounting principles (“GAAP”), we provide certain non-GAAP financial measures in this press release as supplemental financial metrics. In particular, EBITDA is a non-GAAP financial measure provided herein. We provide a reconciliation of this non-GAAP financial measure to the most directly comparable GAAP financial measure below.</w:t>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4"/>
        </w:rPr>
      </w:pPr>
      <w:r>
        <w:rPr>
          <w:rFonts w:ascii="Times New Roman;serif" w:hAnsi="Times New Roman;serif"/>
          <w:b w:val="false"/>
          <w:color w:val="000000"/>
          <w:sz w:val="24"/>
        </w:rPr>
        <w:t xml:space="preserve">The non-GAAP financial measures we use may not be the same or calculated in the same manner as those used and calculated by other companies. Non-GAAP financial measures have limitations as analytical tools and should not be considered in isolation or as a substitute for our financial results prepared and reported in accordance with GAAP. We believe that certain non-GAAP measures may be helpful to investors and others in understanding and evaluating our operating results, and we urge investors to review the reconciliation of non-GAAP financial </w:t>
      </w: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4" w:before="0" w:after="0"/>
        <w:jc w:val="center"/>
        <w:rPr/>
      </w:pPr>
      <w:r>
        <w:rPr/>
        <w:drawing>
          <wp:inline distT="0" distB="0" distL="0" distR="0">
            <wp:extent cx="1638300" cy="5429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638300" cy="542925"/>
                    </a:xfrm>
                    <a:prstGeom prst="rect">
                      <a:avLst/>
                    </a:prstGeom>
                  </pic:spPr>
                </pic:pic>
              </a:graphicData>
            </a:graphic>
          </wp:inline>
        </w:drawing>
      </w:r>
      <w:r>
        <w:rPr>
          <w:rFonts w:ascii="Times New Roman;serif" w:hAnsi="Times New Roman;serif"/>
          <w:b w:val="false"/>
          <w:color w:val="000000"/>
          <w:sz w:val="20"/>
        </w:rPr>
        <w:t>5</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measures to the comparable GAAP financial measures included in this release, and not to rely on any single financial measure to evaluate our business.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Contact:</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Leslie A. Garber</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Director of Investor Relations</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Oil-Dri Corporation of America</w:t>
      </w:r>
    </w:p>
    <w:p>
      <w:pPr>
        <w:pStyle w:val="TextBody"/>
        <w:bidi w:val="0"/>
        <w:spacing w:lineRule="auto" w:line="268" w:before="0" w:after="0"/>
        <w:jc w:val="both"/>
        <w:rPr>
          <w:rFonts w:ascii="Times New Roman;serif" w:hAnsi="Times New Roman;serif"/>
          <w:b w:val="false"/>
          <w:color w:val="0000FF"/>
          <w:sz w:val="24"/>
        </w:rPr>
      </w:pPr>
      <w:r>
        <w:rPr>
          <w:rFonts w:ascii="Times New Roman;serif" w:hAnsi="Times New Roman;serif"/>
          <w:b w:val="false"/>
          <w:color w:val="0000FF"/>
          <w:sz w:val="24"/>
        </w:rPr>
        <w:t>InvestorRelations@oildri.com</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(312) 321-1515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4" w:before="0" w:after="0"/>
        <w:jc w:val="center"/>
        <w:rPr/>
      </w:pPr>
      <w:r>
        <w:rPr/>
        <w:drawing>
          <wp:inline distT="0" distB="0" distL="0" distR="0">
            <wp:extent cx="1638300" cy="5429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638300" cy="542925"/>
                    </a:xfrm>
                    <a:prstGeom prst="rect">
                      <a:avLst/>
                    </a:prstGeom>
                  </pic:spPr>
                </pic:pic>
              </a:graphicData>
            </a:graphic>
          </wp:inline>
        </w:drawing>
      </w:r>
      <w:r>
        <w:rPr>
          <w:rFonts w:ascii="Times New Roman;serif" w:hAnsi="Times New Roman;serif"/>
          <w:b w:val="false"/>
          <w:color w:val="000000"/>
          <w:sz w:val="20"/>
        </w:rPr>
        <w:t>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10205" w:type="dxa"/>
        <w:jc w:val="left"/>
        <w:tblInd w:w="0" w:type="dxa"/>
        <w:tblLayout w:type="fixed"/>
        <w:tblCellMar>
          <w:top w:w="28" w:type="dxa"/>
          <w:left w:w="28" w:type="dxa"/>
          <w:bottom w:w="28" w:type="dxa"/>
          <w:right w:w="28" w:type="dxa"/>
        </w:tblCellMar>
      </w:tblPr>
      <w:tblGrid>
        <w:gridCol w:w="1458"/>
        <w:gridCol w:w="1279"/>
        <w:gridCol w:w="1054"/>
        <w:gridCol w:w="346"/>
        <w:gridCol w:w="1357"/>
        <w:gridCol w:w="179"/>
        <w:gridCol w:w="179"/>
        <w:gridCol w:w="179"/>
        <w:gridCol w:w="179"/>
        <w:gridCol w:w="367"/>
        <w:gridCol w:w="249"/>
        <w:gridCol w:w="445"/>
        <w:gridCol w:w="109"/>
        <w:gridCol w:w="109"/>
        <w:gridCol w:w="109"/>
        <w:gridCol w:w="211"/>
        <w:gridCol w:w="826"/>
        <w:gridCol w:w="109"/>
        <w:gridCol w:w="109"/>
        <w:gridCol w:w="109"/>
        <w:gridCol w:w="109"/>
        <w:gridCol w:w="308"/>
        <w:gridCol w:w="308"/>
        <w:gridCol w:w="518"/>
      </w:tblGrid>
      <w:tr>
        <w:trPr/>
        <w:tc>
          <w:tcPr>
            <w:tcW w:w="145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727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c>
        <w:tc>
          <w:tcPr>
            <w:tcW w:w="6414"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Third Quarter Ended April 30, </w:t>
            </w:r>
          </w:p>
        </w:tc>
      </w:tr>
      <w:tr>
        <w:trPr/>
        <w:tc>
          <w:tcPr>
            <w:tcW w:w="3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Sales</w:t>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126,329 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Goods Sold</w:t>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(92,601)</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7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33,728 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5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1"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(16,635)</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1"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7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17,093 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5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1"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Net</w:t>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1"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7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17,911 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5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Taxes Expense</w:t>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7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1"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791"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Basic Common</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Basic Class B</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Diluted Common</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Diluted Class B</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Avg Shares Outstanding: Basic Common</w:t>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Basic Class B</w:t>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Diluted Common</w:t>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Diluted Class B</w:t>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4" w:before="0" w:after="0"/>
        <w:jc w:val="center"/>
        <w:rPr/>
      </w:pPr>
      <w:r>
        <w:rPr/>
        <w:drawing>
          <wp:inline distT="0" distB="0" distL="0" distR="0">
            <wp:extent cx="1638300" cy="5429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638300" cy="542925"/>
                    </a:xfrm>
                    <a:prstGeom prst="rect">
                      <a:avLst/>
                    </a:prstGeom>
                  </pic:spPr>
                </pic:pic>
              </a:graphicData>
            </a:graphic>
          </wp:inline>
        </w:drawing>
      </w:r>
      <w:r>
        <w:rPr>
          <w:rFonts w:ascii="Times New Roman;serif" w:hAnsi="Times New Roman;serif"/>
          <w:b w:val="false"/>
          <w:color w:val="000000"/>
          <w:sz w:val="20"/>
        </w:rPr>
        <w:t>7</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38"/>
        <w:gridCol w:w="1349"/>
        <w:gridCol w:w="1143"/>
        <w:gridCol w:w="321"/>
        <w:gridCol w:w="1258"/>
        <w:gridCol w:w="166"/>
        <w:gridCol w:w="166"/>
        <w:gridCol w:w="166"/>
        <w:gridCol w:w="166"/>
        <w:gridCol w:w="367"/>
        <w:gridCol w:w="249"/>
        <w:gridCol w:w="412"/>
        <w:gridCol w:w="109"/>
        <w:gridCol w:w="109"/>
        <w:gridCol w:w="109"/>
        <w:gridCol w:w="211"/>
        <w:gridCol w:w="826"/>
        <w:gridCol w:w="109"/>
        <w:gridCol w:w="109"/>
        <w:gridCol w:w="109"/>
        <w:gridCol w:w="109"/>
        <w:gridCol w:w="308"/>
        <w:gridCol w:w="308"/>
        <w:gridCol w:w="488"/>
      </w:tblGrid>
      <w:tr>
        <w:trPr/>
        <w:tc>
          <w:tcPr>
            <w:tcW w:w="153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730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c>
        <w:tc>
          <w:tcPr>
            <w:tcW w:w="617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April 30, </w:t>
            </w:r>
          </w:p>
        </w:tc>
      </w:tr>
      <w:tr>
        <w:trPr/>
        <w:tc>
          <w:tcPr>
            <w:tcW w:w="4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Sales</w:t>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364,552 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Goods Sold</w:t>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(263,027)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4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5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101,525 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4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5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49,740 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5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51,399 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Taxes Expense</w:t>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5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42,551 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Basic Common</w:t>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Basic Class B</w:t>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Diluted Common</w:t>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Diluted Class B</w:t>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Avg Shares Outstanding: Basic Common</w:t>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Basic Class B</w:t>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Diluted Common</w:t>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Diluted Class B </w:t>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270"/>
        <w:jc w:val="both"/>
        <w:rPr/>
      </w:pPr>
      <w:r>
        <w:rPr/>
      </w:r>
    </w:p>
    <w:p>
      <w:pPr>
        <w:pStyle w:val="TextBody"/>
        <w:bidi w:val="0"/>
        <w:spacing w:before="100" w:after="283"/>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3"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4" w:before="0" w:after="0"/>
        <w:jc w:val="center"/>
        <w:rPr/>
      </w:pPr>
      <w:r>
        <w:rPr/>
        <w:drawing>
          <wp:inline distT="0" distB="0" distL="0" distR="0">
            <wp:extent cx="1638300" cy="5429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1638300" cy="542925"/>
                    </a:xfrm>
                    <a:prstGeom prst="rect">
                      <a:avLst/>
                    </a:prstGeom>
                  </pic:spPr>
                </pic:pic>
              </a:graphicData>
            </a:graphic>
          </wp:inline>
        </w:drawing>
      </w:r>
      <w:r>
        <w:rPr>
          <w:rFonts w:ascii="Times New Roman;serif" w:hAnsi="Times New Roman;serif"/>
          <w:b w:val="false"/>
          <w:color w:val="000000"/>
          <w:sz w:val="20"/>
        </w:rPr>
        <w:t>8</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982" w:type="dxa"/>
        <w:jc w:val="left"/>
        <w:tblInd w:w="0" w:type="dxa"/>
        <w:tblLayout w:type="fixed"/>
        <w:tblCellMar>
          <w:top w:w="28" w:type="dxa"/>
          <w:left w:w="28" w:type="dxa"/>
          <w:bottom w:w="28" w:type="dxa"/>
          <w:right w:w="28" w:type="dxa"/>
        </w:tblCellMar>
      </w:tblPr>
      <w:tblGrid>
        <w:gridCol w:w="1332"/>
        <w:gridCol w:w="1169"/>
        <w:gridCol w:w="1174"/>
        <w:gridCol w:w="109"/>
        <w:gridCol w:w="109"/>
        <w:gridCol w:w="109"/>
        <w:gridCol w:w="251"/>
        <w:gridCol w:w="984"/>
        <w:gridCol w:w="129"/>
        <w:gridCol w:w="109"/>
        <w:gridCol w:w="109"/>
        <w:gridCol w:w="109"/>
        <w:gridCol w:w="228"/>
        <w:gridCol w:w="895"/>
        <w:gridCol w:w="166"/>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April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July 31,</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69,370 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Prepaid Expenses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196,345 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177,383 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150,799 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149,704 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408,790 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391,677 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Maturities of 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Dividends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48,935 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59,920 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69,187 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63,644 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63,430 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285,226 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259,060 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408,790 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391,677 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Book Value Per Share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100" w:after="283"/>
        <w:jc w:val="left"/>
        <w:rPr/>
      </w:pPr>
      <w:r>
        <w:rPr/>
      </w:r>
    </w:p>
    <w:p>
      <w:pPr>
        <w:pStyle w:val="TextBody"/>
        <w:bidi w:val="0"/>
        <w:spacing w:before="4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5"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4" w:before="0" w:after="0"/>
        <w:jc w:val="center"/>
        <w:rPr/>
      </w:pPr>
      <w:r>
        <w:rPr/>
        <w:drawing>
          <wp:inline distT="0" distB="0" distL="0" distR="0">
            <wp:extent cx="1638300" cy="542925"/>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1638300" cy="542925"/>
                    </a:xfrm>
                    <a:prstGeom prst="rect">
                      <a:avLst/>
                    </a:prstGeom>
                  </pic:spPr>
                </pic:pic>
              </a:graphicData>
            </a:graphic>
          </wp:inline>
        </w:drawing>
      </w:r>
      <w:r>
        <w:rPr>
          <w:rFonts w:ascii="Times New Roman;serif" w:hAnsi="Times New Roman;serif"/>
          <w:b w:val="false"/>
          <w:color w:val="000000"/>
          <w:sz w:val="20"/>
        </w:rPr>
        <w:t>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113" w:type="dxa"/>
        <w:jc w:val="left"/>
        <w:tblInd w:w="0" w:type="dxa"/>
        <w:tblLayout w:type="fixed"/>
        <w:tblCellMar>
          <w:top w:w="28" w:type="dxa"/>
          <w:left w:w="28" w:type="dxa"/>
          <w:bottom w:w="28" w:type="dxa"/>
          <w:right w:w="28" w:type="dxa"/>
        </w:tblCellMar>
      </w:tblPr>
      <w:tblGrid>
        <w:gridCol w:w="2032"/>
        <w:gridCol w:w="1786"/>
        <w:gridCol w:w="1792"/>
        <w:gridCol w:w="215"/>
        <w:gridCol w:w="736"/>
        <w:gridCol w:w="111"/>
        <w:gridCol w:w="111"/>
        <w:gridCol w:w="111"/>
        <w:gridCol w:w="111"/>
        <w:gridCol w:w="215"/>
        <w:gridCol w:w="736"/>
        <w:gridCol w:w="157"/>
      </w:tblGrid>
      <w:tr>
        <w:trPr/>
        <w:tc>
          <w:tcPr>
            <w:tcW w:w="2032"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CASH FLOWS</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For the Nine Months Ended </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April 30, </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income to net cash</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provided by operating activities:</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Increase in Accounts Receivable</w:t>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(6,203)</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Increase in Inventories</w:t>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Decrease in Prepaid Expenses</w:t>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(Decrease) Increase in Accounts Payable</w:t>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Decrease in Accrued Expenses</w:t>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w:t>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Adjustments</w:t>
            </w:r>
          </w:p>
        </w:tc>
        <w:tc>
          <w:tcPr>
            <w:tcW w:w="9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10,657 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9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53,208 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54,988 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(20,918)</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Acquisition of Business</w:t>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Proceeds from sale of property, plant and equipment</w:t>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Dispositions of Investment Securities</w:t>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9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(20,606)</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(24,509)</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Payments on Revolving Credit Facility</w:t>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Dividends Paid</w:t>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(7,626)</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Purchases of Treasury Stock</w:t>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(12,537)</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9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(20,163)</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(18,523)</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 and Cash Equivalents</w:t>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 Cash and Cash Equivalents</w:t>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Beginning of Period</w:t>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Period</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62,941 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36,475 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7"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4" w:before="0" w:after="0"/>
        <w:jc w:val="center"/>
        <w:rPr/>
      </w:pPr>
      <w:r>
        <w:rPr/>
        <w:drawing>
          <wp:inline distT="0" distB="0" distL="0" distR="0">
            <wp:extent cx="1638300" cy="542925"/>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1638300" cy="542925"/>
                    </a:xfrm>
                    <a:prstGeom prst="rect">
                      <a:avLst/>
                    </a:prstGeom>
                  </pic:spPr>
                </pic:pic>
              </a:graphicData>
            </a:graphic>
          </wp:inline>
        </w:drawing>
      </w:r>
      <w:r>
        <w:rPr>
          <w:rFonts w:ascii="Times New Roman;serif" w:hAnsi="Times New Roman;serif"/>
          <w:b w:val="false"/>
          <w:color w:val="000000"/>
          <w:sz w:val="20"/>
        </w:rPr>
        <w:t>10</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182" w:type="dxa"/>
        <w:jc w:val="center"/>
        <w:tblInd w:w="0" w:type="dxa"/>
        <w:tblLayout w:type="fixed"/>
        <w:tblCellMar>
          <w:top w:w="28" w:type="dxa"/>
          <w:left w:w="28" w:type="dxa"/>
          <w:bottom w:w="28" w:type="dxa"/>
          <w:right w:w="28" w:type="dxa"/>
        </w:tblCellMar>
      </w:tblPr>
      <w:tblGrid>
        <w:gridCol w:w="998"/>
        <w:gridCol w:w="878"/>
        <w:gridCol w:w="883"/>
        <w:gridCol w:w="280"/>
        <w:gridCol w:w="958"/>
        <w:gridCol w:w="144"/>
        <w:gridCol w:w="144"/>
        <w:gridCol w:w="144"/>
        <w:gridCol w:w="144"/>
        <w:gridCol w:w="280"/>
        <w:gridCol w:w="958"/>
        <w:gridCol w:w="144"/>
        <w:gridCol w:w="144"/>
        <w:gridCol w:w="144"/>
        <w:gridCol w:w="144"/>
        <w:gridCol w:w="280"/>
        <w:gridCol w:w="958"/>
        <w:gridCol w:w="144"/>
        <w:gridCol w:w="109"/>
        <w:gridCol w:w="109"/>
        <w:gridCol w:w="109"/>
        <w:gridCol w:w="211"/>
        <w:gridCol w:w="721"/>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6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NON-GAAP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Third Quarter</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to Date</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Ended April 30, </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Ended April 30, </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Net Income</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42,551 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Expense</w:t>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23,770 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20,248 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69,146 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1485900" cy="49530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1485900" cy="495300"/>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0"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8.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2D69"/>
          <w:sz w:val="17"/>
        </w:rPr>
      </w:pPr>
      <w:r>
        <w:rPr>
          <w:rFonts w:ascii="Times New Roman;serif" w:hAnsi="Times New Roman;serif"/>
          <w:b w:val="false"/>
          <w:color w:val="002D69"/>
          <w:sz w:val="17"/>
        </w:rPr>
        <w:t>410 N. Michigan Ave. Chicago, Illinois 60611, U.S.A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2D69"/>
          <w:sz w:val="24"/>
        </w:rPr>
      </w:pPr>
      <w:r>
        <w:rPr>
          <w:rFonts w:ascii="Times New Roman;serif" w:hAnsi="Times New Roman;serif"/>
          <w:b/>
          <w:color w:val="002D69"/>
          <w:sz w:val="24"/>
        </w:rPr>
        <w:t>News Announcement</w:t>
      </w:r>
    </w:p>
    <w:p>
      <w:pPr>
        <w:pStyle w:val="TextBody"/>
        <w:bidi w:val="0"/>
        <w:spacing w:lineRule="auto" w:line="288" w:before="0" w:after="0"/>
        <w:jc w:val="center"/>
        <w:rPr>
          <w:rFonts w:ascii="Times New Roman;serif" w:hAnsi="Times New Roman;serif"/>
          <w:b w:val="false"/>
          <w:i/>
          <w:color w:val="002D69"/>
          <w:sz w:val="24"/>
        </w:rPr>
      </w:pPr>
      <w:r>
        <w:rPr>
          <w:rFonts w:ascii="Times New Roman;serif" w:hAnsi="Times New Roman;serif"/>
          <w:b w:val="false"/>
          <w:i/>
          <w:color w:val="002D69"/>
          <w:sz w:val="24"/>
        </w:rPr>
        <w:t>For Immediate Release</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99.2</w:t>
      </w:r>
    </w:p>
    <w:p>
      <w:pPr>
        <w:pStyle w:val="TextBody"/>
        <w:bidi w:val="0"/>
        <w:spacing w:lineRule="auto" w:line="268" w:before="0" w:after="0"/>
        <w:jc w:val="center"/>
        <w:rPr/>
      </w:pPr>
      <w:r>
        <w:rPr>
          <w:rFonts w:ascii="Times New Roman;serif" w:hAnsi="Times New Roman;serif"/>
          <w:b/>
          <w:color w:val="000000"/>
          <w:sz w:val="24"/>
        </w:rPr>
        <w:t>Oil-Dri Increases Dividends for 23</w:t>
      </w:r>
      <w:r>
        <w:rPr>
          <w:rFonts w:ascii="Times New Roman;serif" w:hAnsi="Times New Roman;serif"/>
          <w:b/>
          <w:color w:val="000000"/>
          <w:sz w:val="13"/>
        </w:rPr>
        <w:t>rd</w:t>
      </w:r>
      <w:r>
        <w:rPr>
          <w:color w:val="000000"/>
        </w:rPr>
        <w:t xml:space="preserve"> </w:t>
      </w:r>
      <w:r>
        <w:rPr>
          <w:rFonts w:ascii="Times New Roman;serif" w:hAnsi="Times New Roman;serif"/>
          <w:b/>
          <w:color w:val="000000"/>
          <w:sz w:val="24"/>
        </w:rPr>
        <w:t>Consecutive Year</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and Authorizes Stock Repurchases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CHICAGO—(June 3, 2026)—The Board of Directors of Oil-Dri Corporation of America (NYSE: ODC) today declared a two-cent increase in the Company’s quarterly cash dividend per share of Common Stock, marking the 23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4"/>
        </w:rPr>
        <w:t xml:space="preserve">consecutive year of dividend growth. The new dividend will be $0.225 per share of the Company’s Common Stock and $0.168 per share of the Company’s Class B Stock, an approximate 10% increase for both classes of stock.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Oil-Dri has paid cash dividends continuously each year since 1974, demonstrating the Company’s sustained fiscal strength and disciplined capital management over time.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cash dividends will be payable on August 21, 2026 to stockholders of record at the close of business on August 7, 2026.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Board of Directors also authorized the repurchase of up to 500,000 shares of Common Stock. These shares are in addition to the 172,261 shares of Common Stock and 208,197 shares of Class B Stock available for repurchase as of April 30, 2026 under prior authorizations from the Board of Directors.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Our strong financial foundation allows us to further raise our dividend following the increase announced in December, while also enhancing our share repurchase program,” said Daniel S. Jaffee, President and Chief Executive Officer of Oil</w:t>
        <w:noBreakHyphen/>
        <w:t>Dri. “These actions reflect our confidence in the Company’s future and reinforce our commitment to thoughtful capital allocation and long</w:t>
        <w:noBreakHyphen/>
        <w:t>term shareholder returns.”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shares may be repurchased from time to time in open market transactions at prevailing market prices, in privately negotiated transactions, or by other means in accordance with federal securities laws. The actual timing, number and value of shares repurchased under the program will be determined by management at its discretion and will depend on a number of factors, including the market price of Oil-Dri's stock and general market and economic conditions.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Company’s press release outlining its performance for the third quarter of fiscal year 2026 will be issued after the close of the U.S. stock market on Monday, June 8, 2026. Oil-Dri will host an earnings discussion via a live webcast on Tuesday, June 9, 2026 at 10:00 a.m. Central Time. Participation details are posted on the Company’s website’s Events page.</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1"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1485900" cy="4953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1485900" cy="495300"/>
                    </a:xfrm>
                    <a:prstGeom prst="rect">
                      <a:avLst/>
                    </a:prstGeom>
                  </pic:spPr>
                </pic:pic>
              </a:graphicData>
            </a:graphic>
          </wp:inline>
        </w:drawing>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About Oil-Dri Corporation of America</w:t>
      </w:r>
    </w:p>
    <w:p>
      <w:pPr>
        <w:pStyle w:val="TextBody"/>
        <w:bidi w:val="0"/>
        <w:spacing w:lineRule="auto" w:line="276" w:before="0" w:after="0"/>
        <w:jc w:val="left"/>
        <w:rPr/>
      </w:pPr>
      <w:r>
        <w:rPr>
          <w:rFonts w:ascii="Times New Roman;serif" w:hAnsi="Times New Roman;serif"/>
          <w:b w:val="false"/>
          <w:color w:val="000000"/>
          <w:sz w:val="24"/>
        </w:rPr>
        <w:t xml:space="preserve">Oil-Dri Corporation of America (“Oil-Dri”)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w:t>
      </w:r>
      <w:r>
        <w:rPr>
          <w:rFonts w:ascii="Times New Roman;serif" w:hAnsi="Times New Roman;serif"/>
          <w:b w:val="false"/>
          <w:i/>
          <w:color w:val="000000"/>
          <w:sz w:val="24"/>
        </w:rPr>
        <w:t>Create Value from Sorbent Minerals</w:t>
      </w:r>
      <w:r>
        <w:rPr>
          <w:rFonts w:ascii="Times New Roman;serif" w:hAnsi="Times New Roman;serif"/>
          <w:b w:val="false"/>
          <w:color w:val="000000"/>
          <w:sz w:val="24"/>
        </w:rPr>
        <w:t xml:space="preserve">. To learn more about the Company, please visit </w:t>
      </w:r>
      <w:r>
        <w:rPr>
          <w:rFonts w:ascii="Times New Roman;serif" w:hAnsi="Times New Roman;serif"/>
          <w:b w:val="false"/>
          <w:color w:val="0000FF"/>
          <w:sz w:val="24"/>
        </w:rPr>
        <w:t>oildri.com</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Certain statements in this press release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variations of such words and similar references to future periods.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in our most recent Annual Report on Form 10-K and from time to time in our other filings with the Securities and Exchange Commission. Investors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1485900" cy="49530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1485900" cy="495300"/>
                    </a:xfrm>
                    <a:prstGeom prst="rect">
                      <a:avLst/>
                    </a:prstGeom>
                  </pic:spPr>
                </pic:pic>
              </a:graphicData>
            </a:graphic>
          </wp:inline>
        </w:drawing>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Contact:</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Leslie A. Garber</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Director of Investor Relations</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Oil-Dri Corporation of America</w:t>
      </w:r>
    </w:p>
    <w:p>
      <w:pPr>
        <w:pStyle w:val="TextBody"/>
        <w:bidi w:val="0"/>
        <w:spacing w:lineRule="auto" w:line="268" w:before="0" w:after="0"/>
        <w:jc w:val="both"/>
        <w:rPr>
          <w:rFonts w:ascii="Times New Roman;serif" w:hAnsi="Times New Roman;serif"/>
          <w:b w:val="false"/>
          <w:color w:val="0000FF"/>
          <w:sz w:val="24"/>
        </w:rPr>
      </w:pPr>
      <w:r>
        <w:rPr>
          <w:rFonts w:ascii="Times New Roman;serif" w:hAnsi="Times New Roman;serif"/>
          <w:b w:val="false"/>
          <w:color w:val="0000FF"/>
          <w:sz w:val="24"/>
        </w:rPr>
        <w:t>InvestorRelations@oildri.com</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(312) 321-1515</w:t>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image" Target="media/image1.gif"/><Relationship Id="rId12" Type="http://schemas.openxmlformats.org/officeDocument/2006/relationships/image" Target="media/image1.gif"/><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4318</Words>
  <Characters>23486</Characters>
  <CharactersWithSpaces>27883</CharactersWithSpaces>
  <Paragraphs>731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