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od4288.htm"/>
      <w:bookmarkStart w:id="1" w:name="ksod4288"/>
      <w:bookmarkStart w:id="2" w:name="od4288.htm"/>
      <w:bookmarkStart w:id="3" w:name="ksod4288"/>
      <w:bookmarkEnd w:id="2"/>
      <w:bookmarkEnd w:id="3"/>
    </w:p>
    <w:p>
      <w:pPr>
        <w:pStyle w:val="TextBody"/>
        <w:jc w:val="center"/>
        <w:rPr/>
      </w:pPr>
      <w:r>
        <w:rPr>
          <w:rFonts w:ascii="Times New Roman" w:hAnsi="Times New Roman"/>
          <w:b/>
          <w:sz w:val="36"/>
        </w:rPr>
        <w:t>UNITED STATES</w:t>
        <w:br/>
        <w:t>SECURITIES AND EXCHANGE COMMISSION</w:t>
        <w:br/>
      </w:r>
      <w:r>
        <w:rPr>
          <w:b/>
          <w:sz w:val="24"/>
        </w:rPr>
        <w:t>Washington, D. C. 20549</w:t>
      </w:r>
    </w:p>
    <w:p>
      <w:pPr>
        <w:pStyle w:val="TextBody"/>
        <w:jc w:val="center"/>
        <w:rPr>
          <w:rFonts w:ascii="Times New Roman" w:hAnsi="Times New Roman"/>
          <w:b/>
          <w:sz w:val="36"/>
        </w:rPr>
      </w:pPr>
      <w:r>
        <w:rPr>
          <w:rFonts w:ascii="Times New Roman" w:hAnsi="Times New Roman"/>
          <w:b/>
          <w:sz w:val="36"/>
        </w:rPr>
        <w:t>FORM 10-Q</w:t>
      </w:r>
    </w:p>
    <w:tbl>
      <w:tblPr>
        <w:tblW w:w="5000" w:type="pct"/>
        <w:jc w:val="center"/>
        <w:tblInd w:w="0" w:type="dxa"/>
        <w:tblCellMar>
          <w:top w:w="0" w:type="dxa"/>
          <w:left w:w="0" w:type="dxa"/>
          <w:bottom w:w="0" w:type="dxa"/>
          <w:right w:w="0" w:type="dxa"/>
        </w:tblCellMar>
      </w:tblPr>
      <w:tblGrid>
        <w:gridCol w:w="509"/>
        <w:gridCol w:w="9696"/>
      </w:tblGrid>
      <w:tr>
        <w:trPr/>
        <w:tc>
          <w:tcPr>
            <w:tcW w:w="10205"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(Mark One)</w:t>
            </w:r>
          </w:p>
        </w:tc>
      </w:tr>
      <w:tr>
        <w:trPr/>
        <w:tc>
          <w:tcPr>
            <w:tcW w:w="10205"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b/>
                <w:sz w:val="24"/>
              </w:rPr>
            </w:pPr>
            <w:r>
              <w:rPr>
                <w:rFonts w:ascii="Wingdings" w:hAnsi="Wingdings"/>
                <w:b/>
                <w:sz w:val="24"/>
              </w:rPr>
              <w:t>x</w:t>
            </w:r>
          </w:p>
        </w:tc>
        <w:tc>
          <w:tcPr>
            <w:tcW w:w="9696"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Quarterly Report Pursuant to Section 13 or 15(d) of the</w:t>
              <w:br/>
              <w:t>Securities Exchange Act of 1934</w:t>
            </w:r>
          </w:p>
        </w:tc>
      </w:tr>
      <w:tr>
        <w:trPr/>
        <w:tc>
          <w:tcPr>
            <w:tcW w:w="10205" w:type="dxa"/>
            <w:gridSpan w:val="2"/>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 the Quarterly Period Ended October 31, 2005</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10205" w:type="dxa"/>
            <w:gridSpan w:val="2"/>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OR</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b/>
                <w:sz w:val="24"/>
              </w:rPr>
            </w:pPr>
            <w:r>
              <w:rPr>
                <w:rFonts w:ascii="Wingdings" w:hAnsi="Wingdings"/>
                <w:b/>
                <w:sz w:val="24"/>
              </w:rPr>
              <w:t>o</w:t>
            </w:r>
          </w:p>
        </w:tc>
        <w:tc>
          <w:tcPr>
            <w:tcW w:w="9696"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Transition Report Pursuant to Section 13 or 15(d) of the</w:t>
              <w:br/>
              <w:t>Securities Exchange Act of 1934</w:t>
            </w:r>
          </w:p>
        </w:tc>
      </w:tr>
      <w:tr>
        <w:trPr/>
        <w:tc>
          <w:tcPr>
            <w:tcW w:w="10205" w:type="dxa"/>
            <w:gridSpan w:val="2"/>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 the transition period from _____________ to ______________</w:t>
            </w:r>
          </w:p>
        </w:tc>
      </w:tr>
      <w:tr>
        <w:trPr/>
        <w:tc>
          <w:tcPr>
            <w:tcW w:w="10205" w:type="dxa"/>
            <w:gridSpan w:val="2"/>
            <w:tcBorders/>
            <w:shd w:fill="auto" w:val="clear"/>
          </w:tcPr>
          <w:p>
            <w:pPr>
              <w:pStyle w:val="TableContents"/>
              <w:spacing w:before="0" w:after="283"/>
              <w:jc w:val="center"/>
              <w:rPr/>
            </w:pPr>
            <w:r>
              <w:rPr/>
              <w:t> </w:t>
            </w:r>
          </w:p>
        </w:tc>
      </w:tr>
      <w:tr>
        <w:trPr/>
        <w:tc>
          <w:tcPr>
            <w:tcW w:w="10205" w:type="dxa"/>
            <w:gridSpan w:val="2"/>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Commission File Number 0-8675</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10205" w:type="dxa"/>
            <w:gridSpan w:val="2"/>
            <w:tcBorders/>
            <w:shd w:fill="auto" w:val="clear"/>
          </w:tcPr>
          <w:p>
            <w:pPr>
              <w:pStyle w:val="TableContents"/>
              <w:spacing w:before="0" w:after="283"/>
              <w:jc w:val="center"/>
              <w:rPr>
                <w:rFonts w:ascii="Times New Roman" w:hAnsi="Times New Roman"/>
                <w:b/>
                <w:sz w:val="48"/>
              </w:rPr>
            </w:pPr>
            <w:r>
              <w:rPr>
                <w:rFonts w:ascii="Times New Roman" w:hAnsi="Times New Roman"/>
                <w:b/>
                <w:sz w:val="48"/>
              </w:rPr>
              <w:t>OIL-DRI CORPORATION OF AMERICA</w:t>
            </w:r>
          </w:p>
        </w:tc>
      </w:tr>
      <w:tr>
        <w:trPr/>
        <w:tc>
          <w:tcPr>
            <w:tcW w:w="10205" w:type="dxa"/>
            <w:gridSpan w:val="2"/>
            <w:tcBorders/>
            <w:shd w:fill="auto" w:val="clear"/>
          </w:tcPr>
          <w:p>
            <w:pPr>
              <w:pStyle w:val="HorizontalLine"/>
              <w:pBdr>
                <w:bottom w:val="single" w:sz="6" w:space="0" w:color="000000"/>
              </w:pBdr>
              <w:spacing w:before="0" w:after="283"/>
              <w:rPr/>
            </w:pPr>
            <w:r>
              <w:rPr/>
            </w:r>
          </w:p>
        </w:tc>
      </w:tr>
      <w:tr>
        <w:trPr/>
        <w:tc>
          <w:tcPr>
            <w:tcW w:w="10205" w:type="dxa"/>
            <w:gridSpan w:val="2"/>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(Exact name of the registrant as specified in its charter)</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00"/>
        <w:gridCol w:w="204"/>
        <w:gridCol w:w="5001"/>
      </w:tblGrid>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36-2048898</w:t>
            </w:r>
          </w:p>
        </w:tc>
      </w:tr>
      <w:tr>
        <w:trPr/>
        <w:tc>
          <w:tcPr>
            <w:tcW w:w="5000"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HorizontalLine"/>
              <w:pBdr>
                <w:bottom w:val="single" w:sz="6" w:space="0" w:color="000000"/>
              </w:pBdr>
              <w:spacing w:before="0" w:after="283"/>
              <w:rPr/>
            </w:pPr>
            <w:r>
              <w:rPr/>
            </w:r>
          </w:p>
        </w:tc>
      </w:tr>
      <w:tr>
        <w:trPr/>
        <w:tc>
          <w:tcPr>
            <w:tcW w:w="5000"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(State or other jurisdiction of incorporation or organization)</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(I.R.S. Employer Identification No.)</w:t>
            </w:r>
          </w:p>
        </w:tc>
      </w:tr>
      <w:tr>
        <w:trPr/>
        <w:tc>
          <w:tcPr>
            <w:tcW w:w="500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5001" w:type="dxa"/>
            <w:tcBorders/>
            <w:shd w:fill="auto" w:val="clear"/>
          </w:tcPr>
          <w:p>
            <w:pPr>
              <w:pStyle w:val="TableContents"/>
              <w:spacing w:before="0" w:after="283"/>
              <w:rPr/>
            </w:pPr>
            <w:r>
              <w:rPr/>
              <w:t> </w:t>
            </w:r>
          </w:p>
        </w:tc>
      </w:tr>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410 North Michigan Avenue, Suite 400</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pPr>
            <w:r>
              <w:rPr/>
              <w:t> </w:t>
            </w:r>
          </w:p>
        </w:tc>
      </w:tr>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Chicago, Illinois</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60611-4213</w:t>
            </w:r>
          </w:p>
        </w:tc>
      </w:tr>
      <w:tr>
        <w:trPr/>
        <w:tc>
          <w:tcPr>
            <w:tcW w:w="5000"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HorizontalLine"/>
              <w:pBdr>
                <w:bottom w:val="single" w:sz="6" w:space="0" w:color="000000"/>
              </w:pBdr>
              <w:spacing w:before="0" w:after="283"/>
              <w:rPr/>
            </w:pPr>
            <w:r>
              <w:rPr/>
            </w:r>
          </w:p>
        </w:tc>
      </w:tr>
      <w:tr>
        <w:trPr/>
        <w:tc>
          <w:tcPr>
            <w:tcW w:w="5000" w:type="dxa"/>
            <w:tcBorders/>
            <w:shd w:fill="auto" w:val="clear"/>
          </w:tcPr>
          <w:p>
            <w:pPr>
              <w:pStyle w:val="TableContents"/>
              <w:spacing w:before="0" w:after="283"/>
              <w:jc w:val="center"/>
              <w:rPr/>
            </w:pPr>
            <w:r>
              <w:rPr>
                <w:rStyle w:val="Emphasis"/>
                <w:rFonts w:ascii="Times New Roman" w:hAnsi="Times New Roman"/>
                <w:sz w:val="20"/>
              </w:rPr>
              <w:t>(Address of principal executive offices)</w:t>
            </w:r>
          </w:p>
        </w:tc>
        <w:tc>
          <w:tcPr>
            <w:tcW w:w="204" w:type="dxa"/>
            <w:tcBorders/>
            <w:shd w:fill="auto" w:val="clear"/>
          </w:tcPr>
          <w:p>
            <w:pPr>
              <w:pStyle w:val="TableContents"/>
              <w:spacing w:before="0" w:after="283"/>
              <w:rPr/>
            </w:pPr>
            <w:r>
              <w:rPr>
                <w:rStyle w:val="Emphasis"/>
              </w:rPr>
              <w:t> </w:t>
            </w:r>
          </w:p>
        </w:tc>
        <w:tc>
          <w:tcPr>
            <w:tcW w:w="5001" w:type="dxa"/>
            <w:tcBorders/>
            <w:shd w:fill="auto" w:val="clear"/>
          </w:tcPr>
          <w:p>
            <w:pPr>
              <w:pStyle w:val="TableContents"/>
              <w:spacing w:before="0" w:after="283"/>
              <w:jc w:val="center"/>
              <w:rPr/>
            </w:pPr>
            <w:r>
              <w:rPr>
                <w:rStyle w:val="Emphasis"/>
                <w:rFonts w:ascii="Times New Roman" w:hAnsi="Times New Roman"/>
                <w:sz w:val="20"/>
              </w:rPr>
              <w:t>(Zip Code)</w:t>
            </w:r>
          </w:p>
        </w:tc>
      </w:tr>
    </w:tbl>
    <w:p>
      <w:pPr>
        <w:pStyle w:val="TextBody"/>
        <w:jc w:val="center"/>
        <w:rPr/>
      </w:pPr>
      <w:r>
        <w:rPr>
          <w:rStyle w:val="StrongEmphasis"/>
          <w:rFonts w:ascii="Times New Roman" w:hAnsi="Times New Roman"/>
          <w:sz w:val="20"/>
        </w:rPr>
        <w:t>The Registrants telephone number, including area code: (312) 321-1515</w:t>
      </w:r>
    </w:p>
    <w:p>
      <w:pPr>
        <w:pStyle w:val="TextBody"/>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tbl>
      <w:tblPr>
        <w:tblW w:w="5000" w:type="pct"/>
        <w:jc w:val="center"/>
        <w:tblInd w:w="0" w:type="dxa"/>
        <w:tblCellMar>
          <w:top w:w="0" w:type="dxa"/>
          <w:left w:w="0" w:type="dxa"/>
          <w:bottom w:w="0" w:type="dxa"/>
          <w:right w:w="0" w:type="dxa"/>
        </w:tblCellMar>
      </w:tblPr>
      <w:tblGrid>
        <w:gridCol w:w="3775"/>
        <w:gridCol w:w="511"/>
        <w:gridCol w:w="612"/>
        <w:gridCol w:w="408"/>
        <w:gridCol w:w="510"/>
        <w:gridCol w:w="613"/>
        <w:gridCol w:w="3776"/>
      </w:tblGrid>
      <w:tr>
        <w:trPr/>
        <w:tc>
          <w:tcPr>
            <w:tcW w:w="3775"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rPr>
                <w:rFonts w:ascii="Times New Roman" w:hAnsi="Times New Roman"/>
                <w:sz w:val="20"/>
              </w:rPr>
            </w:pPr>
            <w:r>
              <w:rPr>
                <w:rFonts w:ascii="Times New Roman" w:hAnsi="Times New Roman"/>
                <w:sz w:val="20"/>
              </w:rPr>
              <w:t>Yes</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x</w:t>
            </w:r>
          </w:p>
        </w:tc>
        <w:tc>
          <w:tcPr>
            <w:tcW w:w="408"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No</w:t>
            </w:r>
          </w:p>
        </w:tc>
        <w:tc>
          <w:tcPr>
            <w:tcW w:w="613"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3776"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Indicate by check mark whether the Registrant is an accelerated filer:</w:t>
      </w:r>
    </w:p>
    <w:tbl>
      <w:tblPr>
        <w:tblW w:w="5000" w:type="pct"/>
        <w:jc w:val="center"/>
        <w:tblInd w:w="0" w:type="dxa"/>
        <w:tblCellMar>
          <w:top w:w="0" w:type="dxa"/>
          <w:left w:w="0" w:type="dxa"/>
          <w:bottom w:w="0" w:type="dxa"/>
          <w:right w:w="0" w:type="dxa"/>
        </w:tblCellMar>
      </w:tblPr>
      <w:tblGrid>
        <w:gridCol w:w="3775"/>
        <w:gridCol w:w="511"/>
        <w:gridCol w:w="612"/>
        <w:gridCol w:w="408"/>
        <w:gridCol w:w="510"/>
        <w:gridCol w:w="613"/>
        <w:gridCol w:w="3776"/>
      </w:tblGrid>
      <w:tr>
        <w:trPr/>
        <w:tc>
          <w:tcPr>
            <w:tcW w:w="3775"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rPr>
                <w:rFonts w:ascii="Times New Roman" w:hAnsi="Times New Roman"/>
                <w:sz w:val="20"/>
              </w:rPr>
            </w:pPr>
            <w:r>
              <w:rPr>
                <w:rFonts w:ascii="Times New Roman" w:hAnsi="Times New Roman"/>
                <w:sz w:val="20"/>
              </w:rPr>
              <w:t>Yes</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408"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No</w:t>
            </w:r>
          </w:p>
        </w:tc>
        <w:tc>
          <w:tcPr>
            <w:tcW w:w="613" w:type="dxa"/>
            <w:tcBorders/>
            <w:shd w:fill="auto" w:val="clear"/>
          </w:tcPr>
          <w:p>
            <w:pPr>
              <w:pStyle w:val="TableContents"/>
              <w:spacing w:before="0" w:after="283"/>
              <w:jc w:val="center"/>
              <w:rPr>
                <w:rFonts w:ascii="Wingdings" w:hAnsi="Wingdings"/>
                <w:sz w:val="20"/>
              </w:rPr>
            </w:pPr>
            <w:r>
              <w:rPr>
                <w:rFonts w:ascii="Wingdings" w:hAnsi="Wingdings"/>
                <w:sz w:val="20"/>
              </w:rPr>
              <w:t>x</w:t>
            </w:r>
          </w:p>
        </w:tc>
        <w:tc>
          <w:tcPr>
            <w:tcW w:w="3776"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w:t>
      </w:r>
    </w:p>
    <w:tbl>
      <w:tblPr>
        <w:tblW w:w="5000" w:type="pct"/>
        <w:jc w:val="center"/>
        <w:tblInd w:w="0" w:type="dxa"/>
        <w:tblCellMar>
          <w:top w:w="0" w:type="dxa"/>
          <w:left w:w="0" w:type="dxa"/>
          <w:bottom w:w="0" w:type="dxa"/>
          <w:right w:w="0" w:type="dxa"/>
        </w:tblCellMar>
      </w:tblPr>
      <w:tblGrid>
        <w:gridCol w:w="3775"/>
        <w:gridCol w:w="511"/>
        <w:gridCol w:w="612"/>
        <w:gridCol w:w="408"/>
        <w:gridCol w:w="510"/>
        <w:gridCol w:w="613"/>
        <w:gridCol w:w="3776"/>
      </w:tblGrid>
      <w:tr>
        <w:trPr/>
        <w:tc>
          <w:tcPr>
            <w:tcW w:w="3775"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rPr>
                <w:rFonts w:ascii="Times New Roman" w:hAnsi="Times New Roman"/>
                <w:sz w:val="20"/>
              </w:rPr>
            </w:pPr>
            <w:r>
              <w:rPr>
                <w:rFonts w:ascii="Times New Roman" w:hAnsi="Times New Roman"/>
                <w:sz w:val="20"/>
              </w:rPr>
              <w:t>Yes</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408"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No</w:t>
            </w:r>
          </w:p>
        </w:tc>
        <w:tc>
          <w:tcPr>
            <w:tcW w:w="613" w:type="dxa"/>
            <w:tcBorders/>
            <w:shd w:fill="auto" w:val="clear"/>
          </w:tcPr>
          <w:p>
            <w:pPr>
              <w:pStyle w:val="TableContents"/>
              <w:spacing w:before="0" w:after="283"/>
              <w:jc w:val="center"/>
              <w:rPr>
                <w:rFonts w:ascii="Wingdings" w:hAnsi="Wingdings"/>
                <w:sz w:val="20"/>
              </w:rPr>
            </w:pPr>
            <w:r>
              <w:rPr>
                <w:rFonts w:ascii="Wingdings" w:hAnsi="Wingdings"/>
                <w:sz w:val="20"/>
              </w:rPr>
              <w:t>x</w:t>
            </w:r>
          </w:p>
        </w:tc>
        <w:tc>
          <w:tcPr>
            <w:tcW w:w="3776"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aggregate market value of the Registrants Common Stock owned by non-affiliates as of January 31, 2005 for accelerated filer purposes was $73,515,000.</w:t>
      </w:r>
    </w:p>
    <w:p>
      <w:pPr>
        <w:pStyle w:val="TextBody"/>
        <w:rPr>
          <w:rFonts w:ascii="Times New Roman" w:hAnsi="Times New Roman"/>
          <w:sz w:val="20"/>
        </w:rPr>
      </w:pPr>
      <w:r>
        <w:rPr>
          <w:rFonts w:ascii="Times New Roman" w:hAnsi="Times New Roman"/>
          <w:sz w:val="20"/>
        </w:rPr>
        <w:t>Indicate the number of shares outstanding of each of the issuers classes of common stock, as of the close of the period covered by this report.</w:t>
      </w:r>
    </w:p>
    <w:p>
      <w:pPr>
        <w:pStyle w:val="TextBody"/>
        <w:rPr>
          <w:rFonts w:ascii="Times New Roman" w:hAnsi="Times New Roman"/>
          <w:sz w:val="20"/>
        </w:rPr>
      </w:pPr>
      <w:r>
        <w:rPr>
          <w:rFonts w:ascii="Times New Roman" w:hAnsi="Times New Roman"/>
          <w:sz w:val="20"/>
        </w:rPr>
        <w:t>Common Stock  5,985,860 Shares (Including 1,987,450 Treasury Shares)</w:t>
        <w:br/>
        <w:t>Class B Stock  1,800,083 Shares (Including 342,241 Treasury Shares)</w:t>
      </w:r>
    </w:p>
    <w:p>
      <w:pPr>
        <w:pStyle w:val="HorizontalLine"/>
        <w:pBdr>
          <w:bottom w:val="single" w:sz="24"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FORWARD-LOOKING STATEMENTS</w:t>
      </w:r>
    </w:p>
    <w:p>
      <w:pPr>
        <w:pStyle w:val="TextBody"/>
        <w:rPr/>
      </w:pPr>
      <w:r>
        <w:rPr/>
        <w:t>          </w:t>
      </w:r>
      <w:r>
        <w:rPr>
          <w:rFonts w:ascii="Times New Roman" w:hAnsi="Times New Roman"/>
          <w:sz w:val="20"/>
        </w:rPr>
        <w:t>Certain statements in this report, including, but not limited to, those under the heading Expectations and those statements elsewhere in this report that use forward-looking terminology such as expect, would, could, should, estimates, anticipates and believes are forward-looking statements within the meaning of that term in the Securities Exchange Act of 1934, as amended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pStyle w:val="TextBody"/>
        <w:jc w:val="center"/>
        <w:rPr>
          <w:rFonts w:ascii="Times New Roman" w:hAnsi="Times New Roman"/>
          <w:b/>
          <w:sz w:val="20"/>
        </w:rPr>
      </w:pPr>
      <w:r>
        <w:rPr>
          <w:rFonts w:ascii="Times New Roman" w:hAnsi="Times New Roman"/>
          <w:b/>
          <w:sz w:val="20"/>
        </w:rPr>
        <w:t>TRADEMARK NOTICE</w:t>
      </w:r>
    </w:p>
    <w:p>
      <w:pPr>
        <w:pStyle w:val="TextBody"/>
        <w:rPr/>
      </w:pPr>
      <w:r>
        <w:rPr/>
        <w:t>          </w:t>
      </w:r>
      <w:r>
        <w:rPr>
          <w:rFonts w:ascii="Times New Roman" w:hAnsi="Times New Roman"/>
          <w:sz w:val="20"/>
        </w:rPr>
        <w:t>Oil-Dri, Agsorb, Oil-Dri All Purpose, Oil-Dri Lites, Cats Pride, Jonny Cat, KatKit, ConditionAde, PureFlo, UltraClear, Poultry Guard, Flo-Fre, Saular, Terra Green and Pros Choice are all registered trademarks of Oil-Dri Corporation of America or of its subsidiaries.  PelUnite Plus, Perform and Select are trademarks of Oil-Dri Corporation of America.  Fresh Step is the registered trademark of The Clorox Company.</w:t>
      </w:r>
    </w:p>
    <w:p>
      <w:pPr>
        <w:pStyle w:val="TextBody"/>
        <w:jc w:val="center"/>
        <w:rPr>
          <w:rFonts w:ascii="Times New Roman" w:hAnsi="Times New Roman"/>
          <w:sz w:val="20"/>
        </w:rPr>
      </w:pPr>
      <w:r>
        <w:rPr>
          <w:rFonts w:ascii="Times New Roman" w:hAnsi="Times New Roman"/>
          <w:sz w:val="20"/>
        </w:rPr>
        <w:t>2</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CONTENTS</w:t>
      </w:r>
    </w:p>
    <w:tbl>
      <w:tblPr>
        <w:tblW w:w="5000" w:type="pct"/>
        <w:jc w:val="center"/>
        <w:tblInd w:w="0" w:type="dxa"/>
        <w:tblCellMar>
          <w:top w:w="0" w:type="dxa"/>
          <w:left w:w="0" w:type="dxa"/>
          <w:bottom w:w="0" w:type="dxa"/>
          <w:right w:w="0" w:type="dxa"/>
        </w:tblCellMar>
      </w:tblPr>
      <w:tblGrid>
        <w:gridCol w:w="1020"/>
        <w:gridCol w:w="8471"/>
        <w:gridCol w:w="714"/>
      </w:tblGrid>
      <w:tr>
        <w:trPr/>
        <w:tc>
          <w:tcPr>
            <w:tcW w:w="1020" w:type="dxa"/>
            <w:tcBorders/>
            <w:shd w:fill="auto" w:val="clear"/>
          </w:tcPr>
          <w:p>
            <w:pPr>
              <w:pStyle w:val="TableContents"/>
              <w:spacing w:before="0" w:after="283"/>
              <w:jc w:val="center"/>
              <w:rPr/>
            </w:pPr>
            <w:r>
              <w:rPr/>
              <w:t> </w:t>
            </w:r>
          </w:p>
        </w:tc>
        <w:tc>
          <w:tcPr>
            <w:tcW w:w="8471" w:type="dxa"/>
            <w:tcBorders/>
            <w:shd w:fill="auto" w:val="clear"/>
          </w:tcPr>
          <w:p>
            <w:pPr>
              <w:pStyle w:val="TableContents"/>
              <w:spacing w:before="0" w:after="283"/>
              <w:jc w:val="center"/>
              <w:rPr/>
            </w:pPr>
            <w:r>
              <w:rPr/>
              <w:t> </w:t>
            </w:r>
          </w:p>
        </w:tc>
        <w:tc>
          <w:tcPr>
            <w:tcW w:w="71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Page</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jc w:val="center"/>
              <w:rPr/>
            </w:pPr>
            <w:r>
              <w:rPr/>
              <w:t> </w:t>
            </w:r>
          </w:p>
        </w:tc>
        <w:tc>
          <w:tcPr>
            <w:tcW w:w="714" w:type="dxa"/>
            <w:tcBorders/>
            <w:shd w:fill="auto" w:val="clear"/>
          </w:tcPr>
          <w:p>
            <w:pPr>
              <w:pStyle w:val="HorizontalLine"/>
              <w:pBdr>
                <w:bottom w:val="single" w:sz="6" w:space="0" w:color="000000"/>
              </w:pBdr>
              <w:spacing w:before="0" w:after="283"/>
              <w:rPr/>
            </w:pPr>
            <w:r>
              <w:rPr/>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jc w:val="center"/>
              <w:rPr/>
            </w:pPr>
            <w:hyperlink w:anchor="od_01">
              <w:r>
                <w:rPr>
                  <w:rStyle w:val="InternetLink"/>
                  <w:rFonts w:ascii="Times New Roman" w:hAnsi="Times New Roman"/>
                  <w:b/>
                  <w:sz w:val="20"/>
                </w:rPr>
                <w:t>PART I</w:t>
              </w:r>
            </w:hyperlink>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jc w:val="center"/>
              <w:rPr/>
            </w:pPr>
            <w:r>
              <w:rPr/>
              <w:t> </w:t>
            </w:r>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1:</w:t>
            </w:r>
          </w:p>
        </w:tc>
        <w:tc>
          <w:tcPr>
            <w:tcW w:w="8471" w:type="dxa"/>
            <w:tcBorders/>
            <w:shd w:fill="auto" w:val="clear"/>
          </w:tcPr>
          <w:p>
            <w:pPr>
              <w:pStyle w:val="TableContents"/>
              <w:spacing w:before="0" w:after="283"/>
              <w:rPr/>
            </w:pPr>
            <w:hyperlink w:anchor="od_02">
              <w:r>
                <w:rPr>
                  <w:rStyle w:val="InternetLink"/>
                  <w:rFonts w:ascii="Times New Roman" w:hAnsi="Times New Roman"/>
                  <w:sz w:val="20"/>
                </w:rPr>
                <w:t>Financial Statements</w:t>
              </w:r>
            </w:hyperlink>
          </w:p>
        </w:tc>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4 - 14</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rPr/>
            </w:pPr>
            <w:r>
              <w:rPr/>
              <w:t> </w:t>
            </w:r>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2:</w:t>
            </w:r>
          </w:p>
        </w:tc>
        <w:tc>
          <w:tcPr>
            <w:tcW w:w="8471" w:type="dxa"/>
            <w:tcBorders/>
            <w:shd w:fill="auto" w:val="clear"/>
          </w:tcPr>
          <w:p>
            <w:pPr>
              <w:pStyle w:val="TableContents"/>
              <w:spacing w:before="0" w:after="283"/>
              <w:rPr/>
            </w:pPr>
            <w:hyperlink w:anchor="od_03">
              <w:r>
                <w:rPr>
                  <w:rStyle w:val="InternetLink"/>
                  <w:rFonts w:ascii="Times New Roman" w:hAnsi="Times New Roman"/>
                  <w:sz w:val="20"/>
                </w:rPr>
                <w:t>Managements Discussion and Analysis Of Financial Condition And Results Of Operations</w:t>
              </w:r>
            </w:hyperlink>
          </w:p>
        </w:tc>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15 - 18</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rPr/>
            </w:pPr>
            <w:r>
              <w:rPr/>
              <w:t> </w:t>
            </w:r>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3:</w:t>
            </w:r>
          </w:p>
        </w:tc>
        <w:tc>
          <w:tcPr>
            <w:tcW w:w="8471" w:type="dxa"/>
            <w:tcBorders/>
            <w:shd w:fill="auto" w:val="clear"/>
          </w:tcPr>
          <w:p>
            <w:pPr>
              <w:pStyle w:val="TableContents"/>
              <w:spacing w:before="0" w:after="283"/>
              <w:rPr/>
            </w:pPr>
            <w:hyperlink w:anchor="od_04">
              <w:r>
                <w:rPr>
                  <w:rStyle w:val="InternetLink"/>
                  <w:rFonts w:ascii="Times New Roman" w:hAnsi="Times New Roman"/>
                  <w:sz w:val="20"/>
                </w:rPr>
                <w:t>Quantitative And Qualitative Disclosures About Market Risk</w:t>
              </w:r>
            </w:hyperlink>
          </w:p>
        </w:tc>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19</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rPr/>
            </w:pPr>
            <w:r>
              <w:rPr/>
              <w:t> </w:t>
            </w:r>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4:</w:t>
            </w:r>
          </w:p>
        </w:tc>
        <w:tc>
          <w:tcPr>
            <w:tcW w:w="8471" w:type="dxa"/>
            <w:tcBorders/>
            <w:shd w:fill="auto" w:val="clear"/>
          </w:tcPr>
          <w:p>
            <w:pPr>
              <w:pStyle w:val="TableContents"/>
              <w:spacing w:before="0" w:after="283"/>
              <w:rPr/>
            </w:pPr>
            <w:hyperlink w:anchor="od_05">
              <w:r>
                <w:rPr>
                  <w:rStyle w:val="InternetLink"/>
                  <w:rFonts w:ascii="Times New Roman" w:hAnsi="Times New Roman"/>
                  <w:sz w:val="20"/>
                </w:rPr>
                <w:t>Controls And Procedures</w:t>
              </w:r>
            </w:hyperlink>
          </w:p>
        </w:tc>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19</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rPr/>
            </w:pPr>
            <w:r>
              <w:rPr/>
              <w:t> </w:t>
            </w:r>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jc w:val="center"/>
              <w:rPr/>
            </w:pPr>
            <w:hyperlink w:anchor="od_06">
              <w:r>
                <w:rPr>
                  <w:rStyle w:val="InternetLink"/>
                  <w:rFonts w:ascii="Times New Roman" w:hAnsi="Times New Roman"/>
                  <w:b/>
                  <w:sz w:val="20"/>
                </w:rPr>
                <w:t>PART II</w:t>
              </w:r>
            </w:hyperlink>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rPr/>
            </w:pPr>
            <w:r>
              <w:rPr/>
              <w:t> </w:t>
            </w:r>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6:</w:t>
            </w:r>
          </w:p>
        </w:tc>
        <w:tc>
          <w:tcPr>
            <w:tcW w:w="8471" w:type="dxa"/>
            <w:tcBorders/>
            <w:shd w:fill="auto" w:val="clear"/>
          </w:tcPr>
          <w:p>
            <w:pPr>
              <w:pStyle w:val="TableContents"/>
              <w:spacing w:before="0" w:after="283"/>
              <w:rPr/>
            </w:pPr>
            <w:hyperlink w:anchor="od_07">
              <w:r>
                <w:rPr>
                  <w:rStyle w:val="InternetLink"/>
                  <w:rFonts w:ascii="Times New Roman" w:hAnsi="Times New Roman"/>
                  <w:sz w:val="20"/>
                </w:rPr>
                <w:t>Exhibits</w:t>
              </w:r>
            </w:hyperlink>
          </w:p>
        </w:tc>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20</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rPr/>
            </w:pPr>
            <w:r>
              <w:rPr/>
              <w:t> </w:t>
            </w:r>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hyperlink w:anchor="od_08">
              <w:r>
                <w:rPr>
                  <w:rStyle w:val="InternetLink"/>
                  <w:rFonts w:ascii="Times New Roman" w:hAnsi="Times New Roman"/>
                  <w:b/>
                  <w:sz w:val="20"/>
                </w:rPr>
                <w:t>Signatures</w:t>
              </w:r>
            </w:hyperlink>
          </w:p>
        </w:tc>
        <w:tc>
          <w:tcPr>
            <w:tcW w:w="8471" w:type="dxa"/>
            <w:tcBorders/>
            <w:shd w:fill="auto" w:val="clear"/>
          </w:tcPr>
          <w:p>
            <w:pPr>
              <w:pStyle w:val="TableContents"/>
              <w:spacing w:before="0" w:after="283"/>
              <w:rPr/>
            </w:pPr>
            <w:r>
              <w:rPr/>
              <w:t> </w:t>
            </w:r>
          </w:p>
        </w:tc>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w:t>
            </w:r>
          </w:p>
        </w:tc>
      </w:tr>
      <w:tr>
        <w:trPr/>
        <w:tc>
          <w:tcPr>
            <w:tcW w:w="1020"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rPr/>
            </w:pPr>
            <w:r>
              <w:rPr/>
              <w:t> </w:t>
            </w:r>
          </w:p>
        </w:tc>
        <w:tc>
          <w:tcPr>
            <w:tcW w:w="714"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hyperlink w:anchor="od_09">
              <w:r>
                <w:rPr>
                  <w:rStyle w:val="InternetLink"/>
                  <w:rFonts w:ascii="Times New Roman" w:hAnsi="Times New Roman"/>
                  <w:b/>
                  <w:sz w:val="20"/>
                </w:rPr>
                <w:t>Exhibits</w:t>
              </w:r>
            </w:hyperlink>
          </w:p>
        </w:tc>
        <w:tc>
          <w:tcPr>
            <w:tcW w:w="8471" w:type="dxa"/>
            <w:tcBorders/>
            <w:shd w:fill="auto" w:val="clear"/>
          </w:tcPr>
          <w:p>
            <w:pPr>
              <w:pStyle w:val="TableContents"/>
              <w:spacing w:before="0" w:after="283"/>
              <w:rPr/>
            </w:pPr>
            <w:r>
              <w:rPr/>
              <w:t> </w:t>
            </w:r>
          </w:p>
        </w:tc>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22</w:t>
            </w:r>
          </w:p>
        </w:tc>
      </w:tr>
    </w:tbl>
    <w:p>
      <w:pPr>
        <w:pStyle w:val="TextBody"/>
        <w:jc w:val="center"/>
        <w:rPr>
          <w:rFonts w:ascii="Times New Roman" w:hAnsi="Times New Roman"/>
          <w:sz w:val="20"/>
        </w:rPr>
      </w:pPr>
      <w:r>
        <w:rPr>
          <w:rFonts w:ascii="Times New Roman" w:hAnsi="Times New Roman"/>
          <w:sz w:val="20"/>
        </w:rPr>
        <w:t>3</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bookmarkStart w:id="4" w:name="od_01"/>
      <w:bookmarkEnd w:id="4"/>
      <w:r>
        <w:rPr>
          <w:rFonts w:ascii="Times New Roman" w:hAnsi="Times New Roman"/>
          <w:b/>
          <w:sz w:val="20"/>
        </w:rPr>
        <w:t>PART I - FINANCIAL INFORMATION</w:t>
      </w:r>
    </w:p>
    <w:p>
      <w:pPr>
        <w:pStyle w:val="TextBody"/>
        <w:rPr>
          <w:rFonts w:ascii="Times New Roman" w:hAnsi="Times New Roman"/>
          <w:b/>
          <w:sz w:val="20"/>
        </w:rPr>
      </w:pPr>
      <w:bookmarkStart w:id="5" w:name="od_02"/>
      <w:bookmarkEnd w:id="5"/>
      <w:r>
        <w:rPr>
          <w:rFonts w:ascii="Times New Roman" w:hAnsi="Times New Roman"/>
          <w:b/>
          <w:sz w:val="20"/>
        </w:rPr>
        <w:t>ITEM 1. Financial Statements</w:t>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Balance Sheets</w:t>
        <w:br/>
        <w:t>(in thousands of dollars)</w:t>
      </w:r>
    </w:p>
    <w:tbl>
      <w:tblPr>
        <w:tblW w:w="5000" w:type="pct"/>
        <w:jc w:val="center"/>
        <w:tblInd w:w="0" w:type="dxa"/>
        <w:tblCellMar>
          <w:top w:w="0" w:type="dxa"/>
          <w:left w:w="0" w:type="dxa"/>
          <w:bottom w:w="0" w:type="dxa"/>
          <w:right w:w="0" w:type="dxa"/>
        </w:tblCellMar>
      </w:tblPr>
      <w:tblGrid>
        <w:gridCol w:w="7583"/>
        <w:gridCol w:w="206"/>
        <w:gridCol w:w="106"/>
        <w:gridCol w:w="944"/>
        <w:gridCol w:w="206"/>
        <w:gridCol w:w="106"/>
        <w:gridCol w:w="943"/>
        <w:gridCol w:w="111"/>
      </w:tblGrid>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5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w:t>
              <w:br/>
              <w:t>2005</w:t>
            </w:r>
          </w:p>
        </w:tc>
        <w:tc>
          <w:tcPr>
            <w:tcW w:w="206" w:type="dxa"/>
            <w:tcBorders/>
            <w:shd w:fill="auto" w:val="clear"/>
            <w:vAlign w:val="bottom"/>
          </w:tcPr>
          <w:p>
            <w:pPr>
              <w:pStyle w:val="TableContents"/>
              <w:spacing w:before="0" w:after="283"/>
              <w:jc w:val="center"/>
              <w:rPr/>
            </w:pPr>
            <w:r>
              <w:rPr/>
              <w:t> </w:t>
            </w:r>
          </w:p>
        </w:tc>
        <w:tc>
          <w:tcPr>
            <w:tcW w:w="104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111" w:type="dxa"/>
            <w:tcBorders/>
            <w:shd w:fill="auto" w:val="clear"/>
            <w:vAlign w:val="bottom"/>
          </w:tcPr>
          <w:p>
            <w:pPr>
              <w:pStyle w:val="TableContents"/>
              <w:spacing w:before="0" w:after="283"/>
              <w:jc w:val="center"/>
              <w:rPr/>
            </w:pPr>
            <w:r>
              <w:rPr/>
              <w:t> </w:t>
            </w:r>
          </w:p>
        </w:tc>
      </w:tr>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3"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5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pPr>
            <w:r>
              <w:rPr/>
              <w:t> </w:t>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Current Assets</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pPr>
            <w:r>
              <w:rPr/>
              <w:t> </w:t>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Cash and cash equivalents</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5,853</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5,945</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Investment in treasury securities</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11,485</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13,098</w:t>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Investment in debt securities</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1,028</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392</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receivable, less allowance of $614 and $609 at October 31, 2005 and July 31, 2005, respectively</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24,086</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23,611</w:t>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Inventories</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14,227</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12,686</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overburden removal expense</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1,526</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1,370</w:t>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1,647</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1,647</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expenses and other assets</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5,470</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4,347</w:t>
            </w:r>
          </w:p>
        </w:tc>
        <w:tc>
          <w:tcPr>
            <w:tcW w:w="111" w:type="dxa"/>
            <w:tcBorders/>
            <w:shd w:fill="auto"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3"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Assets</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65,322</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63,096</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3"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Property, Plant and Equipment</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152,014</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149,471</w:t>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Less accumulated depreciation and amortization</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(103,312</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(101,573</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3"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Property, Plant and Equipment, Net</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48,702</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47,898</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3"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Other Assets</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Goodwill</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5,162</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5,162</w:t>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Intangibles, net of accumulated amortization of $3,058 and $3,019 at October 31, 2005 and July 31, 2005, respectively</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1,911</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1,965</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1,299</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1,287</w:t>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4,192</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4,163</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3"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Assets</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12,564</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12,577</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6" w:space="0" w:color="000000"/>
              </w:pBdr>
              <w:spacing w:before="0" w:after="283"/>
              <w:rPr/>
            </w:pPr>
            <w:r>
              <w:rPr/>
            </w:r>
          </w:p>
        </w:tc>
        <w:tc>
          <w:tcPr>
            <w:tcW w:w="943"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758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4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126,588</w:t>
            </w:r>
          </w:p>
        </w:tc>
        <w:tc>
          <w:tcPr>
            <w:tcW w:w="2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123,571</w:t>
            </w:r>
          </w:p>
        </w:tc>
        <w:tc>
          <w:tcPr>
            <w:tcW w:w="111" w:type="dxa"/>
            <w:tcBorders/>
            <w:shd w:fill="CCEEFF" w:val="clear"/>
            <w:vAlign w:val="bottom"/>
          </w:tcPr>
          <w:p>
            <w:pPr>
              <w:pStyle w:val="TableContents"/>
              <w:spacing w:before="0" w:after="283"/>
              <w:rPr/>
            </w:pPr>
            <w:r>
              <w:rPr/>
              <w:t> </w:t>
            </w:r>
          </w:p>
        </w:tc>
      </w:tr>
      <w:tr>
        <w:trPr/>
        <w:tc>
          <w:tcPr>
            <w:tcW w:w="758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18" w:space="0" w:color="000000"/>
              </w:pBdr>
              <w:spacing w:before="0" w:after="283"/>
              <w:rPr/>
            </w:pPr>
            <w:r>
              <w:rPr/>
            </w:r>
          </w:p>
        </w:tc>
        <w:tc>
          <w:tcPr>
            <w:tcW w:w="944"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6" w:type="dxa"/>
            <w:tcBorders/>
            <w:shd w:fill="auto" w:val="clear"/>
            <w:vAlign w:val="bottom"/>
          </w:tcPr>
          <w:p>
            <w:pPr>
              <w:pStyle w:val="HorizontalLine"/>
              <w:pBdr>
                <w:bottom w:val="single" w:sz="18" w:space="0" w:color="000000"/>
              </w:pBdr>
              <w:spacing w:before="0" w:after="283"/>
              <w:rPr/>
            </w:pPr>
            <w:r>
              <w:rPr/>
            </w:r>
          </w:p>
        </w:tc>
        <w:tc>
          <w:tcPr>
            <w:tcW w:w="943"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4</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Balance Sheets</w:t>
        <w:br/>
        <w:t>(in thousands of dollars)</w:t>
      </w:r>
    </w:p>
    <w:tbl>
      <w:tblPr>
        <w:tblW w:w="5000" w:type="pct"/>
        <w:jc w:val="center"/>
        <w:tblInd w:w="0" w:type="dxa"/>
        <w:tblCellMar>
          <w:top w:w="0" w:type="dxa"/>
          <w:left w:w="0" w:type="dxa"/>
          <w:bottom w:w="0" w:type="dxa"/>
          <w:right w:w="0" w:type="dxa"/>
        </w:tblCellMar>
      </w:tblPr>
      <w:tblGrid>
        <w:gridCol w:w="7509"/>
        <w:gridCol w:w="206"/>
        <w:gridCol w:w="116"/>
        <w:gridCol w:w="975"/>
        <w:gridCol w:w="207"/>
        <w:gridCol w:w="113"/>
        <w:gridCol w:w="966"/>
        <w:gridCol w:w="113"/>
      </w:tblGrid>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w:t>
              <w:br/>
              <w:t>2005</w:t>
            </w:r>
          </w:p>
        </w:tc>
        <w:tc>
          <w:tcPr>
            <w:tcW w:w="207" w:type="dxa"/>
            <w:tcBorders/>
            <w:shd w:fill="auto" w:val="clear"/>
            <w:vAlign w:val="bottom"/>
          </w:tcPr>
          <w:p>
            <w:pPr>
              <w:pStyle w:val="TableContents"/>
              <w:spacing w:before="0" w:after="283"/>
              <w:jc w:val="center"/>
              <w:rPr/>
            </w:pPr>
            <w:r>
              <w:rPr/>
              <w:t> </w:t>
            </w:r>
          </w:p>
        </w:tc>
        <w:tc>
          <w:tcPr>
            <w:tcW w:w="107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113" w:type="dxa"/>
            <w:tcBorders/>
            <w:shd w:fill="auto" w:val="clear"/>
            <w:vAlign w:val="bottom"/>
          </w:tcPr>
          <w:p>
            <w:pPr>
              <w:pStyle w:val="TableContents"/>
              <w:spacing w:before="0" w:after="283"/>
              <w:jc w:val="center"/>
              <w:rPr/>
            </w:pPr>
            <w:r>
              <w:rPr/>
              <w:t> </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75"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966"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jc w:val="center"/>
              <w:rPr/>
            </w:pPr>
            <w:r>
              <w:rPr/>
              <w:t> </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207" w:type="dxa"/>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jc w:val="center"/>
              <w:rPr/>
            </w:pPr>
            <w:r>
              <w:rPr/>
              <w:t> </w:t>
            </w:r>
          </w:p>
        </w:tc>
        <w:tc>
          <w:tcPr>
            <w:tcW w:w="966" w:type="dxa"/>
            <w:tcBorders/>
            <w:shd w:fill="auto" w:val="clear"/>
            <w:vAlign w:val="bottom"/>
          </w:tcPr>
          <w:p>
            <w:pPr>
              <w:pStyle w:val="TableContents"/>
              <w:spacing w:before="0" w:after="283"/>
              <w:jc w:val="center"/>
              <w:rPr/>
            </w:pPr>
            <w:r>
              <w:rPr/>
              <w:t> </w:t>
            </w:r>
          </w:p>
        </w:tc>
        <w:tc>
          <w:tcPr>
            <w:tcW w:w="113" w:type="dxa"/>
            <w:tcBorders/>
            <w:shd w:fill="auto" w:val="clear"/>
            <w:vAlign w:val="bottom"/>
          </w:tcPr>
          <w:p>
            <w:pPr>
              <w:pStyle w:val="TableContents"/>
              <w:spacing w:before="0" w:after="283"/>
              <w:jc w:val="center"/>
              <w:rPr/>
            </w:pPr>
            <w:r>
              <w:rPr/>
              <w:t> </w:t>
            </w:r>
          </w:p>
        </w:tc>
      </w:tr>
      <w:tr>
        <w:trPr/>
        <w:tc>
          <w:tcPr>
            <w:tcW w:w="7509" w:type="dxa"/>
            <w:tcBorders/>
            <w:shd w:fill="CCEEFF" w:val="clear"/>
            <w:vAlign w:val="bottom"/>
          </w:tcPr>
          <w:p>
            <w:pPr>
              <w:pStyle w:val="TableContents"/>
              <w:spacing w:before="0" w:after="283"/>
              <w:jc w:val="center"/>
              <w:rPr>
                <w:rFonts w:ascii="Times New Roman" w:hAnsi="Times New Roman"/>
                <w:b/>
                <w:sz w:val="14"/>
              </w:rPr>
            </w:pPr>
            <w:r>
              <w:rPr>
                <w:rFonts w:ascii="Times New Roman" w:hAnsi="Times New Roman"/>
                <w:b/>
                <w:sz w:val="14"/>
              </w:rPr>
              <w:t>LIABILITIES &amp; STOCKHOLDERS EQUITY</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Current Liabilities</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Current maturities of notes payable</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3,080</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3,080</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payable</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6,476</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5,228</w:t>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Dividends payable</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608</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559</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Accrued expenses</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Salaries, wages and commissions</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2,527</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3,741</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Trade promotions and advertising</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3,652</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3,362</w:t>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Freight</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1,395</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1,386</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7,020</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5,178</w:t>
            </w:r>
          </w:p>
        </w:tc>
        <w:tc>
          <w:tcPr>
            <w:tcW w:w="113" w:type="dxa"/>
            <w:tcBorders/>
            <w:shd w:fill="auto"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75"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966"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Liabilities</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24,758</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22,534</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75"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966"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Noncurrent Liabilities</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Notes payable</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20,160</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20,240</w:t>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Deferred compensation</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3,687</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3,650</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3,843</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3,293</w:t>
            </w:r>
          </w:p>
        </w:tc>
        <w:tc>
          <w:tcPr>
            <w:tcW w:w="113" w:type="dxa"/>
            <w:tcBorders/>
            <w:shd w:fill="auto"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75"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966"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Noncurrent Liabilities</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27,690</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27,183</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75"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966"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52,448</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49,717</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75"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966"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Stockholders Equity</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Common Stock, par value $.10 per share, issued 5,985,860 shares at October 31, 2005 and 5,965,560 shares at July 31, 2005</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599</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597</w:t>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Class B Stock, par value $.10 per share, issued 1,800,083 shares at October 31, 2005 and 1,800,083 shares at July 31, 2005</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180</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180</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w:t>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Additional paid-in capital</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14,164</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13,871</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Retained earnings</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95,311</w:t>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94,891</w:t>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Restricted unearned stock compensation</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(81</w:t>
            </w:r>
          </w:p>
        </w:tc>
        <w:tc>
          <w:tcPr>
            <w:tcW w:w="20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(93</w:t>
            </w:r>
          </w:p>
        </w:tc>
        <w:tc>
          <w:tcPr>
            <w:tcW w:w="20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(282</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75"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966"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110,120</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109,220</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Less Treasury Stock, at cost (1,987,450 Common and 342,241 Class B shares at October 31, 2005 and 1,953,350 Common and 342,241 Class B shares at July 31, 2005)</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(35,980</w:t>
            </w:r>
          </w:p>
        </w:tc>
        <w:tc>
          <w:tcPr>
            <w:tcW w:w="20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13"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(35,366</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75"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966"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Stockholders Equity</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74,140</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73,854</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975"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6" w:space="0" w:color="000000"/>
              </w:pBdr>
              <w:spacing w:before="0" w:after="283"/>
              <w:rPr/>
            </w:pPr>
            <w:r>
              <w:rPr/>
            </w:r>
          </w:p>
        </w:tc>
        <w:tc>
          <w:tcPr>
            <w:tcW w:w="966"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r>
      <w:tr>
        <w:trPr/>
        <w:tc>
          <w:tcPr>
            <w:tcW w:w="750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 &amp; Stockholders Equity</w:t>
            </w:r>
          </w:p>
        </w:tc>
        <w:tc>
          <w:tcPr>
            <w:tcW w:w="20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7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126,588</w:t>
            </w:r>
          </w:p>
        </w:tc>
        <w:tc>
          <w:tcPr>
            <w:tcW w:w="20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123,571</w:t>
            </w:r>
          </w:p>
        </w:tc>
        <w:tc>
          <w:tcPr>
            <w:tcW w:w="113" w:type="dxa"/>
            <w:tcBorders/>
            <w:shd w:fill="CCEEFF" w:val="clear"/>
            <w:vAlign w:val="bottom"/>
          </w:tcPr>
          <w:p>
            <w:pPr>
              <w:pStyle w:val="TableContents"/>
              <w:spacing w:before="0" w:after="283"/>
              <w:rPr/>
            </w:pPr>
            <w:r>
              <w:rPr/>
              <w:t> </w:t>
            </w:r>
          </w:p>
        </w:tc>
      </w:tr>
      <w:tr>
        <w:trPr/>
        <w:tc>
          <w:tcPr>
            <w:tcW w:w="750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975" w:type="dxa"/>
            <w:tcBorders/>
            <w:shd w:fill="auto" w:val="clear"/>
            <w:vAlign w:val="bottom"/>
          </w:tcPr>
          <w:p>
            <w:pPr>
              <w:pStyle w:val="HorizontalLine"/>
              <w:pBdr>
                <w:bottom w:val="single" w:sz="18"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13" w:type="dxa"/>
            <w:tcBorders/>
            <w:shd w:fill="auto" w:val="clear"/>
            <w:vAlign w:val="bottom"/>
          </w:tcPr>
          <w:p>
            <w:pPr>
              <w:pStyle w:val="HorizontalLine"/>
              <w:pBdr>
                <w:bottom w:val="single" w:sz="18" w:space="0" w:color="000000"/>
              </w:pBdr>
              <w:spacing w:before="0" w:after="283"/>
              <w:rPr/>
            </w:pPr>
            <w:r>
              <w:rPr/>
            </w:r>
          </w:p>
        </w:tc>
        <w:tc>
          <w:tcPr>
            <w:tcW w:w="966"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5</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Income and Retained Earnings</w:t>
        <w:br/>
        <w:t>(in thousands, except for per share amounts)</w:t>
        <w:br/>
        <w:t>(unaudited)</w:t>
      </w:r>
    </w:p>
    <w:tbl>
      <w:tblPr>
        <w:tblW w:w="5000" w:type="pct"/>
        <w:jc w:val="center"/>
        <w:tblInd w:w="0" w:type="dxa"/>
        <w:tblCellMar>
          <w:top w:w="0" w:type="dxa"/>
          <w:left w:w="0" w:type="dxa"/>
          <w:bottom w:w="0" w:type="dxa"/>
          <w:right w:w="0" w:type="dxa"/>
        </w:tblCellMar>
      </w:tblPr>
      <w:tblGrid>
        <w:gridCol w:w="7630"/>
        <w:gridCol w:w="206"/>
        <w:gridCol w:w="102"/>
        <w:gridCol w:w="928"/>
        <w:gridCol w:w="205"/>
        <w:gridCol w:w="103"/>
        <w:gridCol w:w="928"/>
        <w:gridCol w:w="103"/>
      </w:tblGrid>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October 31</w:t>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5"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03" w:type="dxa"/>
            <w:tcBorders/>
            <w:shd w:fill="auto" w:val="clear"/>
            <w:vAlign w:val="bottom"/>
          </w:tcPr>
          <w:p>
            <w:pPr>
              <w:pStyle w:val="TableContents"/>
              <w:spacing w:before="0" w:after="283"/>
              <w:jc w:val="center"/>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47,789</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44,121</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 of Sales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39,362</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34,453</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8,427</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9,668</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Gain on Sale of Long-Lived Asset</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415</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Selling, General and Administrative Expenses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(7,259</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(7,643</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from Operations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1,583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2,025</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Income (Expense)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expense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(430</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income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189</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(Expense),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(180</w:t>
            </w:r>
          </w:p>
        </w:tc>
        <w:tc>
          <w:tcPr>
            <w:tcW w:w="20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(307</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1,403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1,718</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375</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438</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1,028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1,280</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Retained Earnings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Balance at beginning of year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94,891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90,985</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Less cash dividends declared and treasury stock reissuances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608</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565</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Retained Earnings  October 31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95,311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91,700</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0.20</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0.25</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0.15</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0.19</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0.18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0.22</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4,001</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4,053</w:t>
            </w:r>
          </w:p>
        </w:tc>
        <w:tc>
          <w:tcPr>
            <w:tcW w:w="103" w:type="dxa"/>
            <w:tcBorders/>
            <w:shd w:fill="auto"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1,458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1,450</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5,811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5,949</w:t>
            </w:r>
          </w:p>
        </w:tc>
        <w:tc>
          <w:tcPr>
            <w:tcW w:w="103" w:type="dxa"/>
            <w:tcBorders/>
            <w:shd w:fill="CCEEFF" w:val="clear"/>
            <w:vAlign w:val="bottom"/>
          </w:tcPr>
          <w:p>
            <w:pPr>
              <w:pStyle w:val="TableContents"/>
              <w:spacing w:before="0" w:after="283"/>
              <w:rPr/>
            </w:pPr>
            <w:r>
              <w:rPr/>
              <w:t> </w:t>
            </w:r>
          </w:p>
        </w:tc>
      </w:tr>
      <w:tr>
        <w:trPr/>
        <w:tc>
          <w:tcPr>
            <w:tcW w:w="763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6</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Statements of Comprehensive Income</w:t>
        <w:br/>
        <w:t>(in thousands of dollars)</w:t>
        <w:br/>
        <w:t>(unaudited)</w:t>
      </w:r>
    </w:p>
    <w:tbl>
      <w:tblPr>
        <w:tblW w:w="5000" w:type="pct"/>
        <w:jc w:val="center"/>
        <w:tblInd w:w="0" w:type="dxa"/>
        <w:tblCellMar>
          <w:top w:w="0" w:type="dxa"/>
          <w:left w:w="0" w:type="dxa"/>
          <w:bottom w:w="0" w:type="dxa"/>
          <w:right w:w="0" w:type="dxa"/>
        </w:tblCellMar>
      </w:tblPr>
      <w:tblGrid>
        <w:gridCol w:w="7631"/>
        <w:gridCol w:w="205"/>
        <w:gridCol w:w="103"/>
        <w:gridCol w:w="928"/>
        <w:gridCol w:w="205"/>
        <w:gridCol w:w="102"/>
        <w:gridCol w:w="928"/>
        <w:gridCol w:w="103"/>
      </w:tblGrid>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October 31</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266"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5"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1,028</w:t>
            </w:r>
          </w:p>
        </w:tc>
        <w:tc>
          <w:tcPr>
            <w:tcW w:w="2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1,280</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Comprehensive Income:</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w:t>
            </w:r>
          </w:p>
        </w:tc>
        <w:tc>
          <w:tcPr>
            <w:tcW w:w="2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189</w:t>
            </w:r>
          </w:p>
        </w:tc>
        <w:tc>
          <w:tcPr>
            <w:tcW w:w="2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Comprehensive Income</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1,219</w:t>
            </w:r>
          </w:p>
        </w:tc>
        <w:tc>
          <w:tcPr>
            <w:tcW w:w="2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1,311</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7</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Cash Flows</w:t>
        <w:br/>
        <w:t>(in thousands of dollars)</w:t>
        <w:br/>
        <w:t>(unaudited)</w:t>
      </w:r>
    </w:p>
    <w:tbl>
      <w:tblPr>
        <w:tblW w:w="5000" w:type="pct"/>
        <w:jc w:val="center"/>
        <w:tblInd w:w="0" w:type="dxa"/>
        <w:tblCellMar>
          <w:top w:w="0" w:type="dxa"/>
          <w:left w:w="0" w:type="dxa"/>
          <w:bottom w:w="0" w:type="dxa"/>
          <w:right w:w="0" w:type="dxa"/>
        </w:tblCellMar>
      </w:tblPr>
      <w:tblGrid>
        <w:gridCol w:w="7629"/>
        <w:gridCol w:w="206"/>
        <w:gridCol w:w="103"/>
        <w:gridCol w:w="928"/>
        <w:gridCol w:w="205"/>
        <w:gridCol w:w="103"/>
        <w:gridCol w:w="928"/>
        <w:gridCol w:w="103"/>
      </w:tblGrid>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7"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October 31</w:t>
            </w:r>
          </w:p>
        </w:tc>
        <w:tc>
          <w:tcPr>
            <w:tcW w:w="103" w:type="dxa"/>
            <w:tcBorders/>
            <w:shd w:fill="auto" w:val="clear"/>
            <w:vAlign w:val="bottom"/>
          </w:tcPr>
          <w:p>
            <w:pPr>
              <w:pStyle w:val="TableContents"/>
              <w:spacing w:before="0" w:after="283"/>
              <w:jc w:val="center"/>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7"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5"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03" w:type="dxa"/>
            <w:tcBorders/>
            <w:shd w:fill="auto" w:val="clear"/>
            <w:vAlign w:val="bottom"/>
          </w:tcPr>
          <w:p>
            <w:pPr>
              <w:pStyle w:val="TableContents"/>
              <w:spacing w:before="0" w:after="283"/>
              <w:jc w:val="center"/>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CASH FLOWS FROM OPERATING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1,028</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1,280</w:t>
            </w:r>
          </w:p>
        </w:tc>
        <w:tc>
          <w:tcPr>
            <w:tcW w:w="103" w:type="dxa"/>
            <w:tcBorders/>
            <w:shd w:fill="auto"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Adjustments to reconcile net income to net cash provided by operating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Depreciation and amortization</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1,797</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1,926</w:t>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Amortization of investment discount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(112</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Non-cash stock compensation expense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Excess tax benefits for share-based payments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(40</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Provision for bad debts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(Gain) loss on the sale of property, plant and equipment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(408</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112</w:t>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(Increase) Decrease in:</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receivable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(496</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248</w:t>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Inventories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(1,541</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(559</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overburden removal expense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(156</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204</w:t>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Prepaid expenses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(1,123</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(577</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assets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(34</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Increase (Decrease) in:</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payable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1,273</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(644</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Accrued expenses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927</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(1,455</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compensation</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37</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248</w:t>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liabilities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550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260</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Adjustments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737</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Provided by Operating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1,765</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1,028</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CASH FLOWS FROM INVESTING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Capital expenditures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(3,035</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(1,748</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sale of property, plant and equipment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1,000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Purchases of investments in debt securities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(2,288</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Maturities of investments in debt securities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1,658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1,015</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Purchases of treasury securities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(7,453</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(7,799</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Dispositions of treasury securities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9,173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9,341</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(Used in) Provided by Investing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(945</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809</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CASH FLOWS FROM FINANCING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Principal payments on long-term debt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(80</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(2,580</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Dividends paid</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(559</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(513</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Purchase of treasury stock</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(630</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(1,762</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common stock</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213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1,261</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Excess tax benefits for share-based payments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104</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Used in Financing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(912</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(3,569</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Decrease in Cash and Cash Equivalents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(92</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(1,732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62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Beginning of Year</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5,945</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6,348</w:t>
            </w:r>
          </w:p>
        </w:tc>
        <w:tc>
          <w:tcPr>
            <w:tcW w:w="103" w:type="dxa"/>
            <w:tcBorders/>
            <w:shd w:fill="auto"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2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October 31</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5,853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4,616</w:t>
            </w:r>
          </w:p>
        </w:tc>
        <w:tc>
          <w:tcPr>
            <w:tcW w:w="103" w:type="dxa"/>
            <w:tcBorders/>
            <w:shd w:fill="CCEEFF" w:val="clear"/>
            <w:vAlign w:val="bottom"/>
          </w:tcPr>
          <w:p>
            <w:pPr>
              <w:pStyle w:val="TableContents"/>
              <w:spacing w:before="0" w:after="283"/>
              <w:rPr/>
            </w:pPr>
            <w:r>
              <w:rPr/>
              <w:t> </w:t>
            </w:r>
          </w:p>
        </w:tc>
      </w:tr>
      <w:tr>
        <w:trPr/>
        <w:tc>
          <w:tcPr>
            <w:tcW w:w="762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8</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Notes To Consolidated Financial Statements</w:t>
        <w:br/>
        <w:t>(Unaudited)</w:t>
      </w:r>
    </w:p>
    <w:p>
      <w:pPr>
        <w:pStyle w:val="TextBody"/>
        <w:rPr>
          <w:rFonts w:ascii="Times New Roman" w:hAnsi="Times New Roman"/>
          <w:sz w:val="20"/>
        </w:rPr>
      </w:pPr>
      <w:r>
        <w:rPr>
          <w:rFonts w:ascii="Times New Roman" w:hAnsi="Times New Roman"/>
          <w:b/>
          <w:sz w:val="20"/>
        </w:rPr>
        <w:t>1.</w:t>
      </w:r>
      <w:r>
        <w:rPr>
          <w:rFonts w:ascii="Times New Roman" w:hAnsi="Times New Roman"/>
          <w:sz w:val="20"/>
        </w:rPr>
        <w:t>     </w:t>
      </w:r>
      <w:r>
        <w:rPr>
          <w:rFonts w:ascii="Times New Roman" w:hAnsi="Times New Roman"/>
          <w:b/>
          <w:sz w:val="20"/>
        </w:rPr>
        <w:t>BASIS OF STATEMENT PRESENTATION</w:t>
      </w:r>
    </w:p>
    <w:p>
      <w:pPr>
        <w:pStyle w:val="TextBody"/>
        <w:rPr>
          <w:rFonts w:ascii="Times New Roman" w:hAnsi="Times New Roman"/>
          <w:sz w:val="20"/>
        </w:rPr>
      </w:pPr>
      <w:r>
        <w:rPr>
          <w:rFonts w:ascii="Times New Roman" w:hAnsi="Times New Roman"/>
          <w:sz w:val="20"/>
        </w:rPr>
        <w:t>The financial statements and the related notes are condensed and should be read in conjunction with the consolidated financial statements and related notes for the year ended July 31, 2005, included in the Companys Annual Report on Form 10-K filed with the Securities and Exchange Commission.</w:t>
      </w:r>
    </w:p>
    <w:p>
      <w:pPr>
        <w:pStyle w:val="TextBody"/>
        <w:rPr>
          <w:rFonts w:ascii="Times New Roman" w:hAnsi="Times New Roman"/>
          <w:sz w:val="20"/>
        </w:rPr>
      </w:pPr>
      <w:r>
        <w:rPr>
          <w:rFonts w:ascii="Times New Roman" w:hAnsi="Times New Roman"/>
          <w:sz w:val="20"/>
        </w:rPr>
        <w:t>The consolidated financial statements include the accounts of the Company and its subsidiaries.  All significant intercompany transactions are eliminated.</w:t>
      </w:r>
    </w:p>
    <w:p>
      <w:pPr>
        <w:pStyle w:val="TextBody"/>
        <w:rPr>
          <w:rFonts w:ascii="Times New Roman" w:hAnsi="Times New Roman"/>
          <w:sz w:val="20"/>
        </w:rPr>
      </w:pPr>
      <w:r>
        <w:rPr>
          <w:rFonts w:ascii="Times New Roman" w:hAnsi="Times New Roman"/>
          <w:sz w:val="20"/>
        </w:rPr>
        <w:t>The unaudited financial information reflects all adjustments which are, in the opinion of management, necessary for a fair presentation of the statements contained herein.</w:t>
      </w:r>
    </w:p>
    <w:p>
      <w:pPr>
        <w:pStyle w:val="TextBody"/>
        <w:rPr>
          <w:rFonts w:ascii="Times New Roman" w:hAnsi="Times New Roman"/>
          <w:sz w:val="20"/>
        </w:rPr>
      </w:pPr>
      <w:r>
        <w:rPr>
          <w:rFonts w:ascii="Times New Roman" w:hAnsi="Times New Roman"/>
          <w:sz w:val="20"/>
        </w:rPr>
        <w:t xml:space="preserve">Under the terms of its sales agreements with customers, the Company recognizes revenue when title is transferred.  Upon shipment an invoice is generated that sets the fixed and determinable price.  Sales returns and allowances, which have historically not been material, are reviewed to determine if any additional reserve is necessary.  Allowance for doubtful accounts are evaluated by the Company utilizing a combination of a historical percentage of sales by division and specific customer account analysis.  The Company maintains and monitors a list of customers whose creditworthiness has diminished.  This list is used as part of the specific customer account analysis.  </w:t>
      </w:r>
    </w:p>
    <w:p>
      <w:pPr>
        <w:pStyle w:val="TextBody"/>
        <w:rPr>
          <w:rFonts w:ascii="Times New Roman" w:hAnsi="Times New Roman"/>
          <w:sz w:val="20"/>
        </w:rPr>
      </w:pPr>
      <w:r>
        <w:rPr>
          <w:rFonts w:ascii="Times New Roman" w:hAnsi="Times New Roman"/>
          <w:sz w:val="20"/>
        </w:rPr>
        <w:t xml:space="preserve">As part of its overall operations, the Company mines sorbent materials on property that it either owns or leases.  A significant part of the Companys overall mining cost is incurred during the process of removing the overburden (non-usable material) from the mine site, thus exposing the sorbent material that is then used in a majority of the Companys production processes.  The cost of the overburden removal is recorded in a prepaid expense account and, as the usable sorbent material is mined, the prepaid overburden removal expense is amortized over the estimated available material.  At October 31, 2005, the Company had $1,526,000 of prepaid overburden removal expense recorded on its Consolidated Balance Sheet.  During the first three months of fiscal 2006, the Company amortized to current expense approximately $523,000 of previously recorded prepaid expense.  </w:t>
      </w:r>
    </w:p>
    <w:p>
      <w:pPr>
        <w:pStyle w:val="TextBody"/>
        <w:rPr>
          <w:rFonts w:ascii="Times New Roman" w:hAnsi="Times New Roman"/>
          <w:sz w:val="20"/>
        </w:rPr>
      </w:pPr>
      <w:r>
        <w:rPr>
          <w:rFonts w:ascii="Times New Roman" w:hAnsi="Times New Roman"/>
          <w:sz w:val="20"/>
        </w:rPr>
        <w:t xml:space="preserve">During the normal course of the Companys overburden removal activities the Company performs on-going reclamation activities.  As overburden is removed from a pit, it is hauled to a previously mined pit and used to refill the older site.  This process allows the Company to continuously reclaim older pits and dispose of overburden simultaneously, therefore minimizing the liability for the reclamation function.  </w:t>
      </w:r>
    </w:p>
    <w:p>
      <w:pPr>
        <w:pStyle w:val="TextBody"/>
        <w:rPr>
          <w:rFonts w:ascii="Times New Roman" w:hAnsi="Times New Roman"/>
          <w:sz w:val="20"/>
        </w:rPr>
      </w:pPr>
      <w:r>
        <w:rPr>
          <w:rFonts w:ascii="Times New Roman" w:hAnsi="Times New Roman"/>
          <w:sz w:val="20"/>
        </w:rPr>
        <w:t>Additionally, it is Oil-Dris policy to capitalize the purchase cost of land and mineral rights, including associated legal fees, survey fees and real estate fees.  The costs of obtaining mineral patents, including legal fees and drilling expenses, are also capitalized.  Development costs of determining the nature and amount of mineral reserves and any prepaid royalties that are offsetable against future royalties due upon extraction of the mineral are also capitalized.  All exploration related costs are expensed as incurred.</w:t>
      </w:r>
    </w:p>
    <w:p>
      <w:pPr>
        <w:pStyle w:val="TextBody"/>
        <w:rPr>
          <w:rFonts w:ascii="Times New Roman" w:hAnsi="Times New Roman"/>
          <w:sz w:val="20"/>
        </w:rPr>
      </w:pPr>
      <w:r>
        <w:rPr>
          <w:rFonts w:ascii="Times New Roman" w:hAnsi="Times New Roman"/>
          <w:b/>
          <w:sz w:val="20"/>
        </w:rPr>
        <w:t>2.</w:t>
      </w:r>
      <w:r>
        <w:rPr>
          <w:rFonts w:ascii="Times New Roman" w:hAnsi="Times New Roman"/>
          <w:sz w:val="20"/>
        </w:rPr>
        <w:t>     </w:t>
      </w:r>
      <w:r>
        <w:rPr>
          <w:rFonts w:ascii="Times New Roman" w:hAnsi="Times New Roman"/>
          <w:b/>
          <w:sz w:val="20"/>
        </w:rPr>
        <w:t>INVENTORIES</w:t>
      </w:r>
    </w:p>
    <w:p>
      <w:pPr>
        <w:pStyle w:val="TextBody"/>
        <w:rPr>
          <w:rFonts w:ascii="Times New Roman" w:hAnsi="Times New Roman"/>
          <w:sz w:val="20"/>
        </w:rPr>
      </w:pPr>
      <w:r>
        <w:rPr>
          <w:rFonts w:ascii="Times New Roman" w:hAnsi="Times New Roman"/>
          <w:sz w:val="20"/>
        </w:rPr>
        <w:t>The composition of inventories is as follows (in thousands of dollars):</w:t>
      </w:r>
    </w:p>
    <w:tbl>
      <w:tblPr>
        <w:tblW w:w="4000" w:type="pct"/>
        <w:jc w:val="center"/>
        <w:tblInd w:w="0" w:type="dxa"/>
        <w:tblCellMar>
          <w:top w:w="0" w:type="dxa"/>
          <w:left w:w="0" w:type="dxa"/>
          <w:bottom w:w="0" w:type="dxa"/>
          <w:right w:w="0" w:type="dxa"/>
        </w:tblCellMar>
      </w:tblPr>
      <w:tblGrid>
        <w:gridCol w:w="5746"/>
        <w:gridCol w:w="172"/>
        <w:gridCol w:w="124"/>
        <w:gridCol w:w="894"/>
        <w:gridCol w:w="172"/>
        <w:gridCol w:w="112"/>
        <w:gridCol w:w="840"/>
        <w:gridCol w:w="104"/>
      </w:tblGrid>
      <w:tr>
        <w:trPr/>
        <w:tc>
          <w:tcPr>
            <w:tcW w:w="57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01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w:t>
              <w:br/>
              <w:t>2005</w:t>
            </w:r>
          </w:p>
        </w:tc>
        <w:tc>
          <w:tcPr>
            <w:tcW w:w="172" w:type="dxa"/>
            <w:tcBorders/>
            <w:shd w:fill="auto" w:val="clear"/>
            <w:vAlign w:val="bottom"/>
          </w:tcPr>
          <w:p>
            <w:pPr>
              <w:pStyle w:val="TableContents"/>
              <w:spacing w:before="0" w:after="283"/>
              <w:jc w:val="center"/>
              <w:rPr/>
            </w:pPr>
            <w:r>
              <w:rPr/>
              <w:t> </w:t>
            </w:r>
          </w:p>
        </w:tc>
        <w:tc>
          <w:tcPr>
            <w:tcW w:w="95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2005</w:t>
            </w:r>
          </w:p>
        </w:tc>
        <w:tc>
          <w:tcPr>
            <w:tcW w:w="104" w:type="dxa"/>
            <w:tcBorders/>
            <w:shd w:fill="auto" w:val="clear"/>
            <w:vAlign w:val="bottom"/>
          </w:tcPr>
          <w:p>
            <w:pPr>
              <w:pStyle w:val="TableContents"/>
              <w:spacing w:before="0" w:after="283"/>
              <w:jc w:val="center"/>
              <w:rPr/>
            </w:pPr>
            <w:r>
              <w:rPr/>
              <w:t> </w:t>
            </w:r>
          </w:p>
        </w:tc>
      </w:tr>
      <w:tr>
        <w:trPr/>
        <w:tc>
          <w:tcPr>
            <w:tcW w:w="57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6" w:space="0" w:color="000000"/>
              </w:pBdr>
              <w:spacing w:before="0" w:after="283"/>
              <w:rPr/>
            </w:pPr>
            <w:r>
              <w:rPr/>
            </w:r>
          </w:p>
        </w:tc>
        <w:tc>
          <w:tcPr>
            <w:tcW w:w="894" w:type="dxa"/>
            <w:tcBorders/>
            <w:shd w:fill="auto" w:val="clear"/>
            <w:vAlign w:val="bottom"/>
          </w:tcPr>
          <w:p>
            <w:pPr>
              <w:pStyle w:val="HorizontalLine"/>
              <w:pBdr>
                <w:bottom w:val="single" w:sz="6" w:space="0" w:color="000000"/>
              </w:pBdr>
              <w:spacing w:before="0" w:after="283"/>
              <w:rPr/>
            </w:pPr>
            <w:r>
              <w:rPr/>
            </w:r>
          </w:p>
        </w:tc>
        <w:tc>
          <w:tcPr>
            <w:tcW w:w="172" w:type="dxa"/>
            <w:tcBorders/>
            <w:shd w:fill="auto" w:val="clear"/>
            <w:vAlign w:val="bottom"/>
          </w:tcPr>
          <w:p>
            <w:pPr>
              <w:pStyle w:val="TableContents"/>
              <w:spacing w:before="0" w:after="283"/>
              <w:jc w:val="center"/>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jc w:val="center"/>
              <w:rPr/>
            </w:pPr>
            <w:r>
              <w:rPr/>
              <w:t> </w:t>
            </w:r>
          </w:p>
        </w:tc>
      </w:tr>
      <w:tr>
        <w:trPr/>
        <w:tc>
          <w:tcPr>
            <w:tcW w:w="57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01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72" w:type="dxa"/>
            <w:tcBorders/>
            <w:shd w:fill="auto" w:val="clear"/>
            <w:vAlign w:val="bottom"/>
          </w:tcPr>
          <w:p>
            <w:pPr>
              <w:pStyle w:val="TableContents"/>
              <w:spacing w:before="0" w:after="283"/>
              <w:jc w:val="center"/>
              <w:rPr/>
            </w:pPr>
            <w:r>
              <w:rPr/>
              <w:t> </w:t>
            </w:r>
          </w:p>
        </w:tc>
        <w:tc>
          <w:tcPr>
            <w:tcW w:w="112" w:type="dxa"/>
            <w:tcBorders/>
            <w:shd w:fill="auto" w:val="clear"/>
            <w:vAlign w:val="bottom"/>
          </w:tcPr>
          <w:p>
            <w:pPr>
              <w:pStyle w:val="TableContents"/>
              <w:spacing w:before="0" w:after="283"/>
              <w:jc w:val="center"/>
              <w:rPr/>
            </w:pPr>
            <w:r>
              <w:rPr/>
              <w:t> </w:t>
            </w:r>
          </w:p>
        </w:tc>
        <w:tc>
          <w:tcPr>
            <w:tcW w:w="84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r>
      <w:tr>
        <w:trPr/>
        <w:tc>
          <w:tcPr>
            <w:tcW w:w="574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Finished goods</w:t>
            </w:r>
          </w:p>
        </w:tc>
        <w:tc>
          <w:tcPr>
            <w:tcW w:w="17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9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8,176</w:t>
            </w:r>
          </w:p>
        </w:tc>
        <w:tc>
          <w:tcPr>
            <w:tcW w:w="17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4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7,257</w:t>
            </w:r>
          </w:p>
        </w:tc>
        <w:tc>
          <w:tcPr>
            <w:tcW w:w="104" w:type="dxa"/>
            <w:tcBorders/>
            <w:shd w:fill="CCEEFF" w:val="clear"/>
            <w:vAlign w:val="bottom"/>
          </w:tcPr>
          <w:p>
            <w:pPr>
              <w:pStyle w:val="TableContents"/>
              <w:spacing w:before="0" w:after="283"/>
              <w:rPr/>
            </w:pPr>
            <w:r>
              <w:rPr/>
              <w:t> </w:t>
            </w:r>
          </w:p>
        </w:tc>
      </w:tr>
      <w:tr>
        <w:trPr/>
        <w:tc>
          <w:tcPr>
            <w:tcW w:w="574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Packaging</w:t>
            </w:r>
          </w:p>
        </w:tc>
        <w:tc>
          <w:tcPr>
            <w:tcW w:w="17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3,381</w:t>
            </w:r>
          </w:p>
        </w:tc>
        <w:tc>
          <w:tcPr>
            <w:tcW w:w="172"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3,310</w:t>
            </w:r>
          </w:p>
        </w:tc>
        <w:tc>
          <w:tcPr>
            <w:tcW w:w="104" w:type="dxa"/>
            <w:tcBorders/>
            <w:shd w:fill="auto" w:val="clear"/>
            <w:vAlign w:val="bottom"/>
          </w:tcPr>
          <w:p>
            <w:pPr>
              <w:pStyle w:val="TableContents"/>
              <w:spacing w:before="0" w:after="283"/>
              <w:rPr/>
            </w:pPr>
            <w:r>
              <w:rPr/>
              <w:t> </w:t>
            </w:r>
          </w:p>
        </w:tc>
      </w:tr>
      <w:tr>
        <w:trPr/>
        <w:tc>
          <w:tcPr>
            <w:tcW w:w="574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17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2,670</w:t>
            </w:r>
          </w:p>
        </w:tc>
        <w:tc>
          <w:tcPr>
            <w:tcW w:w="17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2,119</w:t>
            </w:r>
          </w:p>
        </w:tc>
        <w:tc>
          <w:tcPr>
            <w:tcW w:w="104" w:type="dxa"/>
            <w:tcBorders/>
            <w:shd w:fill="CCEEFF" w:val="clear"/>
            <w:vAlign w:val="bottom"/>
          </w:tcPr>
          <w:p>
            <w:pPr>
              <w:pStyle w:val="TableContents"/>
              <w:spacing w:before="0" w:after="283"/>
              <w:rPr/>
            </w:pPr>
            <w:r>
              <w:rPr/>
              <w:t> </w:t>
            </w:r>
          </w:p>
        </w:tc>
      </w:tr>
      <w:tr>
        <w:trPr/>
        <w:tc>
          <w:tcPr>
            <w:tcW w:w="57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6" w:space="0" w:color="000000"/>
              </w:pBdr>
              <w:spacing w:before="0" w:after="283"/>
              <w:rPr/>
            </w:pPr>
            <w:r>
              <w:rPr/>
            </w:r>
          </w:p>
        </w:tc>
        <w:tc>
          <w:tcPr>
            <w:tcW w:w="894" w:type="dxa"/>
            <w:tcBorders/>
            <w:shd w:fill="auto" w:val="clear"/>
            <w:vAlign w:val="bottom"/>
          </w:tcPr>
          <w:p>
            <w:pPr>
              <w:pStyle w:val="HorizontalLine"/>
              <w:pBdr>
                <w:bottom w:val="single" w:sz="6" w:space="0" w:color="000000"/>
              </w:pBdr>
              <w:spacing w:before="0" w:after="283"/>
              <w:rPr/>
            </w:pPr>
            <w:r>
              <w:rPr/>
            </w:r>
          </w:p>
        </w:tc>
        <w:tc>
          <w:tcPr>
            <w:tcW w:w="172"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4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rPr/>
            </w:pPr>
            <w:r>
              <w:rPr/>
              <w:t> </w:t>
            </w:r>
          </w:p>
        </w:tc>
      </w:tr>
      <w:tr>
        <w:trPr/>
        <w:tc>
          <w:tcPr>
            <w:tcW w:w="574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94"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14,227</w:t>
            </w:r>
          </w:p>
        </w:tc>
        <w:tc>
          <w:tcPr>
            <w:tcW w:w="17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4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12,686</w:t>
            </w:r>
          </w:p>
        </w:tc>
        <w:tc>
          <w:tcPr>
            <w:tcW w:w="104" w:type="dxa"/>
            <w:tcBorders/>
            <w:shd w:fill="CCEEFF" w:val="clear"/>
            <w:vAlign w:val="bottom"/>
          </w:tcPr>
          <w:p>
            <w:pPr>
              <w:pStyle w:val="TableContents"/>
              <w:spacing w:before="0" w:after="283"/>
              <w:rPr/>
            </w:pPr>
            <w:r>
              <w:rPr/>
              <w:t> </w:t>
            </w:r>
          </w:p>
        </w:tc>
      </w:tr>
      <w:tr>
        <w:trPr/>
        <w:tc>
          <w:tcPr>
            <w:tcW w:w="574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18" w:space="0" w:color="000000"/>
              </w:pBdr>
              <w:spacing w:before="0" w:after="283"/>
              <w:rPr/>
            </w:pPr>
            <w:r>
              <w:rPr/>
            </w:r>
          </w:p>
        </w:tc>
        <w:tc>
          <w:tcPr>
            <w:tcW w:w="894" w:type="dxa"/>
            <w:tcBorders/>
            <w:shd w:fill="auto" w:val="clear"/>
            <w:vAlign w:val="bottom"/>
          </w:tcPr>
          <w:p>
            <w:pPr>
              <w:pStyle w:val="HorizontalLine"/>
              <w:pBdr>
                <w:bottom w:val="single" w:sz="18" w:space="0" w:color="000000"/>
              </w:pBdr>
              <w:spacing w:before="0" w:after="283"/>
              <w:rPr/>
            </w:pPr>
            <w:r>
              <w:rPr/>
            </w:r>
          </w:p>
        </w:tc>
        <w:tc>
          <w:tcPr>
            <w:tcW w:w="172"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18" w:space="0" w:color="000000"/>
              </w:pBdr>
              <w:spacing w:before="0" w:after="283"/>
              <w:rPr/>
            </w:pPr>
            <w:r>
              <w:rPr/>
            </w:r>
          </w:p>
        </w:tc>
        <w:tc>
          <w:tcPr>
            <w:tcW w:w="840" w:type="dxa"/>
            <w:tcBorders/>
            <w:shd w:fill="auto" w:val="clear"/>
            <w:vAlign w:val="bottom"/>
          </w:tcPr>
          <w:p>
            <w:pPr>
              <w:pStyle w:val="HorizontalLine"/>
              <w:pBdr>
                <w:bottom w:val="single" w:sz="18" w:space="0" w:color="000000"/>
              </w:pBdr>
              <w:spacing w:before="0" w:after="283"/>
              <w:rPr/>
            </w:pPr>
            <w:r>
              <w:rPr/>
            </w:r>
          </w:p>
        </w:tc>
        <w:tc>
          <w:tcPr>
            <w:tcW w:w="104" w:type="dxa"/>
            <w:tcBorders/>
            <w:shd w:fill="auto"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9</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Inventories are valued at the lower of cost (first-in, first-out) or market.  Inventory costs include the cost of raw materials, packaging supplies, labor and other overhead costs.  The Company performs a review of its inventory items to determine if an obsolescence reserve adjustment is necessary.  The review surveys all of the Companys operating facilities and sales divisions to ensure that both historical issues and new market trends are considered.  The allowance not only considers specific items, but also takes into consideration the overall value of the inventory as of the balance sheet date.  The inventory obsolescence reserve values at October 31, 2005 and July 31, 2005 were $304,000 and $301,000, respectively. </w:t>
      </w:r>
    </w:p>
    <w:p>
      <w:pPr>
        <w:pStyle w:val="TextBody"/>
        <w:rPr>
          <w:rFonts w:ascii="Times New Roman" w:hAnsi="Times New Roman"/>
          <w:b/>
          <w:sz w:val="20"/>
        </w:rPr>
      </w:pPr>
      <w:r>
        <w:rPr>
          <w:rFonts w:ascii="Times New Roman" w:hAnsi="Times New Roman"/>
          <w:b/>
          <w:sz w:val="20"/>
        </w:rPr>
        <w:t>3.     PENSION AND OTHER POST RETIREMENT BENEFITS</w:t>
      </w:r>
    </w:p>
    <w:p>
      <w:pPr>
        <w:pStyle w:val="TextBody"/>
        <w:rPr>
          <w:rFonts w:ascii="Times New Roman" w:hAnsi="Times New Roman"/>
          <w:sz w:val="20"/>
        </w:rPr>
      </w:pPr>
      <w:r>
        <w:rPr>
          <w:rFonts w:ascii="Times New Roman" w:hAnsi="Times New Roman"/>
          <w:sz w:val="20"/>
        </w:rPr>
        <w:t>In December 2003, the FASB issued a revision to Statement of Financial Accounting Standards (SFAS) No. 132 (revised 2003), Employers Disclosures about Pensions and Other Postretirement Benefits, effective for fiscal periods beginning after December 15, 2003.  This revised statement requires additional annual disclosures regarding types of plan assets, investment strategy, future plan contributions, expected benefit payments and other items.  The statement also requires quarterly disclosure of the components of net periodic benefit cost and plan contributions.  The Company adopted SFAS No. 132 (revised 2003) for the quarter ending October 31, 2004 and has presented below the required disclosure.</w:t>
      </w:r>
    </w:p>
    <w:p>
      <w:pPr>
        <w:pStyle w:val="TextBody"/>
        <w:rPr>
          <w:rFonts w:ascii="Times New Roman" w:hAnsi="Times New Roman"/>
          <w:sz w:val="20"/>
        </w:rPr>
      </w:pPr>
      <w:r>
        <w:rPr>
          <w:rFonts w:ascii="Times New Roman" w:hAnsi="Times New Roman"/>
          <w:sz w:val="20"/>
        </w:rPr>
        <w:t>The components of net periodic pension benefits cost of the Company sponsored defined benefit plans were as follows:</w:t>
      </w:r>
    </w:p>
    <w:tbl>
      <w:tblPr>
        <w:tblW w:w="4500" w:type="pct"/>
        <w:jc w:val="center"/>
        <w:tblInd w:w="0" w:type="dxa"/>
        <w:tblCellMar>
          <w:top w:w="0" w:type="dxa"/>
          <w:left w:w="0" w:type="dxa"/>
          <w:bottom w:w="0" w:type="dxa"/>
          <w:right w:w="0" w:type="dxa"/>
        </w:tblCellMar>
      </w:tblPr>
      <w:tblGrid>
        <w:gridCol w:w="6559"/>
        <w:gridCol w:w="194"/>
        <w:gridCol w:w="145"/>
        <w:gridCol w:w="914"/>
        <w:gridCol w:w="196"/>
        <w:gridCol w:w="145"/>
        <w:gridCol w:w="914"/>
        <w:gridCol w:w="117"/>
      </w:tblGrid>
      <w:tr>
        <w:trPr/>
        <w:tc>
          <w:tcPr>
            <w:tcW w:w="655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14" w:type="dxa"/>
            <w:gridSpan w:val="5"/>
            <w:tcBorders/>
            <w:shd w:fill="auto" w:val="clear"/>
            <w:vAlign w:val="bottom"/>
          </w:tcPr>
          <w:p>
            <w:pPr>
              <w:pStyle w:val="TableContents"/>
              <w:spacing w:before="0" w:after="283"/>
              <w:jc w:val="center"/>
              <w:rPr/>
            </w:pPr>
            <w:r>
              <w:rPr>
                <w:rFonts w:ascii="Times New Roman" w:hAnsi="Times New Roman"/>
                <w:b/>
                <w:sz w:val="14"/>
              </w:rPr>
              <w:t>PENSION PLANS</w:t>
            </w:r>
            <w:r>
              <w:rPr/>
              <w:t xml:space="preserve"> </w:t>
            </w:r>
            <w:r>
              <w:rPr>
                <w:rFonts w:ascii="Times New Roman" w:hAnsi="Times New Roman"/>
                <w:b/>
                <w:sz w:val="14"/>
              </w:rPr>
              <w:br/>
              <w:t>Three Months Ended</w:t>
            </w:r>
          </w:p>
        </w:tc>
        <w:tc>
          <w:tcPr>
            <w:tcW w:w="117" w:type="dxa"/>
            <w:tcBorders/>
            <w:shd w:fill="auto" w:val="clear"/>
            <w:vAlign w:val="bottom"/>
          </w:tcPr>
          <w:p>
            <w:pPr>
              <w:pStyle w:val="TableContents"/>
              <w:spacing w:before="0" w:after="283"/>
              <w:jc w:val="center"/>
              <w:rPr/>
            </w:pPr>
            <w:r>
              <w:rPr/>
              <w:t> </w:t>
            </w:r>
          </w:p>
        </w:tc>
      </w:tr>
      <w:tr>
        <w:trPr/>
        <w:tc>
          <w:tcPr>
            <w:tcW w:w="655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14" w:type="dxa"/>
            <w:gridSpan w:val="5"/>
            <w:tcBorders/>
            <w:shd w:fill="auto" w:val="clear"/>
            <w:vAlign w:val="bottom"/>
          </w:tcPr>
          <w:p>
            <w:pPr>
              <w:pStyle w:val="HorizontalLine"/>
              <w:pBdr>
                <w:bottom w:val="single" w:sz="6" w:space="0" w:color="000000"/>
              </w:pBdr>
              <w:spacing w:before="0" w:after="283"/>
              <w:rPr/>
            </w:pPr>
            <w:r>
              <w:rPr/>
            </w:r>
          </w:p>
        </w:tc>
        <w:tc>
          <w:tcPr>
            <w:tcW w:w="117" w:type="dxa"/>
            <w:tcBorders/>
            <w:shd w:fill="auto" w:val="clear"/>
            <w:vAlign w:val="bottom"/>
          </w:tcPr>
          <w:p>
            <w:pPr>
              <w:pStyle w:val="TableContents"/>
              <w:spacing w:before="0" w:after="283"/>
              <w:jc w:val="center"/>
              <w:rPr/>
            </w:pPr>
            <w:r>
              <w:rPr/>
              <w:t> </w:t>
            </w:r>
          </w:p>
        </w:tc>
      </w:tr>
      <w:tr>
        <w:trPr/>
        <w:tc>
          <w:tcPr>
            <w:tcW w:w="655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5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w:t>
              <w:br/>
              <w:t>2005</w:t>
            </w:r>
          </w:p>
        </w:tc>
        <w:tc>
          <w:tcPr>
            <w:tcW w:w="196" w:type="dxa"/>
            <w:tcBorders/>
            <w:shd w:fill="auto" w:val="clear"/>
            <w:vAlign w:val="bottom"/>
          </w:tcPr>
          <w:p>
            <w:pPr>
              <w:pStyle w:val="TableContents"/>
              <w:spacing w:before="0" w:after="283"/>
              <w:jc w:val="center"/>
              <w:rPr/>
            </w:pPr>
            <w:r>
              <w:rPr/>
              <w:t> </w:t>
            </w:r>
          </w:p>
        </w:tc>
        <w:tc>
          <w:tcPr>
            <w:tcW w:w="105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w:t>
              <w:br/>
              <w:t>2004</w:t>
            </w:r>
          </w:p>
        </w:tc>
        <w:tc>
          <w:tcPr>
            <w:tcW w:w="117" w:type="dxa"/>
            <w:tcBorders/>
            <w:shd w:fill="auto" w:val="clear"/>
            <w:vAlign w:val="bottom"/>
          </w:tcPr>
          <w:p>
            <w:pPr>
              <w:pStyle w:val="TableContents"/>
              <w:spacing w:before="0" w:after="283"/>
              <w:jc w:val="center"/>
              <w:rPr/>
            </w:pPr>
            <w:r>
              <w:rPr/>
              <w:t> </w:t>
            </w:r>
          </w:p>
        </w:tc>
      </w:tr>
      <w:tr>
        <w:trPr/>
        <w:tc>
          <w:tcPr>
            <w:tcW w:w="655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914" w:type="dxa"/>
            <w:tcBorders/>
            <w:shd w:fill="auto" w:val="clear"/>
            <w:vAlign w:val="bottom"/>
          </w:tcPr>
          <w:p>
            <w:pPr>
              <w:pStyle w:val="HorizontalLine"/>
              <w:pBdr>
                <w:bottom w:val="single" w:sz="6" w:space="0" w:color="000000"/>
              </w:pBdr>
              <w:spacing w:before="0" w:after="283"/>
              <w:rPr/>
            </w:pPr>
            <w:r>
              <w:rPr/>
            </w:r>
          </w:p>
        </w:tc>
        <w:tc>
          <w:tcPr>
            <w:tcW w:w="1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914" w:type="dxa"/>
            <w:tcBorders/>
            <w:shd w:fill="auto" w:val="clear"/>
            <w:vAlign w:val="bottom"/>
          </w:tcPr>
          <w:p>
            <w:pPr>
              <w:pStyle w:val="HorizontalLine"/>
              <w:pBdr>
                <w:bottom w:val="single" w:sz="6" w:space="0" w:color="000000"/>
              </w:pBdr>
              <w:spacing w:before="0" w:after="283"/>
              <w:rPr/>
            </w:pPr>
            <w:r>
              <w:rPr/>
            </w:r>
          </w:p>
        </w:tc>
        <w:tc>
          <w:tcPr>
            <w:tcW w:w="117" w:type="dxa"/>
            <w:tcBorders/>
            <w:shd w:fill="auto" w:val="clear"/>
            <w:vAlign w:val="bottom"/>
          </w:tcPr>
          <w:p>
            <w:pPr>
              <w:pStyle w:val="TableContents"/>
              <w:spacing w:before="0" w:after="283"/>
              <w:rPr/>
            </w:pPr>
            <w:r>
              <w:rPr/>
              <w:t> </w:t>
            </w:r>
          </w:p>
        </w:tc>
      </w:tr>
      <w:tr>
        <w:trPr/>
        <w:tc>
          <w:tcPr>
            <w:tcW w:w="655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1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17" w:type="dxa"/>
            <w:tcBorders/>
            <w:shd w:fill="auto" w:val="clear"/>
            <w:vAlign w:val="bottom"/>
          </w:tcPr>
          <w:p>
            <w:pPr>
              <w:pStyle w:val="TableContents"/>
              <w:spacing w:before="0" w:after="283"/>
              <w:jc w:val="center"/>
              <w:rPr/>
            </w:pPr>
            <w:r>
              <w:rPr/>
              <w:t> </w:t>
            </w:r>
          </w:p>
        </w:tc>
      </w:tr>
      <w:tr>
        <w:trPr/>
        <w:tc>
          <w:tcPr>
            <w:tcW w:w="65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Components of net periodic pension benefit cost</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rPr/>
            </w:pPr>
            <w:r>
              <w:rPr/>
              <w:t> </w:t>
            </w:r>
          </w:p>
        </w:tc>
      </w:tr>
      <w:tr>
        <w:trPr/>
        <w:tc>
          <w:tcPr>
            <w:tcW w:w="65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Service cost</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244</w:t>
            </w:r>
          </w:p>
        </w:tc>
        <w:tc>
          <w:tcPr>
            <w:tcW w:w="1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197</w:t>
            </w:r>
          </w:p>
        </w:tc>
        <w:tc>
          <w:tcPr>
            <w:tcW w:w="117" w:type="dxa"/>
            <w:tcBorders/>
            <w:shd w:fill="auto" w:val="clear"/>
            <w:vAlign w:val="bottom"/>
          </w:tcPr>
          <w:p>
            <w:pPr>
              <w:pStyle w:val="TableContents"/>
              <w:spacing w:before="0" w:after="283"/>
              <w:rPr/>
            </w:pPr>
            <w:r>
              <w:rPr/>
              <w:t> </w:t>
            </w:r>
          </w:p>
        </w:tc>
      </w:tr>
      <w:tr>
        <w:trPr/>
        <w:tc>
          <w:tcPr>
            <w:tcW w:w="65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cost</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255</w:t>
            </w:r>
          </w:p>
        </w:tc>
        <w:tc>
          <w:tcPr>
            <w:tcW w:w="1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239</w:t>
            </w:r>
          </w:p>
        </w:tc>
        <w:tc>
          <w:tcPr>
            <w:tcW w:w="117" w:type="dxa"/>
            <w:tcBorders/>
            <w:shd w:fill="CCEEFF" w:val="clear"/>
            <w:vAlign w:val="bottom"/>
          </w:tcPr>
          <w:p>
            <w:pPr>
              <w:pStyle w:val="TableContents"/>
              <w:spacing w:before="0" w:after="283"/>
              <w:rPr/>
            </w:pPr>
            <w:r>
              <w:rPr/>
              <w:t> </w:t>
            </w:r>
          </w:p>
        </w:tc>
      </w:tr>
      <w:tr>
        <w:trPr/>
        <w:tc>
          <w:tcPr>
            <w:tcW w:w="65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Expected return on plan assets</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(274</w:t>
            </w:r>
          </w:p>
        </w:tc>
        <w:tc>
          <w:tcPr>
            <w:tcW w:w="19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4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(232</w:t>
            </w:r>
          </w:p>
        </w:tc>
        <w:tc>
          <w:tcPr>
            <w:tcW w:w="11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5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amortization</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w:t>
            </w:r>
          </w:p>
        </w:tc>
        <w:tc>
          <w:tcPr>
            <w:tcW w:w="1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117" w:type="dxa"/>
            <w:tcBorders/>
            <w:shd w:fill="CCEEFF" w:val="clear"/>
            <w:vAlign w:val="bottom"/>
          </w:tcPr>
          <w:p>
            <w:pPr>
              <w:pStyle w:val="TableContents"/>
              <w:spacing w:before="0" w:after="283"/>
              <w:rPr/>
            </w:pPr>
            <w:r>
              <w:rPr/>
              <w:t> </w:t>
            </w:r>
          </w:p>
        </w:tc>
      </w:tr>
      <w:tr>
        <w:trPr/>
        <w:tc>
          <w:tcPr>
            <w:tcW w:w="655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914" w:type="dxa"/>
            <w:tcBorders/>
            <w:shd w:fill="auto" w:val="clear"/>
            <w:vAlign w:val="bottom"/>
          </w:tcPr>
          <w:p>
            <w:pPr>
              <w:pStyle w:val="HorizontalLine"/>
              <w:pBdr>
                <w:bottom w:val="single" w:sz="6" w:space="0" w:color="000000"/>
              </w:pBdr>
              <w:spacing w:before="0" w:after="283"/>
              <w:rPr/>
            </w:pPr>
            <w:r>
              <w:rPr/>
            </w:r>
          </w:p>
        </w:tc>
        <w:tc>
          <w:tcPr>
            <w:tcW w:w="1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914" w:type="dxa"/>
            <w:tcBorders/>
            <w:shd w:fill="auto" w:val="clear"/>
            <w:vAlign w:val="bottom"/>
          </w:tcPr>
          <w:p>
            <w:pPr>
              <w:pStyle w:val="HorizontalLine"/>
              <w:pBdr>
                <w:bottom w:val="single" w:sz="6" w:space="0" w:color="000000"/>
              </w:pBdr>
              <w:spacing w:before="0" w:after="283"/>
              <w:rPr/>
            </w:pPr>
            <w:r>
              <w:rPr/>
            </w:r>
          </w:p>
        </w:tc>
        <w:tc>
          <w:tcPr>
            <w:tcW w:w="117" w:type="dxa"/>
            <w:tcBorders/>
            <w:shd w:fill="auto" w:val="clear"/>
            <w:vAlign w:val="bottom"/>
          </w:tcPr>
          <w:p>
            <w:pPr>
              <w:pStyle w:val="TableContents"/>
              <w:spacing w:before="0" w:after="283"/>
              <w:rPr/>
            </w:pPr>
            <w:r>
              <w:rPr/>
              <w:t> </w:t>
            </w:r>
          </w:p>
        </w:tc>
      </w:tr>
      <w:tr>
        <w:trPr/>
        <w:tc>
          <w:tcPr>
            <w:tcW w:w="655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257</w:t>
            </w:r>
          </w:p>
        </w:tc>
        <w:tc>
          <w:tcPr>
            <w:tcW w:w="1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9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216</w:t>
            </w:r>
          </w:p>
        </w:tc>
        <w:tc>
          <w:tcPr>
            <w:tcW w:w="117" w:type="dxa"/>
            <w:tcBorders/>
            <w:shd w:fill="CCEEFF" w:val="clear"/>
            <w:vAlign w:val="bottom"/>
          </w:tcPr>
          <w:p>
            <w:pPr>
              <w:pStyle w:val="TableContents"/>
              <w:spacing w:before="0" w:after="283"/>
              <w:rPr/>
            </w:pPr>
            <w:r>
              <w:rPr/>
              <w:t> </w:t>
            </w:r>
          </w:p>
        </w:tc>
      </w:tr>
      <w:tr>
        <w:trPr/>
        <w:tc>
          <w:tcPr>
            <w:tcW w:w="6559"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18" w:space="0" w:color="000000"/>
              </w:pBdr>
              <w:spacing w:before="0" w:after="283"/>
              <w:rPr/>
            </w:pPr>
            <w:r>
              <w:rPr/>
            </w:r>
          </w:p>
        </w:tc>
        <w:tc>
          <w:tcPr>
            <w:tcW w:w="914" w:type="dxa"/>
            <w:tcBorders/>
            <w:shd w:fill="auto" w:val="clear"/>
            <w:vAlign w:val="bottom"/>
          </w:tcPr>
          <w:p>
            <w:pPr>
              <w:pStyle w:val="HorizontalLine"/>
              <w:pBdr>
                <w:bottom w:val="single" w:sz="18" w:space="0" w:color="000000"/>
              </w:pBdr>
              <w:spacing w:before="0" w:after="283"/>
              <w:rPr/>
            </w:pPr>
            <w:r>
              <w:rPr/>
            </w:r>
          </w:p>
        </w:tc>
        <w:tc>
          <w:tcPr>
            <w:tcW w:w="1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18" w:space="0" w:color="000000"/>
              </w:pBdr>
              <w:spacing w:before="0" w:after="283"/>
              <w:rPr/>
            </w:pPr>
            <w:r>
              <w:rPr/>
            </w:r>
          </w:p>
        </w:tc>
        <w:tc>
          <w:tcPr>
            <w:tcW w:w="914" w:type="dxa"/>
            <w:tcBorders/>
            <w:shd w:fill="auto" w:val="clear"/>
            <w:vAlign w:val="bottom"/>
          </w:tcPr>
          <w:p>
            <w:pPr>
              <w:pStyle w:val="HorizontalLine"/>
              <w:pBdr>
                <w:bottom w:val="single" w:sz="18" w:space="0" w:color="000000"/>
              </w:pBdr>
              <w:spacing w:before="0" w:after="283"/>
              <w:rPr/>
            </w:pPr>
            <w:r>
              <w:rPr/>
            </w:r>
          </w:p>
        </w:tc>
        <w:tc>
          <w:tcPr>
            <w:tcW w:w="117"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Company did not make a contribution to its pension plan during the first quarter of the fiscal year ending July 31, 2006.  The Company intends to make a contribution to the pension plan during the current fiscal year equal to the annual cost.  The Company estimates the annual cost to be $500,000.</w:t>
      </w:r>
    </w:p>
    <w:tbl>
      <w:tblPr>
        <w:tblW w:w="4500" w:type="pct"/>
        <w:jc w:val="center"/>
        <w:tblInd w:w="0" w:type="dxa"/>
        <w:tblCellMar>
          <w:top w:w="0" w:type="dxa"/>
          <w:left w:w="0" w:type="dxa"/>
          <w:bottom w:w="0" w:type="dxa"/>
          <w:right w:w="0" w:type="dxa"/>
        </w:tblCellMar>
      </w:tblPr>
      <w:tblGrid>
        <w:gridCol w:w="6442"/>
        <w:gridCol w:w="196"/>
        <w:gridCol w:w="203"/>
        <w:gridCol w:w="902"/>
        <w:gridCol w:w="215"/>
        <w:gridCol w:w="203"/>
        <w:gridCol w:w="902"/>
        <w:gridCol w:w="121"/>
      </w:tblGrid>
      <w:tr>
        <w:trPr/>
        <w:tc>
          <w:tcPr>
            <w:tcW w:w="644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42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POST RETIREMENT</w:t>
              <w:br/>
              <w:t>HEALTH BENEFITS</w:t>
              <w:br/>
              <w:t>Three Months Ended</w:t>
            </w:r>
          </w:p>
        </w:tc>
        <w:tc>
          <w:tcPr>
            <w:tcW w:w="121" w:type="dxa"/>
            <w:tcBorders/>
            <w:shd w:fill="auto" w:val="clear"/>
            <w:vAlign w:val="bottom"/>
          </w:tcPr>
          <w:p>
            <w:pPr>
              <w:pStyle w:val="TableContents"/>
              <w:spacing w:before="0" w:after="283"/>
              <w:jc w:val="center"/>
              <w:rPr/>
            </w:pPr>
            <w:r>
              <w:rPr/>
              <w:t> </w:t>
            </w:r>
          </w:p>
        </w:tc>
      </w:tr>
      <w:tr>
        <w:trPr/>
        <w:tc>
          <w:tcPr>
            <w:tcW w:w="644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425" w:type="dxa"/>
            <w:gridSpan w:val="5"/>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jc w:val="center"/>
              <w:rPr/>
            </w:pPr>
            <w:r>
              <w:rPr/>
              <w:t> </w:t>
            </w:r>
          </w:p>
        </w:tc>
      </w:tr>
      <w:tr>
        <w:trPr/>
        <w:tc>
          <w:tcPr>
            <w:tcW w:w="644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10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 2005</w:t>
            </w:r>
          </w:p>
        </w:tc>
        <w:tc>
          <w:tcPr>
            <w:tcW w:w="215" w:type="dxa"/>
            <w:tcBorders/>
            <w:shd w:fill="auto" w:val="clear"/>
            <w:vAlign w:val="bottom"/>
          </w:tcPr>
          <w:p>
            <w:pPr>
              <w:pStyle w:val="TableContents"/>
              <w:spacing w:before="0" w:after="283"/>
              <w:jc w:val="center"/>
              <w:rPr/>
            </w:pPr>
            <w:r>
              <w:rPr/>
              <w:t> </w:t>
            </w:r>
          </w:p>
        </w:tc>
        <w:tc>
          <w:tcPr>
            <w:tcW w:w="110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 2004</w:t>
            </w:r>
          </w:p>
        </w:tc>
        <w:tc>
          <w:tcPr>
            <w:tcW w:w="121" w:type="dxa"/>
            <w:tcBorders/>
            <w:shd w:fill="auto" w:val="clear"/>
            <w:vAlign w:val="bottom"/>
          </w:tcPr>
          <w:p>
            <w:pPr>
              <w:pStyle w:val="TableContents"/>
              <w:spacing w:before="0" w:after="283"/>
              <w:jc w:val="center"/>
              <w:rPr/>
            </w:pPr>
            <w:r>
              <w:rPr/>
              <w:t> </w:t>
            </w:r>
          </w:p>
        </w:tc>
      </w:tr>
      <w:tr>
        <w:trPr/>
        <w:tc>
          <w:tcPr>
            <w:tcW w:w="644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902" w:type="dxa"/>
            <w:tcBorders/>
            <w:shd w:fill="auto" w:val="clear"/>
            <w:vAlign w:val="bottom"/>
          </w:tcPr>
          <w:p>
            <w:pPr>
              <w:pStyle w:val="HorizontalLine"/>
              <w:pBdr>
                <w:bottom w:val="single" w:sz="6" w:space="0" w:color="000000"/>
              </w:pBdr>
              <w:spacing w:before="0" w:after="283"/>
              <w:rPr/>
            </w:pPr>
            <w:r>
              <w:rPr/>
            </w:r>
          </w:p>
        </w:tc>
        <w:tc>
          <w:tcPr>
            <w:tcW w:w="215"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902"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644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42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21" w:type="dxa"/>
            <w:tcBorders/>
            <w:shd w:fill="auto" w:val="clear"/>
            <w:vAlign w:val="bottom"/>
          </w:tcPr>
          <w:p>
            <w:pPr>
              <w:pStyle w:val="TableContents"/>
              <w:spacing w:before="0" w:after="283"/>
              <w:jc w:val="center"/>
              <w:rPr/>
            </w:pPr>
            <w:r>
              <w:rPr/>
              <w:t> </w:t>
            </w:r>
          </w:p>
        </w:tc>
      </w:tr>
      <w:tr>
        <w:trPr/>
        <w:tc>
          <w:tcPr>
            <w:tcW w:w="644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Components of net periodic postretirement benefit cost</w:t>
            </w:r>
          </w:p>
        </w:tc>
        <w:tc>
          <w:tcPr>
            <w:tcW w:w="19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rPr/>
            </w:pPr>
            <w:r>
              <w:rPr/>
              <w:t> </w:t>
            </w:r>
          </w:p>
        </w:tc>
      </w:tr>
      <w:tr>
        <w:trPr/>
        <w:tc>
          <w:tcPr>
            <w:tcW w:w="644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Service cost</w:t>
            </w:r>
          </w:p>
        </w:tc>
        <w:tc>
          <w:tcPr>
            <w:tcW w:w="19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w:t>
            </w:r>
          </w:p>
        </w:tc>
        <w:tc>
          <w:tcPr>
            <w:tcW w:w="21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121" w:type="dxa"/>
            <w:tcBorders/>
            <w:shd w:fill="auto" w:val="clear"/>
            <w:vAlign w:val="bottom"/>
          </w:tcPr>
          <w:p>
            <w:pPr>
              <w:pStyle w:val="TableContents"/>
              <w:spacing w:before="0" w:after="283"/>
              <w:rPr/>
            </w:pPr>
            <w:r>
              <w:rPr/>
              <w:t> </w:t>
            </w:r>
          </w:p>
        </w:tc>
      </w:tr>
      <w:tr>
        <w:trPr/>
        <w:tc>
          <w:tcPr>
            <w:tcW w:w="644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cost</w:t>
            </w:r>
          </w:p>
        </w:tc>
        <w:tc>
          <w:tcPr>
            <w:tcW w:w="19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121" w:type="dxa"/>
            <w:tcBorders/>
            <w:shd w:fill="CCEEFF" w:val="clear"/>
            <w:vAlign w:val="bottom"/>
          </w:tcPr>
          <w:p>
            <w:pPr>
              <w:pStyle w:val="TableContents"/>
              <w:spacing w:before="0" w:after="283"/>
              <w:rPr/>
            </w:pPr>
            <w:r>
              <w:rPr/>
              <w:t> </w:t>
            </w:r>
          </w:p>
        </w:tc>
      </w:tr>
      <w:tr>
        <w:trPr/>
        <w:tc>
          <w:tcPr>
            <w:tcW w:w="644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Amortization of net transition obligation</w:t>
            </w:r>
          </w:p>
        </w:tc>
        <w:tc>
          <w:tcPr>
            <w:tcW w:w="19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21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121" w:type="dxa"/>
            <w:tcBorders/>
            <w:shd w:fill="auto" w:val="clear"/>
            <w:vAlign w:val="bottom"/>
          </w:tcPr>
          <w:p>
            <w:pPr>
              <w:pStyle w:val="TableContents"/>
              <w:spacing w:before="0" w:after="283"/>
              <w:rPr/>
            </w:pPr>
            <w:r>
              <w:rPr/>
              <w:t> </w:t>
            </w:r>
          </w:p>
        </w:tc>
      </w:tr>
      <w:tr>
        <w:trPr/>
        <w:tc>
          <w:tcPr>
            <w:tcW w:w="644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actuarial loss</w:t>
            </w:r>
          </w:p>
        </w:tc>
        <w:tc>
          <w:tcPr>
            <w:tcW w:w="19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CCEEFF" w:val="clear"/>
            <w:vAlign w:val="bottom"/>
          </w:tcPr>
          <w:p>
            <w:pPr>
              <w:pStyle w:val="TableContents"/>
              <w:spacing w:before="0" w:after="283"/>
              <w:rPr/>
            </w:pPr>
            <w:r>
              <w:rPr/>
              <w:t> </w:t>
            </w:r>
          </w:p>
        </w:tc>
      </w:tr>
      <w:tr>
        <w:trPr/>
        <w:tc>
          <w:tcPr>
            <w:tcW w:w="644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902" w:type="dxa"/>
            <w:tcBorders/>
            <w:shd w:fill="auto" w:val="clear"/>
            <w:vAlign w:val="bottom"/>
          </w:tcPr>
          <w:p>
            <w:pPr>
              <w:pStyle w:val="HorizontalLine"/>
              <w:pBdr>
                <w:bottom w:val="single" w:sz="6" w:space="0" w:color="000000"/>
              </w:pBdr>
              <w:spacing w:before="0" w:after="283"/>
              <w:rPr/>
            </w:pPr>
            <w:r>
              <w:rPr/>
            </w:r>
          </w:p>
        </w:tc>
        <w:tc>
          <w:tcPr>
            <w:tcW w:w="215"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6" w:space="0" w:color="000000"/>
              </w:pBdr>
              <w:spacing w:before="0" w:after="283"/>
              <w:rPr/>
            </w:pPr>
            <w:r>
              <w:rPr/>
            </w:r>
          </w:p>
        </w:tc>
        <w:tc>
          <w:tcPr>
            <w:tcW w:w="902"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644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Recognized actuarial loss</w:t>
            </w:r>
          </w:p>
        </w:tc>
        <w:tc>
          <w:tcPr>
            <w:tcW w:w="19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w:t>
            </w:r>
          </w:p>
        </w:tc>
        <w:tc>
          <w:tcPr>
            <w:tcW w:w="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w:t>
            </w:r>
          </w:p>
        </w:tc>
        <w:tc>
          <w:tcPr>
            <w:tcW w:w="121" w:type="dxa"/>
            <w:tcBorders/>
            <w:shd w:fill="CCEEFF" w:val="clear"/>
            <w:vAlign w:val="bottom"/>
          </w:tcPr>
          <w:p>
            <w:pPr>
              <w:pStyle w:val="TableContents"/>
              <w:spacing w:before="0" w:after="283"/>
              <w:rPr/>
            </w:pPr>
            <w:r>
              <w:rPr/>
              <w:t> </w:t>
            </w:r>
          </w:p>
        </w:tc>
      </w:tr>
      <w:tr>
        <w:trPr/>
        <w:tc>
          <w:tcPr>
            <w:tcW w:w="644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18" w:space="0" w:color="000000"/>
              </w:pBdr>
              <w:spacing w:before="0" w:after="283"/>
              <w:rPr/>
            </w:pPr>
            <w:r>
              <w:rPr/>
            </w:r>
          </w:p>
        </w:tc>
        <w:tc>
          <w:tcPr>
            <w:tcW w:w="902" w:type="dxa"/>
            <w:tcBorders/>
            <w:shd w:fill="auto" w:val="clear"/>
            <w:vAlign w:val="bottom"/>
          </w:tcPr>
          <w:p>
            <w:pPr>
              <w:pStyle w:val="HorizontalLine"/>
              <w:pBdr>
                <w:bottom w:val="single" w:sz="18" w:space="0" w:color="000000"/>
              </w:pBdr>
              <w:spacing w:before="0" w:after="283"/>
              <w:rPr/>
            </w:pPr>
            <w:r>
              <w:rPr/>
            </w:r>
          </w:p>
        </w:tc>
        <w:tc>
          <w:tcPr>
            <w:tcW w:w="215" w:type="dxa"/>
            <w:tcBorders/>
            <w:shd w:fill="auto" w:val="clear"/>
            <w:vAlign w:val="bottom"/>
          </w:tcPr>
          <w:p>
            <w:pPr>
              <w:pStyle w:val="TableContents"/>
              <w:spacing w:before="0" w:after="283"/>
              <w:rPr/>
            </w:pPr>
            <w:r>
              <w:rPr/>
              <w:t> </w:t>
            </w:r>
          </w:p>
        </w:tc>
        <w:tc>
          <w:tcPr>
            <w:tcW w:w="203" w:type="dxa"/>
            <w:tcBorders/>
            <w:shd w:fill="auto" w:val="clear"/>
            <w:vAlign w:val="bottom"/>
          </w:tcPr>
          <w:p>
            <w:pPr>
              <w:pStyle w:val="HorizontalLine"/>
              <w:pBdr>
                <w:bottom w:val="single" w:sz="18" w:space="0" w:color="000000"/>
              </w:pBdr>
              <w:spacing w:before="0" w:after="283"/>
              <w:rPr/>
            </w:pPr>
            <w:r>
              <w:rPr/>
            </w:r>
          </w:p>
        </w:tc>
        <w:tc>
          <w:tcPr>
            <w:tcW w:w="902"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Companys plan covering postretirement health benefits is an unfunded plan.</w:t>
      </w:r>
    </w:p>
    <w:p>
      <w:pPr>
        <w:pStyle w:val="TextBody"/>
        <w:rPr>
          <w:rFonts w:ascii="Times New Roman" w:hAnsi="Times New Roman"/>
          <w:b/>
          <w:sz w:val="20"/>
        </w:rPr>
      </w:pPr>
      <w:r>
        <w:rPr>
          <w:rFonts w:ascii="Times New Roman" w:hAnsi="Times New Roman"/>
          <w:b/>
          <w:sz w:val="20"/>
        </w:rPr>
        <w:t>4.     RECENTLY ISSUED ACCOUNTING STANDARDS AND OTHER MATTERS</w:t>
      </w:r>
    </w:p>
    <w:p>
      <w:pPr>
        <w:pStyle w:val="TextBody"/>
        <w:rPr>
          <w:rFonts w:ascii="Times New Roman" w:hAnsi="Times New Roman"/>
          <w:sz w:val="20"/>
        </w:rPr>
      </w:pPr>
      <w:r>
        <w:rPr>
          <w:rFonts w:ascii="Times New Roman" w:hAnsi="Times New Roman"/>
          <w:sz w:val="20"/>
        </w:rPr>
        <w:t xml:space="preserve">On October 22, 2004, the President signed the American Jobs Creation Act of 2004 (the Act).  The Act provides a deduction for income from qualified domestic production activities, which will be phased in from 2005 through 2010.  In return, the Act also provides for a two-year phase-out of the existing extra-territorial income exclusion (ETI) for foreign sales that was viewed to be inconsistent with international trade protocols by the European Union.    The Company is currently evaluating its actions related to this matter.  </w:t>
      </w:r>
    </w:p>
    <w:p>
      <w:pPr>
        <w:pStyle w:val="TextBody"/>
        <w:jc w:val="center"/>
        <w:rPr>
          <w:rFonts w:ascii="Times New Roman" w:hAnsi="Times New Roman"/>
          <w:sz w:val="20"/>
        </w:rPr>
      </w:pPr>
      <w:r>
        <w:rPr>
          <w:rFonts w:ascii="Times New Roman" w:hAnsi="Times New Roman"/>
          <w:sz w:val="20"/>
        </w:rPr>
        <w:t>10</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Also, the Act creates a temporary incentive for U.S. corporations to repatriate accumulated income earned abroad by providing an 85 percent dividends received deduction for certain dividends from controlled foreign corporations.  The deduction is subject to a number of limitations and, as of today, uncertainty remains as to how to interpret numerous provisions in the Act.  As such, the Company is not yet in a position to decide on whether, and to what extent, it might repatriate foreign earnings that have not yet been remitted to the U.S.</w:t>
      </w:r>
    </w:p>
    <w:p>
      <w:pPr>
        <w:pStyle w:val="TextBody"/>
        <w:rPr>
          <w:rFonts w:ascii="Times New Roman" w:hAnsi="Times New Roman"/>
          <w:sz w:val="20"/>
        </w:rPr>
      </w:pPr>
      <w:r>
        <w:rPr>
          <w:rFonts w:ascii="Times New Roman" w:hAnsi="Times New Roman"/>
          <w:sz w:val="20"/>
        </w:rPr>
        <w:t xml:space="preserve">In May 2005, the FASB issued Statement of Financial Accounting Standards (SFAS) No. 154, Accounting Changes and Error Corrections, effective for the first fiscal period in the fiscal year beginning after December 15, 2005.  This statement replaces APB Opinion No. 20, Accounting Changes and FASB Statement No. 3, Reporting Accounting Changes in Interim Financial Statements.  This statement applies to all voluntary changes in accounting principle and requires retrospective application to prior periods financial statements of changes in accounting principle, unless it is impracticable.  The Company would only be impacted by this statement if it made a voluntary change in accounting principle after the effective date.  </w:t>
      </w:r>
    </w:p>
    <w:p>
      <w:pPr>
        <w:pStyle w:val="TextBody"/>
        <w:rPr>
          <w:rFonts w:ascii="Times New Roman" w:hAnsi="Times New Roman"/>
          <w:sz w:val="20"/>
        </w:rPr>
      </w:pPr>
      <w:r>
        <w:rPr>
          <w:rFonts w:ascii="Times New Roman" w:hAnsi="Times New Roman"/>
          <w:sz w:val="20"/>
        </w:rPr>
        <w:t xml:space="preserve">In March 2005, the FASB ratified the consensus reached in EITF Issue No. 04-06, Accounting for Stripping Costs in the Mining Industry.  The consensus will be effective for the first fiscal period in the fiscal year beginning after December 15, 2005.  The consensus on this issue calls for post-production stripping costs to be treated as a variable inventory production cost.  As a result, such costs are subject to inventory costing procedures in the period they are incurred.  The Company is currently reviewing this pronouncement, but believes that the Consolidated Statement of Cash Flows and the Consolidated Balance Sheets will be impacted by this new pronouncement. </w:t>
      </w:r>
    </w:p>
    <w:p>
      <w:pPr>
        <w:pStyle w:val="TextBody"/>
        <w:rPr>
          <w:rFonts w:ascii="Times New Roman" w:hAnsi="Times New Roman"/>
          <w:b/>
          <w:sz w:val="20"/>
        </w:rPr>
      </w:pPr>
      <w:r>
        <w:rPr>
          <w:rFonts w:ascii="Times New Roman" w:hAnsi="Times New Roman"/>
          <w:b/>
          <w:sz w:val="20"/>
        </w:rPr>
        <w:t>5.     SEGMENT REPORTING</w:t>
      </w:r>
    </w:p>
    <w:p>
      <w:pPr>
        <w:pStyle w:val="TextBody"/>
        <w:rPr>
          <w:rFonts w:ascii="Times New Roman" w:hAnsi="Times New Roman"/>
          <w:sz w:val="20"/>
        </w:rPr>
      </w:pPr>
      <w:r>
        <w:rPr>
          <w:rFonts w:ascii="Times New Roman" w:hAnsi="Times New Roman"/>
          <w:sz w:val="20"/>
        </w:rPr>
        <w:t>SFAS No. 131, Disclosures About Segments of an Enterprise and Related Information establishes standards for reporting information about operating segments.  Under this standard, the Company has two reportable operating segments:  Retail and Wholesale Products and Business to Business Products.  These segments are managed separately because each business has different customer characteristics.</w:t>
      </w:r>
    </w:p>
    <w:p>
      <w:pPr>
        <w:pStyle w:val="TextBody"/>
        <w:rPr>
          <w:rFonts w:ascii="Times New Roman" w:hAnsi="Times New Roman"/>
          <w:sz w:val="20"/>
        </w:rPr>
      </w:pPr>
      <w:r>
        <w:rPr>
          <w:rFonts w:ascii="Times New Roman" w:hAnsi="Times New Roman"/>
          <w:sz w:val="20"/>
        </w:rPr>
        <w:t xml:space="preserve">The accounting policies of the segments are the same as those described in Note 1 of the Consolidated Financial Statements included in the Companys Annual Report on Form 10-K for the fiscal year ended July 31, 2005 filed with the Securities and Exchange Commission.  Historically the Company had divided its business by product lines; however the Company has grown to recognize that due to the various products manufacturing interdependency and marketing synergies the most appropriate segmentation is generally based upon the type of end-customer.  To support this new operating structure the Company reorganized the management of the Product Groups.  The Vice President of the Consumer Products Group was promoted to President of the Retail and Wholesale Products Group.  The Business to Business Products Group will be managed directly by Daniel Jaffee, President and CEO of the Oil-Dri Corporation.  </w:t>
      </w:r>
    </w:p>
    <w:p>
      <w:pPr>
        <w:pStyle w:val="TextBody"/>
        <w:rPr>
          <w:rFonts w:ascii="Times New Roman" w:hAnsi="Times New Roman"/>
          <w:sz w:val="20"/>
        </w:rPr>
      </w:pPr>
      <w:r>
        <w:rPr>
          <w:rFonts w:ascii="Times New Roman" w:hAnsi="Times New Roman"/>
          <w:sz w:val="20"/>
        </w:rPr>
        <w:t>Management does not rely on any segment asset allocations and does not consider them meaningful because of the shared nature of the Companys production facilities.  However the Company has estimated the segment asset allocations as follows:</w:t>
      </w:r>
    </w:p>
    <w:tbl>
      <w:tblPr>
        <w:tblW w:w="3500" w:type="pct"/>
        <w:jc w:val="center"/>
        <w:tblInd w:w="0" w:type="dxa"/>
        <w:tblCellMar>
          <w:top w:w="0" w:type="dxa"/>
          <w:left w:w="0" w:type="dxa"/>
          <w:bottom w:w="0" w:type="dxa"/>
          <w:right w:w="0" w:type="dxa"/>
        </w:tblCellMar>
      </w:tblPr>
      <w:tblGrid>
        <w:gridCol w:w="4658"/>
        <w:gridCol w:w="150"/>
        <w:gridCol w:w="97"/>
        <w:gridCol w:w="950"/>
        <w:gridCol w:w="150"/>
        <w:gridCol w:w="97"/>
        <w:gridCol w:w="950"/>
        <w:gridCol w:w="91"/>
      </w:tblGrid>
      <w:tr>
        <w:trPr/>
        <w:tc>
          <w:tcPr>
            <w:tcW w:w="465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4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w:t>
            </w:r>
          </w:p>
        </w:tc>
        <w:tc>
          <w:tcPr>
            <w:tcW w:w="150" w:type="dxa"/>
            <w:tcBorders/>
            <w:shd w:fill="auto" w:val="clear"/>
            <w:vAlign w:val="bottom"/>
          </w:tcPr>
          <w:p>
            <w:pPr>
              <w:pStyle w:val="TableContents"/>
              <w:spacing w:before="0" w:after="283"/>
              <w:jc w:val="center"/>
              <w:rPr/>
            </w:pPr>
            <w:r>
              <w:rPr/>
              <w:t> </w:t>
            </w:r>
          </w:p>
        </w:tc>
        <w:tc>
          <w:tcPr>
            <w:tcW w:w="104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r>
          </w:p>
        </w:tc>
        <w:tc>
          <w:tcPr>
            <w:tcW w:w="91" w:type="dxa"/>
            <w:tcBorders/>
            <w:shd w:fill="auto" w:val="clear"/>
            <w:vAlign w:val="bottom"/>
          </w:tcPr>
          <w:p>
            <w:pPr>
              <w:pStyle w:val="TableContents"/>
              <w:spacing w:before="0" w:after="283"/>
              <w:jc w:val="center"/>
              <w:rPr/>
            </w:pPr>
            <w:r>
              <w:rPr/>
              <w:t> </w:t>
            </w:r>
          </w:p>
        </w:tc>
      </w:tr>
      <w:tr>
        <w:trPr/>
        <w:tc>
          <w:tcPr>
            <w:tcW w:w="465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bottom"/>
          </w:tcPr>
          <w:p>
            <w:pPr>
              <w:pStyle w:val="HorizontalLine"/>
              <w:pBdr>
                <w:bottom w:val="single" w:sz="6" w:space="0" w:color="000000"/>
              </w:pBdr>
              <w:spacing w:before="0" w:after="283"/>
              <w:rPr/>
            </w:pPr>
            <w:r>
              <w:rPr/>
            </w:r>
          </w:p>
        </w:tc>
        <w:tc>
          <w:tcPr>
            <w:tcW w:w="97"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91" w:type="dxa"/>
            <w:tcBorders/>
            <w:shd w:fill="auto" w:val="clear"/>
            <w:vAlign w:val="bottom"/>
          </w:tcPr>
          <w:p>
            <w:pPr>
              <w:pStyle w:val="TableContents"/>
              <w:spacing w:before="0" w:after="283"/>
              <w:jc w:val="center"/>
              <w:rPr/>
            </w:pPr>
            <w:r>
              <w:rPr/>
              <w:t> </w:t>
            </w:r>
          </w:p>
        </w:tc>
      </w:tr>
      <w:tr>
        <w:trPr/>
        <w:tc>
          <w:tcPr>
            <w:tcW w:w="465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24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91" w:type="dxa"/>
            <w:tcBorders/>
            <w:shd w:fill="auto" w:val="clear"/>
            <w:vAlign w:val="bottom"/>
          </w:tcPr>
          <w:p>
            <w:pPr>
              <w:pStyle w:val="TableContents"/>
              <w:spacing w:before="0" w:after="283"/>
              <w:jc w:val="center"/>
              <w:rPr/>
            </w:pPr>
            <w:r>
              <w:rPr/>
              <w:t> </w:t>
            </w:r>
          </w:p>
        </w:tc>
      </w:tr>
      <w:tr>
        <w:trPr/>
        <w:tc>
          <w:tcPr>
            <w:tcW w:w="465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244" w:type="dxa"/>
            <w:gridSpan w:val="5"/>
            <w:tcBorders/>
            <w:shd w:fill="auto" w:val="clear"/>
            <w:vAlign w:val="bottom"/>
          </w:tcPr>
          <w:p>
            <w:pPr>
              <w:pStyle w:val="HorizontalLine"/>
              <w:pBdr>
                <w:bottom w:val="single" w:sz="6" w:space="0" w:color="000000"/>
              </w:pBdr>
              <w:spacing w:before="0" w:after="283"/>
              <w:rPr/>
            </w:pPr>
            <w:r>
              <w:rPr/>
            </w:r>
          </w:p>
        </w:tc>
        <w:tc>
          <w:tcPr>
            <w:tcW w:w="91" w:type="dxa"/>
            <w:tcBorders/>
            <w:shd w:fill="auto" w:val="clear"/>
            <w:vAlign w:val="bottom"/>
          </w:tcPr>
          <w:p>
            <w:pPr>
              <w:pStyle w:val="TableContents"/>
              <w:spacing w:before="0" w:after="283"/>
              <w:jc w:val="center"/>
              <w:rPr/>
            </w:pPr>
            <w:r>
              <w:rPr/>
              <w:t> </w:t>
            </w:r>
          </w:p>
        </w:tc>
      </w:tr>
      <w:tr>
        <w:trPr/>
        <w:tc>
          <w:tcPr>
            <w:tcW w:w="465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4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50" w:type="dxa"/>
            <w:tcBorders/>
            <w:shd w:fill="auto" w:val="clear"/>
            <w:vAlign w:val="bottom"/>
          </w:tcPr>
          <w:p>
            <w:pPr>
              <w:pStyle w:val="TableContents"/>
              <w:spacing w:before="0" w:after="283"/>
              <w:jc w:val="center"/>
              <w:rPr/>
            </w:pPr>
            <w:r>
              <w:rPr/>
              <w:t> </w:t>
            </w:r>
          </w:p>
        </w:tc>
        <w:tc>
          <w:tcPr>
            <w:tcW w:w="104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91" w:type="dxa"/>
            <w:tcBorders/>
            <w:shd w:fill="auto" w:val="clear"/>
            <w:vAlign w:val="bottom"/>
          </w:tcPr>
          <w:p>
            <w:pPr>
              <w:pStyle w:val="TableContents"/>
              <w:spacing w:before="0" w:after="283"/>
              <w:jc w:val="center"/>
              <w:rPr/>
            </w:pPr>
            <w:r>
              <w:rPr/>
              <w:t> </w:t>
            </w:r>
          </w:p>
        </w:tc>
      </w:tr>
      <w:tr>
        <w:trPr/>
        <w:tc>
          <w:tcPr>
            <w:tcW w:w="465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91" w:type="dxa"/>
            <w:tcBorders/>
            <w:shd w:fill="auto" w:val="clear"/>
            <w:vAlign w:val="bottom"/>
          </w:tcPr>
          <w:p>
            <w:pPr>
              <w:pStyle w:val="TableContents"/>
              <w:spacing w:before="0" w:after="283"/>
              <w:jc w:val="center"/>
              <w:rPr/>
            </w:pPr>
            <w:r>
              <w:rPr/>
              <w:t> </w:t>
            </w:r>
          </w:p>
        </w:tc>
      </w:tr>
      <w:tr>
        <w:trPr/>
        <w:tc>
          <w:tcPr>
            <w:tcW w:w="465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24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91" w:type="dxa"/>
            <w:tcBorders/>
            <w:shd w:fill="auto" w:val="clear"/>
            <w:vAlign w:val="bottom"/>
          </w:tcPr>
          <w:p>
            <w:pPr>
              <w:pStyle w:val="TableContents"/>
              <w:spacing w:before="0" w:after="283"/>
              <w:jc w:val="center"/>
              <w:rPr/>
            </w:pPr>
            <w:r>
              <w:rPr/>
              <w:t> </w:t>
            </w:r>
          </w:p>
        </w:tc>
      </w:tr>
      <w:tr>
        <w:trPr/>
        <w:tc>
          <w:tcPr>
            <w:tcW w:w="46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Retail and Wholesale Products</w:t>
            </w:r>
          </w:p>
        </w:tc>
        <w:tc>
          <w:tcPr>
            <w:tcW w:w="15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5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60,126</w:t>
            </w:r>
          </w:p>
        </w:tc>
        <w:tc>
          <w:tcPr>
            <w:tcW w:w="15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5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57,393</w:t>
            </w:r>
          </w:p>
        </w:tc>
        <w:tc>
          <w:tcPr>
            <w:tcW w:w="91" w:type="dxa"/>
            <w:tcBorders/>
            <w:shd w:fill="CCEEFF" w:val="clear"/>
            <w:vAlign w:val="bottom"/>
          </w:tcPr>
          <w:p>
            <w:pPr>
              <w:pStyle w:val="TableContents"/>
              <w:spacing w:before="0" w:after="283"/>
              <w:rPr/>
            </w:pPr>
            <w:r>
              <w:rPr/>
              <w:t> </w:t>
            </w:r>
          </w:p>
        </w:tc>
      </w:tr>
      <w:tr>
        <w:trPr/>
        <w:tc>
          <w:tcPr>
            <w:tcW w:w="465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Business to Business Products</w:t>
            </w:r>
          </w:p>
        </w:tc>
        <w:tc>
          <w:tcPr>
            <w:tcW w:w="15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34,362</w:t>
            </w:r>
          </w:p>
        </w:tc>
        <w:tc>
          <w:tcPr>
            <w:tcW w:w="15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31,376</w:t>
            </w:r>
          </w:p>
        </w:tc>
        <w:tc>
          <w:tcPr>
            <w:tcW w:w="91" w:type="dxa"/>
            <w:tcBorders/>
            <w:shd w:fill="auto" w:val="clear"/>
            <w:vAlign w:val="bottom"/>
          </w:tcPr>
          <w:p>
            <w:pPr>
              <w:pStyle w:val="TableContents"/>
              <w:spacing w:before="0" w:after="283"/>
              <w:rPr/>
            </w:pPr>
            <w:r>
              <w:rPr/>
              <w:t> </w:t>
            </w:r>
          </w:p>
        </w:tc>
      </w:tr>
      <w:tr>
        <w:trPr/>
        <w:tc>
          <w:tcPr>
            <w:tcW w:w="46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Unallocated Assets</w:t>
            </w:r>
          </w:p>
        </w:tc>
        <w:tc>
          <w:tcPr>
            <w:tcW w:w="15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32,100</w:t>
            </w:r>
          </w:p>
        </w:tc>
        <w:tc>
          <w:tcPr>
            <w:tcW w:w="15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34,802</w:t>
            </w:r>
          </w:p>
        </w:tc>
        <w:tc>
          <w:tcPr>
            <w:tcW w:w="91" w:type="dxa"/>
            <w:tcBorders/>
            <w:shd w:fill="CCEEFF" w:val="clear"/>
            <w:vAlign w:val="bottom"/>
          </w:tcPr>
          <w:p>
            <w:pPr>
              <w:pStyle w:val="TableContents"/>
              <w:spacing w:before="0" w:after="283"/>
              <w:rPr/>
            </w:pPr>
            <w:r>
              <w:rPr/>
              <w:t> </w:t>
            </w:r>
          </w:p>
        </w:tc>
      </w:tr>
      <w:tr>
        <w:trPr/>
        <w:tc>
          <w:tcPr>
            <w:tcW w:w="465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91" w:type="dxa"/>
            <w:tcBorders/>
            <w:shd w:fill="auto" w:val="clear"/>
            <w:vAlign w:val="bottom"/>
          </w:tcPr>
          <w:p>
            <w:pPr>
              <w:pStyle w:val="TableContents"/>
              <w:spacing w:before="0" w:after="283"/>
              <w:rPr/>
            </w:pPr>
            <w:r>
              <w:rPr/>
              <w:t> </w:t>
            </w:r>
          </w:p>
        </w:tc>
      </w:tr>
      <w:tr>
        <w:trPr/>
        <w:tc>
          <w:tcPr>
            <w:tcW w:w="465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15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5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126,588</w:t>
            </w:r>
          </w:p>
        </w:tc>
        <w:tc>
          <w:tcPr>
            <w:tcW w:w="15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5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123,571</w:t>
            </w:r>
          </w:p>
        </w:tc>
        <w:tc>
          <w:tcPr>
            <w:tcW w:w="91" w:type="dxa"/>
            <w:tcBorders/>
            <w:shd w:fill="CCEEFF" w:val="clear"/>
            <w:vAlign w:val="bottom"/>
          </w:tcPr>
          <w:p>
            <w:pPr>
              <w:pStyle w:val="TableContents"/>
              <w:spacing w:before="0" w:after="283"/>
              <w:rPr/>
            </w:pPr>
            <w:r>
              <w:rPr/>
              <w:t> </w:t>
            </w:r>
          </w:p>
        </w:tc>
      </w:tr>
      <w:tr>
        <w:trPr/>
        <w:tc>
          <w:tcPr>
            <w:tcW w:w="465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91" w:type="dxa"/>
            <w:tcBorders/>
            <w:shd w:fill="auto"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11</w:t>
      </w:r>
    </w:p>
    <w:p>
      <w:pPr>
        <w:pStyle w:val="HorizontalLine"/>
        <w:pBdr>
          <w:bottom w:val="single" w:sz="6" w:space="0" w:color="000000"/>
        </w:pBdr>
        <w:rPr/>
      </w:pPr>
      <w:r>
        <w:rPr/>
      </w:r>
    </w:p>
    <w:p>
      <w:pPr>
        <w:pStyle w:val="TextBody"/>
        <w:spacing w:before="0" w:after="0"/>
        <w:rPr/>
      </w:pPr>
      <w:r>
        <w:rPr/>
      </w:r>
    </w:p>
    <w:tbl>
      <w:tblPr>
        <w:tblW w:w="4500" w:type="pct"/>
        <w:jc w:val="center"/>
        <w:tblInd w:w="0" w:type="dxa"/>
        <w:tblCellMar>
          <w:top w:w="0" w:type="dxa"/>
          <w:left w:w="0" w:type="dxa"/>
          <w:bottom w:w="0" w:type="dxa"/>
          <w:right w:w="0" w:type="dxa"/>
        </w:tblCellMar>
      </w:tblPr>
      <w:tblGrid>
        <w:gridCol w:w="4378"/>
        <w:gridCol w:w="185"/>
        <w:gridCol w:w="120"/>
        <w:gridCol w:w="885"/>
        <w:gridCol w:w="185"/>
        <w:gridCol w:w="120"/>
        <w:gridCol w:w="885"/>
        <w:gridCol w:w="185"/>
        <w:gridCol w:w="112"/>
        <w:gridCol w:w="861"/>
        <w:gridCol w:w="185"/>
        <w:gridCol w:w="112"/>
        <w:gridCol w:w="861"/>
        <w:gridCol w:w="110"/>
      </w:tblGrid>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4511"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October 31,</w:t>
            </w:r>
          </w:p>
        </w:tc>
        <w:tc>
          <w:tcPr>
            <w:tcW w:w="110" w:type="dxa"/>
            <w:tcBorders/>
            <w:shd w:fill="auto" w:val="clear"/>
            <w:vAlign w:val="bottom"/>
          </w:tcPr>
          <w:p>
            <w:pPr>
              <w:pStyle w:val="TableContents"/>
              <w:spacing w:before="0" w:after="283"/>
              <w:jc w:val="center"/>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4511" w:type="dxa"/>
            <w:gridSpan w:val="11"/>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jc w:val="center"/>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9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185" w:type="dxa"/>
            <w:tcBorders/>
            <w:shd w:fill="auto" w:val="clear"/>
            <w:vAlign w:val="bottom"/>
          </w:tcPr>
          <w:p>
            <w:pPr>
              <w:pStyle w:val="TableContents"/>
              <w:spacing w:before="0" w:after="283"/>
              <w:jc w:val="center"/>
              <w:rPr/>
            </w:pPr>
            <w:r>
              <w:rPr/>
              <w:t> </w:t>
            </w:r>
          </w:p>
        </w:tc>
        <w:tc>
          <w:tcPr>
            <w:tcW w:w="213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110" w:type="dxa"/>
            <w:tcBorders/>
            <w:shd w:fill="auto" w:val="clear"/>
            <w:vAlign w:val="bottom"/>
          </w:tcPr>
          <w:p>
            <w:pPr>
              <w:pStyle w:val="TableContents"/>
              <w:spacing w:before="0" w:after="283"/>
              <w:jc w:val="center"/>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195" w:type="dxa"/>
            <w:gridSpan w:val="5"/>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jc w:val="center"/>
              <w:rPr/>
            </w:pPr>
            <w:r>
              <w:rPr/>
              <w:t> </w:t>
            </w:r>
          </w:p>
        </w:tc>
        <w:tc>
          <w:tcPr>
            <w:tcW w:w="2131" w:type="dxa"/>
            <w:gridSpan w:val="5"/>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jc w:val="center"/>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0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85" w:type="dxa"/>
            <w:tcBorders/>
            <w:shd w:fill="auto" w:val="clear"/>
            <w:vAlign w:val="bottom"/>
          </w:tcPr>
          <w:p>
            <w:pPr>
              <w:pStyle w:val="TableContents"/>
              <w:spacing w:before="0" w:after="283"/>
              <w:jc w:val="center"/>
              <w:rPr/>
            </w:pPr>
            <w:r>
              <w:rPr/>
              <w:t> </w:t>
            </w:r>
          </w:p>
        </w:tc>
        <w:tc>
          <w:tcPr>
            <w:tcW w:w="100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85" w:type="dxa"/>
            <w:tcBorders/>
            <w:shd w:fill="auto" w:val="clear"/>
            <w:vAlign w:val="bottom"/>
          </w:tcPr>
          <w:p>
            <w:pPr>
              <w:pStyle w:val="TableContents"/>
              <w:spacing w:before="0" w:after="283"/>
              <w:jc w:val="center"/>
              <w:rPr/>
            </w:pPr>
            <w:r>
              <w:rPr/>
              <w:t> </w:t>
            </w:r>
          </w:p>
        </w:tc>
        <w:tc>
          <w:tcPr>
            <w:tcW w:w="97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85" w:type="dxa"/>
            <w:tcBorders/>
            <w:shd w:fill="auto" w:val="clear"/>
            <w:vAlign w:val="bottom"/>
          </w:tcPr>
          <w:p>
            <w:pPr>
              <w:pStyle w:val="TableContents"/>
              <w:spacing w:before="0" w:after="283"/>
              <w:jc w:val="center"/>
              <w:rPr/>
            </w:pPr>
            <w:r>
              <w:rPr/>
              <w:t> </w:t>
            </w:r>
          </w:p>
        </w:tc>
        <w:tc>
          <w:tcPr>
            <w:tcW w:w="97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10" w:type="dxa"/>
            <w:tcBorders/>
            <w:shd w:fill="auto" w:val="clear"/>
            <w:vAlign w:val="bottom"/>
          </w:tcPr>
          <w:p>
            <w:pPr>
              <w:pStyle w:val="TableContents"/>
              <w:spacing w:before="0" w:after="283"/>
              <w:jc w:val="center"/>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HorizontalLine"/>
              <w:pBdr>
                <w:bottom w:val="single" w:sz="6" w:space="0" w:color="000000"/>
              </w:pBdr>
              <w:spacing w:before="0" w:after="283"/>
              <w:rPr/>
            </w:pPr>
            <w:r>
              <w:rPr/>
            </w:r>
          </w:p>
        </w:tc>
        <w:tc>
          <w:tcPr>
            <w:tcW w:w="88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HorizontalLine"/>
              <w:pBdr>
                <w:bottom w:val="single" w:sz="6" w:space="0" w:color="000000"/>
              </w:pBdr>
              <w:spacing w:before="0" w:after="283"/>
              <w:rPr/>
            </w:pPr>
            <w:r>
              <w:rPr/>
            </w:r>
          </w:p>
        </w:tc>
        <w:tc>
          <w:tcPr>
            <w:tcW w:w="88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jc w:val="center"/>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61"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jc w:val="center"/>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6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jc w:val="center"/>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center"/>
              <w:rPr/>
            </w:pPr>
            <w:r>
              <w:rPr/>
              <w:t> </w:t>
            </w:r>
          </w:p>
        </w:tc>
        <w:tc>
          <w:tcPr>
            <w:tcW w:w="885" w:type="dxa"/>
            <w:tcBorders/>
            <w:shd w:fill="auto" w:val="clear"/>
            <w:vAlign w:val="bottom"/>
          </w:tcPr>
          <w:p>
            <w:pPr>
              <w:pStyle w:val="TableContents"/>
              <w:spacing w:before="0" w:after="283"/>
              <w:jc w:val="center"/>
              <w:rPr/>
            </w:pPr>
            <w:r>
              <w:rPr/>
              <w:t> </w:t>
            </w:r>
          </w:p>
        </w:tc>
        <w:tc>
          <w:tcPr>
            <w:tcW w:w="185" w:type="dxa"/>
            <w:tcBorders/>
            <w:shd w:fill="auto" w:val="clear"/>
            <w:vAlign w:val="bottom"/>
          </w:tcPr>
          <w:p>
            <w:pPr>
              <w:pStyle w:val="TableContents"/>
              <w:spacing w:before="0" w:after="283"/>
              <w:jc w:val="center"/>
              <w:rPr/>
            </w:pPr>
            <w:r>
              <w:rPr/>
              <w:t> </w:t>
            </w:r>
          </w:p>
        </w:tc>
        <w:tc>
          <w:tcPr>
            <w:tcW w:w="2163"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85" w:type="dxa"/>
            <w:tcBorders/>
            <w:shd w:fill="auto" w:val="clear"/>
            <w:vAlign w:val="bottom"/>
          </w:tcPr>
          <w:p>
            <w:pPr>
              <w:pStyle w:val="TableContents"/>
              <w:spacing w:before="0" w:after="283"/>
              <w:jc w:val="center"/>
              <w:rPr/>
            </w:pPr>
            <w:r>
              <w:rPr/>
              <w:t> </w:t>
            </w:r>
          </w:p>
        </w:tc>
        <w:tc>
          <w:tcPr>
            <w:tcW w:w="112" w:type="dxa"/>
            <w:tcBorders/>
            <w:shd w:fill="auto" w:val="clear"/>
            <w:vAlign w:val="bottom"/>
          </w:tcPr>
          <w:p>
            <w:pPr>
              <w:pStyle w:val="TableContents"/>
              <w:spacing w:before="0" w:after="283"/>
              <w:jc w:val="center"/>
              <w:rPr/>
            </w:pPr>
            <w:r>
              <w:rPr/>
              <w:t> </w:t>
            </w:r>
          </w:p>
        </w:tc>
        <w:tc>
          <w:tcPr>
            <w:tcW w:w="861" w:type="dxa"/>
            <w:tcBorders/>
            <w:shd w:fill="auto" w:val="clear"/>
            <w:vAlign w:val="bottom"/>
          </w:tcPr>
          <w:p>
            <w:pPr>
              <w:pStyle w:val="TableContents"/>
              <w:spacing w:before="0" w:after="283"/>
              <w:jc w:val="center"/>
              <w:rPr/>
            </w:pPr>
            <w:r>
              <w:rPr/>
              <w:t> </w:t>
            </w:r>
          </w:p>
        </w:tc>
        <w:tc>
          <w:tcPr>
            <w:tcW w:w="110" w:type="dxa"/>
            <w:tcBorders/>
            <w:shd w:fill="auto" w:val="clear"/>
            <w:vAlign w:val="bottom"/>
          </w:tcPr>
          <w:p>
            <w:pPr>
              <w:pStyle w:val="TableContents"/>
              <w:spacing w:before="0" w:after="283"/>
              <w:jc w:val="center"/>
              <w:rPr/>
            </w:pPr>
            <w:r>
              <w:rPr/>
              <w:t> </w:t>
            </w:r>
          </w:p>
        </w:tc>
      </w:tr>
      <w:tr>
        <w:trPr/>
        <w:tc>
          <w:tcPr>
            <w:tcW w:w="437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Retail and Wholesale Products</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8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30,978</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30,180</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6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1,653</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2,485</w:t>
            </w:r>
          </w:p>
        </w:tc>
        <w:tc>
          <w:tcPr>
            <w:tcW w:w="110" w:type="dxa"/>
            <w:tcBorders/>
            <w:shd w:fill="CCEEFF"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Business to Business Products</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16,811</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13,941</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3,031</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2,977</w:t>
            </w:r>
          </w:p>
        </w:tc>
        <w:tc>
          <w:tcPr>
            <w:tcW w:w="110" w:type="dxa"/>
            <w:tcBorders/>
            <w:shd w:fill="auto"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HorizontalLine"/>
              <w:pBdr>
                <w:bottom w:val="single" w:sz="6" w:space="0" w:color="000000"/>
              </w:pBdr>
              <w:spacing w:before="0" w:after="283"/>
              <w:rPr/>
            </w:pPr>
            <w:r>
              <w:rPr/>
            </w:r>
          </w:p>
        </w:tc>
        <w:tc>
          <w:tcPr>
            <w:tcW w:w="88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HorizontalLine"/>
              <w:pBdr>
                <w:bottom w:val="single" w:sz="6" w:space="0" w:color="000000"/>
              </w:pBdr>
              <w:spacing w:before="0" w:after="283"/>
              <w:rPr/>
            </w:pPr>
            <w:r>
              <w:rPr/>
            </w:r>
          </w:p>
        </w:tc>
        <w:tc>
          <w:tcPr>
            <w:tcW w:w="88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61"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6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rPr/>
            </w:pPr>
            <w:r>
              <w:rPr/>
              <w:t> </w:t>
            </w:r>
          </w:p>
        </w:tc>
      </w:tr>
      <w:tr>
        <w:trPr/>
        <w:tc>
          <w:tcPr>
            <w:tcW w:w="437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Sales/Operating Income</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85"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47,789</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8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44,121</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4,684</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5,462</w:t>
            </w:r>
          </w:p>
        </w:tc>
        <w:tc>
          <w:tcPr>
            <w:tcW w:w="110" w:type="dxa"/>
            <w:tcBorders/>
            <w:shd w:fill="CCEEFF"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HorizontalLine"/>
              <w:pBdr>
                <w:bottom w:val="single" w:sz="6" w:space="0" w:color="000000"/>
              </w:pBdr>
              <w:spacing w:before="0" w:after="283"/>
              <w:rPr/>
            </w:pPr>
            <w:r>
              <w:rPr/>
            </w:r>
          </w:p>
        </w:tc>
        <w:tc>
          <w:tcPr>
            <w:tcW w:w="88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HorizontalLine"/>
              <w:pBdr>
                <w:bottom w:val="single" w:sz="6" w:space="0" w:color="000000"/>
              </w:pBdr>
              <w:spacing w:before="0" w:after="283"/>
              <w:rPr/>
            </w:pPr>
            <w:r>
              <w:rPr/>
            </w:r>
          </w:p>
        </w:tc>
        <w:tc>
          <w:tcPr>
            <w:tcW w:w="88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4378" w:type="dxa"/>
            <w:tcBorders/>
            <w:shd w:fill="CCEEFF" w:val="clear"/>
            <w:vAlign w:val="bottom"/>
          </w:tcPr>
          <w:p>
            <w:pPr>
              <w:pStyle w:val="TableContents"/>
              <w:spacing w:before="0" w:after="283"/>
              <w:rPr/>
            </w:pPr>
            <w:r>
              <w:rPr>
                <w:rFonts w:ascii="Times New Roman" w:hAnsi="Times New Roman"/>
                <w:sz w:val="14"/>
              </w:rPr>
              <w:t>Gain on sale of long-lived Assets </w:t>
            </w:r>
            <w:r>
              <w:rPr>
                <w:rStyle w:val="StrongEmphasis"/>
                <w:rFonts w:ascii="Times New Roman" w:hAnsi="Times New Roman"/>
                <w:sz w:val="14"/>
              </w:rPr>
              <w:t xml:space="preserve"> (1)</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415</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Less:</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437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Corporate Expenses</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3,455</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3,387</w:t>
            </w:r>
          </w:p>
        </w:tc>
        <w:tc>
          <w:tcPr>
            <w:tcW w:w="110" w:type="dxa"/>
            <w:tcBorders/>
            <w:shd w:fill="CCEEFF"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Expense, net of</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437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Income</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241</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357</w:t>
            </w:r>
          </w:p>
        </w:tc>
        <w:tc>
          <w:tcPr>
            <w:tcW w:w="110" w:type="dxa"/>
            <w:tcBorders/>
            <w:shd w:fill="CCEEFF"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xml:space="preserve">  </w:t>
            </w:r>
          </w:p>
        </w:tc>
        <w:tc>
          <w:tcPr>
            <w:tcW w:w="885"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xml:space="preserve">  </w:t>
            </w:r>
          </w:p>
        </w:tc>
        <w:tc>
          <w:tcPr>
            <w:tcW w:w="885" w:type="dxa"/>
            <w:tcBorders/>
            <w:shd w:fill="auto" w:val="clear"/>
            <w:vAlign w:val="bottom"/>
          </w:tcPr>
          <w:p>
            <w:pPr>
              <w:pStyle w:val="TableContents"/>
              <w:spacing w:before="0" w:after="283"/>
              <w:rPr/>
            </w:pPr>
            <w:r>
              <w:rPr/>
              <w:t xml:space="preserve">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61"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6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rPr/>
            </w:pPr>
            <w:r>
              <w:rPr/>
              <w:t> </w:t>
            </w:r>
          </w:p>
        </w:tc>
      </w:tr>
      <w:tr>
        <w:trPr/>
        <w:tc>
          <w:tcPr>
            <w:tcW w:w="437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1,403</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1,718</w:t>
            </w:r>
          </w:p>
        </w:tc>
        <w:tc>
          <w:tcPr>
            <w:tcW w:w="110" w:type="dxa"/>
            <w:tcBorders/>
            <w:shd w:fill="CCEEFF"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375</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438</w:t>
            </w:r>
          </w:p>
        </w:tc>
        <w:tc>
          <w:tcPr>
            <w:tcW w:w="110" w:type="dxa"/>
            <w:tcBorders/>
            <w:shd w:fill="auto"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right"/>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right"/>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61"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6" w:space="0" w:color="000000"/>
              </w:pBdr>
              <w:spacing w:before="0" w:after="283"/>
              <w:rPr/>
            </w:pPr>
            <w:r>
              <w:rPr/>
            </w:r>
          </w:p>
        </w:tc>
        <w:tc>
          <w:tcPr>
            <w:tcW w:w="86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rPr/>
            </w:pPr>
            <w:r>
              <w:rPr/>
              <w:t> </w:t>
            </w:r>
          </w:p>
        </w:tc>
      </w:tr>
      <w:tr>
        <w:trPr/>
        <w:tc>
          <w:tcPr>
            <w:tcW w:w="437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right"/>
              <w:rPr/>
            </w:pPr>
            <w:r>
              <w:rPr/>
              <w:t> </w:t>
            </w:r>
          </w:p>
        </w:tc>
        <w:tc>
          <w:tcPr>
            <w:tcW w:w="8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6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1,028</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1,280</w:t>
            </w:r>
          </w:p>
        </w:tc>
        <w:tc>
          <w:tcPr>
            <w:tcW w:w="110" w:type="dxa"/>
            <w:tcBorders/>
            <w:shd w:fill="CCEEFF"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right"/>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right"/>
              <w:rPr/>
            </w:pPr>
            <w:r>
              <w:rPr/>
              <w:t> </w:t>
            </w:r>
          </w:p>
        </w:tc>
        <w:tc>
          <w:tcPr>
            <w:tcW w:w="8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18" w:space="0" w:color="000000"/>
              </w:pBdr>
              <w:spacing w:before="0" w:after="283"/>
              <w:rPr/>
            </w:pPr>
            <w:r>
              <w:rPr/>
            </w:r>
          </w:p>
        </w:tc>
        <w:tc>
          <w:tcPr>
            <w:tcW w:w="861"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HorizontalLine"/>
              <w:pBdr>
                <w:bottom w:val="single" w:sz="18" w:space="0" w:color="000000"/>
              </w:pBdr>
              <w:spacing w:before="0" w:after="283"/>
              <w:rPr/>
            </w:pPr>
            <w:r>
              <w:rPr/>
            </w:r>
          </w:p>
        </w:tc>
        <w:tc>
          <w:tcPr>
            <w:tcW w:w="861"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TableContents"/>
              <w:spacing w:before="0" w:after="283"/>
              <w:rPr/>
            </w:pPr>
            <w:r>
              <w:rPr/>
              <w:t> </w:t>
            </w:r>
          </w:p>
        </w:tc>
      </w:tr>
    </w:tbl>
    <w:p>
      <w:pPr>
        <w:pStyle w:val="TextBody"/>
        <w:spacing w:before="0" w:after="0"/>
        <w:rPr/>
      </w:pPr>
      <w:r>
        <w:rPr/>
      </w:r>
    </w:p>
    <w:tbl>
      <w:tblPr>
        <w:tblW w:w="4500" w:type="pct"/>
        <w:jc w:val="center"/>
        <w:tblInd w:w="0" w:type="dxa"/>
        <w:tblCellMar>
          <w:top w:w="0" w:type="dxa"/>
          <w:left w:w="0" w:type="dxa"/>
          <w:bottom w:w="0" w:type="dxa"/>
          <w:right w:w="0" w:type="dxa"/>
        </w:tblCellMar>
      </w:tblPr>
      <w:tblGrid>
        <w:gridCol w:w="459"/>
        <w:gridCol w:w="8725"/>
      </w:tblGrid>
      <w:tr>
        <w:trPr/>
        <w:tc>
          <w:tcPr>
            <w:tcW w:w="9184" w:type="dxa"/>
            <w:gridSpan w:val="2"/>
            <w:tcBorders/>
            <w:shd w:fill="auto" w:val="clear"/>
          </w:tcPr>
          <w:p>
            <w:pPr>
              <w:pStyle w:val="HorizontalLine"/>
              <w:pBdr>
                <w:bottom w:val="single" w:sz="6" w:space="0" w:color="000000"/>
              </w:pBdr>
              <w:spacing w:before="0" w:after="283"/>
              <w:rPr/>
            </w:pPr>
            <w:r>
              <w:rPr/>
            </w:r>
          </w:p>
        </w:tc>
      </w:tr>
      <w:tr>
        <w:trPr/>
        <w:tc>
          <w:tcPr>
            <w:tcW w:w="459" w:type="dxa"/>
            <w:tcBorders/>
            <w:shd w:fill="auto" w:val="clear"/>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b/>
                <w:sz w:val="20"/>
              </w:rPr>
              <w:t>1</w:t>
            </w:r>
            <w:r>
              <w:rPr>
                <w:rFonts w:ascii="Times New Roman" w:hAnsi="Times New Roman"/>
                <w:sz w:val="20"/>
              </w:rPr>
              <w:t>)</w:t>
            </w:r>
          </w:p>
        </w:tc>
        <w:tc>
          <w:tcPr>
            <w:tcW w:w="8725" w:type="dxa"/>
            <w:tcBorders/>
            <w:shd w:fill="auto" w:val="clear"/>
          </w:tcPr>
          <w:p>
            <w:pPr>
              <w:pStyle w:val="TableContents"/>
              <w:spacing w:before="0" w:after="283"/>
              <w:rPr>
                <w:rFonts w:ascii="Times New Roman" w:hAnsi="Times New Roman"/>
                <w:sz w:val="20"/>
              </w:rPr>
            </w:pPr>
            <w:r>
              <w:rPr>
                <w:rFonts w:ascii="Times New Roman" w:hAnsi="Times New Roman"/>
                <w:sz w:val="20"/>
              </w:rPr>
              <w:t>See note 6 for a discussion of the sale of water rights.</w:t>
            </w:r>
          </w:p>
        </w:tc>
      </w:tr>
    </w:tbl>
    <w:p>
      <w:pPr>
        <w:pStyle w:val="TextBody"/>
        <w:rPr>
          <w:rFonts w:ascii="Times New Roman" w:hAnsi="Times New Roman"/>
          <w:b/>
          <w:sz w:val="20"/>
        </w:rPr>
      </w:pPr>
      <w:r>
        <w:rPr>
          <w:rFonts w:ascii="Times New Roman" w:hAnsi="Times New Roman"/>
          <w:b/>
          <w:sz w:val="20"/>
        </w:rPr>
        <w:t>6.     SALE OF WATER RIGHTS</w:t>
      </w:r>
    </w:p>
    <w:p>
      <w:pPr>
        <w:pStyle w:val="TextBody"/>
        <w:rPr>
          <w:rFonts w:ascii="Times New Roman" w:hAnsi="Times New Roman"/>
          <w:sz w:val="20"/>
        </w:rPr>
      </w:pPr>
      <w:r>
        <w:rPr>
          <w:rFonts w:ascii="Times New Roman" w:hAnsi="Times New Roman"/>
          <w:sz w:val="20"/>
        </w:rPr>
        <w:t>On September 16, 2005, in the first quarter of fiscal 2006, the Company recorded a $415,000 pre-tax gain from the sale of certain water rights in Nevada.  These water rights were geographically located in an area that the Company was not actively planning to develop.  The water rights, had they been utilized, would have been associated with any or all of the operating segments.</w:t>
      </w:r>
    </w:p>
    <w:p>
      <w:pPr>
        <w:pStyle w:val="TextBody"/>
        <w:rPr>
          <w:rFonts w:ascii="Times New Roman" w:hAnsi="Times New Roman"/>
          <w:b/>
          <w:sz w:val="20"/>
        </w:rPr>
      </w:pPr>
      <w:r>
        <w:rPr>
          <w:rFonts w:ascii="Times New Roman" w:hAnsi="Times New Roman"/>
          <w:b/>
          <w:sz w:val="20"/>
        </w:rPr>
        <w:t>7.     STOCK-BASED COMPENSATION</w:t>
      </w:r>
    </w:p>
    <w:p>
      <w:pPr>
        <w:pStyle w:val="TextBody"/>
        <w:rPr>
          <w:rFonts w:ascii="Times New Roman" w:hAnsi="Times New Roman"/>
          <w:sz w:val="20"/>
        </w:rPr>
      </w:pPr>
      <w:r>
        <w:rPr>
          <w:rFonts w:ascii="Times New Roman" w:hAnsi="Times New Roman"/>
          <w:sz w:val="20"/>
        </w:rPr>
        <w:t xml:space="preserve">In December 2004, the FASB issued Statement of Financial Accounting Standards (SFAS) No. 123 (revised 2004), Share-Based Payments, effective for the first reporting period, which begins after June 15, 2005.  This statement is a revision of SFAS No. 123, Accounting for Stock-Based Compensation and supersedes APB Opinion No. 25, Accounting for Stock Issued to Employees.  This revised statement eliminates the alternative to use the intrinsic value method of accounting that was provided in SFAS 123, which generally resulted in no compensation expense recorded in the financial statements related to the issuance of stock option awards to employees, instead it requires that the cost resulting from all share-based payment transactions be recognized in the financial statements.  FAS 123-R also establishes fair value as the measurement objective in accounting for share-based payment arrangements and requires all companies to apply a fair-value-based measurement method in accounting for generally all share-based payment transactions with employees.  </w:t>
      </w:r>
    </w:p>
    <w:p>
      <w:pPr>
        <w:pStyle w:val="TextBody"/>
        <w:rPr>
          <w:rFonts w:ascii="Times New Roman" w:hAnsi="Times New Roman"/>
          <w:sz w:val="20"/>
        </w:rPr>
      </w:pPr>
      <w:r>
        <w:rPr>
          <w:rFonts w:ascii="Times New Roman" w:hAnsi="Times New Roman"/>
          <w:sz w:val="20"/>
        </w:rPr>
        <w:t>On August 1, 2005 the Company adopted SFAS 123-R.  The Company adopted  the pronouncement using a modified prospective application.  Accordingly, prior period amounts have not been restated.  Under this application, the Company is required to record compensation expense for all awards granted after the date of adoption and for the unvested portion of previously granted awards that remain outstanding at the date of adoption.</w:t>
      </w:r>
    </w:p>
    <w:p>
      <w:pPr>
        <w:pStyle w:val="TextBody"/>
        <w:rPr>
          <w:rFonts w:ascii="Times New Roman" w:hAnsi="Times New Roman"/>
          <w:sz w:val="20"/>
        </w:rPr>
      </w:pPr>
      <w:r>
        <w:rPr>
          <w:rFonts w:ascii="Times New Roman" w:hAnsi="Times New Roman"/>
          <w:sz w:val="20"/>
        </w:rPr>
        <w:t>Prior to the adoption of FAS 123-R, the Company applied APB 25 to account for its stock-based awards.  Under APB 25, the Company generally only recorded stock-based compensation expense for restricted stock, which amounted to $7,000 ($5,000 after tax) in the first quarter of fiscal year 2005.  Under the provisions of APB 25, the Company was not required to recognize compensation expense for the cost of stock options.  Beginning with its 2006 fiscal year, with the adoption of FAS 123-R, the Company recorded stock-based compensation expense for the cost of stock options and restricted stock (together, Employee Stock-Based Awards).  Stock-based compensation expense in the first quarter of 2006 was $51,000 ($37,000 after tax).  The compensation expense value included the impact from both restrictive stock grants and stock option grants.  The effect on basic and diluted earnings per share was less than $.01 per share.</w:t>
      </w:r>
    </w:p>
    <w:p>
      <w:pPr>
        <w:pStyle w:val="TextBody"/>
        <w:jc w:val="center"/>
        <w:rPr>
          <w:rFonts w:ascii="Times New Roman" w:hAnsi="Times New Roman"/>
          <w:sz w:val="20"/>
        </w:rPr>
      </w:pPr>
      <w:r>
        <w:rPr>
          <w:rFonts w:ascii="Times New Roman" w:hAnsi="Times New Roman"/>
          <w:sz w:val="20"/>
        </w:rPr>
        <w:t>12</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The following table details the effect on net income and earnings per share had compensation expense for the Employee Stock-Based Awards been recorded in the first quarter of fiscal 2005 based on the fair value method under FAS 123.  The amounts computed in accordance with FAS 123-R for the first quarter of fiscal 2006 are included in the table below only to provide the detail for a comparative presentation to the first quarter of fiscal 2005.</w:t>
      </w:r>
    </w:p>
    <w:tbl>
      <w:tblPr>
        <w:tblW w:w="5000" w:type="pct"/>
        <w:jc w:val="center"/>
        <w:tblInd w:w="0" w:type="dxa"/>
        <w:tblCellMar>
          <w:top w:w="0" w:type="dxa"/>
          <w:left w:w="0" w:type="dxa"/>
          <w:bottom w:w="0" w:type="dxa"/>
          <w:right w:w="0" w:type="dxa"/>
        </w:tblCellMar>
      </w:tblPr>
      <w:tblGrid>
        <w:gridCol w:w="7240"/>
        <w:gridCol w:w="211"/>
        <w:gridCol w:w="135"/>
        <w:gridCol w:w="1076"/>
        <w:gridCol w:w="212"/>
        <w:gridCol w:w="135"/>
        <w:gridCol w:w="1076"/>
        <w:gridCol w:w="120"/>
      </w:tblGrid>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63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Quarter Ended</w:t>
              <w:br/>
              <w:t>(dollars in thousands,</w:t>
              <w:br/>
              <w:t>except per share data)</w:t>
            </w:r>
          </w:p>
        </w:tc>
        <w:tc>
          <w:tcPr>
            <w:tcW w:w="120" w:type="dxa"/>
            <w:tcBorders/>
            <w:shd w:fill="auto" w:val="clear"/>
            <w:vAlign w:val="bottom"/>
          </w:tcPr>
          <w:p>
            <w:pPr>
              <w:pStyle w:val="TableContents"/>
              <w:spacing w:before="0" w:after="283"/>
              <w:jc w:val="center"/>
              <w:rPr/>
            </w:pPr>
            <w:r>
              <w:rPr/>
              <w:t> </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634" w:type="dxa"/>
            <w:gridSpan w:val="5"/>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jc w:val="center"/>
              <w:rPr/>
            </w:pPr>
            <w:r>
              <w:rPr/>
              <w:t> </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1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 2005</w:t>
            </w:r>
          </w:p>
        </w:tc>
        <w:tc>
          <w:tcPr>
            <w:tcW w:w="212" w:type="dxa"/>
            <w:tcBorders/>
            <w:shd w:fill="auto" w:val="clear"/>
            <w:vAlign w:val="bottom"/>
          </w:tcPr>
          <w:p>
            <w:pPr>
              <w:pStyle w:val="TableContents"/>
              <w:spacing w:before="0" w:after="283"/>
              <w:jc w:val="center"/>
              <w:rPr/>
            </w:pPr>
            <w:r>
              <w:rPr/>
              <w:t> </w:t>
            </w:r>
          </w:p>
        </w:tc>
        <w:tc>
          <w:tcPr>
            <w:tcW w:w="121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 2004</w:t>
            </w:r>
          </w:p>
        </w:tc>
        <w:tc>
          <w:tcPr>
            <w:tcW w:w="120" w:type="dxa"/>
            <w:tcBorders/>
            <w:shd w:fill="auto" w:val="clear"/>
            <w:vAlign w:val="bottom"/>
          </w:tcPr>
          <w:p>
            <w:pPr>
              <w:pStyle w:val="TableContents"/>
              <w:spacing w:before="0" w:after="283"/>
              <w:jc w:val="center"/>
              <w:rPr/>
            </w:pPr>
            <w:r>
              <w:rPr/>
              <w:t> </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Reported net income</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1,028</w:t>
            </w:r>
          </w:p>
        </w:tc>
        <w:tc>
          <w:tcPr>
            <w:tcW w:w="212"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1,280</w:t>
            </w:r>
          </w:p>
        </w:tc>
        <w:tc>
          <w:tcPr>
            <w:tcW w:w="120" w:type="dxa"/>
            <w:tcBorders/>
            <w:shd w:fill="CCEEFF" w:val="clear"/>
            <w:vAlign w:val="bottom"/>
          </w:tcPr>
          <w:p>
            <w:pPr>
              <w:pStyle w:val="TableContents"/>
              <w:spacing w:before="0" w:after="283"/>
              <w:rPr/>
            </w:pPr>
            <w:r>
              <w:rPr/>
              <w:t> </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Add: Total stock-based compensation  expense included in reported net income, net of related tax effects</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w:t>
            </w:r>
          </w:p>
        </w:tc>
        <w:tc>
          <w:tcPr>
            <w:tcW w:w="212"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20" w:type="dxa"/>
            <w:tcBorders/>
            <w:shd w:fill="CCEEFF" w:val="clear"/>
            <w:vAlign w:val="bottom"/>
          </w:tcPr>
          <w:p>
            <w:pPr>
              <w:pStyle w:val="TableContents"/>
              <w:spacing w:before="0" w:after="283"/>
              <w:rPr/>
            </w:pPr>
            <w:r>
              <w:rPr/>
              <w:t> </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Deduct: Total stock-based compensation expense determined under fair value method for all awards, net of related tax effects</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w:t>
            </w:r>
          </w:p>
        </w:tc>
        <w:tc>
          <w:tcPr>
            <w:tcW w:w="21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35"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 forma net income</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1,028</w:t>
            </w:r>
          </w:p>
        </w:tc>
        <w:tc>
          <w:tcPr>
            <w:tcW w:w="212"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1,218</w:t>
            </w:r>
          </w:p>
        </w:tc>
        <w:tc>
          <w:tcPr>
            <w:tcW w:w="120" w:type="dxa"/>
            <w:tcBorders/>
            <w:shd w:fill="CCEEFF" w:val="clear"/>
            <w:vAlign w:val="bottom"/>
          </w:tcPr>
          <w:p>
            <w:pPr>
              <w:pStyle w:val="TableContents"/>
              <w:spacing w:before="0" w:after="283"/>
              <w:rPr/>
            </w:pPr>
            <w:r>
              <w:rPr/>
              <w:t> </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Earnings per share:</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212"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r>
      <w:tr>
        <w:trPr/>
        <w:tc>
          <w:tcPr>
            <w:tcW w:w="724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Common  as reported</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0.20</w:t>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0.25</w:t>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Basic Common  pro forma</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212"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07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0.20</w:t>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0.24</w:t>
            </w:r>
          </w:p>
        </w:tc>
        <w:tc>
          <w:tcPr>
            <w:tcW w:w="120" w:type="dxa"/>
            <w:tcBorders/>
            <w:shd w:fill="auto" w:val="clear"/>
            <w:vAlign w:val="bottom"/>
          </w:tcPr>
          <w:p>
            <w:pPr>
              <w:pStyle w:val="TableContents"/>
              <w:spacing w:before="0" w:after="283"/>
              <w:rPr/>
            </w:pPr>
            <w:r>
              <w:rPr/>
              <w:t> </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Basic Class B Common  as reported</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0.15</w:t>
            </w:r>
          </w:p>
        </w:tc>
        <w:tc>
          <w:tcPr>
            <w:tcW w:w="212"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0.19</w:t>
            </w:r>
          </w:p>
        </w:tc>
        <w:tc>
          <w:tcPr>
            <w:tcW w:w="120" w:type="dxa"/>
            <w:tcBorders/>
            <w:shd w:fill="CCEEFF" w:val="clear"/>
            <w:vAlign w:val="bottom"/>
          </w:tcPr>
          <w:p>
            <w:pPr>
              <w:pStyle w:val="TableContents"/>
              <w:spacing w:before="0" w:after="283"/>
              <w:rPr/>
            </w:pPr>
            <w:r>
              <w:rPr/>
              <w:t> </w:t>
            </w:r>
          </w:p>
        </w:tc>
      </w:tr>
      <w:tr>
        <w:trPr/>
        <w:tc>
          <w:tcPr>
            <w:tcW w:w="724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Class B Common  pro forma</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0.15</w:t>
            </w:r>
          </w:p>
        </w:tc>
        <w:tc>
          <w:tcPr>
            <w:tcW w:w="212"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0.18</w:t>
            </w:r>
          </w:p>
        </w:tc>
        <w:tc>
          <w:tcPr>
            <w:tcW w:w="120" w:type="dxa"/>
            <w:tcBorders/>
            <w:shd w:fill="CCEEFF" w:val="clear"/>
            <w:vAlign w:val="bottom"/>
          </w:tcPr>
          <w:p>
            <w:pPr>
              <w:pStyle w:val="TableContents"/>
              <w:spacing w:before="0" w:after="283"/>
              <w:rPr/>
            </w:pPr>
            <w:r>
              <w:rPr/>
              <w:t> </w:t>
            </w:r>
          </w:p>
        </w:tc>
      </w:tr>
      <w:tr>
        <w:trPr/>
        <w:tc>
          <w:tcPr>
            <w:tcW w:w="724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107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Diluted  as reported</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0.18</w:t>
            </w:r>
          </w:p>
        </w:tc>
        <w:tc>
          <w:tcPr>
            <w:tcW w:w="212"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0.22</w:t>
            </w:r>
          </w:p>
        </w:tc>
        <w:tc>
          <w:tcPr>
            <w:tcW w:w="120" w:type="dxa"/>
            <w:tcBorders/>
            <w:shd w:fill="CCEEFF" w:val="clear"/>
            <w:vAlign w:val="bottom"/>
          </w:tcPr>
          <w:p>
            <w:pPr>
              <w:pStyle w:val="TableContents"/>
              <w:spacing w:before="0" w:after="283"/>
              <w:rPr/>
            </w:pPr>
            <w:r>
              <w:rPr/>
              <w:t> </w:t>
            </w:r>
          </w:p>
        </w:tc>
      </w:tr>
      <w:tr>
        <w:trPr/>
        <w:tc>
          <w:tcPr>
            <w:tcW w:w="724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Diluted  pro forma</w:t>
            </w:r>
          </w:p>
        </w:tc>
        <w:tc>
          <w:tcPr>
            <w:tcW w:w="21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 </w:t>
            </w:r>
          </w:p>
        </w:tc>
        <w:tc>
          <w:tcPr>
            <w:tcW w:w="21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076"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r>
      <w:tr>
        <w:trPr/>
        <w:tc>
          <w:tcPr>
            <w:tcW w:w="724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0.18</w:t>
            </w:r>
          </w:p>
        </w:tc>
        <w:tc>
          <w:tcPr>
            <w:tcW w:w="212"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0.20</w:t>
            </w:r>
          </w:p>
        </w:tc>
        <w:tc>
          <w:tcPr>
            <w:tcW w:w="120" w:type="dxa"/>
            <w:tcBorders/>
            <w:shd w:fill="CCEEFF"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In the first quarter of fiscal 2006, the adoption of FAS 123-R resulted in incremental stock-based compensation expense, for the cost of stock options of $39,000 ($29,000 after tax) that would not have otherwise been recognized.  The effect on basic and diluted earnings per share is $.01 or less per share.  </w:t>
      </w:r>
    </w:p>
    <w:p>
      <w:pPr>
        <w:pStyle w:val="TextBody"/>
        <w:rPr>
          <w:rFonts w:ascii="Times New Roman" w:hAnsi="Times New Roman"/>
          <w:i/>
          <w:sz w:val="20"/>
        </w:rPr>
      </w:pPr>
      <w:r>
        <w:rPr>
          <w:rFonts w:ascii="Times New Roman" w:hAnsi="Times New Roman"/>
          <w:i/>
          <w:sz w:val="20"/>
        </w:rPr>
        <w:t>Stock Options</w:t>
      </w:r>
    </w:p>
    <w:p>
      <w:pPr>
        <w:pStyle w:val="TextBody"/>
        <w:rPr/>
      </w:pPr>
      <w:r>
        <w:rPr/>
        <w:t> </w:t>
      </w:r>
      <w:r>
        <w:rPr>
          <w:rFonts w:ascii="Times New Roman" w:hAnsi="Times New Roman"/>
          <w:sz w:val="20"/>
        </w:rPr>
        <w:t>The Companys 1995 Long Term Incentive Plan (95 Plan) provides for grants of both incentive and non-qualified stock options principally at an option price per share of 100% of the fair market value of the Companys Class A Common Stock or if no Class A Common Stock is outstanding the Companys Common Stock (Stock) on the date of grant.  Stock options are generally granted with a 5-year vesting period and a 10-year term.  The stock options vest 25% two years after the grant date and 25% in each of the 3 following anniversaries of the grant date.</w:t>
      </w:r>
    </w:p>
    <w:p>
      <w:pPr>
        <w:pStyle w:val="TextBody"/>
        <w:rPr>
          <w:rFonts w:ascii="Times New Roman" w:hAnsi="Times New Roman"/>
          <w:sz w:val="20"/>
        </w:rPr>
      </w:pPr>
      <w:r>
        <w:rPr>
          <w:rFonts w:ascii="Times New Roman" w:hAnsi="Times New Roman"/>
          <w:sz w:val="20"/>
        </w:rPr>
        <w:t>The Oil-Dri Corporation of America Outside Director Stock Plan (the Directors Plan) provides for grants of stock options to its directors at an option price per share of 100% of the fair market value of Common Stock on the date of grant.  The Companys Directors are considered employees under the provisions of FAS 123-R.  Stock options have been granted to the Companys directors for a ten year term and a one year vesting period.</w:t>
      </w:r>
    </w:p>
    <w:p>
      <w:pPr>
        <w:pStyle w:val="TextBody"/>
        <w:rPr>
          <w:rFonts w:ascii="Times New Roman" w:hAnsi="Times New Roman"/>
          <w:sz w:val="20"/>
        </w:rPr>
      </w:pPr>
      <w:r>
        <w:rPr>
          <w:rFonts w:ascii="Times New Roman" w:hAnsi="Times New Roman"/>
          <w:sz w:val="20"/>
        </w:rPr>
        <w:t>Included in the Companys stock-based compensation expense in the first quarter of fiscal 2006 is the cost related to the unvested portion of grants issued after August 1, 2000.  The stock options granted before August 1, 2000 were fully vested as of the beginning of fiscal 2006.  The Company did not grant any stock options in the first quarter of 2006.</w:t>
      </w:r>
    </w:p>
    <w:p>
      <w:pPr>
        <w:pStyle w:val="TextBody"/>
        <w:rPr>
          <w:rFonts w:ascii="Times New Roman" w:hAnsi="Times New Roman"/>
          <w:sz w:val="20"/>
        </w:rPr>
      </w:pPr>
      <w:r>
        <w:rPr>
          <w:rFonts w:ascii="Times New Roman" w:hAnsi="Times New Roman"/>
          <w:sz w:val="20"/>
        </w:rPr>
        <w:t>The fair value of the fiscal 2005 stock options was estimated on the date of grant using a Black-Scholes option valuation model.  The assumptions used during the full fiscal 2005 were:  volatility, 35.1%; risk free interest rate, 4.1%; expected life 5.4 years; dividend rate, 2.5%. The risk-free rate is based on the U.S. Treasury yield curve in effect at the time of grant.  The expected life (estimated period of time outstanding) of the options granted was estimated using the historical and future expected exercise behavior of employees.  Expected volatility was based on historical volatility for a period of five years, ending the day of grant, and calculated on a daily basis.  The dividend rate is based on the actual dividend and share price on the grant date.</w:t>
      </w:r>
    </w:p>
    <w:p>
      <w:pPr>
        <w:pStyle w:val="TextBody"/>
        <w:jc w:val="center"/>
        <w:rPr>
          <w:rFonts w:ascii="Times New Roman" w:hAnsi="Times New Roman"/>
          <w:sz w:val="20"/>
        </w:rPr>
      </w:pPr>
      <w:r>
        <w:rPr>
          <w:rFonts w:ascii="Times New Roman" w:hAnsi="Times New Roman"/>
          <w:sz w:val="20"/>
        </w:rPr>
        <w:t>13</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Changes in the Companys stock options for the first quarter of 2006 were as follows:</w:t>
      </w:r>
    </w:p>
    <w:tbl>
      <w:tblPr>
        <w:tblW w:w="4000" w:type="pct"/>
        <w:jc w:val="center"/>
        <w:tblInd w:w="0" w:type="dxa"/>
        <w:tblCellMar>
          <w:top w:w="0" w:type="dxa"/>
          <w:left w:w="0" w:type="dxa"/>
          <w:bottom w:w="0" w:type="dxa"/>
          <w:right w:w="0" w:type="dxa"/>
        </w:tblCellMar>
      </w:tblPr>
      <w:tblGrid>
        <w:gridCol w:w="5848"/>
        <w:gridCol w:w="99"/>
        <w:gridCol w:w="104"/>
        <w:gridCol w:w="848"/>
        <w:gridCol w:w="174"/>
        <w:gridCol w:w="125"/>
        <w:gridCol w:w="863"/>
        <w:gridCol w:w="103"/>
      </w:tblGrid>
      <w:tr>
        <w:trPr/>
        <w:tc>
          <w:tcPr>
            <w:tcW w:w="584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95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Options</w:t>
            </w:r>
          </w:p>
        </w:tc>
        <w:tc>
          <w:tcPr>
            <w:tcW w:w="174" w:type="dxa"/>
            <w:tcBorders/>
            <w:shd w:fill="auto" w:val="clear"/>
            <w:vAlign w:val="bottom"/>
          </w:tcPr>
          <w:p>
            <w:pPr>
              <w:pStyle w:val="TableContents"/>
              <w:spacing w:before="0" w:after="283"/>
              <w:jc w:val="center"/>
              <w:rPr/>
            </w:pPr>
            <w:r>
              <w:rPr/>
              <w:t> </w:t>
            </w:r>
          </w:p>
        </w:tc>
        <w:tc>
          <w:tcPr>
            <w:tcW w:w="98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w:t>
              <w:br/>
              <w:t>Price</w:t>
            </w:r>
          </w:p>
        </w:tc>
        <w:tc>
          <w:tcPr>
            <w:tcW w:w="103" w:type="dxa"/>
            <w:tcBorders/>
            <w:shd w:fill="auto" w:val="clear"/>
            <w:vAlign w:val="bottom"/>
          </w:tcPr>
          <w:p>
            <w:pPr>
              <w:pStyle w:val="TableContents"/>
              <w:spacing w:before="0" w:after="283"/>
              <w:jc w:val="center"/>
              <w:rPr/>
            </w:pPr>
            <w:r>
              <w:rPr/>
              <w:t> </w:t>
            </w:r>
          </w:p>
        </w:tc>
      </w:tr>
      <w:tr>
        <w:trPr/>
        <w:tc>
          <w:tcPr>
            <w:tcW w:w="584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4"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84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11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 in thousands)</w:t>
            </w:r>
          </w:p>
        </w:tc>
        <w:tc>
          <w:tcPr>
            <w:tcW w:w="103" w:type="dxa"/>
            <w:tcBorders/>
            <w:shd w:fill="auto" w:val="clear"/>
            <w:vAlign w:val="bottom"/>
          </w:tcPr>
          <w:p>
            <w:pPr>
              <w:pStyle w:val="TableContents"/>
              <w:spacing w:before="0" w:after="283"/>
              <w:jc w:val="center"/>
              <w:rPr/>
            </w:pPr>
            <w:r>
              <w:rPr/>
              <w:t> </w:t>
            </w:r>
          </w:p>
        </w:tc>
      </w:tr>
      <w:tr>
        <w:trPr/>
        <w:tc>
          <w:tcPr>
            <w:tcW w:w="58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outstanding, beginning of year</w:t>
            </w:r>
          </w:p>
        </w:tc>
        <w:tc>
          <w:tcPr>
            <w:tcW w:w="9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1,010</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10.59</w:t>
            </w:r>
          </w:p>
        </w:tc>
        <w:tc>
          <w:tcPr>
            <w:tcW w:w="103" w:type="dxa"/>
            <w:tcBorders/>
            <w:shd w:fill="CCEEFF" w:val="clear"/>
            <w:vAlign w:val="bottom"/>
          </w:tcPr>
          <w:p>
            <w:pPr>
              <w:pStyle w:val="TableContents"/>
              <w:spacing w:before="0" w:after="283"/>
              <w:rPr/>
            </w:pPr>
            <w:r>
              <w:rPr/>
              <w:t> </w:t>
            </w:r>
          </w:p>
        </w:tc>
      </w:tr>
      <w:tr>
        <w:trPr/>
        <w:tc>
          <w:tcPr>
            <w:tcW w:w="584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Granted</w:t>
            </w:r>
          </w:p>
        </w:tc>
        <w:tc>
          <w:tcPr>
            <w:tcW w:w="9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58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Exercised</w:t>
            </w:r>
          </w:p>
        </w:tc>
        <w:tc>
          <w:tcPr>
            <w:tcW w:w="9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10.49</w:t>
            </w:r>
          </w:p>
        </w:tc>
        <w:tc>
          <w:tcPr>
            <w:tcW w:w="103" w:type="dxa"/>
            <w:tcBorders/>
            <w:shd w:fill="CCEEFF" w:val="clear"/>
            <w:vAlign w:val="bottom"/>
          </w:tcPr>
          <w:p>
            <w:pPr>
              <w:pStyle w:val="TableContents"/>
              <w:spacing w:before="0" w:after="283"/>
              <w:rPr/>
            </w:pPr>
            <w:r>
              <w:rPr/>
              <w:t> </w:t>
            </w:r>
          </w:p>
        </w:tc>
      </w:tr>
      <w:tr>
        <w:trPr/>
        <w:tc>
          <w:tcPr>
            <w:tcW w:w="584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Canceled</w:t>
            </w:r>
          </w:p>
        </w:tc>
        <w:tc>
          <w:tcPr>
            <w:tcW w:w="9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11.79</w:t>
            </w:r>
          </w:p>
        </w:tc>
        <w:tc>
          <w:tcPr>
            <w:tcW w:w="103" w:type="dxa"/>
            <w:tcBorders/>
            <w:shd w:fill="auto" w:val="clear"/>
            <w:vAlign w:val="bottom"/>
          </w:tcPr>
          <w:p>
            <w:pPr>
              <w:pStyle w:val="TableContents"/>
              <w:spacing w:before="0" w:after="283"/>
              <w:rPr/>
            </w:pPr>
            <w:r>
              <w:rPr/>
              <w:t> </w:t>
            </w:r>
          </w:p>
        </w:tc>
      </w:tr>
      <w:tr>
        <w:trPr/>
        <w:tc>
          <w:tcPr>
            <w:tcW w:w="584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4"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63"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8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outstanding, end of quarter</w:t>
            </w:r>
          </w:p>
        </w:tc>
        <w:tc>
          <w:tcPr>
            <w:tcW w:w="9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989</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10.60</w:t>
            </w:r>
          </w:p>
        </w:tc>
        <w:tc>
          <w:tcPr>
            <w:tcW w:w="103" w:type="dxa"/>
            <w:tcBorders/>
            <w:shd w:fill="CCEEFF" w:val="clear"/>
            <w:vAlign w:val="bottom"/>
          </w:tcPr>
          <w:p>
            <w:pPr>
              <w:pStyle w:val="TableContents"/>
              <w:spacing w:before="0" w:after="283"/>
              <w:rPr/>
            </w:pPr>
            <w:r>
              <w:rPr/>
              <w:t> </w:t>
            </w:r>
          </w:p>
        </w:tc>
      </w:tr>
      <w:tr>
        <w:trPr/>
        <w:tc>
          <w:tcPr>
            <w:tcW w:w="584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4"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63"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58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exercisable, end of quarter</w:t>
            </w:r>
          </w:p>
        </w:tc>
        <w:tc>
          <w:tcPr>
            <w:tcW w:w="9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584</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6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10.50</w:t>
            </w:r>
          </w:p>
        </w:tc>
        <w:tc>
          <w:tcPr>
            <w:tcW w:w="103" w:type="dxa"/>
            <w:tcBorders/>
            <w:shd w:fill="CCEEFF" w:val="clear"/>
            <w:vAlign w:val="bottom"/>
          </w:tcPr>
          <w:p>
            <w:pPr>
              <w:pStyle w:val="TableContents"/>
              <w:spacing w:before="0" w:after="283"/>
              <w:rPr/>
            </w:pPr>
            <w:r>
              <w:rPr/>
              <w:t> </w:t>
            </w:r>
          </w:p>
        </w:tc>
      </w:tr>
      <w:tr>
        <w:trPr/>
        <w:tc>
          <w:tcPr>
            <w:tcW w:w="584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04"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63"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weighted average remaining contractual term was 5.5 years for all stock options outstanding and 4.2 years for options exercisable as of October 31, 2005.  The total intrinsic value was approximately $7.1 million for stock options outstanding and $4.2 million for stock options exercisable as of October 31, 2005.  The total intrinsic value for stock options exercised during the first quarter of fiscal 2006 was $151,000.  The weighted-average fair value for stock options granted in the fiscal year 2005 was $4.91.</w:t>
      </w:r>
    </w:p>
    <w:p>
      <w:pPr>
        <w:pStyle w:val="TextBody"/>
        <w:rPr>
          <w:rFonts w:ascii="Times New Roman" w:hAnsi="Times New Roman"/>
          <w:sz w:val="20"/>
        </w:rPr>
      </w:pPr>
      <w:r>
        <w:rPr>
          <w:rFonts w:ascii="Times New Roman" w:hAnsi="Times New Roman"/>
          <w:sz w:val="20"/>
        </w:rPr>
        <w:t>The amount of cash received from the exercise of stock options was $213,000 and the related tax benefit was $40,000 in the first quarter fiscal 2006.</w:t>
      </w:r>
    </w:p>
    <w:p>
      <w:pPr>
        <w:pStyle w:val="TextBody"/>
        <w:rPr>
          <w:rFonts w:ascii="Times New Roman" w:hAnsi="Times New Roman"/>
          <w:i/>
          <w:sz w:val="20"/>
        </w:rPr>
      </w:pPr>
      <w:r>
        <w:rPr>
          <w:rFonts w:ascii="Times New Roman" w:hAnsi="Times New Roman"/>
          <w:i/>
          <w:sz w:val="20"/>
        </w:rPr>
        <w:t>Restricted Stock</w:t>
      </w:r>
    </w:p>
    <w:p>
      <w:pPr>
        <w:pStyle w:val="TextBody"/>
        <w:rPr>
          <w:rFonts w:ascii="Times New Roman" w:hAnsi="Times New Roman"/>
          <w:sz w:val="20"/>
        </w:rPr>
      </w:pPr>
      <w:r>
        <w:rPr>
          <w:rFonts w:ascii="Times New Roman" w:hAnsi="Times New Roman"/>
          <w:sz w:val="20"/>
        </w:rPr>
        <w:t>The Companys 95 Plan also provides for grants of restricted stock.  The vesting schedule varies but the vesting period has generally been less than 3 years.  The fair value of restricted stock is the excess of the market price of Common Stock at the date of grant over the exercise price, which is zero.</w:t>
      </w:r>
    </w:p>
    <w:p>
      <w:pPr>
        <w:pStyle w:val="TextBody"/>
        <w:rPr>
          <w:rFonts w:ascii="Times New Roman" w:hAnsi="Times New Roman"/>
          <w:sz w:val="20"/>
        </w:rPr>
      </w:pPr>
      <w:r>
        <w:rPr>
          <w:rFonts w:ascii="Times New Roman" w:hAnsi="Times New Roman"/>
          <w:sz w:val="20"/>
        </w:rPr>
        <w:t>Included in the Companys stock-based compensation expense in the first quarter of 2006 is a portion of the cost related to the unvested restricted stock granted in fiscal 2005.  The Company did not grant any shares of restricted stock in the first quarter of fiscal 2006.</w:t>
      </w:r>
    </w:p>
    <w:p>
      <w:pPr>
        <w:pStyle w:val="TextBody"/>
        <w:rPr>
          <w:rFonts w:ascii="Times New Roman" w:hAnsi="Times New Roman"/>
          <w:sz w:val="20"/>
        </w:rPr>
      </w:pPr>
      <w:r>
        <w:rPr>
          <w:rFonts w:ascii="Times New Roman" w:hAnsi="Times New Roman"/>
          <w:sz w:val="20"/>
        </w:rPr>
        <w:t>Changes in the Companys restricted stock for the first quarter of 2006 were as follows:</w:t>
      </w:r>
    </w:p>
    <w:tbl>
      <w:tblPr>
        <w:tblW w:w="4000" w:type="pct"/>
        <w:jc w:val="center"/>
        <w:tblInd w:w="0" w:type="dxa"/>
        <w:tblCellMar>
          <w:top w:w="0" w:type="dxa"/>
          <w:left w:w="0" w:type="dxa"/>
          <w:bottom w:w="0" w:type="dxa"/>
          <w:right w:w="0" w:type="dxa"/>
        </w:tblCellMar>
      </w:tblPr>
      <w:tblGrid>
        <w:gridCol w:w="5628"/>
        <w:gridCol w:w="175"/>
        <w:gridCol w:w="152"/>
        <w:gridCol w:w="895"/>
        <w:gridCol w:w="175"/>
        <w:gridCol w:w="138"/>
        <w:gridCol w:w="893"/>
        <w:gridCol w:w="108"/>
      </w:tblGrid>
      <w:tr>
        <w:trPr/>
        <w:tc>
          <w:tcPr>
            <w:tcW w:w="562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04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Restricted</w:t>
              <w:br/>
              <w:t>Shares</w:t>
            </w:r>
          </w:p>
        </w:tc>
        <w:tc>
          <w:tcPr>
            <w:tcW w:w="175" w:type="dxa"/>
            <w:tcBorders/>
            <w:shd w:fill="auto" w:val="clear"/>
            <w:vAlign w:val="bottom"/>
          </w:tcPr>
          <w:p>
            <w:pPr>
              <w:pStyle w:val="TableContents"/>
              <w:spacing w:before="0" w:after="283"/>
              <w:jc w:val="center"/>
              <w:rPr/>
            </w:pPr>
            <w:r>
              <w:rPr/>
              <w:t> </w:t>
            </w:r>
          </w:p>
        </w:tc>
        <w:tc>
          <w:tcPr>
            <w:tcW w:w="10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Grant Date</w:t>
              <w:br/>
              <w:t>Fair Value</w:t>
            </w:r>
          </w:p>
        </w:tc>
        <w:tc>
          <w:tcPr>
            <w:tcW w:w="108" w:type="dxa"/>
            <w:tcBorders/>
            <w:shd w:fill="auto" w:val="clear"/>
            <w:vAlign w:val="bottom"/>
          </w:tcPr>
          <w:p>
            <w:pPr>
              <w:pStyle w:val="TableContents"/>
              <w:spacing w:before="0" w:after="283"/>
              <w:jc w:val="center"/>
              <w:rPr/>
            </w:pPr>
            <w:r>
              <w:rPr/>
              <w:t> </w:t>
            </w:r>
          </w:p>
        </w:tc>
      </w:tr>
      <w:tr>
        <w:trPr/>
        <w:tc>
          <w:tcPr>
            <w:tcW w:w="562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895" w:type="dxa"/>
            <w:tcBorders/>
            <w:shd w:fill="auto" w:val="clear"/>
            <w:vAlign w:val="bottom"/>
          </w:tcPr>
          <w:p>
            <w:pPr>
              <w:pStyle w:val="HorizontalLine"/>
              <w:pBdr>
                <w:bottom w:val="single" w:sz="6" w:space="0" w:color="000000"/>
              </w:pBdr>
              <w:spacing w:before="0" w:after="283"/>
              <w:rPr/>
            </w:pPr>
            <w:r>
              <w:rPr/>
            </w:r>
          </w:p>
        </w:tc>
        <w:tc>
          <w:tcPr>
            <w:tcW w:w="175"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08" w:type="dxa"/>
            <w:tcBorders/>
            <w:shd w:fill="auto" w:val="clear"/>
            <w:vAlign w:val="bottom"/>
          </w:tcPr>
          <w:p>
            <w:pPr>
              <w:pStyle w:val="TableContents"/>
              <w:spacing w:before="0" w:after="283"/>
              <w:rPr/>
            </w:pPr>
            <w:r>
              <w:rPr/>
              <w:t> </w:t>
            </w:r>
          </w:p>
        </w:tc>
      </w:tr>
      <w:tr>
        <w:trPr/>
        <w:tc>
          <w:tcPr>
            <w:tcW w:w="562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253"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 in thousands)</w:t>
            </w:r>
          </w:p>
        </w:tc>
        <w:tc>
          <w:tcPr>
            <w:tcW w:w="108" w:type="dxa"/>
            <w:tcBorders/>
            <w:shd w:fill="auto" w:val="clear"/>
            <w:vAlign w:val="bottom"/>
          </w:tcPr>
          <w:p>
            <w:pPr>
              <w:pStyle w:val="TableContents"/>
              <w:spacing w:before="0" w:after="283"/>
              <w:jc w:val="center"/>
              <w:rPr/>
            </w:pPr>
            <w:r>
              <w:rPr/>
              <w:t> </w:t>
            </w:r>
          </w:p>
        </w:tc>
      </w:tr>
      <w:tr>
        <w:trPr/>
        <w:tc>
          <w:tcPr>
            <w:tcW w:w="562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Unvested restricted stock at beginning of year</w:t>
            </w:r>
          </w:p>
        </w:tc>
        <w:tc>
          <w:tcPr>
            <w:tcW w:w="17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18.57</w:t>
            </w:r>
          </w:p>
        </w:tc>
        <w:tc>
          <w:tcPr>
            <w:tcW w:w="108" w:type="dxa"/>
            <w:tcBorders/>
            <w:shd w:fill="CCEEFF" w:val="clear"/>
            <w:vAlign w:val="bottom"/>
          </w:tcPr>
          <w:p>
            <w:pPr>
              <w:pStyle w:val="TableContents"/>
              <w:spacing w:before="0" w:after="283"/>
              <w:rPr/>
            </w:pPr>
            <w:r>
              <w:rPr/>
              <w:t> </w:t>
            </w:r>
          </w:p>
        </w:tc>
      </w:tr>
      <w:tr>
        <w:trPr/>
        <w:tc>
          <w:tcPr>
            <w:tcW w:w="562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Granted</w:t>
            </w:r>
          </w:p>
        </w:tc>
        <w:tc>
          <w:tcPr>
            <w:tcW w:w="17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7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8" w:type="dxa"/>
            <w:tcBorders/>
            <w:shd w:fill="auto" w:val="clear"/>
            <w:vAlign w:val="bottom"/>
          </w:tcPr>
          <w:p>
            <w:pPr>
              <w:pStyle w:val="TableContents"/>
              <w:spacing w:before="0" w:after="283"/>
              <w:rPr/>
            </w:pPr>
            <w:r>
              <w:rPr/>
              <w:t> </w:t>
            </w:r>
          </w:p>
        </w:tc>
      </w:tr>
      <w:tr>
        <w:trPr/>
        <w:tc>
          <w:tcPr>
            <w:tcW w:w="562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895" w:type="dxa"/>
            <w:tcBorders/>
            <w:shd w:fill="auto" w:val="clear"/>
            <w:vAlign w:val="bottom"/>
          </w:tcPr>
          <w:p>
            <w:pPr>
              <w:pStyle w:val="HorizontalLine"/>
              <w:pBdr>
                <w:bottom w:val="single" w:sz="6" w:space="0" w:color="000000"/>
              </w:pBdr>
              <w:spacing w:before="0" w:after="283"/>
              <w:rPr/>
            </w:pPr>
            <w:r>
              <w:rPr/>
            </w:r>
          </w:p>
        </w:tc>
        <w:tc>
          <w:tcPr>
            <w:tcW w:w="175"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08" w:type="dxa"/>
            <w:tcBorders/>
            <w:shd w:fill="auto" w:val="clear"/>
            <w:vAlign w:val="bottom"/>
          </w:tcPr>
          <w:p>
            <w:pPr>
              <w:pStyle w:val="TableContents"/>
              <w:spacing w:before="0" w:after="283"/>
              <w:rPr/>
            </w:pPr>
            <w:r>
              <w:rPr/>
              <w:t> </w:t>
            </w:r>
          </w:p>
        </w:tc>
      </w:tr>
      <w:tr>
        <w:trPr/>
        <w:tc>
          <w:tcPr>
            <w:tcW w:w="562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Unvested restricted stock at end of quarter</w:t>
            </w:r>
          </w:p>
        </w:tc>
        <w:tc>
          <w:tcPr>
            <w:tcW w:w="17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7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18.57</w:t>
            </w:r>
          </w:p>
        </w:tc>
        <w:tc>
          <w:tcPr>
            <w:tcW w:w="108" w:type="dxa"/>
            <w:tcBorders/>
            <w:shd w:fill="CCEEFF" w:val="clear"/>
            <w:vAlign w:val="bottom"/>
          </w:tcPr>
          <w:p>
            <w:pPr>
              <w:pStyle w:val="TableContents"/>
              <w:spacing w:before="0" w:after="283"/>
              <w:rPr/>
            </w:pPr>
            <w:r>
              <w:rPr/>
              <w:t> </w:t>
            </w:r>
          </w:p>
        </w:tc>
      </w:tr>
      <w:tr>
        <w:trPr/>
        <w:tc>
          <w:tcPr>
            <w:tcW w:w="562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18" w:space="0" w:color="000000"/>
              </w:pBdr>
              <w:spacing w:before="0" w:after="283"/>
              <w:rPr/>
            </w:pPr>
            <w:r>
              <w:rPr/>
            </w:r>
          </w:p>
        </w:tc>
        <w:tc>
          <w:tcPr>
            <w:tcW w:w="895" w:type="dxa"/>
            <w:tcBorders/>
            <w:shd w:fill="auto" w:val="clear"/>
            <w:vAlign w:val="bottom"/>
          </w:tcPr>
          <w:p>
            <w:pPr>
              <w:pStyle w:val="HorizontalLine"/>
              <w:pBdr>
                <w:bottom w:val="single" w:sz="18" w:space="0" w:color="000000"/>
              </w:pBdr>
              <w:spacing w:before="0" w:after="283"/>
              <w:rPr/>
            </w:pPr>
            <w:r>
              <w:rPr/>
            </w:r>
          </w:p>
        </w:tc>
        <w:tc>
          <w:tcPr>
            <w:tcW w:w="175"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893" w:type="dxa"/>
            <w:tcBorders/>
            <w:shd w:fill="auto" w:val="clear"/>
            <w:vAlign w:val="bottom"/>
          </w:tcPr>
          <w:p>
            <w:pPr>
              <w:pStyle w:val="HorizontalLine"/>
              <w:pBdr>
                <w:bottom w:val="single" w:sz="18" w:space="0" w:color="000000"/>
              </w:pBdr>
              <w:spacing w:before="0" w:after="283"/>
              <w:rPr/>
            </w:pPr>
            <w:r>
              <w:rPr/>
            </w:r>
          </w:p>
        </w:tc>
        <w:tc>
          <w:tcPr>
            <w:tcW w:w="108" w:type="dxa"/>
            <w:tcBorders/>
            <w:shd w:fill="auto"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14</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rPr>
                <w:rFonts w:ascii="Times New Roman" w:hAnsi="Times New Roman"/>
                <w:b/>
                <w:sz w:val="20"/>
              </w:rPr>
            </w:pPr>
            <w:bookmarkStart w:id="6" w:name="od_03"/>
            <w:bookmarkEnd w:id="6"/>
            <w:r>
              <w:rPr>
                <w:rFonts w:ascii="Times New Roman" w:hAnsi="Times New Roman"/>
                <w:b/>
                <w:sz w:val="20"/>
              </w:rPr>
              <w:t>ITEM 2.</w:t>
            </w:r>
          </w:p>
        </w:tc>
        <w:tc>
          <w:tcPr>
            <w:tcW w:w="9186" w:type="dxa"/>
            <w:tcBorders/>
            <w:shd w:fill="auto" w:val="clear"/>
          </w:tcPr>
          <w:p>
            <w:pPr>
              <w:pStyle w:val="TableContents"/>
              <w:spacing w:before="0" w:after="283"/>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rPr>
          <w:rFonts w:ascii="Times New Roman" w:hAnsi="Times New Roman"/>
          <w:b/>
          <w:sz w:val="20"/>
          <w:u w:val="single"/>
        </w:rPr>
      </w:pPr>
      <w:r>
        <w:rPr>
          <w:rFonts w:ascii="Times New Roman" w:hAnsi="Times New Roman"/>
          <w:b/>
          <w:sz w:val="20"/>
          <w:u w:val="single"/>
        </w:rPr>
        <w:t>THREE MONTHS ENDED OCTOBER 31, 2005 COMPARED TO</w:t>
        <w:br/>
        <w:t>THREE MONTHS ENDED OCTOBER 31, 2004</w:t>
      </w:r>
    </w:p>
    <w:p>
      <w:pPr>
        <w:pStyle w:val="TextBody"/>
        <w:rPr>
          <w:rFonts w:ascii="Times New Roman" w:hAnsi="Times New Roman"/>
          <w:b/>
          <w:sz w:val="20"/>
          <w:u w:val="single"/>
        </w:rPr>
      </w:pPr>
      <w:r>
        <w:rPr>
          <w:rFonts w:ascii="Times New Roman" w:hAnsi="Times New Roman"/>
          <w:b/>
          <w:sz w:val="20"/>
          <w:u w:val="single"/>
        </w:rPr>
        <w:t>RESULTS OF OPERATIONS</w:t>
      </w:r>
    </w:p>
    <w:p>
      <w:pPr>
        <w:pStyle w:val="TextBody"/>
        <w:rPr>
          <w:rFonts w:ascii="Times New Roman" w:hAnsi="Times New Roman"/>
          <w:sz w:val="20"/>
        </w:rPr>
      </w:pPr>
      <w:r>
        <w:rPr>
          <w:rFonts w:ascii="Times New Roman" w:hAnsi="Times New Roman"/>
          <w:sz w:val="20"/>
        </w:rPr>
        <w:t xml:space="preserve">Consolidated net sales for the three months ended October 31, 2005 were $47,789,000, an increase of 8.3% from net sales of $44,121,000 in the first three months of fiscal 2005.  Net income for the first three months of fiscal 2006 was $1,028,000, a decrease of 19.7% from net income of $1,280,000 earned in the first three months of fiscal 2005.  See Note 5 in the Notes to the Consolidated Financial Statements for a discussion of the Companys business segments.  </w:t>
      </w:r>
    </w:p>
    <w:p>
      <w:pPr>
        <w:pStyle w:val="TextBody"/>
        <w:rPr>
          <w:rFonts w:ascii="Times New Roman" w:hAnsi="Times New Roman"/>
          <w:sz w:val="20"/>
        </w:rPr>
      </w:pPr>
      <w:r>
        <w:rPr>
          <w:rFonts w:ascii="Times New Roman" w:hAnsi="Times New Roman"/>
          <w:sz w:val="20"/>
        </w:rPr>
        <w:t xml:space="preserve">Fiscal 2006s net income was positively impacted by a 20.6% growth in sales for the Business to Business Products Group and a 2.6% increase in the sales for the Retail and Wholesale Products Group.  These sales improvements were driven by both tonnage growth and pricing increases for the Business to Business Products Group and pricing increases in the Retail and Wholesale Products Group.  Overall, the Company reported a total tonnage increase for the first quarter of 2006 from the first quarter of 2005.  Also, positively impacting net income for the quarter was a gain on the sale of long-lived assets.  See Note 6 in the Notes to the Consolidated Financial Statements for a discussion of this gain.  </w:t>
      </w:r>
    </w:p>
    <w:p>
      <w:pPr>
        <w:pStyle w:val="TextBody"/>
        <w:rPr>
          <w:rFonts w:ascii="Times New Roman" w:hAnsi="Times New Roman"/>
          <w:sz w:val="20"/>
        </w:rPr>
      </w:pPr>
      <w:r>
        <w:rPr>
          <w:rFonts w:ascii="Times New Roman" w:hAnsi="Times New Roman"/>
          <w:sz w:val="20"/>
        </w:rPr>
        <w:t xml:space="preserve">Negatively impacting the results for the first quarter of fiscal 2006 were substantial material, packaging and freight cost increases, which were experienced throughout the Company.  These cost increases were generally driven directly or indirectly by the higher cost of energy being experienced by the world economy.  The impact of the cost increases were experienced by both the Companys domestic and foreign operations and overcame the sales volume and price increases described above.  Diluted net income per share for the first three months of fiscal 2006 was $0.18 versus $0.22 diluted net income per share reported for the first three months of fiscal 2005.    </w:t>
      </w:r>
    </w:p>
    <w:p>
      <w:pPr>
        <w:pStyle w:val="TextBody"/>
        <w:rPr>
          <w:rFonts w:ascii="Times New Roman" w:hAnsi="Times New Roman"/>
          <w:sz w:val="20"/>
        </w:rPr>
      </w:pPr>
      <w:r>
        <w:rPr>
          <w:rFonts w:ascii="Times New Roman" w:hAnsi="Times New Roman"/>
          <w:sz w:val="20"/>
        </w:rPr>
        <w:t>Net sales of the Retail and Wholesale Products Group for the first three months of fiscal 2006 were $30,978,000, an increase of $798,000 from net sales of $30,180,000 reported in the first three months of fiscal 2005.  Sales of branded cat litter increased as compared to the first quarter of fiscal 2005, with the scoop products driving the sales growth.  Partially offsetting the increase in branded products was a sales reduction in the private label cat litter area.  The private label items were down due to competitive market conditions.  The Companys floor absorbent business remained relatively flat from a tonnage perspective.  The Retail and Wholesale Products Groups income decreased 33.5% from $2,485,000 in the first quarter of fiscal 2005 to $1,653,000 in the first quarter of fiscal 2006.  Driving the income decline were increased material, packaging and freight costs.  Transportation and manufacturing fuel costs and resin prices have increased as the cost of oil has increased.  Bag stock costs have also increased as the price of paper has increased.  Price increases and the reduction of selling and advertising expenses offset some of the increased freight, packaging and materials costs.</w:t>
      </w:r>
    </w:p>
    <w:p>
      <w:pPr>
        <w:pStyle w:val="TextBody"/>
        <w:rPr>
          <w:rFonts w:ascii="Times New Roman" w:hAnsi="Times New Roman"/>
          <w:sz w:val="20"/>
        </w:rPr>
      </w:pPr>
      <w:r>
        <w:rPr>
          <w:rFonts w:ascii="Times New Roman" w:hAnsi="Times New Roman"/>
          <w:sz w:val="20"/>
        </w:rPr>
        <w:t xml:space="preserve">Net sales of the Business to Business Products Group for the first three months of fiscal 2006 were $16,811,000, an increase of $2,870,000 from net sales of $13,941,000 in the first three months of fiscal 2005.  Strong sales growth was seen in agricultural products and co-manufactured products.  The agricultural product sales were negatively impacted in the first quarter of 2005 due to customer inventory issues.  Bleaching earth and animal health and nutrition products both reported sales increases as compared to the first quarter of fiscal 2005.  The Business to Business Products Groups income increased 1.8% from $2,977,000 in the first three months of fiscal 2005 to $3,031,000 in the first three months of fiscal 2006.  Like the Retail and Wholesale Products Group, the Business to Business Products Group experienced substantial increases in material and freight costs.  </w:t>
      </w:r>
    </w:p>
    <w:p>
      <w:pPr>
        <w:pStyle w:val="TextBody"/>
        <w:rPr>
          <w:rFonts w:ascii="Times New Roman" w:hAnsi="Times New Roman"/>
          <w:sz w:val="20"/>
        </w:rPr>
      </w:pPr>
      <w:r>
        <w:rPr>
          <w:rFonts w:ascii="Times New Roman" w:hAnsi="Times New Roman"/>
          <w:sz w:val="20"/>
        </w:rPr>
        <w:t>Consolidated gross profit as a percentage of net sales for the first three months of fiscal 2006 decreased to 17.6% from 21.9% in the first three months of fiscal 2005.  As discussed above, freight, materials, fuel and packing cost increases throughout the Company had a substantial negative impact on the gross profit reported in the first quarter of fiscal 2006.  Volume and price increases were insufficient to compensate for the change in the key cost factors.  The cost of fuel used in the manufacturing processes for the first quarter of fiscal 2006 increased 91.2% as compared to the first quarter of fiscal 2005.   Non-fuel manufacturing costs rose 4.5%, which had a negative impact on gross profit.  The increases in non-fuel manufacturing costs were seen in electricity, repairs and labor.</w:t>
      </w:r>
    </w:p>
    <w:p>
      <w:pPr>
        <w:pStyle w:val="TextBody"/>
        <w:rPr>
          <w:rFonts w:ascii="Times New Roman" w:hAnsi="Times New Roman"/>
          <w:sz w:val="20"/>
        </w:rPr>
      </w:pPr>
      <w:r>
        <w:rPr>
          <w:rFonts w:ascii="Times New Roman" w:hAnsi="Times New Roman"/>
          <w:sz w:val="20"/>
        </w:rPr>
        <w:t xml:space="preserve">Operating expenses as a percentage of net sales for the first three months of fiscal 2006 decreased to 14.3% compared to the 17.3% for the first three months of fiscal 2005.  Excluding the gain on long-lived assets, the operating expenses for the first three months of fiscal 2006 would have been 15.2%.  The reductions in fiscal 2006 operating expenses were reported by the Retail and Wholesale Products Group.  Most of the reductions were attributable to lower advertising and selling expenses.  The Company also accrued a smaller bonus amount.  </w:t>
      </w:r>
    </w:p>
    <w:p>
      <w:pPr>
        <w:pStyle w:val="TextBody"/>
        <w:jc w:val="center"/>
        <w:rPr>
          <w:rFonts w:ascii="Times New Roman" w:hAnsi="Times New Roman"/>
          <w:sz w:val="20"/>
        </w:rPr>
      </w:pPr>
      <w:r>
        <w:rPr>
          <w:rFonts w:ascii="Times New Roman" w:hAnsi="Times New Roman"/>
          <w:sz w:val="20"/>
        </w:rPr>
        <w:t>15</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Interest expense was down $12,000 for the first quarter of fiscal 2006 as compared to the same quarter in fiscal 2005.  Interest income increased $104,000 from the first quarter of fiscal 2005 due to increases in the market rates and a shifting from treasury securities to debt securities.  </w:t>
      </w:r>
    </w:p>
    <w:p>
      <w:pPr>
        <w:pStyle w:val="TextBody"/>
        <w:rPr>
          <w:rFonts w:ascii="Times New Roman" w:hAnsi="Times New Roman"/>
          <w:sz w:val="20"/>
        </w:rPr>
      </w:pPr>
      <w:r>
        <w:rPr>
          <w:rFonts w:ascii="Times New Roman" w:hAnsi="Times New Roman"/>
          <w:sz w:val="20"/>
        </w:rPr>
        <w:t xml:space="preserve">The Companys effective tax rate was 26.7% of pre-tax income in the first quarter of fiscal 2006 versus 25.5% in the first three months of fiscal 2005.  The effective tax rate for fiscal 2006 was consistent with the final rate for fiscal 2005.  </w:t>
      </w:r>
    </w:p>
    <w:p>
      <w:pPr>
        <w:pStyle w:val="TextBody"/>
        <w:rPr>
          <w:rFonts w:ascii="Times New Roman" w:hAnsi="Times New Roman"/>
          <w:sz w:val="20"/>
        </w:rPr>
      </w:pPr>
      <w:r>
        <w:rPr>
          <w:rFonts w:ascii="Times New Roman" w:hAnsi="Times New Roman"/>
          <w:sz w:val="20"/>
        </w:rPr>
        <w:t xml:space="preserve">Total assets of the Company increased $3,017,000 or 2.4% during the first quarter of fiscal 2006.  Current assets increased $2,226,000 or 3.5% from fiscal 2005 year-end balances, primarily due to increases in accounts receivables, inventory and prepaid expenses.  Offsetting these increases were decreases in cash and investments.  The changes in accounts receivable and cash and investments are described below in the Liquidity and Capital Resources section.  Much of the increase in inventory and prepaid expenses can best be described as normal seasonal timing changes.  </w:t>
      </w:r>
    </w:p>
    <w:p>
      <w:pPr>
        <w:pStyle w:val="TextBody"/>
        <w:rPr>
          <w:rFonts w:ascii="Times New Roman" w:hAnsi="Times New Roman"/>
          <w:sz w:val="20"/>
        </w:rPr>
      </w:pPr>
      <w:r>
        <w:rPr>
          <w:rFonts w:ascii="Times New Roman" w:hAnsi="Times New Roman"/>
          <w:sz w:val="20"/>
        </w:rPr>
        <w:t xml:space="preserve">Property, plant and equipment, net of accumulated depreciation, increased $804,000 or 1.7% during the first quarter of fiscal 2006.  The increase was driven by purchases of machinery and equipment and land.  </w:t>
      </w:r>
    </w:p>
    <w:p>
      <w:pPr>
        <w:pStyle w:val="TextBody"/>
        <w:rPr>
          <w:rFonts w:ascii="Times New Roman" w:hAnsi="Times New Roman"/>
          <w:sz w:val="20"/>
        </w:rPr>
      </w:pPr>
      <w:r>
        <w:rPr>
          <w:rFonts w:ascii="Times New Roman" w:hAnsi="Times New Roman"/>
          <w:sz w:val="20"/>
        </w:rPr>
        <w:t xml:space="preserve">Total liabilities increased $2,731,000 or 5.5% during the first three months of fiscal 2006.  Current liabilities increased $2,224,000 or 9.9% during the first quarter of fiscal 2006.  The increase in current liabilities was mostly driven by an increase in accounts payable and other accrued expenses.  These increases follow the increases the Company has experienced in its energy and packaging costs.  The decrease in salaries payable was consistent with the payment of the fiscal 2005 discretionary bonus.  Non-current liabilities increased $507,000 or 1.9%.  </w:t>
      </w:r>
    </w:p>
    <w:p>
      <w:pPr>
        <w:pStyle w:val="TextBody"/>
        <w:rPr>
          <w:rFonts w:ascii="Times New Roman" w:hAnsi="Times New Roman"/>
          <w:b/>
          <w:sz w:val="20"/>
          <w:u w:val="single"/>
        </w:rPr>
      </w:pPr>
      <w:r>
        <w:rPr>
          <w:rFonts w:ascii="Times New Roman" w:hAnsi="Times New Roman"/>
          <w:b/>
          <w:sz w:val="20"/>
          <w:u w:val="single"/>
        </w:rPr>
        <w:t xml:space="preserve">EXPECTATIONS  </w:t>
      </w:r>
    </w:p>
    <w:p>
      <w:pPr>
        <w:pStyle w:val="TextBody"/>
        <w:rPr>
          <w:rFonts w:ascii="Times New Roman" w:hAnsi="Times New Roman"/>
          <w:sz w:val="20"/>
        </w:rPr>
      </w:pPr>
      <w:r>
        <w:rPr>
          <w:rFonts w:ascii="Times New Roman" w:hAnsi="Times New Roman"/>
          <w:sz w:val="20"/>
        </w:rPr>
        <w:t xml:space="preserve">Beginning with fiscal 2006, the Company will no longer provide quarterly or annual earnings per share guidance.  This change will allow management to focus on making the best decisions based on long-term strategies.  </w:t>
      </w:r>
    </w:p>
    <w:p>
      <w:pPr>
        <w:pStyle w:val="TextBody"/>
        <w:rPr>
          <w:rFonts w:ascii="Times New Roman" w:hAnsi="Times New Roman"/>
          <w:b/>
          <w:sz w:val="20"/>
          <w:u w:val="single"/>
        </w:rPr>
      </w:pPr>
      <w:r>
        <w:rPr>
          <w:rFonts w:ascii="Times New Roman" w:hAnsi="Times New Roman"/>
          <w:b/>
          <w:sz w:val="20"/>
          <w:u w:val="single"/>
        </w:rPr>
        <w:t>LIQUIDITY AND CAPITAL RESOURCES</w:t>
      </w:r>
    </w:p>
    <w:p>
      <w:pPr>
        <w:pStyle w:val="TextBody"/>
        <w:rPr>
          <w:rFonts w:ascii="Times New Roman" w:hAnsi="Times New Roman"/>
          <w:sz w:val="20"/>
        </w:rPr>
      </w:pPr>
      <w:r>
        <w:rPr>
          <w:rFonts w:ascii="Times New Roman" w:hAnsi="Times New Roman"/>
          <w:sz w:val="20"/>
        </w:rPr>
        <w:t xml:space="preserve">Working capital increased $2,000 during the first three months of fiscal 2006 to $40,564,000.  The primarily reasons for the slight change were increases in inventory, accounts receivable and prepaid expenses, offset by decreases in cash and investments and an increase in accounts payable and other accrued expenses.  </w:t>
      </w:r>
    </w:p>
    <w:p>
      <w:pPr>
        <w:pStyle w:val="TextBody"/>
        <w:rPr>
          <w:rFonts w:ascii="Times New Roman" w:hAnsi="Times New Roman"/>
          <w:sz w:val="20"/>
        </w:rPr>
      </w:pPr>
      <w:r>
        <w:rPr>
          <w:rFonts w:ascii="Times New Roman" w:hAnsi="Times New Roman"/>
          <w:sz w:val="20"/>
        </w:rPr>
        <w:t xml:space="preserve">Cash was used during the three months ended October 31, 2005 to fund capital expenditures of $3,035,000, to make payments on long-term debt of $80,000, to purchase treasury stock of $630,000 and to make dividend payments of $559,000.  The Company received $1,000,000 as proceeds from the sale of property plant and equipment.  Cash and investment securities decreased $1,069,000 during the first quarter of fiscal 2006.    Most of the cash and investment decline was attributable to the items listed above, plus the September 2005 payment of the fiscal 2005 discretionary bonus.  </w:t>
      </w:r>
    </w:p>
    <w:p>
      <w:pPr>
        <w:pStyle w:val="TextBody"/>
        <w:rPr>
          <w:rFonts w:ascii="Times New Roman" w:hAnsi="Times New Roman"/>
          <w:sz w:val="20"/>
        </w:rPr>
      </w:pPr>
      <w:r>
        <w:rPr>
          <w:rFonts w:ascii="Times New Roman" w:hAnsi="Times New Roman"/>
          <w:sz w:val="20"/>
        </w:rPr>
        <w:t xml:space="preserve">Total cash and investment balances held by the Companys foreign subsidiaries at October 31, 2005 and July 31, 2005 were $4,433,000 and $3,427,000, respectively.  </w:t>
      </w:r>
    </w:p>
    <w:p>
      <w:pPr>
        <w:pStyle w:val="TextBody"/>
        <w:rPr>
          <w:rFonts w:ascii="Times New Roman" w:hAnsi="Times New Roman"/>
          <w:sz w:val="20"/>
        </w:rPr>
      </w:pPr>
      <w:r>
        <w:rPr>
          <w:rFonts w:ascii="Times New Roman" w:hAnsi="Times New Roman"/>
          <w:sz w:val="20"/>
        </w:rPr>
        <w:t>Accounts receivable, less allowance for doubtful accounts was $24,086,000, an increase of 2.0% from the July 31, 2005 value of $23,611,000.  The sales for the first quarter of fiscal 2006 were $47,789,000, while the sales for the fourth quarter of fiscal 2005 were $46,017,000.  This quarterly sales change drove the increased receivable value.</w:t>
      </w:r>
    </w:p>
    <w:p>
      <w:pPr>
        <w:pStyle w:val="TextBody"/>
        <w:rPr>
          <w:rFonts w:ascii="Times New Roman" w:hAnsi="Times New Roman"/>
          <w:sz w:val="20"/>
        </w:rPr>
      </w:pPr>
      <w:r>
        <w:rPr>
          <w:rFonts w:ascii="Times New Roman" w:hAnsi="Times New Roman"/>
          <w:sz w:val="20"/>
        </w:rPr>
        <w:t>The table listed below depicts the Companys Contractual Obligations and Commercial Commitments at October 31, 2005 for the timeframes listed:</w:t>
      </w:r>
    </w:p>
    <w:p>
      <w:pPr>
        <w:pStyle w:val="TextBody"/>
        <w:rPr>
          <w:rFonts w:ascii="Times New Roman" w:hAnsi="Times New Roman"/>
          <w:b/>
          <w:sz w:val="20"/>
          <w:u w:val="single"/>
        </w:rPr>
      </w:pPr>
      <w:r>
        <w:rPr>
          <w:rFonts w:ascii="Times New Roman" w:hAnsi="Times New Roman"/>
          <w:b/>
          <w:sz w:val="20"/>
          <w:u w:val="single"/>
        </w:rPr>
        <w:t>CONTRACTUAL OBLIGATIONS</w:t>
      </w:r>
    </w:p>
    <w:tbl>
      <w:tblPr>
        <w:tblW w:w="5000" w:type="pct"/>
        <w:jc w:val="center"/>
        <w:tblInd w:w="0" w:type="dxa"/>
        <w:tblCellMar>
          <w:top w:w="0" w:type="dxa"/>
          <w:left w:w="0" w:type="dxa"/>
          <w:bottom w:w="0" w:type="dxa"/>
          <w:right w:w="0" w:type="dxa"/>
        </w:tblCellMar>
      </w:tblPr>
      <w:tblGrid>
        <w:gridCol w:w="3403"/>
        <w:gridCol w:w="205"/>
        <w:gridCol w:w="103"/>
        <w:gridCol w:w="1031"/>
        <w:gridCol w:w="206"/>
        <w:gridCol w:w="103"/>
        <w:gridCol w:w="1031"/>
        <w:gridCol w:w="206"/>
        <w:gridCol w:w="103"/>
        <w:gridCol w:w="1031"/>
        <w:gridCol w:w="206"/>
        <w:gridCol w:w="103"/>
        <w:gridCol w:w="1031"/>
        <w:gridCol w:w="206"/>
        <w:gridCol w:w="103"/>
        <w:gridCol w:w="1031"/>
        <w:gridCol w:w="103"/>
      </w:tblGrid>
      <w:tr>
        <w:trPr/>
        <w:tc>
          <w:tcPr>
            <w:tcW w:w="3403" w:type="dxa"/>
            <w:tcBorders/>
            <w:shd w:fill="auto" w:val="clear"/>
            <w:vAlign w:val="bottom"/>
          </w:tcPr>
          <w:p>
            <w:pPr>
              <w:pStyle w:val="TableContents"/>
              <w:spacing w:before="0" w:after="283"/>
              <w:jc w:val="center"/>
              <w:rPr/>
            </w:pPr>
            <w:r>
              <w:rPr/>
              <w:t> </w:t>
            </w:r>
          </w:p>
        </w:tc>
        <w:tc>
          <w:tcPr>
            <w:tcW w:w="205" w:type="dxa"/>
            <w:tcBorders/>
            <w:shd w:fill="auto" w:val="clear"/>
            <w:vAlign w:val="bottom"/>
          </w:tcPr>
          <w:p>
            <w:pPr>
              <w:pStyle w:val="TableContents"/>
              <w:spacing w:before="0" w:after="283"/>
              <w:jc w:val="center"/>
              <w:rPr/>
            </w:pPr>
            <w:r>
              <w:rPr/>
              <w:t> </w:t>
            </w:r>
          </w:p>
        </w:tc>
        <w:tc>
          <w:tcPr>
            <w:tcW w:w="6494"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Payments Due by Period</w:t>
            </w:r>
          </w:p>
        </w:tc>
        <w:tc>
          <w:tcPr>
            <w:tcW w:w="103" w:type="dxa"/>
            <w:tcBorders/>
            <w:shd w:fill="auto" w:val="clear"/>
            <w:vAlign w:val="bottom"/>
          </w:tcPr>
          <w:p>
            <w:pPr>
              <w:pStyle w:val="TableContents"/>
              <w:spacing w:before="0" w:after="283"/>
              <w:jc w:val="center"/>
              <w:rPr/>
            </w:pPr>
            <w:r>
              <w:rPr/>
              <w:t> </w:t>
            </w:r>
          </w:p>
        </w:tc>
      </w:tr>
      <w:tr>
        <w:trPr/>
        <w:tc>
          <w:tcPr>
            <w:tcW w:w="3403" w:type="dxa"/>
            <w:tcBorders/>
            <w:shd w:fill="auto" w:val="clear"/>
            <w:vAlign w:val="bottom"/>
          </w:tcPr>
          <w:p>
            <w:pPr>
              <w:pStyle w:val="TableContents"/>
              <w:spacing w:before="0" w:after="283"/>
              <w:jc w:val="center"/>
              <w:rPr/>
            </w:pPr>
            <w:r>
              <w:rPr/>
              <w:t> </w:t>
            </w:r>
          </w:p>
        </w:tc>
        <w:tc>
          <w:tcPr>
            <w:tcW w:w="205" w:type="dxa"/>
            <w:tcBorders/>
            <w:shd w:fill="auto" w:val="clear"/>
            <w:vAlign w:val="bottom"/>
          </w:tcPr>
          <w:p>
            <w:pPr>
              <w:pStyle w:val="TableContents"/>
              <w:spacing w:before="0" w:after="283"/>
              <w:jc w:val="center"/>
              <w:rPr/>
            </w:pPr>
            <w:r>
              <w:rPr/>
              <w:t> </w:t>
            </w:r>
          </w:p>
        </w:tc>
        <w:tc>
          <w:tcPr>
            <w:tcW w:w="6494" w:type="dxa"/>
            <w:gridSpan w:val="14"/>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34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Contractual</w:t>
              <w:br/>
              <w:t>Obligations</w:t>
            </w:r>
          </w:p>
        </w:tc>
        <w:tc>
          <w:tcPr>
            <w:tcW w:w="205"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Less Than 1 Year</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1  3 Years</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4  5 Years</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After 5 Years</w:t>
            </w:r>
          </w:p>
        </w:tc>
        <w:tc>
          <w:tcPr>
            <w:tcW w:w="103" w:type="dxa"/>
            <w:tcBorders/>
            <w:shd w:fill="auto" w:val="clear"/>
            <w:vAlign w:val="bottom"/>
          </w:tcPr>
          <w:p>
            <w:pPr>
              <w:pStyle w:val="TableContents"/>
              <w:spacing w:before="0" w:after="283"/>
              <w:jc w:val="center"/>
              <w:rPr/>
            </w:pPr>
            <w:r>
              <w:rPr/>
              <w:t> </w:t>
            </w:r>
          </w:p>
        </w:tc>
      </w:tr>
      <w:tr>
        <w:trPr/>
        <w:tc>
          <w:tcPr>
            <w:tcW w:w="3403"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34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Long-Term Debt</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23,240,000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3,080,000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8,160,000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7,000,000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5,000,000</w:t>
            </w:r>
          </w:p>
        </w:tc>
        <w:tc>
          <w:tcPr>
            <w:tcW w:w="103" w:type="dxa"/>
            <w:tcBorders/>
            <w:shd w:fill="CCEEFF" w:val="clear"/>
            <w:vAlign w:val="bottom"/>
          </w:tcPr>
          <w:p>
            <w:pPr>
              <w:pStyle w:val="TableContents"/>
              <w:spacing w:before="0" w:after="283"/>
              <w:rPr/>
            </w:pPr>
            <w:r>
              <w:rPr/>
              <w:t> </w:t>
            </w:r>
          </w:p>
        </w:tc>
      </w:tr>
      <w:tr>
        <w:trPr/>
        <w:tc>
          <w:tcPr>
            <w:tcW w:w="34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on Long-Term Debt</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4,827,000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1,345,000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1,995,000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1,015,000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472,000</w:t>
            </w:r>
          </w:p>
        </w:tc>
        <w:tc>
          <w:tcPr>
            <w:tcW w:w="103" w:type="dxa"/>
            <w:tcBorders/>
            <w:shd w:fill="auto" w:val="clear"/>
            <w:vAlign w:val="bottom"/>
          </w:tcPr>
          <w:p>
            <w:pPr>
              <w:pStyle w:val="TableContents"/>
              <w:spacing w:before="0" w:after="283"/>
              <w:rPr/>
            </w:pPr>
            <w:r>
              <w:rPr/>
              <w:t> </w:t>
            </w:r>
          </w:p>
        </w:tc>
      </w:tr>
      <w:tr>
        <w:trPr/>
        <w:tc>
          <w:tcPr>
            <w:tcW w:w="34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Pension &amp; Post Retirement</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8,230,000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561,000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1,272,000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1,397,000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5,000,000</w:t>
            </w:r>
          </w:p>
        </w:tc>
        <w:tc>
          <w:tcPr>
            <w:tcW w:w="103" w:type="dxa"/>
            <w:tcBorders/>
            <w:shd w:fill="CCEEFF" w:val="clear"/>
            <w:vAlign w:val="bottom"/>
          </w:tcPr>
          <w:p>
            <w:pPr>
              <w:pStyle w:val="TableContents"/>
              <w:spacing w:before="0" w:after="283"/>
              <w:rPr/>
            </w:pPr>
            <w:r>
              <w:rPr/>
              <w:t> </w:t>
            </w:r>
          </w:p>
        </w:tc>
      </w:tr>
      <w:tr>
        <w:trPr/>
        <w:tc>
          <w:tcPr>
            <w:tcW w:w="34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Operating Leases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12,834,000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3,083,000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2,300,000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1,967,000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5,484,000</w:t>
            </w:r>
          </w:p>
        </w:tc>
        <w:tc>
          <w:tcPr>
            <w:tcW w:w="103" w:type="dxa"/>
            <w:tcBorders/>
            <w:shd w:fill="auto" w:val="clear"/>
            <w:vAlign w:val="bottom"/>
          </w:tcPr>
          <w:p>
            <w:pPr>
              <w:pStyle w:val="TableContents"/>
              <w:spacing w:before="0" w:after="283"/>
              <w:rPr/>
            </w:pPr>
            <w:r>
              <w:rPr/>
              <w:t> </w:t>
            </w:r>
          </w:p>
        </w:tc>
      </w:tr>
      <w:tr>
        <w:trPr/>
        <w:tc>
          <w:tcPr>
            <w:tcW w:w="340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34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Unconditional Purchase Obligations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3,463,000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3,463,000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340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34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Total Contractual Cash Obligations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52,594,000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11,532,000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13,727,000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11,379,000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15,956,000</w:t>
            </w:r>
          </w:p>
        </w:tc>
        <w:tc>
          <w:tcPr>
            <w:tcW w:w="103" w:type="dxa"/>
            <w:tcBorders/>
            <w:shd w:fill="CCEEFF" w:val="clear"/>
            <w:vAlign w:val="bottom"/>
          </w:tcPr>
          <w:p>
            <w:pPr>
              <w:pStyle w:val="TableContents"/>
              <w:spacing w:before="0" w:after="283"/>
              <w:rPr/>
            </w:pPr>
            <w:r>
              <w:rPr/>
              <w:t> </w:t>
            </w:r>
          </w:p>
        </w:tc>
      </w:tr>
      <w:tr>
        <w:trPr/>
        <w:tc>
          <w:tcPr>
            <w:tcW w:w="340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16</w:t>
      </w:r>
    </w:p>
    <w:p>
      <w:pPr>
        <w:pStyle w:val="HorizontalLine"/>
        <w:pBdr>
          <w:bottom w:val="single" w:sz="6" w:space="0" w:color="000000"/>
        </w:pBdr>
        <w:rPr/>
      </w:pPr>
      <w:r>
        <w:rPr/>
      </w:r>
    </w:p>
    <w:p>
      <w:pPr>
        <w:pStyle w:val="TextBody"/>
        <w:rPr/>
      </w:pPr>
      <w:r>
        <w:rPr/>
      </w:r>
    </w:p>
    <w:p>
      <w:pPr>
        <w:pStyle w:val="TextBody"/>
        <w:rPr>
          <w:rFonts w:ascii="Times New Roman" w:hAnsi="Times New Roman"/>
          <w:b/>
          <w:sz w:val="20"/>
          <w:u w:val="single"/>
        </w:rPr>
      </w:pPr>
      <w:r>
        <w:rPr>
          <w:rFonts w:ascii="Times New Roman" w:hAnsi="Times New Roman"/>
          <w:b/>
          <w:sz w:val="20"/>
          <w:u w:val="single"/>
        </w:rPr>
        <w:t>OTHER COMMERCIAL COMMITMENTS</w:t>
      </w:r>
    </w:p>
    <w:tbl>
      <w:tblPr>
        <w:tblW w:w="5000" w:type="pct"/>
        <w:jc w:val="center"/>
        <w:tblInd w:w="0" w:type="dxa"/>
        <w:tblCellMar>
          <w:top w:w="0" w:type="dxa"/>
          <w:left w:w="0" w:type="dxa"/>
          <w:bottom w:w="0" w:type="dxa"/>
          <w:right w:w="0" w:type="dxa"/>
        </w:tblCellMar>
      </w:tblPr>
      <w:tblGrid>
        <w:gridCol w:w="3245"/>
        <w:gridCol w:w="199"/>
        <w:gridCol w:w="115"/>
        <w:gridCol w:w="1093"/>
        <w:gridCol w:w="199"/>
        <w:gridCol w:w="115"/>
        <w:gridCol w:w="1073"/>
        <w:gridCol w:w="199"/>
        <w:gridCol w:w="115"/>
        <w:gridCol w:w="1047"/>
        <w:gridCol w:w="198"/>
        <w:gridCol w:w="115"/>
        <w:gridCol w:w="1073"/>
        <w:gridCol w:w="199"/>
        <w:gridCol w:w="123"/>
        <w:gridCol w:w="981"/>
        <w:gridCol w:w="116"/>
      </w:tblGrid>
      <w:tr>
        <w:trPr/>
        <w:tc>
          <w:tcPr>
            <w:tcW w:w="324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6645"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Amount of Commitment Expiration Per Period</w:t>
            </w:r>
          </w:p>
        </w:tc>
        <w:tc>
          <w:tcPr>
            <w:tcW w:w="116" w:type="dxa"/>
            <w:tcBorders/>
            <w:shd w:fill="auto" w:val="clear"/>
            <w:vAlign w:val="bottom"/>
          </w:tcPr>
          <w:p>
            <w:pPr>
              <w:pStyle w:val="TableContents"/>
              <w:spacing w:before="0" w:after="283"/>
              <w:jc w:val="center"/>
              <w:rPr/>
            </w:pPr>
            <w:r>
              <w:rPr/>
              <w:t> </w:t>
            </w:r>
          </w:p>
        </w:tc>
      </w:tr>
      <w:tr>
        <w:trPr/>
        <w:tc>
          <w:tcPr>
            <w:tcW w:w="324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6645" w:type="dxa"/>
            <w:gridSpan w:val="14"/>
            <w:tcBorders/>
            <w:shd w:fill="auto" w:val="clear"/>
            <w:vAlign w:val="bottom"/>
          </w:tcPr>
          <w:p>
            <w:pPr>
              <w:pStyle w:val="HorizontalLine"/>
              <w:pBdr>
                <w:bottom w:val="single" w:sz="6" w:space="0" w:color="000000"/>
              </w:pBdr>
              <w:spacing w:before="0" w:after="283"/>
              <w:rPr/>
            </w:pPr>
            <w:r>
              <w:rPr/>
            </w:r>
          </w:p>
        </w:tc>
        <w:tc>
          <w:tcPr>
            <w:tcW w:w="116" w:type="dxa"/>
            <w:tcBorders/>
            <w:shd w:fill="auto" w:val="clear"/>
            <w:vAlign w:val="bottom"/>
          </w:tcPr>
          <w:p>
            <w:pPr>
              <w:pStyle w:val="TableContents"/>
              <w:spacing w:before="0" w:after="283"/>
              <w:jc w:val="center"/>
              <w:rPr/>
            </w:pPr>
            <w:r>
              <w:rPr/>
              <w:t> </w:t>
            </w:r>
          </w:p>
        </w:tc>
      </w:tr>
      <w:tr>
        <w:trPr/>
        <w:tc>
          <w:tcPr>
            <w:tcW w:w="324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Other Commercial</w:t>
              <w:br/>
              <w:t>Commitments</w:t>
            </w:r>
          </w:p>
        </w:tc>
        <w:tc>
          <w:tcPr>
            <w:tcW w:w="199"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 Amounts</w:t>
              <w:br/>
              <w:t>Committed</w:t>
            </w:r>
          </w:p>
        </w:tc>
        <w:tc>
          <w:tcPr>
            <w:tcW w:w="199" w:type="dxa"/>
            <w:tcBorders/>
            <w:shd w:fill="auto" w:val="clear"/>
            <w:vAlign w:val="bottom"/>
          </w:tcPr>
          <w:p>
            <w:pPr>
              <w:pStyle w:val="TableContents"/>
              <w:spacing w:before="0" w:after="283"/>
              <w:jc w:val="center"/>
              <w:rPr/>
            </w:pPr>
            <w:r>
              <w:rPr/>
              <w:t> </w:t>
            </w:r>
          </w:p>
        </w:tc>
        <w:tc>
          <w:tcPr>
            <w:tcW w:w="118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Less Than 1 Year</w:t>
            </w:r>
          </w:p>
        </w:tc>
        <w:tc>
          <w:tcPr>
            <w:tcW w:w="199" w:type="dxa"/>
            <w:tcBorders/>
            <w:shd w:fill="auto" w:val="clear"/>
            <w:vAlign w:val="bottom"/>
          </w:tcPr>
          <w:p>
            <w:pPr>
              <w:pStyle w:val="TableContents"/>
              <w:spacing w:before="0" w:after="283"/>
              <w:jc w:val="center"/>
              <w:rPr/>
            </w:pPr>
            <w:r>
              <w:rPr/>
              <w:t> </w:t>
            </w:r>
          </w:p>
        </w:tc>
        <w:tc>
          <w:tcPr>
            <w:tcW w:w="116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1  3 Years</w:t>
            </w:r>
          </w:p>
        </w:tc>
        <w:tc>
          <w:tcPr>
            <w:tcW w:w="198" w:type="dxa"/>
            <w:tcBorders/>
            <w:shd w:fill="auto" w:val="clear"/>
            <w:vAlign w:val="bottom"/>
          </w:tcPr>
          <w:p>
            <w:pPr>
              <w:pStyle w:val="TableContents"/>
              <w:spacing w:before="0" w:after="283"/>
              <w:jc w:val="center"/>
              <w:rPr/>
            </w:pPr>
            <w:r>
              <w:rPr/>
              <w:t> </w:t>
            </w:r>
          </w:p>
        </w:tc>
        <w:tc>
          <w:tcPr>
            <w:tcW w:w="118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4  5 Years</w:t>
            </w:r>
          </w:p>
        </w:tc>
        <w:tc>
          <w:tcPr>
            <w:tcW w:w="199" w:type="dxa"/>
            <w:tcBorders/>
            <w:shd w:fill="auto" w:val="clear"/>
            <w:vAlign w:val="bottom"/>
          </w:tcPr>
          <w:p>
            <w:pPr>
              <w:pStyle w:val="TableContents"/>
              <w:spacing w:before="0" w:after="283"/>
              <w:jc w:val="center"/>
              <w:rPr/>
            </w:pPr>
            <w:r>
              <w:rPr/>
              <w:t> </w:t>
            </w:r>
          </w:p>
        </w:tc>
        <w:tc>
          <w:tcPr>
            <w:tcW w:w="110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After 5 Years</w:t>
            </w:r>
          </w:p>
        </w:tc>
        <w:tc>
          <w:tcPr>
            <w:tcW w:w="116" w:type="dxa"/>
            <w:tcBorders/>
            <w:shd w:fill="auto" w:val="clear"/>
            <w:vAlign w:val="bottom"/>
          </w:tcPr>
          <w:p>
            <w:pPr>
              <w:pStyle w:val="TableContents"/>
              <w:spacing w:before="0" w:after="283"/>
              <w:jc w:val="center"/>
              <w:rPr/>
            </w:pPr>
            <w:r>
              <w:rPr/>
              <w:t> </w:t>
            </w:r>
          </w:p>
        </w:tc>
      </w:tr>
      <w:tr>
        <w:trPr/>
        <w:tc>
          <w:tcPr>
            <w:tcW w:w="3245" w:type="dxa"/>
            <w:tcBorders/>
            <w:shd w:fill="auto" w:val="clear"/>
            <w:vAlign w:val="bottom"/>
          </w:tcPr>
          <w:p>
            <w:pPr>
              <w:pStyle w:val="HorizontalLine"/>
              <w:pBdr>
                <w:bottom w:val="single" w:sz="6"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6" w:space="0" w:color="000000"/>
              </w:pBdr>
              <w:spacing w:before="0" w:after="283"/>
              <w:rPr/>
            </w:pPr>
            <w:r>
              <w:rPr/>
            </w:r>
          </w:p>
        </w:tc>
        <w:tc>
          <w:tcPr>
            <w:tcW w:w="1093" w:type="dxa"/>
            <w:tcBorders/>
            <w:shd w:fill="auto" w:val="clear"/>
            <w:vAlign w:val="bottom"/>
          </w:tcPr>
          <w:p>
            <w:pPr>
              <w:pStyle w:val="HorizontalLine"/>
              <w:pBdr>
                <w:bottom w:val="single" w:sz="6"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6" w:space="0" w:color="000000"/>
              </w:pBdr>
              <w:spacing w:before="0" w:after="283"/>
              <w:rPr/>
            </w:pPr>
            <w:r>
              <w:rPr/>
            </w:r>
          </w:p>
        </w:tc>
        <w:tc>
          <w:tcPr>
            <w:tcW w:w="1073" w:type="dxa"/>
            <w:tcBorders/>
            <w:shd w:fill="auto" w:val="clear"/>
            <w:vAlign w:val="bottom"/>
          </w:tcPr>
          <w:p>
            <w:pPr>
              <w:pStyle w:val="HorizontalLine"/>
              <w:pBdr>
                <w:bottom w:val="single" w:sz="6"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6" w:space="0" w:color="000000"/>
              </w:pBdr>
              <w:spacing w:before="0" w:after="283"/>
              <w:rPr/>
            </w:pPr>
            <w:r>
              <w:rPr/>
            </w:r>
          </w:p>
        </w:tc>
        <w:tc>
          <w:tcPr>
            <w:tcW w:w="1047" w:type="dxa"/>
            <w:tcBorders/>
            <w:shd w:fill="auto" w:val="clear"/>
            <w:vAlign w:val="bottom"/>
          </w:tcPr>
          <w:p>
            <w:pPr>
              <w:pStyle w:val="HorizontalLine"/>
              <w:pBdr>
                <w:bottom w:val="single" w:sz="6" w:space="0" w:color="000000"/>
              </w:pBdr>
              <w:spacing w:before="0" w:after="283"/>
              <w:rPr/>
            </w:pPr>
            <w:r>
              <w:rPr/>
            </w:r>
          </w:p>
        </w:tc>
        <w:tc>
          <w:tcPr>
            <w:tcW w:w="198"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6" w:space="0" w:color="000000"/>
              </w:pBdr>
              <w:spacing w:before="0" w:after="283"/>
              <w:rPr/>
            </w:pPr>
            <w:r>
              <w:rPr/>
            </w:r>
          </w:p>
        </w:tc>
        <w:tc>
          <w:tcPr>
            <w:tcW w:w="1073" w:type="dxa"/>
            <w:tcBorders/>
            <w:shd w:fill="auto" w:val="clear"/>
            <w:vAlign w:val="bottom"/>
          </w:tcPr>
          <w:p>
            <w:pPr>
              <w:pStyle w:val="HorizontalLine"/>
              <w:pBdr>
                <w:bottom w:val="single" w:sz="6"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23" w:type="dxa"/>
            <w:tcBorders/>
            <w:shd w:fill="auto" w:val="clear"/>
            <w:vAlign w:val="bottom"/>
          </w:tcPr>
          <w:p>
            <w:pPr>
              <w:pStyle w:val="HorizontalLine"/>
              <w:pBdr>
                <w:bottom w:val="single" w:sz="6" w:space="0" w:color="000000"/>
              </w:pBdr>
              <w:spacing w:before="0" w:after="283"/>
              <w:rPr/>
            </w:pPr>
            <w:r>
              <w:rPr/>
            </w:r>
          </w:p>
        </w:tc>
        <w:tc>
          <w:tcPr>
            <w:tcW w:w="981" w:type="dxa"/>
            <w:tcBorders/>
            <w:shd w:fill="auto" w:val="clear"/>
            <w:vAlign w:val="bottom"/>
          </w:tcPr>
          <w:p>
            <w:pPr>
              <w:pStyle w:val="HorizontalLine"/>
              <w:pBdr>
                <w:bottom w:val="single" w:sz="6" w:space="0" w:color="000000"/>
              </w:pBdr>
              <w:spacing w:before="0" w:after="283"/>
              <w:rPr/>
            </w:pPr>
            <w:r>
              <w:rPr/>
            </w:r>
          </w:p>
        </w:tc>
        <w:tc>
          <w:tcPr>
            <w:tcW w:w="116" w:type="dxa"/>
            <w:tcBorders/>
            <w:shd w:fill="auto" w:val="clear"/>
            <w:vAlign w:val="bottom"/>
          </w:tcPr>
          <w:p>
            <w:pPr>
              <w:pStyle w:val="TableContents"/>
              <w:spacing w:before="0" w:after="283"/>
              <w:rPr/>
            </w:pPr>
            <w:r>
              <w:rPr/>
              <w:t> </w:t>
            </w:r>
          </w:p>
        </w:tc>
      </w:tr>
      <w:tr>
        <w:trPr/>
        <w:tc>
          <w:tcPr>
            <w:tcW w:w="32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Standby Letters of Credit</w:t>
            </w:r>
          </w:p>
        </w:tc>
        <w:tc>
          <w:tcPr>
            <w:tcW w:w="1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3,125,000</w:t>
            </w:r>
          </w:p>
        </w:tc>
        <w:tc>
          <w:tcPr>
            <w:tcW w:w="1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3,125,000</w:t>
            </w:r>
          </w:p>
        </w:tc>
        <w:tc>
          <w:tcPr>
            <w:tcW w:w="1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9"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8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6" w:type="dxa"/>
            <w:tcBorders/>
            <w:shd w:fill="CCEEFF" w:val="clear"/>
            <w:vAlign w:val="bottom"/>
          </w:tcPr>
          <w:p>
            <w:pPr>
              <w:pStyle w:val="TableContents"/>
              <w:spacing w:before="0" w:after="283"/>
              <w:rPr/>
            </w:pPr>
            <w:r>
              <w:rPr/>
              <w:t> </w:t>
            </w:r>
          </w:p>
        </w:tc>
      </w:tr>
      <w:tr>
        <w:trPr/>
        <w:tc>
          <w:tcPr>
            <w:tcW w:w="32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Commercial Commitments</w:t>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6,060,000</w:t>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6,060,000</w:t>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99"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6" w:type="dxa"/>
            <w:tcBorders/>
            <w:shd w:fill="auto" w:val="clear"/>
            <w:vAlign w:val="bottom"/>
          </w:tcPr>
          <w:p>
            <w:pPr>
              <w:pStyle w:val="TableContents"/>
              <w:spacing w:before="0" w:after="283"/>
              <w:rPr/>
            </w:pPr>
            <w:r>
              <w:rPr/>
              <w:t> </w:t>
            </w:r>
          </w:p>
        </w:tc>
      </w:tr>
      <w:tr>
        <w:trPr/>
        <w:tc>
          <w:tcPr>
            <w:tcW w:w="32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Guarantees</w:t>
            </w:r>
          </w:p>
        </w:tc>
        <w:tc>
          <w:tcPr>
            <w:tcW w:w="1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3,561,000</w:t>
            </w:r>
          </w:p>
        </w:tc>
        <w:tc>
          <w:tcPr>
            <w:tcW w:w="1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769,000</w:t>
            </w:r>
          </w:p>
        </w:tc>
        <w:tc>
          <w:tcPr>
            <w:tcW w:w="1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292,000</w:t>
            </w:r>
          </w:p>
        </w:tc>
        <w:tc>
          <w:tcPr>
            <w:tcW w:w="19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2,500,000</w:t>
            </w:r>
          </w:p>
        </w:tc>
        <w:tc>
          <w:tcPr>
            <w:tcW w:w="199"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6" w:type="dxa"/>
            <w:tcBorders/>
            <w:shd w:fill="CCEEFF" w:val="clear"/>
            <w:vAlign w:val="bottom"/>
          </w:tcPr>
          <w:p>
            <w:pPr>
              <w:pStyle w:val="TableContents"/>
              <w:spacing w:before="0" w:after="283"/>
              <w:rPr/>
            </w:pPr>
            <w:r>
              <w:rPr/>
              <w:t> </w:t>
            </w:r>
          </w:p>
        </w:tc>
      </w:tr>
      <w:tr>
        <w:trPr/>
        <w:tc>
          <w:tcPr>
            <w:tcW w:w="324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6" w:space="0" w:color="000000"/>
              </w:pBdr>
              <w:spacing w:before="0" w:after="283"/>
              <w:rPr/>
            </w:pPr>
            <w:r>
              <w:rPr/>
            </w:r>
          </w:p>
        </w:tc>
        <w:tc>
          <w:tcPr>
            <w:tcW w:w="1093" w:type="dxa"/>
            <w:tcBorders/>
            <w:shd w:fill="auto" w:val="clear"/>
            <w:vAlign w:val="bottom"/>
          </w:tcPr>
          <w:p>
            <w:pPr>
              <w:pStyle w:val="HorizontalLine"/>
              <w:pBdr>
                <w:bottom w:val="single" w:sz="6"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6" w:space="0" w:color="000000"/>
              </w:pBdr>
              <w:spacing w:before="0" w:after="283"/>
              <w:rPr/>
            </w:pPr>
            <w:r>
              <w:rPr/>
            </w:r>
          </w:p>
        </w:tc>
        <w:tc>
          <w:tcPr>
            <w:tcW w:w="1073" w:type="dxa"/>
            <w:tcBorders/>
            <w:shd w:fill="auto" w:val="clear"/>
            <w:vAlign w:val="bottom"/>
          </w:tcPr>
          <w:p>
            <w:pPr>
              <w:pStyle w:val="HorizontalLine"/>
              <w:pBdr>
                <w:bottom w:val="single" w:sz="6"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6" w:space="0" w:color="000000"/>
              </w:pBdr>
              <w:spacing w:before="0" w:after="283"/>
              <w:rPr/>
            </w:pPr>
            <w:r>
              <w:rPr/>
            </w:r>
          </w:p>
        </w:tc>
        <w:tc>
          <w:tcPr>
            <w:tcW w:w="1047" w:type="dxa"/>
            <w:tcBorders/>
            <w:shd w:fill="auto" w:val="clear"/>
            <w:vAlign w:val="bottom"/>
          </w:tcPr>
          <w:p>
            <w:pPr>
              <w:pStyle w:val="HorizontalLine"/>
              <w:pBdr>
                <w:bottom w:val="single" w:sz="6" w:space="0" w:color="000000"/>
              </w:pBdr>
              <w:spacing w:before="0" w:after="283"/>
              <w:rPr/>
            </w:pPr>
            <w:r>
              <w:rPr/>
            </w:r>
          </w:p>
        </w:tc>
        <w:tc>
          <w:tcPr>
            <w:tcW w:w="198"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6" w:space="0" w:color="000000"/>
              </w:pBdr>
              <w:spacing w:before="0" w:after="283"/>
              <w:rPr/>
            </w:pPr>
            <w:r>
              <w:rPr/>
            </w:r>
          </w:p>
        </w:tc>
        <w:tc>
          <w:tcPr>
            <w:tcW w:w="1073" w:type="dxa"/>
            <w:tcBorders/>
            <w:shd w:fill="auto" w:val="clear"/>
            <w:vAlign w:val="bottom"/>
          </w:tcPr>
          <w:p>
            <w:pPr>
              <w:pStyle w:val="HorizontalLine"/>
              <w:pBdr>
                <w:bottom w:val="single" w:sz="6"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23" w:type="dxa"/>
            <w:tcBorders/>
            <w:shd w:fill="auto" w:val="clear"/>
            <w:vAlign w:val="bottom"/>
          </w:tcPr>
          <w:p>
            <w:pPr>
              <w:pStyle w:val="HorizontalLine"/>
              <w:pBdr>
                <w:bottom w:val="single" w:sz="6" w:space="0" w:color="000000"/>
              </w:pBdr>
              <w:spacing w:before="0" w:after="283"/>
              <w:rPr/>
            </w:pPr>
            <w:r>
              <w:rPr/>
            </w:r>
          </w:p>
        </w:tc>
        <w:tc>
          <w:tcPr>
            <w:tcW w:w="981" w:type="dxa"/>
            <w:tcBorders/>
            <w:shd w:fill="auto" w:val="clear"/>
            <w:vAlign w:val="bottom"/>
          </w:tcPr>
          <w:p>
            <w:pPr>
              <w:pStyle w:val="HorizontalLine"/>
              <w:pBdr>
                <w:bottom w:val="single" w:sz="6" w:space="0" w:color="000000"/>
              </w:pBdr>
              <w:spacing w:before="0" w:after="283"/>
              <w:rPr/>
            </w:pPr>
            <w:r>
              <w:rPr/>
            </w:r>
          </w:p>
        </w:tc>
        <w:tc>
          <w:tcPr>
            <w:tcW w:w="116" w:type="dxa"/>
            <w:tcBorders/>
            <w:shd w:fill="auto" w:val="clear"/>
            <w:vAlign w:val="bottom"/>
          </w:tcPr>
          <w:p>
            <w:pPr>
              <w:pStyle w:val="TableContents"/>
              <w:spacing w:before="0" w:after="283"/>
              <w:rPr/>
            </w:pPr>
            <w:r>
              <w:rPr/>
              <w:t> </w:t>
            </w:r>
          </w:p>
        </w:tc>
      </w:tr>
      <w:tr>
        <w:trPr/>
        <w:tc>
          <w:tcPr>
            <w:tcW w:w="32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Total Commercial Commitments</w:t>
            </w:r>
          </w:p>
        </w:tc>
        <w:tc>
          <w:tcPr>
            <w:tcW w:w="1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12,746,000</w:t>
            </w:r>
          </w:p>
        </w:tc>
        <w:tc>
          <w:tcPr>
            <w:tcW w:w="1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9,954,000</w:t>
            </w:r>
          </w:p>
        </w:tc>
        <w:tc>
          <w:tcPr>
            <w:tcW w:w="199"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292,000</w:t>
            </w:r>
          </w:p>
        </w:tc>
        <w:tc>
          <w:tcPr>
            <w:tcW w:w="19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7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2,500,000</w:t>
            </w:r>
          </w:p>
        </w:tc>
        <w:tc>
          <w:tcPr>
            <w:tcW w:w="199"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8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6" w:type="dxa"/>
            <w:tcBorders/>
            <w:shd w:fill="CCEEFF" w:val="clear"/>
            <w:vAlign w:val="bottom"/>
          </w:tcPr>
          <w:p>
            <w:pPr>
              <w:pStyle w:val="TableContents"/>
              <w:spacing w:before="0" w:after="283"/>
              <w:rPr/>
            </w:pPr>
            <w:r>
              <w:rPr/>
              <w:t> </w:t>
            </w:r>
          </w:p>
        </w:tc>
      </w:tr>
      <w:tr>
        <w:trPr/>
        <w:tc>
          <w:tcPr>
            <w:tcW w:w="3245"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18" w:space="0" w:color="000000"/>
              </w:pBdr>
              <w:spacing w:before="0" w:after="283"/>
              <w:rPr/>
            </w:pPr>
            <w:r>
              <w:rPr/>
            </w:r>
          </w:p>
        </w:tc>
        <w:tc>
          <w:tcPr>
            <w:tcW w:w="1093" w:type="dxa"/>
            <w:tcBorders/>
            <w:shd w:fill="auto" w:val="clear"/>
            <w:vAlign w:val="bottom"/>
          </w:tcPr>
          <w:p>
            <w:pPr>
              <w:pStyle w:val="HorizontalLine"/>
              <w:pBdr>
                <w:bottom w:val="single" w:sz="18"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18" w:space="0" w:color="000000"/>
              </w:pBdr>
              <w:spacing w:before="0" w:after="283"/>
              <w:rPr/>
            </w:pPr>
            <w:r>
              <w:rPr/>
            </w:r>
          </w:p>
        </w:tc>
        <w:tc>
          <w:tcPr>
            <w:tcW w:w="1073" w:type="dxa"/>
            <w:tcBorders/>
            <w:shd w:fill="auto" w:val="clear"/>
            <w:vAlign w:val="bottom"/>
          </w:tcPr>
          <w:p>
            <w:pPr>
              <w:pStyle w:val="HorizontalLine"/>
              <w:pBdr>
                <w:bottom w:val="single" w:sz="18"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18" w:space="0" w:color="000000"/>
              </w:pBdr>
              <w:spacing w:before="0" w:after="283"/>
              <w:rPr/>
            </w:pPr>
            <w:r>
              <w:rPr/>
            </w:r>
          </w:p>
        </w:tc>
        <w:tc>
          <w:tcPr>
            <w:tcW w:w="1047" w:type="dxa"/>
            <w:tcBorders/>
            <w:shd w:fill="auto" w:val="clear"/>
            <w:vAlign w:val="bottom"/>
          </w:tcPr>
          <w:p>
            <w:pPr>
              <w:pStyle w:val="HorizontalLine"/>
              <w:pBdr>
                <w:bottom w:val="single" w:sz="18" w:space="0" w:color="000000"/>
              </w:pBdr>
              <w:spacing w:before="0" w:after="283"/>
              <w:rPr/>
            </w:pPr>
            <w:r>
              <w:rPr/>
            </w:r>
          </w:p>
        </w:tc>
        <w:tc>
          <w:tcPr>
            <w:tcW w:w="198" w:type="dxa"/>
            <w:tcBorders/>
            <w:shd w:fill="auto" w:val="clear"/>
            <w:vAlign w:val="bottom"/>
          </w:tcPr>
          <w:p>
            <w:pPr>
              <w:pStyle w:val="TableContents"/>
              <w:spacing w:before="0" w:after="283"/>
              <w:rPr/>
            </w:pPr>
            <w:r>
              <w:rPr/>
              <w:t> </w:t>
            </w:r>
          </w:p>
        </w:tc>
        <w:tc>
          <w:tcPr>
            <w:tcW w:w="115" w:type="dxa"/>
            <w:tcBorders/>
            <w:shd w:fill="auto" w:val="clear"/>
            <w:vAlign w:val="bottom"/>
          </w:tcPr>
          <w:p>
            <w:pPr>
              <w:pStyle w:val="HorizontalLine"/>
              <w:pBdr>
                <w:bottom w:val="single" w:sz="18" w:space="0" w:color="000000"/>
              </w:pBdr>
              <w:spacing w:before="0" w:after="283"/>
              <w:rPr/>
            </w:pPr>
            <w:r>
              <w:rPr/>
            </w:r>
          </w:p>
        </w:tc>
        <w:tc>
          <w:tcPr>
            <w:tcW w:w="1073" w:type="dxa"/>
            <w:tcBorders/>
            <w:shd w:fill="auto" w:val="clear"/>
            <w:vAlign w:val="bottom"/>
          </w:tcPr>
          <w:p>
            <w:pPr>
              <w:pStyle w:val="HorizontalLine"/>
              <w:pBdr>
                <w:bottom w:val="single" w:sz="18" w:space="0" w:color="000000"/>
              </w:pBdr>
              <w:spacing w:before="0" w:after="283"/>
              <w:rPr/>
            </w:pPr>
            <w:r>
              <w:rPr/>
            </w:r>
          </w:p>
        </w:tc>
        <w:tc>
          <w:tcPr>
            <w:tcW w:w="199" w:type="dxa"/>
            <w:tcBorders/>
            <w:shd w:fill="auto" w:val="clear"/>
            <w:vAlign w:val="bottom"/>
          </w:tcPr>
          <w:p>
            <w:pPr>
              <w:pStyle w:val="TableContents"/>
              <w:spacing w:before="0" w:after="283"/>
              <w:rPr/>
            </w:pPr>
            <w:r>
              <w:rPr/>
              <w:t> </w:t>
            </w:r>
          </w:p>
        </w:tc>
        <w:tc>
          <w:tcPr>
            <w:tcW w:w="123" w:type="dxa"/>
            <w:tcBorders/>
            <w:shd w:fill="auto" w:val="clear"/>
            <w:vAlign w:val="bottom"/>
          </w:tcPr>
          <w:p>
            <w:pPr>
              <w:pStyle w:val="HorizontalLine"/>
              <w:pBdr>
                <w:bottom w:val="single" w:sz="18" w:space="0" w:color="000000"/>
              </w:pBdr>
              <w:spacing w:before="0" w:after="283"/>
              <w:rPr/>
            </w:pPr>
            <w:r>
              <w:rPr/>
            </w:r>
          </w:p>
        </w:tc>
        <w:tc>
          <w:tcPr>
            <w:tcW w:w="981" w:type="dxa"/>
            <w:tcBorders/>
            <w:shd w:fill="auto" w:val="clear"/>
            <w:vAlign w:val="bottom"/>
          </w:tcPr>
          <w:p>
            <w:pPr>
              <w:pStyle w:val="HorizontalLine"/>
              <w:pBdr>
                <w:bottom w:val="single" w:sz="18" w:space="0" w:color="000000"/>
              </w:pBdr>
              <w:spacing w:before="0" w:after="283"/>
              <w:rPr/>
            </w:pPr>
            <w:r>
              <w:rPr/>
            </w:r>
          </w:p>
        </w:tc>
        <w:tc>
          <w:tcPr>
            <w:tcW w:w="116"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Companys liquidity needs have been, and are expected to be, met through internally generated funds and, to the extent needed, borrowings under the Companys revolving credit facility with Harris Trust and Savings Bank.  During the second quarter of fiscal 2005 the Company extended the credit agreement to January 2006.  As of October 31, 2005, the Company had $7,500,000 available under the credit facility.  The credit agreement, as amended, contains restrictive covenants that, among other things and under various conditions (including a limitation on capital expenditures), limit the Companys ability to incur additional indebtedness or to acquire or dispose of assets and to pay dividends.</w:t>
      </w:r>
    </w:p>
    <w:p>
      <w:pPr>
        <w:pStyle w:val="TextBody"/>
        <w:rPr>
          <w:rFonts w:ascii="Times New Roman" w:hAnsi="Times New Roman"/>
          <w:sz w:val="20"/>
        </w:rPr>
      </w:pPr>
      <w:r>
        <w:rPr>
          <w:rFonts w:ascii="Times New Roman" w:hAnsi="Times New Roman"/>
          <w:sz w:val="20"/>
        </w:rPr>
        <w:t>The Company believes that cash flow from operations, availability under its revolving credit facility and current cash and investment balances will provide adequate cash funds for foreseeable working capital needs, capital expenditures at existing facilities and debt service obligations.  The Companys ability to fund operations, to make planned capital expenditures, to make scheduled debt payments and to remain in compliance with all of the financial covenants under debt agreements, including, but not limited to, the Credit Agreement, depends on its future operating performance, which, in turn, is subject to prevailing economic conditions and to financial, business and other factors.</w:t>
      </w:r>
    </w:p>
    <w:p>
      <w:pPr>
        <w:pStyle w:val="TextBody"/>
        <w:rPr>
          <w:rFonts w:ascii="Times New Roman" w:hAnsi="Times New Roman"/>
          <w:sz w:val="20"/>
        </w:rPr>
      </w:pPr>
      <w:r>
        <w:rPr>
          <w:rFonts w:ascii="Times New Roman" w:hAnsi="Times New Roman"/>
          <w:sz w:val="20"/>
        </w:rPr>
        <w:t xml:space="preserve">The Company as part of its normal course of business guarantees certain debts and trade payables of its wholly owned subsidiaries.  These arrangements are made at the request of the subsidiaries creditors, as separate financial statements are not distributed for the wholly owned subsidiaries.  As of October 31, 2005, the value of these guarantees was $500,000 of short-term liabilities, $561,000 of lease liabilities and $2,500,000 of long-term debt.  </w:t>
      </w:r>
    </w:p>
    <w:p>
      <w:pPr>
        <w:pStyle w:val="TextBody"/>
        <w:rPr>
          <w:rFonts w:ascii="Times New Roman" w:hAnsi="Times New Roman"/>
          <w:b/>
          <w:sz w:val="20"/>
          <w:u w:val="single"/>
        </w:rPr>
      </w:pPr>
      <w:r>
        <w:rPr>
          <w:rFonts w:ascii="Times New Roman" w:hAnsi="Times New Roman"/>
          <w:b/>
          <w:sz w:val="20"/>
          <w:u w:val="single"/>
        </w:rPr>
        <w:t>RECENTLY ISSUED ACCOUNTING STANDARDS AND OTHER MATTERS</w:t>
      </w:r>
    </w:p>
    <w:p>
      <w:pPr>
        <w:pStyle w:val="TextBody"/>
        <w:rPr>
          <w:rFonts w:ascii="Times New Roman" w:hAnsi="Times New Roman"/>
          <w:sz w:val="20"/>
        </w:rPr>
      </w:pPr>
      <w:r>
        <w:rPr>
          <w:rFonts w:ascii="Times New Roman" w:hAnsi="Times New Roman"/>
          <w:sz w:val="20"/>
        </w:rPr>
        <w:t xml:space="preserve">On October 22, 2004, the President signed the American Jobs Creation Act of 2004 (the Act).  The Act provides a deduction for income from qualified domestic production activities, which will be phased in from 2005 through 2010.  In return, the Act also provides for a two-year phase-out of the existing extra-territorial income exclusion (ETI) for foreign sales that was viewed to be inconsistent with international trade protocols by the European Union.    The Company is currently evaluating its actions related to this matter.  </w:t>
      </w:r>
    </w:p>
    <w:p>
      <w:pPr>
        <w:pStyle w:val="TextBody"/>
        <w:rPr>
          <w:rFonts w:ascii="Times New Roman" w:hAnsi="Times New Roman"/>
          <w:sz w:val="20"/>
        </w:rPr>
      </w:pPr>
      <w:r>
        <w:rPr>
          <w:rFonts w:ascii="Times New Roman" w:hAnsi="Times New Roman"/>
          <w:sz w:val="20"/>
        </w:rPr>
        <w:t>Also, the Act creates a temporary incentive for U.S. corporations to repatriate accumulated income earned abroad by providing an 85 percent dividends received deduction for certain dividends from controlled foreign corporations.  The deduction is subject to a number of limitations and, as of today, uncertainty remains as to how to interpret numerous provisions in the Act.  As such, the Company is not yet in a position to decide on whether, and to what extent, it might repatriate foreign earnings that have not yet been remitted to the U.S.</w:t>
      </w:r>
    </w:p>
    <w:p>
      <w:pPr>
        <w:pStyle w:val="TextBody"/>
        <w:rPr>
          <w:rFonts w:ascii="Times New Roman" w:hAnsi="Times New Roman"/>
          <w:sz w:val="20"/>
        </w:rPr>
      </w:pPr>
      <w:r>
        <w:rPr>
          <w:rFonts w:ascii="Times New Roman" w:hAnsi="Times New Roman"/>
          <w:sz w:val="20"/>
        </w:rPr>
        <w:t xml:space="preserve">In May 2005, the FASB issued Statement of Financial Accounting Standards (SFAS) No. 154, Accounting Changes and Error Corrections, effective for the first fiscal period in the fiscal year beginning after December 15, 2005.  This statement replaces APB Opinion No. 20, Accounting Changes and FASB Statement No. 3, Reporting Accounting Changes in Interim Financial Statements.  This statement applies to all voluntary changes in accounting principle and requires retrospective application to prior periods financial statements of changes in accounting principle, unless it is impracticable.  The Company would only be impacted by this statement if it made a voluntary change in accounting principle after the effective date.  </w:t>
      </w:r>
    </w:p>
    <w:p>
      <w:pPr>
        <w:pStyle w:val="TextBody"/>
        <w:rPr>
          <w:rFonts w:ascii="Times New Roman" w:hAnsi="Times New Roman"/>
          <w:sz w:val="20"/>
        </w:rPr>
      </w:pPr>
      <w:r>
        <w:rPr>
          <w:rFonts w:ascii="Times New Roman" w:hAnsi="Times New Roman"/>
          <w:sz w:val="20"/>
        </w:rPr>
        <w:t xml:space="preserve">In March 2005, the FASB ratified the consensus reached in EITF Issue No. 04-06, Accounting for Stripping Costs in the Mining Industry.  The consensus will be effective for the first fiscal period in the fiscal year beginning after December 15, 2005.  The consensus on this issue calls for post-production stripping costs to be treated as a variable inventory production cost.  As a result, such costs are subject to inventory costing procedures in the period they are incurred.  The Company is currently reviewing this pronouncement, but believes that the Consolidated Statement of Cash Flows and the Consolidated Balance Sheets will be impacted by this new pronouncement. </w:t>
      </w:r>
    </w:p>
    <w:p>
      <w:pPr>
        <w:pStyle w:val="TextBody"/>
        <w:jc w:val="center"/>
        <w:rPr>
          <w:rFonts w:ascii="Times New Roman" w:hAnsi="Times New Roman"/>
          <w:sz w:val="20"/>
        </w:rPr>
      </w:pPr>
      <w:r>
        <w:rPr>
          <w:rFonts w:ascii="Times New Roman" w:hAnsi="Times New Roman"/>
          <w:sz w:val="20"/>
        </w:rPr>
        <w:t>17</w:t>
      </w:r>
    </w:p>
    <w:p>
      <w:pPr>
        <w:pStyle w:val="HorizontalLine"/>
        <w:pBdr>
          <w:bottom w:val="single" w:sz="6" w:space="0" w:color="000000"/>
        </w:pBdr>
        <w:rPr/>
      </w:pPr>
      <w:r>
        <w:rPr/>
      </w:r>
    </w:p>
    <w:p>
      <w:pPr>
        <w:pStyle w:val="TextBody"/>
        <w:rPr/>
      </w:pPr>
      <w:r>
        <w:rPr/>
      </w:r>
    </w:p>
    <w:p>
      <w:pPr>
        <w:pStyle w:val="TextBody"/>
        <w:rPr>
          <w:rFonts w:ascii="Times New Roman" w:hAnsi="Times New Roman"/>
          <w:b/>
          <w:sz w:val="20"/>
          <w:u w:val="single"/>
        </w:rPr>
      </w:pPr>
      <w:r>
        <w:rPr>
          <w:rFonts w:ascii="Times New Roman" w:hAnsi="Times New Roman"/>
          <w:b/>
          <w:sz w:val="20"/>
          <w:u w:val="single"/>
        </w:rPr>
        <w:t>FOREIGN OPERATIONS</w:t>
      </w:r>
    </w:p>
    <w:p>
      <w:pPr>
        <w:pStyle w:val="TextBody"/>
        <w:rPr>
          <w:rFonts w:ascii="Times New Roman" w:hAnsi="Times New Roman"/>
          <w:sz w:val="20"/>
        </w:rPr>
      </w:pPr>
      <w:r>
        <w:rPr>
          <w:rFonts w:ascii="Times New Roman" w:hAnsi="Times New Roman"/>
          <w:sz w:val="20"/>
        </w:rPr>
        <w:t xml:space="preserve">Net sales by the Companys foreign subsidiaries during the three months ended October 31, 2005 were $4,088,000 or 8.6% of total Company sales.  This represents an increase of 17.2% from the first three months of fiscal 2005, in which foreign subsidiary sales were $3,489,000 or 7.9% of total Company sales.  This increase in sales was seen in both our UK and Canadian operations, however the Canadian operation has experienced the larger increase.  Branded and private label cat litter products both reported sales increases.  Much of the revenue increase was offset by increased material costs.  The Canadian operation also faced material sourcing issues that caused their costs to increase for reasons other than energy.  For the three months ended October 31, 2005, the foreign subsidiaries reported net income of $242,000, an increase of $109,000 from the $133,000 income reported in the first quarter of fiscal 2005.  </w:t>
      </w:r>
    </w:p>
    <w:p>
      <w:pPr>
        <w:pStyle w:val="TextBody"/>
        <w:rPr>
          <w:rFonts w:ascii="Times New Roman" w:hAnsi="Times New Roman"/>
          <w:sz w:val="20"/>
        </w:rPr>
      </w:pPr>
      <w:r>
        <w:rPr>
          <w:rFonts w:ascii="Times New Roman" w:hAnsi="Times New Roman"/>
          <w:sz w:val="20"/>
        </w:rPr>
        <w:t>Identifiable assets of the Companys foreign subsidiaries as of October 31, 2005 were $13,100,000 compared to $11,637,000 as of October 31, 2004.   The increase was driven by increased cash and investments, inventories, accounts receivable and property, plant and equipment.</w:t>
      </w:r>
    </w:p>
    <w:p>
      <w:pPr>
        <w:pStyle w:val="TextBody"/>
        <w:rPr>
          <w:rFonts w:ascii="Times New Roman" w:hAnsi="Times New Roman"/>
          <w:b/>
          <w:sz w:val="20"/>
          <w:u w:val="single"/>
        </w:rPr>
      </w:pPr>
      <w:r>
        <w:rPr>
          <w:rFonts w:ascii="Times New Roman" w:hAnsi="Times New Roman"/>
          <w:b/>
          <w:sz w:val="20"/>
          <w:u w:val="single"/>
        </w:rPr>
        <w:t xml:space="preserve">PURCHASE OF EQUITY SECURITIES BY THE ISSUER AND AFFILIATED PURCHASERS </w:t>
      </w:r>
    </w:p>
    <w:p>
      <w:pPr>
        <w:pStyle w:val="TextBody"/>
        <w:rPr>
          <w:rFonts w:ascii="Times New Roman" w:hAnsi="Times New Roman"/>
          <w:sz w:val="20"/>
        </w:rPr>
      </w:pPr>
      <w:r>
        <w:rPr>
          <w:rFonts w:ascii="Times New Roman" w:hAnsi="Times New Roman"/>
          <w:sz w:val="20"/>
        </w:rPr>
        <w:t>The following chart summarizes Common Stock repurchases for the three months ended October 31, 2005.  On October 10 2005, the Board of Directors authorized the repurchase of an additional 500,000 shares.</w:t>
      </w:r>
    </w:p>
    <w:p>
      <w:pPr>
        <w:pStyle w:val="TextBody"/>
        <w:jc w:val="center"/>
        <w:rPr>
          <w:rFonts w:ascii="Times New Roman" w:hAnsi="Times New Roman"/>
          <w:b/>
          <w:sz w:val="20"/>
        </w:rPr>
      </w:pPr>
      <w:r>
        <w:rPr>
          <w:rFonts w:ascii="Times New Roman" w:hAnsi="Times New Roman"/>
          <w:b/>
          <w:sz w:val="20"/>
        </w:rPr>
        <w:t>ISSUER PURCHASES OF EQUITY SECURITIES</w:t>
      </w:r>
    </w:p>
    <w:tbl>
      <w:tblPr>
        <w:tblW w:w="4000" w:type="pct"/>
        <w:jc w:val="center"/>
        <w:tblInd w:w="0" w:type="dxa"/>
        <w:tblCellMar>
          <w:top w:w="0" w:type="dxa"/>
          <w:left w:w="0" w:type="dxa"/>
          <w:bottom w:w="0" w:type="dxa"/>
          <w:right w:w="0" w:type="dxa"/>
        </w:tblCellMar>
      </w:tblPr>
      <w:tblGrid>
        <w:gridCol w:w="2329"/>
        <w:gridCol w:w="161"/>
        <w:gridCol w:w="97"/>
        <w:gridCol w:w="1182"/>
        <w:gridCol w:w="161"/>
        <w:gridCol w:w="109"/>
        <w:gridCol w:w="1128"/>
        <w:gridCol w:w="160"/>
        <w:gridCol w:w="100"/>
        <w:gridCol w:w="1196"/>
        <w:gridCol w:w="161"/>
        <w:gridCol w:w="94"/>
        <w:gridCol w:w="1186"/>
        <w:gridCol w:w="100"/>
      </w:tblGrid>
      <w:tr>
        <w:trPr/>
        <w:tc>
          <w:tcPr>
            <w:tcW w:w="232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For the Three</w:t>
              <w:br/>
              <w:t>Months Ended</w:t>
              <w:br/>
              <w:t>October 31, 2005</w:t>
            </w:r>
          </w:p>
        </w:tc>
        <w:tc>
          <w:tcPr>
            <w:tcW w:w="161" w:type="dxa"/>
            <w:tcBorders/>
            <w:shd w:fill="auto" w:val="clear"/>
            <w:vAlign w:val="bottom"/>
          </w:tcPr>
          <w:p>
            <w:pPr>
              <w:pStyle w:val="TableContents"/>
              <w:spacing w:before="0" w:after="283"/>
              <w:rPr/>
            </w:pPr>
            <w:r>
              <w:rPr/>
              <w:t> </w:t>
            </w:r>
          </w:p>
        </w:tc>
        <w:tc>
          <w:tcPr>
            <w:tcW w:w="127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t>
              <w:br/>
              <w:t>Total Number</w:t>
              <w:br/>
              <w:t>of Shares</w:t>
              <w:br/>
              <w:t>Purchased</w:t>
            </w:r>
          </w:p>
        </w:tc>
        <w:tc>
          <w:tcPr>
            <w:tcW w:w="161" w:type="dxa"/>
            <w:tcBorders/>
            <w:shd w:fill="auto" w:val="clear"/>
            <w:vAlign w:val="bottom"/>
          </w:tcPr>
          <w:p>
            <w:pPr>
              <w:pStyle w:val="TableContents"/>
              <w:spacing w:before="0" w:after="283"/>
              <w:jc w:val="center"/>
              <w:rPr/>
            </w:pPr>
            <w:r>
              <w:rPr/>
              <w:t> </w:t>
            </w:r>
          </w:p>
        </w:tc>
        <w:tc>
          <w:tcPr>
            <w:tcW w:w="123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w:t>
              <w:br/>
              <w:t>Average Price</w:t>
              <w:br/>
              <w:t>Paid per Share</w:t>
            </w:r>
          </w:p>
        </w:tc>
        <w:tc>
          <w:tcPr>
            <w:tcW w:w="160" w:type="dxa"/>
            <w:tcBorders/>
            <w:shd w:fill="auto" w:val="clear"/>
            <w:vAlign w:val="bottom"/>
          </w:tcPr>
          <w:p>
            <w:pPr>
              <w:pStyle w:val="TableContents"/>
              <w:spacing w:before="0" w:after="283"/>
              <w:jc w:val="center"/>
              <w:rPr/>
            </w:pPr>
            <w:r>
              <w:rPr/>
              <w:t> </w:t>
            </w:r>
          </w:p>
        </w:tc>
        <w:tc>
          <w:tcPr>
            <w:tcW w:w="129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 Number of</w:t>
              <w:br/>
              <w:t>Shares Purchased</w:t>
              <w:br/>
              <w:t> as Part of</w:t>
              <w:br/>
              <w:t>Publicly</w:t>
              <w:br/>
              <w:t>Announced Plans</w:t>
              <w:br/>
              <w:t>or Programs</w:t>
            </w:r>
          </w:p>
        </w:tc>
        <w:tc>
          <w:tcPr>
            <w:tcW w:w="161" w:type="dxa"/>
            <w:tcBorders/>
            <w:shd w:fill="auto" w:val="clear"/>
            <w:vAlign w:val="bottom"/>
          </w:tcPr>
          <w:p>
            <w:pPr>
              <w:pStyle w:val="TableContents"/>
              <w:spacing w:before="0" w:after="283"/>
              <w:jc w:val="center"/>
              <w:rPr/>
            </w:pPr>
            <w:r>
              <w:rPr/>
              <w:t> </w:t>
            </w:r>
          </w:p>
        </w:tc>
        <w:tc>
          <w:tcPr>
            <w:tcW w:w="128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 Maximum</w:t>
              <w:br/>
              <w:t>Number of Shares</w:t>
              <w:br/>
              <w:t>that may yet be</w:t>
              <w:br/>
              <w:t>Purchased Under</w:t>
              <w:br/>
              <w:t>Plans or</w:t>
              <w:br/>
              <w:t>Programs</w:t>
            </w:r>
          </w:p>
        </w:tc>
        <w:tc>
          <w:tcPr>
            <w:tcW w:w="100" w:type="dxa"/>
            <w:tcBorders/>
            <w:shd w:fill="auto" w:val="clear"/>
            <w:vAlign w:val="bottom"/>
          </w:tcPr>
          <w:p>
            <w:pPr>
              <w:pStyle w:val="TableContents"/>
              <w:spacing w:before="0" w:after="283"/>
              <w:jc w:val="center"/>
              <w:rPr/>
            </w:pPr>
            <w:r>
              <w:rPr/>
              <w:t> </w:t>
            </w:r>
          </w:p>
        </w:tc>
      </w:tr>
      <w:tr>
        <w:trPr/>
        <w:tc>
          <w:tcPr>
            <w:tcW w:w="2329" w:type="dxa"/>
            <w:tcBorders/>
            <w:shd w:fill="auto" w:val="clear"/>
            <w:vAlign w:val="bottom"/>
          </w:tcPr>
          <w:p>
            <w:pPr>
              <w:pStyle w:val="HorizontalLine"/>
              <w:pBdr>
                <w:bottom w:val="single" w:sz="6" w:space="0" w:color="000000"/>
              </w:pBdr>
              <w:spacing w:before="0" w:after="283"/>
              <w:rPr/>
            </w:pPr>
            <w:r>
              <w:rPr/>
            </w:r>
          </w:p>
        </w:tc>
        <w:tc>
          <w:tcPr>
            <w:tcW w:w="161" w:type="dxa"/>
            <w:tcBorders/>
            <w:shd w:fill="auto" w:val="clear"/>
            <w:vAlign w:val="bottom"/>
          </w:tcPr>
          <w:p>
            <w:pPr>
              <w:pStyle w:val="TableContents"/>
              <w:spacing w:before="0" w:after="283"/>
              <w:rPr/>
            </w:pPr>
            <w:r>
              <w:rPr/>
              <w:t> </w:t>
            </w:r>
          </w:p>
        </w:tc>
        <w:tc>
          <w:tcPr>
            <w:tcW w:w="97" w:type="dxa"/>
            <w:tcBorders/>
            <w:shd w:fill="auto" w:val="clear"/>
            <w:vAlign w:val="bottom"/>
          </w:tcPr>
          <w:p>
            <w:pPr>
              <w:pStyle w:val="HorizontalLine"/>
              <w:pBdr>
                <w:bottom w:val="single" w:sz="6" w:space="0" w:color="000000"/>
              </w:pBdr>
              <w:spacing w:before="0" w:after="283"/>
              <w:rPr/>
            </w:pPr>
            <w:r>
              <w:rPr/>
            </w:r>
          </w:p>
        </w:tc>
        <w:tc>
          <w:tcPr>
            <w:tcW w:w="1182" w:type="dxa"/>
            <w:tcBorders/>
            <w:shd w:fill="auto" w:val="clear"/>
            <w:vAlign w:val="bottom"/>
          </w:tcPr>
          <w:p>
            <w:pPr>
              <w:pStyle w:val="HorizontalLine"/>
              <w:pBdr>
                <w:bottom w:val="single" w:sz="6" w:space="0" w:color="000000"/>
              </w:pBdr>
              <w:spacing w:before="0" w:after="283"/>
              <w:rPr/>
            </w:pPr>
            <w:r>
              <w:rPr/>
            </w:r>
          </w:p>
        </w:tc>
        <w:tc>
          <w:tcPr>
            <w:tcW w:w="161"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1128" w:type="dxa"/>
            <w:tcBorders/>
            <w:shd w:fill="auto" w:val="clear"/>
            <w:vAlign w:val="bottom"/>
          </w:tcPr>
          <w:p>
            <w:pPr>
              <w:pStyle w:val="HorizontalLine"/>
              <w:pBdr>
                <w:bottom w:val="single" w:sz="6" w:space="0" w:color="000000"/>
              </w:pBdr>
              <w:spacing w:before="0" w:after="283"/>
              <w:rPr/>
            </w:pPr>
            <w:r>
              <w:rPr/>
            </w:r>
          </w:p>
        </w:tc>
        <w:tc>
          <w:tcPr>
            <w:tcW w:w="1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HorizontalLine"/>
              <w:pBdr>
                <w:bottom w:val="single" w:sz="6" w:space="0" w:color="000000"/>
              </w:pBdr>
              <w:spacing w:before="0" w:after="283"/>
              <w:rPr/>
            </w:pPr>
            <w:r>
              <w:rPr/>
            </w:r>
          </w:p>
        </w:tc>
        <w:tc>
          <w:tcPr>
            <w:tcW w:w="1196" w:type="dxa"/>
            <w:tcBorders/>
            <w:shd w:fill="auto" w:val="clear"/>
            <w:vAlign w:val="bottom"/>
          </w:tcPr>
          <w:p>
            <w:pPr>
              <w:pStyle w:val="HorizontalLine"/>
              <w:pBdr>
                <w:bottom w:val="single" w:sz="6" w:space="0" w:color="000000"/>
              </w:pBdr>
              <w:spacing w:before="0" w:after="283"/>
              <w:rPr/>
            </w:pPr>
            <w:r>
              <w:rPr/>
            </w:r>
          </w:p>
        </w:tc>
        <w:tc>
          <w:tcPr>
            <w:tcW w:w="161" w:type="dxa"/>
            <w:tcBorders/>
            <w:shd w:fill="auto" w:val="clear"/>
            <w:vAlign w:val="bottom"/>
          </w:tcPr>
          <w:p>
            <w:pPr>
              <w:pStyle w:val="TableContents"/>
              <w:spacing w:before="0" w:after="283"/>
              <w:rPr/>
            </w:pPr>
            <w:r>
              <w:rPr/>
              <w:t> </w:t>
            </w:r>
          </w:p>
        </w:tc>
        <w:tc>
          <w:tcPr>
            <w:tcW w:w="94" w:type="dxa"/>
            <w:tcBorders/>
            <w:shd w:fill="auto" w:val="clear"/>
            <w:vAlign w:val="bottom"/>
          </w:tcPr>
          <w:p>
            <w:pPr>
              <w:pStyle w:val="HorizontalLine"/>
              <w:pBdr>
                <w:bottom w:val="single" w:sz="6" w:space="0" w:color="000000"/>
              </w:pBdr>
              <w:spacing w:before="0" w:after="283"/>
              <w:rPr/>
            </w:pPr>
            <w:r>
              <w:rPr/>
            </w:r>
          </w:p>
        </w:tc>
        <w:tc>
          <w:tcPr>
            <w:tcW w:w="1186"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r>
      <w:tr>
        <w:trPr/>
        <w:tc>
          <w:tcPr>
            <w:tcW w:w="23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August 1, 2005 to</w:t>
            </w:r>
          </w:p>
        </w:tc>
        <w:tc>
          <w:tcPr>
            <w:tcW w:w="16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rPr/>
            </w:pPr>
            <w:r>
              <w:rPr/>
              <w:t> </w:t>
            </w:r>
          </w:p>
        </w:tc>
      </w:tr>
      <w:tr>
        <w:trPr/>
        <w:tc>
          <w:tcPr>
            <w:tcW w:w="23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August 31, 2005</w:t>
            </w:r>
          </w:p>
        </w:tc>
        <w:tc>
          <w:tcPr>
            <w:tcW w:w="16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14,400</w:t>
            </w:r>
          </w:p>
        </w:tc>
        <w:tc>
          <w:tcPr>
            <w:tcW w:w="16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17.97</w:t>
            </w:r>
          </w:p>
        </w:tc>
        <w:tc>
          <w:tcPr>
            <w:tcW w:w="1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14,400</w:t>
            </w:r>
          </w:p>
        </w:tc>
        <w:tc>
          <w:tcPr>
            <w:tcW w:w="161"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204,304</w:t>
            </w:r>
          </w:p>
        </w:tc>
        <w:tc>
          <w:tcPr>
            <w:tcW w:w="100" w:type="dxa"/>
            <w:tcBorders/>
            <w:shd w:fill="CCEEFF" w:val="clear"/>
            <w:vAlign w:val="bottom"/>
          </w:tcPr>
          <w:p>
            <w:pPr>
              <w:pStyle w:val="TableContents"/>
              <w:spacing w:before="0" w:after="283"/>
              <w:rPr/>
            </w:pPr>
            <w:r>
              <w:rPr/>
              <w:t> </w:t>
            </w:r>
          </w:p>
        </w:tc>
      </w:tr>
      <w:tr>
        <w:trPr/>
        <w:tc>
          <w:tcPr>
            <w:tcW w:w="23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September 1, 2005 to</w:t>
            </w:r>
          </w:p>
        </w:tc>
        <w:tc>
          <w:tcPr>
            <w:tcW w:w="16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pPr>
            <w:r>
              <w:rPr/>
              <w:t> </w:t>
            </w:r>
          </w:p>
        </w:tc>
        <w:tc>
          <w:tcPr>
            <w:tcW w:w="100" w:type="dxa"/>
            <w:tcBorders/>
            <w:shd w:fill="auto" w:val="clear"/>
            <w:vAlign w:val="bottom"/>
          </w:tcPr>
          <w:p>
            <w:pPr>
              <w:pStyle w:val="TableContents"/>
              <w:spacing w:before="0" w:after="283"/>
              <w:rPr/>
            </w:pPr>
            <w:r>
              <w:rPr/>
              <w:t> </w:t>
            </w:r>
          </w:p>
        </w:tc>
      </w:tr>
      <w:tr>
        <w:trPr/>
        <w:tc>
          <w:tcPr>
            <w:tcW w:w="23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September 30, 2005</w:t>
            </w:r>
          </w:p>
        </w:tc>
        <w:tc>
          <w:tcPr>
            <w:tcW w:w="16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1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61"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204,304</w:t>
            </w:r>
          </w:p>
        </w:tc>
        <w:tc>
          <w:tcPr>
            <w:tcW w:w="100" w:type="dxa"/>
            <w:tcBorders/>
            <w:shd w:fill="auto" w:val="clear"/>
            <w:vAlign w:val="bottom"/>
          </w:tcPr>
          <w:p>
            <w:pPr>
              <w:pStyle w:val="TableContents"/>
              <w:spacing w:before="0" w:after="283"/>
              <w:rPr/>
            </w:pPr>
            <w:r>
              <w:rPr/>
              <w:t> </w:t>
            </w:r>
          </w:p>
        </w:tc>
      </w:tr>
      <w:tr>
        <w:trPr/>
        <w:tc>
          <w:tcPr>
            <w:tcW w:w="23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October 1, 2005 to</w:t>
            </w:r>
          </w:p>
        </w:tc>
        <w:tc>
          <w:tcPr>
            <w:tcW w:w="16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rPr/>
            </w:pPr>
            <w:r>
              <w:rPr/>
              <w:t> </w:t>
            </w:r>
          </w:p>
        </w:tc>
      </w:tr>
      <w:tr>
        <w:trPr/>
        <w:tc>
          <w:tcPr>
            <w:tcW w:w="23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October 31, 2005</w:t>
            </w:r>
          </w:p>
        </w:tc>
        <w:tc>
          <w:tcPr>
            <w:tcW w:w="16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20,700</w:t>
            </w:r>
          </w:p>
        </w:tc>
        <w:tc>
          <w:tcPr>
            <w:tcW w:w="16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2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17.89</w:t>
            </w:r>
          </w:p>
        </w:tc>
        <w:tc>
          <w:tcPr>
            <w:tcW w:w="1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1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20,700</w:t>
            </w:r>
          </w:p>
        </w:tc>
        <w:tc>
          <w:tcPr>
            <w:tcW w:w="161"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683,604</w:t>
            </w:r>
          </w:p>
        </w:tc>
        <w:tc>
          <w:tcPr>
            <w:tcW w:w="100" w:type="dxa"/>
            <w:tcBorders/>
            <w:shd w:fill="CCEEFF"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18</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rPr>
                <w:rFonts w:ascii="Times New Roman" w:hAnsi="Times New Roman"/>
                <w:b/>
                <w:sz w:val="20"/>
                <w:u w:val="single"/>
              </w:rPr>
            </w:pPr>
            <w:bookmarkStart w:id="7" w:name="od_04"/>
            <w:bookmarkEnd w:id="7"/>
            <w:r>
              <w:rPr>
                <w:rFonts w:ascii="Times New Roman" w:hAnsi="Times New Roman"/>
                <w:b/>
                <w:sz w:val="20"/>
                <w:u w:val="single"/>
              </w:rPr>
              <w:t>ITEM 3</w:t>
            </w:r>
          </w:p>
        </w:tc>
        <w:tc>
          <w:tcPr>
            <w:tcW w:w="9186" w:type="dxa"/>
            <w:tcBorders/>
            <w:shd w:fill="auto" w:val="clear"/>
          </w:tcPr>
          <w:p>
            <w:pPr>
              <w:pStyle w:val="TableContents"/>
              <w:spacing w:before="0" w:after="283"/>
              <w:rPr>
                <w:rFonts w:ascii="Times New Roman" w:hAnsi="Times New Roman"/>
                <w:b/>
                <w:sz w:val="20"/>
                <w:u w:val="single"/>
              </w:rPr>
            </w:pPr>
            <w:r>
              <w:rPr>
                <w:rFonts w:ascii="Times New Roman" w:hAnsi="Times New Roman"/>
                <w:b/>
                <w:sz w:val="20"/>
                <w:u w:val="single"/>
              </w:rPr>
              <w:t>QUANTITATIVE AND QUALITATIVE DISCLOSURES ABOUT MARKET RISK</w:t>
            </w:r>
          </w:p>
        </w:tc>
      </w:tr>
    </w:tbl>
    <w:p>
      <w:pPr>
        <w:pStyle w:val="TextBody"/>
        <w:rPr>
          <w:rFonts w:ascii="Times New Roman" w:hAnsi="Times New Roman"/>
          <w:sz w:val="20"/>
        </w:rPr>
      </w:pPr>
      <w:r>
        <w:rPr>
          <w:rFonts w:ascii="Times New Roman" w:hAnsi="Times New Roman"/>
          <w:sz w:val="20"/>
        </w:rPr>
        <w:t xml:space="preserve">The Company is exposed to interest rate risk and employs policies and procedures to manage its exposure to changes in the market risk of its cash equivalents and short-term investments.  The Company had two interest rate swap agreements as of October 31, 2005.  The Company believes that the market risk arising from holdings of its financial instruments is not material.  </w:t>
      </w:r>
    </w:p>
    <w:p>
      <w:pPr>
        <w:pStyle w:val="TextBody"/>
        <w:rPr>
          <w:rFonts w:ascii="Times New Roman" w:hAnsi="Times New Roman"/>
          <w:sz w:val="20"/>
        </w:rPr>
      </w:pPr>
      <w:r>
        <w:rPr>
          <w:rFonts w:ascii="Times New Roman" w:hAnsi="Times New Roman"/>
          <w:sz w:val="20"/>
        </w:rPr>
        <w:t xml:space="preserve">The Company is exposed to currency risk as it relates to certain accounts receivables and the Companys foreign operations.    The Company believes that the currency risk is immaterial to the overall presentation of the financial statements.  </w:t>
      </w:r>
    </w:p>
    <w:p>
      <w:pPr>
        <w:pStyle w:val="TextBody"/>
        <w:rPr>
          <w:rFonts w:ascii="Times New Roman" w:hAnsi="Times New Roman"/>
          <w:sz w:val="20"/>
        </w:rPr>
      </w:pPr>
      <w:r>
        <w:rPr>
          <w:rFonts w:ascii="Times New Roman" w:hAnsi="Times New Roman"/>
          <w:sz w:val="20"/>
        </w:rPr>
        <w:t>The Company is exposed to regulatory risk in the fluid purification and agricultural markets, principally as a result of the risk of increasing regulation of the food chain in the United States and Europe. The Company actively monitors developments in this area, both directly and through trade organizations of which it is a member.</w:t>
      </w:r>
    </w:p>
    <w:p>
      <w:pPr>
        <w:pStyle w:val="TextBody"/>
        <w:rPr>
          <w:rFonts w:ascii="Times New Roman" w:hAnsi="Times New Roman"/>
          <w:sz w:val="20"/>
        </w:rPr>
      </w:pPr>
      <w:r>
        <w:rPr>
          <w:rFonts w:ascii="Times New Roman" w:hAnsi="Times New Roman"/>
          <w:sz w:val="20"/>
        </w:rPr>
        <w:t xml:space="preserve">The Company is exposed to commodity price risk with respect to natural gas.  The Company has contracted for a portion of its fuel needs for fiscal 2006 using forward purchase contracts to manage the volatility related to this exposure.  These contracts will reduce the volatility in fuel prices, and the weighted average cost of these contracts has been estimated to be approximately 20.8% higher than the contracts for fiscal 2005.  These contracts were entered into during the normal course of business and no contracts were entered into for speculative purposes.  </w:t>
      </w:r>
    </w:p>
    <w:p>
      <w:pPr>
        <w:pStyle w:val="TextBody"/>
        <w:rPr>
          <w:rFonts w:ascii="Times New Roman" w:hAnsi="Times New Roman"/>
          <w:sz w:val="20"/>
        </w:rPr>
      </w:pPr>
      <w:r>
        <w:rPr>
          <w:rFonts w:ascii="Times New Roman" w:hAnsi="Times New Roman"/>
          <w:sz w:val="20"/>
        </w:rPr>
        <w:t>The table below provides information about the Companys natural gas future contracts, which are sensitive to changes in commodity prices, specifically natural gas prices. For the future contracts the table presents the notional amounts in MMBtus, the weighted average contract prices, and the total dollar contract amount, which will mature by July 31, 2006.  The Fair Value was determined using the Most Recent Settle price for the Henry Hub Natural Gas option contract prices as listed by the New York Mercantile Exchange on November 30, 2005.</w:t>
      </w:r>
    </w:p>
    <w:p>
      <w:pPr>
        <w:pStyle w:val="TextBody"/>
        <w:jc w:val="center"/>
        <w:rPr>
          <w:rFonts w:ascii="Times New Roman" w:hAnsi="Times New Roman"/>
          <w:sz w:val="20"/>
        </w:rPr>
      </w:pPr>
      <w:r>
        <w:rPr>
          <w:rFonts w:ascii="Times New Roman" w:hAnsi="Times New Roman"/>
          <w:sz w:val="20"/>
        </w:rPr>
        <w:t>Commodity Price Sensitivity</w:t>
        <w:br/>
        <w:t>Natural Gas Future Contracts</w:t>
        <w:br/>
        <w:t>For the Year Ending July 31, 2006</w:t>
      </w:r>
    </w:p>
    <w:tbl>
      <w:tblPr>
        <w:tblW w:w="4500" w:type="pct"/>
        <w:jc w:val="center"/>
        <w:tblInd w:w="0" w:type="dxa"/>
        <w:tblCellMar>
          <w:top w:w="0" w:type="dxa"/>
          <w:left w:w="0" w:type="dxa"/>
          <w:bottom w:w="0" w:type="dxa"/>
          <w:right w:w="0" w:type="dxa"/>
        </w:tblCellMar>
      </w:tblPr>
      <w:tblGrid>
        <w:gridCol w:w="6817"/>
        <w:gridCol w:w="186"/>
        <w:gridCol w:w="96"/>
        <w:gridCol w:w="853"/>
        <w:gridCol w:w="186"/>
        <w:gridCol w:w="96"/>
        <w:gridCol w:w="850"/>
        <w:gridCol w:w="100"/>
      </w:tblGrid>
      <w:tr>
        <w:trPr/>
        <w:tc>
          <w:tcPr>
            <w:tcW w:w="681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4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Expected 2006</w:t>
              <w:br/>
              <w:t>Maturity</w:t>
            </w:r>
          </w:p>
        </w:tc>
        <w:tc>
          <w:tcPr>
            <w:tcW w:w="186" w:type="dxa"/>
            <w:tcBorders/>
            <w:shd w:fill="auto" w:val="clear"/>
            <w:vAlign w:val="bottom"/>
          </w:tcPr>
          <w:p>
            <w:pPr>
              <w:pStyle w:val="TableContents"/>
              <w:spacing w:before="0" w:after="283"/>
              <w:jc w:val="center"/>
              <w:rPr/>
            </w:pPr>
            <w:r>
              <w:rPr/>
              <w:t> </w:t>
            </w:r>
          </w:p>
        </w:tc>
        <w:tc>
          <w:tcPr>
            <w:tcW w:w="94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100" w:type="dxa"/>
            <w:tcBorders/>
            <w:shd w:fill="auto" w:val="clear"/>
            <w:vAlign w:val="bottom"/>
          </w:tcPr>
          <w:p>
            <w:pPr>
              <w:pStyle w:val="TableContents"/>
              <w:spacing w:before="0" w:after="283"/>
              <w:jc w:val="center"/>
              <w:rPr/>
            </w:pPr>
            <w:r>
              <w:rPr/>
              <w:t> </w:t>
            </w:r>
          </w:p>
        </w:tc>
      </w:tr>
      <w:tr>
        <w:trPr/>
        <w:tc>
          <w:tcPr>
            <w:tcW w:w="681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853" w:type="dxa"/>
            <w:tcBorders/>
            <w:shd w:fill="auto" w:val="clear"/>
            <w:vAlign w:val="bottom"/>
          </w:tcPr>
          <w:p>
            <w:pPr>
              <w:pStyle w:val="HorizontalLine"/>
              <w:pBdr>
                <w:bottom w:val="single" w:sz="6" w:space="0" w:color="000000"/>
              </w:pBdr>
              <w:spacing w:before="0" w:after="283"/>
              <w:rPr/>
            </w:pPr>
            <w:r>
              <w:rPr/>
            </w:r>
          </w:p>
        </w:tc>
        <w:tc>
          <w:tcPr>
            <w:tcW w:w="186"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850"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r>
      <w:tr>
        <w:trPr/>
        <w:tc>
          <w:tcPr>
            <w:tcW w:w="681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Natural Gas Future Volumes (MMBtu)</w:t>
            </w:r>
          </w:p>
        </w:tc>
        <w:tc>
          <w:tcPr>
            <w:tcW w:w="18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610,000</w:t>
            </w:r>
          </w:p>
        </w:tc>
        <w:tc>
          <w:tcPr>
            <w:tcW w:w="18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r>
      <w:tr>
        <w:trPr/>
        <w:tc>
          <w:tcPr>
            <w:tcW w:w="681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Weighted Average Price (Per MMBtu)</w:t>
            </w:r>
          </w:p>
        </w:tc>
        <w:tc>
          <w:tcPr>
            <w:tcW w:w="18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7.62</w:t>
            </w:r>
          </w:p>
        </w:tc>
        <w:tc>
          <w:tcPr>
            <w:tcW w:w="18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r>
      <w:tr>
        <w:trPr/>
        <w:tc>
          <w:tcPr>
            <w:tcW w:w="681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Contract Amount ($U.S., in thousands)</w:t>
            </w:r>
          </w:p>
        </w:tc>
        <w:tc>
          <w:tcPr>
            <w:tcW w:w="18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4,646.0</w:t>
            </w:r>
          </w:p>
        </w:tc>
        <w:tc>
          <w:tcPr>
            <w:tcW w:w="18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6,633.7</w:t>
            </w:r>
          </w:p>
        </w:tc>
        <w:tc>
          <w:tcPr>
            <w:tcW w:w="100" w:type="dxa"/>
            <w:tcBorders/>
            <w:shd w:fill="CCEEFF"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Factors that could influence the fair value of the natural gas contracts, include, but are not limited to, the creditworthiness of the Companys natural gas suppliers, the overall general economy, developments in world events, and the general demand for natural gas by the manufacturing sector, seasonality and the weather patterns throughout the United States and the world.  Some of these same events have allowed the Company to mitigate the impact of the natural gas contracts by the continued and in some cases expanded use of recycled oil in our manufacturing processes.  Accurate estimates of the impact that these contracts may have on the Companys fiscal 2006 financial results are difficult to make due to the inherent uncertainty of future fluctuations in option contract prices in the natural gas options market.  </w:t>
      </w:r>
    </w:p>
    <w:tbl>
      <w:tblPr>
        <w:tblW w:w="5000" w:type="pct"/>
        <w:jc w:val="center"/>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rPr>
                <w:rFonts w:ascii="Times New Roman" w:hAnsi="Times New Roman"/>
                <w:b/>
                <w:sz w:val="20"/>
                <w:u w:val="single"/>
              </w:rPr>
            </w:pPr>
            <w:bookmarkStart w:id="8" w:name="od_05"/>
            <w:bookmarkEnd w:id="8"/>
            <w:r>
              <w:rPr>
                <w:rFonts w:ascii="Times New Roman" w:hAnsi="Times New Roman"/>
                <w:b/>
                <w:sz w:val="20"/>
                <w:u w:val="single"/>
              </w:rPr>
              <w:t>ITEM 4.</w:t>
            </w:r>
          </w:p>
        </w:tc>
        <w:tc>
          <w:tcPr>
            <w:tcW w:w="9186" w:type="dxa"/>
            <w:tcBorders/>
            <w:shd w:fill="auto" w:val="clear"/>
          </w:tcPr>
          <w:p>
            <w:pPr>
              <w:pStyle w:val="TableContents"/>
              <w:spacing w:before="0" w:after="283"/>
              <w:rPr>
                <w:rFonts w:ascii="Times New Roman" w:hAnsi="Times New Roman"/>
                <w:b/>
                <w:sz w:val="20"/>
                <w:u w:val="single"/>
              </w:rPr>
            </w:pPr>
            <w:r>
              <w:rPr>
                <w:rFonts w:ascii="Times New Roman" w:hAnsi="Times New Roman"/>
                <w:b/>
                <w:sz w:val="20"/>
                <w:u w:val="single"/>
              </w:rPr>
              <w:t>CONTROLS AND PROCEDURES</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8"/>
        <w:gridCol w:w="509"/>
        <w:gridCol w:w="9188"/>
      </w:tblGrid>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9188" w:type="dxa"/>
            <w:tcBorders/>
            <w:shd w:fill="auto" w:val="clear"/>
          </w:tcPr>
          <w:p>
            <w:pPr>
              <w:pStyle w:val="TableContents"/>
              <w:spacing w:before="0" w:after="283"/>
              <w:rPr>
                <w:rFonts w:ascii="Times New Roman" w:hAnsi="Times New Roman"/>
                <w:sz w:val="20"/>
              </w:rPr>
            </w:pPr>
            <w:r>
              <w:rPr>
                <w:rFonts w:ascii="Times New Roman" w:hAnsi="Times New Roman"/>
                <w:sz w:val="20"/>
              </w:rPr>
              <w:t>Based on their evaluation within 90 days prior to the filing date of this Quarterly Report on Form 10-Q, the Companys Chief Executive Officer and Chief Financial Officer have concluded that the Companys disclosure controls and procedures as defined in Rule 13a-14(c) under the Securities Exchange Act of 1934, as amended, are effective for gathering, analyzing, and disclosing the information the Company is required to disclose in reports filed under the Act.</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9188" w:type="dxa"/>
            <w:tcBorders/>
            <w:shd w:fill="auto" w:val="clear"/>
          </w:tcPr>
          <w:p>
            <w:pPr>
              <w:pStyle w:val="TableContents"/>
              <w:spacing w:before="0" w:after="283"/>
              <w:rPr/>
            </w:pPr>
            <w:r>
              <w:rPr/>
              <w:t> </w:t>
            </w:r>
          </w:p>
        </w:tc>
      </w:tr>
      <w:tr>
        <w:trPr/>
        <w:tc>
          <w:tcPr>
            <w:tcW w:w="508"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9188" w:type="dxa"/>
            <w:tcBorders/>
            <w:shd w:fill="auto" w:val="clear"/>
          </w:tcPr>
          <w:p>
            <w:pPr>
              <w:pStyle w:val="TableContents"/>
              <w:spacing w:before="0" w:after="283"/>
              <w:rPr>
                <w:rFonts w:ascii="Times New Roman" w:hAnsi="Times New Roman"/>
                <w:sz w:val="20"/>
              </w:rPr>
            </w:pPr>
            <w:r>
              <w:rPr>
                <w:rFonts w:ascii="Times New Roman" w:hAnsi="Times New Roman"/>
                <w:sz w:val="20"/>
              </w:rPr>
              <w:t>There were no significant changes in the Companys internal controls or in other factors that could significantly affect those controls since the date of last evaluation of those internal controls.</w:t>
            </w:r>
          </w:p>
        </w:tc>
      </w:tr>
    </w:tbl>
    <w:p>
      <w:pPr>
        <w:pStyle w:val="TextBody"/>
        <w:jc w:val="center"/>
        <w:rPr>
          <w:rFonts w:ascii="Times New Roman" w:hAnsi="Times New Roman"/>
          <w:sz w:val="20"/>
        </w:rPr>
      </w:pPr>
      <w:r>
        <w:rPr>
          <w:rFonts w:ascii="Times New Roman" w:hAnsi="Times New Roman"/>
          <w:sz w:val="20"/>
        </w:rPr>
        <w:t>19</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bookmarkStart w:id="9" w:name="od_06"/>
      <w:bookmarkEnd w:id="9"/>
      <w:r>
        <w:rPr>
          <w:rFonts w:ascii="Times New Roman" w:hAnsi="Times New Roman"/>
          <w:b/>
          <w:sz w:val="20"/>
        </w:rPr>
        <w:t>PART II  OTHER INFORMATION</w:t>
      </w:r>
    </w:p>
    <w:p>
      <w:pPr>
        <w:pStyle w:val="TextBody"/>
        <w:rPr>
          <w:rFonts w:ascii="Times New Roman" w:hAnsi="Times New Roman"/>
          <w:b/>
          <w:sz w:val="20"/>
        </w:rPr>
      </w:pPr>
      <w:bookmarkStart w:id="10" w:name="od_07"/>
      <w:bookmarkEnd w:id="10"/>
      <w:r>
        <w:rPr>
          <w:rFonts w:ascii="Times New Roman" w:hAnsi="Times New Roman"/>
          <w:b/>
          <w:sz w:val="20"/>
        </w:rPr>
        <w:t>ITEM 6.  EXHIBITS</w:t>
      </w:r>
    </w:p>
    <w:tbl>
      <w:tblPr>
        <w:tblW w:w="5000" w:type="pct"/>
        <w:jc w:val="center"/>
        <w:tblInd w:w="0" w:type="dxa"/>
        <w:tblCellMar>
          <w:top w:w="0" w:type="dxa"/>
          <w:left w:w="0" w:type="dxa"/>
          <w:bottom w:w="0" w:type="dxa"/>
          <w:right w:w="0" w:type="dxa"/>
        </w:tblCellMar>
      </w:tblPr>
      <w:tblGrid>
        <w:gridCol w:w="509"/>
        <w:gridCol w:w="509"/>
        <w:gridCol w:w="1020"/>
        <w:gridCol w:w="8167"/>
      </w:tblGrid>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9187"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EXHIBITS:</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9187"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Exhibit 11:</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Statement Re:  Computation of per share earnings</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Exhibit 31:</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Rule 13a  14(a) Certifications</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pPr>
            <w:r>
              <w:rPr/>
              <w:t> </w:t>
            </w:r>
          </w:p>
        </w:tc>
        <w:tc>
          <w:tcPr>
            <w:tcW w:w="816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Exhibit 32:</w:t>
            </w:r>
          </w:p>
        </w:tc>
        <w:tc>
          <w:tcPr>
            <w:tcW w:w="8167" w:type="dxa"/>
            <w:tcBorders/>
            <w:shd w:fill="auto" w:val="clear"/>
          </w:tcPr>
          <w:p>
            <w:pPr>
              <w:pStyle w:val="TableContents"/>
              <w:spacing w:before="0" w:after="283"/>
              <w:rPr>
                <w:rFonts w:ascii="Times New Roman" w:hAnsi="Times New Roman"/>
                <w:sz w:val="20"/>
              </w:rPr>
            </w:pPr>
            <w:r>
              <w:rPr>
                <w:rFonts w:ascii="Times New Roman" w:hAnsi="Times New Roman"/>
                <w:sz w:val="20"/>
              </w:rPr>
              <w:t>Section 1350 Certifications</w:t>
            </w:r>
          </w:p>
        </w:tc>
      </w:tr>
    </w:tbl>
    <w:p>
      <w:pPr>
        <w:pStyle w:val="TextBody"/>
        <w:jc w:val="center"/>
        <w:rPr>
          <w:rFonts w:ascii="Times New Roman" w:hAnsi="Times New Roman"/>
          <w:sz w:val="20"/>
        </w:rPr>
      </w:pPr>
      <w:r>
        <w:rPr>
          <w:rFonts w:ascii="Times New Roman" w:hAnsi="Times New Roman"/>
          <w:sz w:val="20"/>
        </w:rPr>
        <w:t>20</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sz w:val="20"/>
          <w:u w:val="single"/>
        </w:rPr>
      </w:pPr>
      <w:bookmarkStart w:id="11" w:name="od_08"/>
      <w:bookmarkEnd w:id="11"/>
      <w:r>
        <w:rPr>
          <w:rFonts w:ascii="Times New Roman" w:hAnsi="Times New Roman"/>
          <w:sz w:val="20"/>
          <w:u w:val="single"/>
        </w:rPr>
        <w:t>SIGNATURES</w:t>
      </w:r>
    </w:p>
    <w:p>
      <w:pPr>
        <w:pStyle w:val="TextBody"/>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tbl>
      <w:tblPr>
        <w:tblW w:w="5000" w:type="pct"/>
        <w:jc w:val="center"/>
        <w:tblInd w:w="0" w:type="dxa"/>
        <w:tblCellMar>
          <w:top w:w="0" w:type="dxa"/>
          <w:left w:w="0" w:type="dxa"/>
          <w:bottom w:w="0" w:type="dxa"/>
          <w:right w:w="0" w:type="dxa"/>
        </w:tblCellMar>
      </w:tblPr>
      <w:tblGrid>
        <w:gridCol w:w="6123"/>
        <w:gridCol w:w="510"/>
        <w:gridCol w:w="3572"/>
      </w:tblGrid>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r>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(Registrant)</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Andrew N. Peterson</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Andrew N. Peterson</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Daniel S. Jaffee</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Daniel S. Jaffee</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Chief Executive Officer</w:t>
            </w:r>
          </w:p>
        </w:tc>
      </w:tr>
      <w:tr>
        <w:trPr/>
        <w:tc>
          <w:tcPr>
            <w:tcW w:w="6123"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6123" w:type="dxa"/>
            <w:tcBorders/>
            <w:shd w:fill="auto" w:val="clear"/>
          </w:tcPr>
          <w:p>
            <w:pPr>
              <w:pStyle w:val="TableContents"/>
              <w:spacing w:before="0" w:after="283"/>
              <w:rPr>
                <w:rFonts w:ascii="Times New Roman" w:hAnsi="Times New Roman"/>
                <w:sz w:val="20"/>
              </w:rPr>
            </w:pPr>
            <w:r>
              <w:rPr>
                <w:rFonts w:ascii="Times New Roman" w:hAnsi="Times New Roman"/>
                <w:sz w:val="20"/>
              </w:rPr>
              <w:t>Dated:  December 9, 2005</w:t>
            </w:r>
          </w:p>
        </w:tc>
        <w:tc>
          <w:tcPr>
            <w:tcW w:w="510"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21</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bookmarkStart w:id="12" w:name="od_09"/>
      <w:bookmarkEnd w:id="12"/>
      <w:r>
        <w:rPr>
          <w:rFonts w:ascii="Times New Roman" w:hAnsi="Times New Roman"/>
          <w:b/>
          <w:sz w:val="20"/>
        </w:rPr>
        <w:t>EXHIBITS</w:t>
      </w:r>
    </w:p>
    <w:tbl>
      <w:tblPr>
        <w:tblW w:w="5000" w:type="pct"/>
        <w:jc w:val="center"/>
        <w:tblInd w:w="0" w:type="dxa"/>
        <w:tblCellMar>
          <w:top w:w="0" w:type="dxa"/>
          <w:left w:w="0" w:type="dxa"/>
          <w:bottom w:w="0" w:type="dxa"/>
          <w:right w:w="0" w:type="dxa"/>
        </w:tblCellMar>
      </w:tblPr>
      <w:tblGrid>
        <w:gridCol w:w="1529"/>
        <w:gridCol w:w="8676"/>
      </w:tblGrid>
      <w:tr>
        <w:trPr/>
        <w:tc>
          <w:tcPr>
            <w:tcW w:w="15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11:</w:t>
            </w:r>
          </w:p>
        </w:tc>
        <w:tc>
          <w:tcPr>
            <w:tcW w:w="8676" w:type="dxa"/>
            <w:tcBorders/>
            <w:shd w:fill="auto" w:val="clear"/>
          </w:tcPr>
          <w:p>
            <w:pPr>
              <w:pStyle w:val="TableContents"/>
              <w:spacing w:before="0" w:after="283"/>
              <w:rPr/>
            </w:pPr>
            <w:hyperlink r:id="rId2">
              <w:r>
                <w:rPr>
                  <w:rStyle w:val="InternetLink"/>
                  <w:rFonts w:ascii="Times New Roman" w:hAnsi="Times New Roman"/>
                  <w:sz w:val="20"/>
                </w:rPr>
                <w:t>Statement Re:  Computation of per share earnings</w:t>
              </w:r>
            </w:hyperlink>
          </w:p>
        </w:tc>
      </w:tr>
      <w:tr>
        <w:trPr/>
        <w:tc>
          <w:tcPr>
            <w:tcW w:w="1529"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rPr/>
            </w:pPr>
            <w:r>
              <w:rPr/>
              <w:t> </w:t>
            </w:r>
          </w:p>
        </w:tc>
      </w:tr>
      <w:tr>
        <w:trPr/>
        <w:tc>
          <w:tcPr>
            <w:tcW w:w="15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31:</w:t>
            </w:r>
          </w:p>
        </w:tc>
        <w:tc>
          <w:tcPr>
            <w:tcW w:w="8676" w:type="dxa"/>
            <w:tcBorders/>
            <w:shd w:fill="auto" w:val="clear"/>
          </w:tcPr>
          <w:p>
            <w:pPr>
              <w:pStyle w:val="TableContents"/>
              <w:spacing w:before="0" w:after="283"/>
              <w:rPr/>
            </w:pPr>
            <w:hyperlink r:id="rId3">
              <w:r>
                <w:rPr>
                  <w:rStyle w:val="InternetLink"/>
                  <w:rFonts w:ascii="Times New Roman" w:hAnsi="Times New Roman"/>
                  <w:sz w:val="20"/>
                </w:rPr>
                <w:t>Rule 13a  14(a) Certifications</w:t>
              </w:r>
            </w:hyperlink>
          </w:p>
        </w:tc>
      </w:tr>
      <w:tr>
        <w:trPr/>
        <w:tc>
          <w:tcPr>
            <w:tcW w:w="1529"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rPr/>
            </w:pPr>
            <w:r>
              <w:rPr/>
              <w:t> </w:t>
            </w:r>
          </w:p>
        </w:tc>
      </w:tr>
      <w:tr>
        <w:trPr/>
        <w:tc>
          <w:tcPr>
            <w:tcW w:w="15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32:</w:t>
            </w:r>
          </w:p>
        </w:tc>
        <w:tc>
          <w:tcPr>
            <w:tcW w:w="8676" w:type="dxa"/>
            <w:tcBorders/>
            <w:shd w:fill="auto" w:val="clear"/>
          </w:tcPr>
          <w:p>
            <w:pPr>
              <w:pStyle w:val="TableContents"/>
              <w:spacing w:before="0" w:after="283"/>
              <w:rPr/>
            </w:pPr>
            <w:hyperlink r:id="rId4">
              <w:r>
                <w:rPr>
                  <w:rStyle w:val="InternetLink"/>
                  <w:rFonts w:ascii="Times New Roman" w:hAnsi="Times New Roman"/>
                  <w:sz w:val="20"/>
                </w:rPr>
                <w:t>Section 1350 Certifications</w:t>
              </w:r>
            </w:hyperlink>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Note:</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may receive copies of the above listed exhibits, without fee, by written request to Investor Relations, Oil-Dri Corporation of America, 410 North Michigan Avenue, Suite 400, Chicago, Illinois  60611-4213.</w:t>
            </w:r>
          </w:p>
        </w:tc>
      </w:tr>
    </w:tbl>
    <w:p>
      <w:pPr>
        <w:pStyle w:val="TextBody"/>
        <w:jc w:val="center"/>
        <w:rPr>
          <w:rFonts w:ascii="Times New Roman" w:hAnsi="Times New Roman"/>
          <w:sz w:val="20"/>
        </w:rPr>
      </w:pPr>
      <w:r>
        <w:rPr>
          <w:rFonts w:ascii="Times New Roman" w:hAnsi="Times New Roman"/>
          <w:sz w:val="20"/>
        </w:rPr>
        <w:t>22</w:t>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3" w:name="od4288ex11.htm"/>
      <w:bookmarkStart w:id="14" w:name="ksod4288ex11"/>
      <w:bookmarkEnd w:id="13"/>
      <w:bookmarkEnd w:id="14"/>
      <w:r>
        <w:rPr>
          <w:rFonts w:ascii="Times New Roman" w:hAnsi="Times New Roman"/>
          <w:b/>
          <w:sz w:val="20"/>
        </w:rPr>
        <w:t>Exhibit 11:</w:t>
      </w:r>
    </w:p>
    <w:p>
      <w:pPr>
        <w:pStyle w:val="TextBody"/>
        <w:jc w:val="center"/>
        <w:rPr>
          <w:rFonts w:ascii="Times New Roman" w:hAnsi="Times New Roman"/>
          <w:b/>
          <w:sz w:val="20"/>
        </w:rPr>
      </w:pPr>
      <w:r>
        <w:rPr>
          <w:rFonts w:ascii="Times New Roman" w:hAnsi="Times New Roman"/>
          <w:b/>
          <w:sz w:val="20"/>
        </w:rPr>
        <w:t>OIL-DRI CORPORATION OF AMERICA AND SUBSIDIARIES</w:t>
        <w:br/>
        <w:t>Computation of Earnings Per Share</w:t>
        <w:br/>
        <w:t>(in thousands except for per share amounts)</w:t>
      </w:r>
    </w:p>
    <w:tbl>
      <w:tblPr>
        <w:tblW w:w="5000" w:type="pct"/>
        <w:jc w:val="center"/>
        <w:tblInd w:w="0" w:type="dxa"/>
        <w:tblCellMar>
          <w:top w:w="0" w:type="dxa"/>
          <w:left w:w="0" w:type="dxa"/>
          <w:bottom w:w="0" w:type="dxa"/>
          <w:right w:w="0" w:type="dxa"/>
        </w:tblCellMar>
      </w:tblPr>
      <w:tblGrid>
        <w:gridCol w:w="7631"/>
        <w:gridCol w:w="206"/>
        <w:gridCol w:w="102"/>
        <w:gridCol w:w="928"/>
        <w:gridCol w:w="205"/>
        <w:gridCol w:w="103"/>
        <w:gridCol w:w="927"/>
        <w:gridCol w:w="103"/>
      </w:tblGrid>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October 31</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65"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5"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03" w:type="dxa"/>
            <w:tcBorders/>
            <w:shd w:fill="auto" w:val="clear"/>
            <w:vAlign w:val="bottom"/>
          </w:tcPr>
          <w:p>
            <w:pPr>
              <w:pStyle w:val="TableContents"/>
              <w:spacing w:before="0" w:after="283"/>
              <w:jc w:val="center"/>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available to stockholders  (numerator)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1,028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1,280</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Shares Calculation  (denominator)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4,001</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4,053</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Basic Class B Common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1,458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1,450</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Effect of Dilutive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Potential Common Stock relating  to stock options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352</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446</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92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Assuming dilution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5,811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5,949</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Per Share: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0.20</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0.25</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Per Share: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Class B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0.15</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0.19</w:t>
            </w:r>
          </w:p>
        </w:tc>
        <w:tc>
          <w:tcPr>
            <w:tcW w:w="10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6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Diluted</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28"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0.18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2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0.22</w:t>
            </w:r>
          </w:p>
        </w:tc>
        <w:tc>
          <w:tcPr>
            <w:tcW w:w="10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92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5" w:name="od4288ex31.htm"/>
      <w:bookmarkStart w:id="16" w:name="ksod4288ex31"/>
      <w:bookmarkEnd w:id="15"/>
      <w:bookmarkEnd w:id="16"/>
      <w:r>
        <w:rPr>
          <w:rFonts w:ascii="Times New Roman" w:hAnsi="Times New Roman"/>
          <w:b/>
          <w:sz w:val="20"/>
        </w:rPr>
        <w:t>Exhibit 31:</w:t>
      </w:r>
    </w:p>
    <w:p>
      <w:pPr>
        <w:pStyle w:val="TextBody"/>
        <w:jc w:val="center"/>
        <w:rPr>
          <w:rFonts w:ascii="Times New Roman" w:hAnsi="Times New Roman"/>
          <w:b/>
          <w:sz w:val="20"/>
        </w:rPr>
      </w:pPr>
      <w:r>
        <w:rPr>
          <w:rFonts w:ascii="Times New Roman" w:hAnsi="Times New Roman"/>
          <w:b/>
          <w:sz w:val="20"/>
        </w:rPr>
        <w:t xml:space="preserve">CERTIFICATIONS PURSUANT TO RULE 13a -14(a) UNDER </w:t>
        <w:br/>
        <w:t>THE SECURITIES EXCHANGE ACT OF 1934, AS AMENDED</w:t>
      </w:r>
    </w:p>
    <w:tbl>
      <w:tblPr>
        <w:tblW w:w="5000" w:type="pct"/>
        <w:jc w:val="center"/>
        <w:tblInd w:w="0" w:type="dxa"/>
        <w:tblCellMar>
          <w:top w:w="0" w:type="dxa"/>
          <w:left w:w="0" w:type="dxa"/>
          <w:bottom w:w="0" w:type="dxa"/>
          <w:right w:w="0" w:type="dxa"/>
        </w:tblCellMar>
      </w:tblPr>
      <w:tblGrid>
        <w:gridCol w:w="509"/>
        <w:gridCol w:w="510"/>
        <w:gridCol w:w="509"/>
        <w:gridCol w:w="8677"/>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9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 Daniel S. Jaffee, Chief Executive Officer of Oil-Dri Corporation of America, certify that: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I have reviewed this quarterly report on Form 10-Q of Oil-Dri Corporation of America (Oil-Dri);</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Oil-Dri as of, and for, the periods presented in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Oil-Dris other certifying officer and I are responsible for establishing and maintaining disclosure controls and procedures (as defined in Exchange Act Rules 13a-15(e) and 15d-15(e)) and internal control over financial reporting (as defined in Exchange Act Rules 13a-15(f) and 15d-15(f)) for Oil-Dri and we have:</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Oil-Dri, including its consolidated subsidiaries, is made known to us by others within those entities, particularly during the period in which this report is being prepared;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Evaluated the effectiveness of Oil-Dris disclosure controls and procedures and presented in this report our conclusions about the effectiveness of the disclosure controls and procedures, as of  October 31, 2005 based on such evaluation;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Disclosed in this report any change in Oil-Dris internal control over financial reporting that occurred during Oil-Dris first fiscal quarter that has materially affected, or is reasonably likely to materially affect, Oil-Dris internal control over financial reporting;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Oil-Dris other certifying officer and I have disclosed, based on our most recent evaluation of internal control over financial reporting, to Oil-Dris auditors and the audit committee of Oil-Dris board of directors: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Oil-Dris ability to record, process, summarize and report financial information;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Any fraud, whether or not material, that involves management or other employees who have a significant role in Oil-Dris internal control over financial reporting.</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9"/>
        <w:gridCol w:w="3572"/>
        <w:gridCol w:w="6124"/>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December 9, 2005</w:t>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Daniel S. Jaffee</w:t>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3572" w:type="dxa"/>
            <w:tcBorders/>
            <w:shd w:fill="auto" w:val="clear"/>
            <w:vAlign w:val="bottom"/>
          </w:tcPr>
          <w:p>
            <w:pPr>
              <w:pStyle w:val="HorizontalLine"/>
              <w:pBdr>
                <w:bottom w:val="single" w:sz="6" w:space="0" w:color="000000"/>
              </w:pBdr>
              <w:spacing w:before="0" w:after="283"/>
              <w:rPr/>
            </w:pPr>
            <w:r>
              <w:rPr/>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Daniel S. Jaffee</w:t>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Chief Executive Officer</w:t>
            </w:r>
          </w:p>
        </w:tc>
        <w:tc>
          <w:tcPr>
            <w:tcW w:w="6124"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jc w:val="right"/>
        <w:rPr>
          <w:rFonts w:ascii="Times New Roman" w:hAnsi="Times New Roman"/>
          <w:b/>
          <w:sz w:val="20"/>
        </w:rPr>
      </w:pPr>
      <w:r>
        <w:rPr>
          <w:rFonts w:ascii="Times New Roman" w:hAnsi="Times New Roman"/>
          <w:b/>
          <w:sz w:val="20"/>
        </w:rPr>
        <w:t>Exhibit 31:</w:t>
      </w:r>
    </w:p>
    <w:p>
      <w:pPr>
        <w:pStyle w:val="TextBody"/>
        <w:jc w:val="center"/>
        <w:rPr>
          <w:rFonts w:ascii="Times New Roman" w:hAnsi="Times New Roman"/>
          <w:b/>
          <w:sz w:val="20"/>
        </w:rPr>
      </w:pPr>
      <w:r>
        <w:rPr>
          <w:rFonts w:ascii="Times New Roman" w:hAnsi="Times New Roman"/>
          <w:b/>
          <w:sz w:val="20"/>
        </w:rPr>
        <w:t>CERTIFICATIONS PURSUANT TO RULE 13a -14(a) UNDER</w:t>
        <w:br/>
        <w:t>THE SECURITIES EXCHANGE ACT OF 1934, AS AMENDED</w:t>
      </w:r>
    </w:p>
    <w:tbl>
      <w:tblPr>
        <w:tblW w:w="5000" w:type="pct"/>
        <w:jc w:val="center"/>
        <w:tblInd w:w="0" w:type="dxa"/>
        <w:tblCellMar>
          <w:top w:w="0" w:type="dxa"/>
          <w:left w:w="0" w:type="dxa"/>
          <w:bottom w:w="0" w:type="dxa"/>
          <w:right w:w="0" w:type="dxa"/>
        </w:tblCellMar>
      </w:tblPr>
      <w:tblGrid>
        <w:gridCol w:w="509"/>
        <w:gridCol w:w="510"/>
        <w:gridCol w:w="509"/>
        <w:gridCol w:w="8677"/>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9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 Andrew N. Peterson, Chief Financial Officer of Oil-Dri Corporation of America, certify that:</w:t>
            </w:r>
          </w:p>
        </w:tc>
      </w:tr>
      <w:tr>
        <w:trPr/>
        <w:tc>
          <w:tcPr>
            <w:tcW w:w="509" w:type="dxa"/>
            <w:tcBorders/>
            <w:shd w:fill="auto" w:val="clear"/>
          </w:tcPr>
          <w:p>
            <w:pPr>
              <w:pStyle w:val="TableContents"/>
              <w:spacing w:before="0" w:after="283"/>
              <w:rPr/>
            </w:pPr>
            <w:r>
              <w:rPr/>
              <w:t> </w:t>
            </w:r>
          </w:p>
        </w:tc>
        <w:tc>
          <w:tcPr>
            <w:tcW w:w="9696" w:type="dxa"/>
            <w:gridSpan w:val="3"/>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I have reviewed this quarterly report on Form 10-Q of Oil-Dri Corporation of America (Oil-Dri);</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Oil-Dri as of, and for, the periods presented in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Oil-Dris other certifying officer and I are responsible for establishing and maintaining disclosure controls and procedures (as defined in Exchange Act Rules 13a-15(e) and 15d-15(e)) and internal control over financial reporting (as defined in Exchange Act Rules 13a-15(f) and 15d-15(f)) for Oil-Dri and we have:</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Oil-Dri, including its consolidated subsidiaries, is made known to us by others within those entities, particularly during the period in which this report is being prepared;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Evaluated the effectiveness of Oil-Dris disclosure controls and procedures and presented in this report our conclusions about the effectiveness of the disclosure controls and procedures, as of October 31, 2005 based on such evaluation;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Disclosed in this report any change in Oil-Dris internal control over financial reporting that occurred during Oil-Dris first fiscal quarter that has materially affected, or is reasonably likely to materially affect, Oil-Dris internal control over financial reporting;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Oil-Dris other certifying officer and I have disclosed, based on our most recent evaluation of internal control over financial reporting, to Oil-Dris auditors and the audit committee of Oil-Dris board of directors: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Oil-Dris ability to record, process, summarize and report financial information;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Any fraud, whether or not material, that involves management or other employees who have a significant role in Oil-Dris internal control over financial reporting.</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9"/>
        <w:gridCol w:w="3572"/>
        <w:gridCol w:w="6124"/>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Date: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December 9, 2005</w:t>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Andrew N. Peterson</w:t>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3572" w:type="dxa"/>
            <w:tcBorders/>
            <w:shd w:fill="auto" w:val="clear"/>
            <w:vAlign w:val="bottom"/>
          </w:tcPr>
          <w:p>
            <w:pPr>
              <w:pStyle w:val="HorizontalLine"/>
              <w:pBdr>
                <w:bottom w:val="single" w:sz="6" w:space="0" w:color="000000"/>
              </w:pBdr>
              <w:spacing w:before="0" w:after="283"/>
              <w:rPr/>
            </w:pPr>
            <w:r>
              <w:rPr/>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Andrew N. Peterson</w:t>
            </w:r>
          </w:p>
        </w:tc>
        <w:tc>
          <w:tcPr>
            <w:tcW w:w="6124"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c>
          <w:tcPr>
            <w:tcW w:w="6124"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17" w:name="od4288ex32.htm"/>
      <w:bookmarkStart w:id="18" w:name="ksod4288ex32"/>
      <w:bookmarkEnd w:id="17"/>
      <w:bookmarkEnd w:id="18"/>
      <w:r>
        <w:rPr>
          <w:rFonts w:ascii="Times New Roman" w:hAnsi="Times New Roman"/>
          <w:b/>
          <w:sz w:val="20"/>
        </w:rPr>
        <w:t>Exhibit 32:</w:t>
      </w:r>
    </w:p>
    <w:p>
      <w:pPr>
        <w:pStyle w:val="TextBody"/>
        <w:rPr>
          <w:rFonts w:ascii="Times New Roman" w:hAnsi="Times New Roman"/>
          <w:b/>
          <w:sz w:val="20"/>
        </w:rPr>
      </w:pPr>
      <w:r>
        <w:rPr>
          <w:rFonts w:ascii="Times New Roman" w:hAnsi="Times New Roman"/>
          <w:b/>
          <w:sz w:val="20"/>
        </w:rPr>
        <w:t xml:space="preserve">Certifications pursuant to 18 U.S.C. Section 1350  </w:t>
      </w:r>
    </w:p>
    <w:p>
      <w:pPr>
        <w:pStyle w:val="TextBody"/>
        <w:jc w:val="center"/>
        <w:rPr>
          <w:rFonts w:ascii="Times New Roman" w:hAnsi="Times New Roman"/>
          <w:b/>
          <w:sz w:val="20"/>
        </w:rPr>
      </w:pPr>
      <w:r>
        <w:rPr>
          <w:rFonts w:ascii="Times New Roman" w:hAnsi="Times New Roman"/>
          <w:b/>
          <w:sz w:val="20"/>
        </w:rPr>
        <w:t>Certification</w:t>
      </w:r>
    </w:p>
    <w:p>
      <w:pPr>
        <w:pStyle w:val="TextBody"/>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the Companys Quarterly Report on Form 10-Q for the quarter ended October 31, 2005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tbl>
      <w:tblPr>
        <w:tblW w:w="5000" w:type="pct"/>
        <w:jc w:val="center"/>
        <w:tblInd w:w="0" w:type="dxa"/>
        <w:tblCellMar>
          <w:top w:w="0" w:type="dxa"/>
          <w:left w:w="0" w:type="dxa"/>
          <w:bottom w:w="0" w:type="dxa"/>
          <w:right w:w="0" w:type="dxa"/>
        </w:tblCellMar>
      </w:tblPr>
      <w:tblGrid>
        <w:gridCol w:w="3572"/>
        <w:gridCol w:w="6633"/>
      </w:tblGrid>
      <w:tr>
        <w:trPr/>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Dated:  December 9, 2005</w:t>
            </w:r>
          </w:p>
        </w:tc>
        <w:tc>
          <w:tcPr>
            <w:tcW w:w="6633" w:type="dxa"/>
            <w:tcBorders/>
            <w:shd w:fill="auto" w:val="clear"/>
          </w:tcPr>
          <w:p>
            <w:pPr>
              <w:pStyle w:val="TableContents"/>
              <w:spacing w:before="0" w:after="283"/>
              <w:rPr/>
            </w:pPr>
            <w:r>
              <w:rPr/>
              <w:t> </w:t>
            </w:r>
          </w:p>
        </w:tc>
      </w:tr>
      <w:tr>
        <w:trPr/>
        <w:tc>
          <w:tcPr>
            <w:tcW w:w="3572" w:type="dxa"/>
            <w:tcBorders/>
            <w:shd w:fill="auto" w:val="clear"/>
            <w:vAlign w:val="bottom"/>
          </w:tcPr>
          <w:p>
            <w:pPr>
              <w:pStyle w:val="TableContents"/>
              <w:spacing w:before="0" w:after="283"/>
              <w:rPr/>
            </w:pPr>
            <w:r>
              <w:rPr/>
              <w:t> </w:t>
            </w:r>
          </w:p>
        </w:tc>
        <w:tc>
          <w:tcPr>
            <w:tcW w:w="6633" w:type="dxa"/>
            <w:tcBorders/>
            <w:shd w:fill="auto" w:val="clear"/>
          </w:tcPr>
          <w:p>
            <w:pPr>
              <w:pStyle w:val="TableContents"/>
              <w:spacing w:before="0" w:after="283"/>
              <w:rPr/>
            </w:pPr>
            <w:r>
              <w:rPr/>
              <w:t> </w:t>
            </w:r>
          </w:p>
        </w:tc>
      </w:tr>
      <w:tr>
        <w:trPr/>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Daniel S. Jaffee</w:t>
            </w:r>
          </w:p>
        </w:tc>
        <w:tc>
          <w:tcPr>
            <w:tcW w:w="6633" w:type="dxa"/>
            <w:tcBorders/>
            <w:shd w:fill="auto" w:val="clear"/>
          </w:tcPr>
          <w:p>
            <w:pPr>
              <w:pStyle w:val="TableContents"/>
              <w:spacing w:before="0" w:after="283"/>
              <w:rPr/>
            </w:pPr>
            <w:r>
              <w:rPr/>
              <w:t> </w:t>
            </w:r>
          </w:p>
        </w:tc>
      </w:tr>
      <w:tr>
        <w:trPr/>
        <w:tc>
          <w:tcPr>
            <w:tcW w:w="3572" w:type="dxa"/>
            <w:tcBorders/>
            <w:shd w:fill="auto" w:val="clear"/>
            <w:vAlign w:val="bottom"/>
          </w:tcPr>
          <w:p>
            <w:pPr>
              <w:pStyle w:val="HorizontalLine"/>
              <w:pBdr>
                <w:bottom w:val="single" w:sz="6" w:space="0" w:color="000000"/>
              </w:pBdr>
              <w:spacing w:before="0" w:after="283"/>
              <w:rPr/>
            </w:pPr>
            <w:r>
              <w:rPr/>
            </w:r>
          </w:p>
        </w:tc>
        <w:tc>
          <w:tcPr>
            <w:tcW w:w="6633" w:type="dxa"/>
            <w:tcBorders/>
            <w:shd w:fill="auto" w:val="clear"/>
          </w:tcPr>
          <w:p>
            <w:pPr>
              <w:pStyle w:val="TableContents"/>
              <w:spacing w:before="0" w:after="283"/>
              <w:rPr/>
            </w:pPr>
            <w:r>
              <w:rPr/>
              <w:t> </w:t>
            </w:r>
          </w:p>
        </w:tc>
      </w:tr>
      <w:tr>
        <w:trPr/>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Daniel S. Jaffee</w:t>
            </w:r>
          </w:p>
        </w:tc>
        <w:tc>
          <w:tcPr>
            <w:tcW w:w="6633" w:type="dxa"/>
            <w:tcBorders/>
            <w:shd w:fill="auto" w:val="clear"/>
          </w:tcPr>
          <w:p>
            <w:pPr>
              <w:pStyle w:val="TableContents"/>
              <w:spacing w:before="0" w:after="283"/>
              <w:rPr/>
            </w:pPr>
            <w:r>
              <w:rPr/>
              <w:t> </w:t>
            </w:r>
          </w:p>
        </w:tc>
      </w:tr>
      <w:tr>
        <w:trPr/>
        <w:tc>
          <w:tcPr>
            <w:tcW w:w="357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President and Chief Executive Officer</w:t>
            </w:r>
          </w:p>
        </w:tc>
        <w:tc>
          <w:tcPr>
            <w:tcW w:w="6633"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jc w:val="center"/>
        <w:rPr>
          <w:rFonts w:ascii="Times New Roman" w:hAnsi="Times New Roman"/>
          <w:b/>
          <w:sz w:val="20"/>
        </w:rPr>
      </w:pPr>
      <w:r>
        <w:rPr>
          <w:rFonts w:ascii="Times New Roman" w:hAnsi="Times New Roman"/>
          <w:b/>
          <w:sz w:val="20"/>
        </w:rPr>
        <w:t>Certification</w:t>
      </w:r>
    </w:p>
    <w:p>
      <w:pPr>
        <w:pStyle w:val="TextBody"/>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the Companys Quarterly Report on Form 10-Q for the quarter ended October 31, 2005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tbl>
      <w:tblPr>
        <w:tblW w:w="5000" w:type="pct"/>
        <w:jc w:val="center"/>
        <w:tblInd w:w="0" w:type="dxa"/>
        <w:tblCellMar>
          <w:top w:w="0" w:type="dxa"/>
          <w:left w:w="0" w:type="dxa"/>
          <w:bottom w:w="0" w:type="dxa"/>
          <w:right w:w="0" w:type="dxa"/>
        </w:tblCellMar>
      </w:tblPr>
      <w:tblGrid>
        <w:gridCol w:w="3571"/>
        <w:gridCol w:w="6634"/>
      </w:tblGrid>
      <w:tr>
        <w:trPr/>
        <w:tc>
          <w:tcPr>
            <w:tcW w:w="35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Dated:  December 9, 2005</w:t>
            </w:r>
          </w:p>
        </w:tc>
        <w:tc>
          <w:tcPr>
            <w:tcW w:w="6634" w:type="dxa"/>
            <w:tcBorders/>
            <w:shd w:fill="auto" w:val="clear"/>
          </w:tcPr>
          <w:p>
            <w:pPr>
              <w:pStyle w:val="TableContents"/>
              <w:spacing w:before="0" w:after="283"/>
              <w:rPr/>
            </w:pPr>
            <w:r>
              <w:rPr/>
              <w:t> </w:t>
            </w:r>
          </w:p>
        </w:tc>
      </w:tr>
      <w:tr>
        <w:trPr/>
        <w:tc>
          <w:tcPr>
            <w:tcW w:w="3571" w:type="dxa"/>
            <w:tcBorders/>
            <w:shd w:fill="auto" w:val="clear"/>
            <w:vAlign w:val="bottom"/>
          </w:tcPr>
          <w:p>
            <w:pPr>
              <w:pStyle w:val="TableContents"/>
              <w:spacing w:before="0" w:after="283"/>
              <w:rPr/>
            </w:pPr>
            <w:r>
              <w:rPr/>
              <w:t> </w:t>
            </w:r>
          </w:p>
        </w:tc>
        <w:tc>
          <w:tcPr>
            <w:tcW w:w="6634" w:type="dxa"/>
            <w:tcBorders/>
            <w:shd w:fill="auto" w:val="clear"/>
          </w:tcPr>
          <w:p>
            <w:pPr>
              <w:pStyle w:val="TableContents"/>
              <w:spacing w:before="0" w:after="283"/>
              <w:rPr/>
            </w:pPr>
            <w:r>
              <w:rPr/>
              <w:t> </w:t>
            </w:r>
          </w:p>
        </w:tc>
      </w:tr>
      <w:tr>
        <w:trPr/>
        <w:tc>
          <w:tcPr>
            <w:tcW w:w="35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Andrew N. Peterson</w:t>
            </w:r>
          </w:p>
        </w:tc>
        <w:tc>
          <w:tcPr>
            <w:tcW w:w="6634" w:type="dxa"/>
            <w:tcBorders/>
            <w:shd w:fill="auto" w:val="clear"/>
          </w:tcPr>
          <w:p>
            <w:pPr>
              <w:pStyle w:val="TableContents"/>
              <w:spacing w:before="0" w:after="283"/>
              <w:rPr/>
            </w:pPr>
            <w:r>
              <w:rPr/>
              <w:t> </w:t>
            </w:r>
          </w:p>
        </w:tc>
      </w:tr>
      <w:tr>
        <w:trPr/>
        <w:tc>
          <w:tcPr>
            <w:tcW w:w="3571" w:type="dxa"/>
            <w:tcBorders/>
            <w:shd w:fill="auto" w:val="clear"/>
            <w:vAlign w:val="bottom"/>
          </w:tcPr>
          <w:p>
            <w:pPr>
              <w:pStyle w:val="HorizontalLine"/>
              <w:pBdr>
                <w:bottom w:val="single" w:sz="6" w:space="0" w:color="000000"/>
              </w:pBdr>
              <w:spacing w:before="0" w:after="283"/>
              <w:rPr/>
            </w:pPr>
            <w:r>
              <w:rPr/>
            </w:r>
          </w:p>
        </w:tc>
        <w:tc>
          <w:tcPr>
            <w:tcW w:w="6634" w:type="dxa"/>
            <w:tcBorders/>
            <w:shd w:fill="auto" w:val="clear"/>
          </w:tcPr>
          <w:p>
            <w:pPr>
              <w:pStyle w:val="TableContents"/>
              <w:spacing w:before="0" w:after="283"/>
              <w:rPr/>
            </w:pPr>
            <w:r>
              <w:rPr/>
              <w:t> </w:t>
            </w:r>
          </w:p>
        </w:tc>
      </w:tr>
      <w:tr>
        <w:trPr/>
        <w:tc>
          <w:tcPr>
            <w:tcW w:w="35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Andrew N. Peterson</w:t>
            </w:r>
          </w:p>
        </w:tc>
        <w:tc>
          <w:tcPr>
            <w:tcW w:w="6634" w:type="dxa"/>
            <w:tcBorders/>
            <w:shd w:fill="auto" w:val="clear"/>
          </w:tcPr>
          <w:p>
            <w:pPr>
              <w:pStyle w:val="TableContents"/>
              <w:spacing w:before="0" w:after="283"/>
              <w:rPr/>
            </w:pPr>
            <w:r>
              <w:rPr/>
              <w:t> </w:t>
            </w:r>
          </w:p>
        </w:tc>
      </w:tr>
      <w:tr>
        <w:trPr/>
        <w:tc>
          <w:tcPr>
            <w:tcW w:w="35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 and Chief Financial Officer</w:t>
            </w:r>
          </w:p>
        </w:tc>
        <w:tc>
          <w:tcPr>
            <w:tcW w:w="6634"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HorizontalLine"/>
        <w:pBdr>
          <w:bottom w:val="single" w:sz="6" w:space="0" w:color="00000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od4288ex11.htm" TargetMode="External"/><Relationship Id="rId3" Type="http://schemas.openxmlformats.org/officeDocument/2006/relationships/hyperlink" Target="../../od4288ex31.htm" TargetMode="External"/><Relationship Id="rId4" Type="http://schemas.openxmlformats.org/officeDocument/2006/relationships/hyperlink" Target="../../od4288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9512</Words>
  <CharactersWithSpaces>60791</CharactersWithSpaces>
  <Paragraphs>3153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