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40"/>
              <w:spacing w:after="0"/>
              <w:rPr>
                <w:sz w:val="20"/>
                <w:szCs w:val="20"/>
                <w:color w:val="auto"/>
              </w:rPr>
            </w:pPr>
            <w:r>
              <w:rPr>
                <w:rFonts w:ascii="Arial" w:cs="Arial" w:eastAsia="Arial" w:hAnsi="Arial"/>
                <w:sz w:val="18"/>
                <w:szCs w:val="18"/>
                <w:color w:val="auto"/>
                <w:w w:val="92"/>
              </w:rPr>
              <w:t>March 10, 2015</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10, 2015, Oil-Dri Corporation of America (the “Registrant”) issued a press release announcing its results of operations for its second quarter ended January 31, 2015.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January 31, 2015 (Quarterly Earnings)</w:t>
            </w: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2015</w:t>
      </w:r>
    </w:p>
    <w:p>
      <w:pPr>
        <w:sectPr>
          <w:pgSz w:w="11900" w:h="16838" w:orient="portrait"/>
          <w:cols w:equalWidth="0" w:num="1">
            <w:col w:w="10880"/>
          </w:cols>
          <w:pgMar w:left="240" w:top="580"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January 31, 2015 (Quarterly Earnings)</w:t>
            </w:r>
          </w:p>
        </w:tc>
      </w:tr>
    </w:tbl>
    <w:p>
      <w:pPr>
        <w:sectPr>
          <w:pgSz w:w="11900" w:h="16838" w:orient="portrait"/>
          <w:cols w:equalWidth="0" w:num="1">
            <w:col w:w="11420"/>
          </w:cols>
          <w:pgMar w:left="240" w:top="5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24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Results for Second Quarter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First Six-Months of Fiscal 2015</w:t>
      </w:r>
    </w:p>
    <w:p>
      <w:pPr>
        <w:spacing w:after="0" w:line="200" w:lineRule="exact"/>
        <w:rPr>
          <w:sz w:val="20"/>
          <w:szCs w:val="20"/>
          <w:color w:val="auto"/>
        </w:rPr>
      </w:pPr>
    </w:p>
    <w:p>
      <w:pPr>
        <w:spacing w:after="0" w:line="25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CHICAGO—(March 10, 2015)—Oil-Dri Corporation of America (NYSE: ODC) today announced net sales of $64,643,000 for the second quarter ended January 31, 2015, a 7% decrease compared with net sales of $69,305,000 in the same quarter one year ago. Net income for the second quarter was $2,797,000, or $0.39 per diluted share, down from $4,281,000, or $0.60 per diluted share, in the second quarter of fiscal 2014.</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Net sales for the six-month period were $130,687,000, a 2% decrease compared with net sales of $132,851,000 in the same period one year ago. Net income for the six-month period was $4,917,000, or $0.69 per diluted share, down from net income of $7,168,000 or $1.01 per diluted share, in the same period of fiscal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color w:val="auto"/>
        </w:rPr>
        <w:t>President and Chief Executive Officer Daniel S. Jaffee said, “Results for the second quarter and first half of fiscal 2015 are down compared to the strong sales and income of the same periods in fiscal 2014 but were better than the results of the fourth quarter of fiscal 2014 and the first quarter of fiscal 2015. New product start-up costs and intense competition in the branded cat litter market impacted the Retail and Wholesale segment results. This was partially offset by a strong year over year performance in industrial absorbent products, which are also included in the Retail and Wholesale segment.</w:t>
      </w:r>
    </w:p>
    <w:p>
      <w:pPr>
        <w:spacing w:after="0" w:line="188"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trend in the cat litter category toward lightweight scoopable litter continued. All of our major branded competitors have developed lightweight products and supported their launches of these products with increased promotional and marketing activity along with price incentives.</w:t>
      </w:r>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“Lightweight litters have captured approximately 9.5% of the category, and represented approximately 225% of the year over year category growth for the six months ending January 31</w:t>
      </w:r>
      <w:r>
        <w:rPr>
          <w:rFonts w:ascii="Arial" w:cs="Arial" w:eastAsia="Arial" w:hAnsi="Arial"/>
          <w:sz w:val="28"/>
          <w:szCs w:val="28"/>
          <w:color w:val="auto"/>
          <w:vertAlign w:val="superscript"/>
        </w:rPr>
        <w:t>st</w:t>
      </w:r>
      <w:r>
        <w:rPr>
          <w:rFonts w:ascii="Arial" w:cs="Arial" w:eastAsia="Arial" w:hAnsi="Arial"/>
          <w:sz w:val="22"/>
          <w:szCs w:val="22"/>
          <w:color w:val="auto"/>
        </w:rPr>
        <w:t>, according to an independent market reporting service, as other sub-segments, primarily coarse litter, continued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828" w:right="239" w:bottom="1440" w:gutter="0" w:footer="0" w:header="0"/>
        </w:sectPr>
      </w:pPr>
    </w:p>
    <w:bookmarkStart w:id="6" w:name="page7"/>
    <w:bookmarkEnd w:id="6"/>
    <w:p>
      <w:pPr>
        <w:ind w:right="180"/>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“In the Business to Business segment, demand for our agricultural and fluid purification products was down in the second quarter and flat or down for the first six months, while net sales of our animal health products increased compared to the same periods a year ago.</w:t>
      </w:r>
    </w:p>
    <w:p>
      <w:pPr>
        <w:spacing w:after="0" w:line="22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“Our manufacturing and supply chain units made good progress incorporating the additional volume from the MFM asset purchase in November of 2013. Overall higher manufacturing and packaging costs per ton were partially offset by lower energy prices. We have yet to see lower packaging costs as a result of the drop in resin prices due to existing contractual obligations, but we expect some relief later in the year.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“Looking towards the second half of the year, we believe that sales of our new Cat’s Pride Fresh &amp; Light Ultimate Care lightweight and lightweight private label litters will gain momentum. These sales combined with projected reductions in energy costs should be positive drivers in the second half of the year.”</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380"/>
          </w:cols>
          <w:pgMar w:left="240" w:top="134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SEGMENT REVIEW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TO BUSINESS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201930</wp:posOffset>
            </wp:positionV>
            <wp:extent cx="71951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3600" w:type="dxa"/>
            <w:vAlign w:val="bottom"/>
          </w:tcPr>
          <w:p>
            <w:pPr>
              <w:ind w:left="540"/>
              <w:spacing w:after="0"/>
              <w:rPr>
                <w:sz w:val="20"/>
                <w:szCs w:val="20"/>
                <w:color w:val="auto"/>
              </w:rPr>
            </w:pPr>
            <w:r>
              <w:rPr>
                <w:rFonts w:ascii="Arial" w:cs="Arial" w:eastAsia="Arial" w:hAnsi="Arial"/>
                <w:sz w:val="19"/>
                <w:szCs w:val="19"/>
                <w:b w:val="1"/>
                <w:bCs w:val="1"/>
                <w:color w:val="auto"/>
              </w:rPr>
              <w:t>Business to Business Products</w:t>
            </w:r>
          </w:p>
        </w:tc>
        <w:tc>
          <w:tcPr>
            <w:tcW w:w="1840" w:type="dxa"/>
            <w:vAlign w:val="bottom"/>
          </w:tcPr>
          <w:p>
            <w:pPr>
              <w:spacing w:after="0"/>
              <w:rPr>
                <w:sz w:val="19"/>
                <w:szCs w:val="19"/>
                <w:color w:val="auto"/>
              </w:rPr>
            </w:pPr>
          </w:p>
        </w:tc>
        <w:tc>
          <w:tcPr>
            <w:tcW w:w="4060" w:type="dxa"/>
            <w:vAlign w:val="bottom"/>
          </w:tcPr>
          <w:p>
            <w:pPr>
              <w:jc w:val="center"/>
              <w:ind w:right="1445"/>
              <w:spacing w:after="0"/>
              <w:rPr>
                <w:sz w:val="20"/>
                <w:szCs w:val="20"/>
                <w:color w:val="auto"/>
              </w:rPr>
            </w:pPr>
            <w:r>
              <w:rPr>
                <w:rFonts w:ascii="Arial" w:cs="Arial" w:eastAsia="Arial" w:hAnsi="Arial"/>
                <w:sz w:val="19"/>
                <w:szCs w:val="19"/>
                <w:b w:val="1"/>
                <w:bCs w:val="1"/>
                <w:color w:val="auto"/>
                <w:w w:val="91"/>
              </w:rPr>
              <w:t>Three Month Period</w:t>
            </w:r>
          </w:p>
        </w:tc>
        <w:tc>
          <w:tcPr>
            <w:tcW w:w="1840" w:type="dxa"/>
            <w:vAlign w:val="bottom"/>
          </w:tcPr>
          <w:p>
            <w:pPr>
              <w:jc w:val="center"/>
              <w:ind w:left="485"/>
              <w:spacing w:after="0"/>
              <w:rPr>
                <w:sz w:val="20"/>
                <w:szCs w:val="20"/>
                <w:color w:val="auto"/>
              </w:rPr>
            </w:pPr>
            <w:r>
              <w:rPr>
                <w:rFonts w:ascii="Arial" w:cs="Arial" w:eastAsia="Arial" w:hAnsi="Arial"/>
                <w:sz w:val="19"/>
                <w:szCs w:val="19"/>
                <w:b w:val="1"/>
                <w:bCs w:val="1"/>
                <w:color w:val="auto"/>
                <w:w w:val="88"/>
              </w:rPr>
              <w:t>Change</w:t>
            </w:r>
          </w:p>
        </w:tc>
      </w:tr>
      <w:tr>
        <w:trPr>
          <w:trHeight w:val="240"/>
        </w:trPr>
        <w:tc>
          <w:tcPr>
            <w:tcW w:w="3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60" w:type="dxa"/>
            <w:vAlign w:val="bottom"/>
          </w:tcPr>
          <w:p>
            <w:pPr>
              <w:jc w:val="center"/>
              <w:ind w:right="1445"/>
              <w:spacing w:after="0"/>
              <w:rPr>
                <w:sz w:val="20"/>
                <w:szCs w:val="20"/>
                <w:color w:val="auto"/>
              </w:rPr>
            </w:pPr>
            <w:r>
              <w:rPr>
                <w:rFonts w:ascii="Arial" w:cs="Arial" w:eastAsia="Arial" w:hAnsi="Arial"/>
                <w:sz w:val="19"/>
                <w:szCs w:val="19"/>
                <w:b w:val="1"/>
                <w:bCs w:val="1"/>
                <w:i w:val="1"/>
                <w:iCs w:val="1"/>
                <w:color w:val="auto"/>
                <w:w w:val="87"/>
              </w:rPr>
              <w:t>November 1 – January 31</w:t>
            </w:r>
          </w:p>
        </w:tc>
        <w:tc>
          <w:tcPr>
            <w:tcW w:w="1840" w:type="dxa"/>
            <w:vAlign w:val="bottom"/>
          </w:tcPr>
          <w:p>
            <w:pPr>
              <w:spacing w:after="0"/>
              <w:rPr>
                <w:sz w:val="20"/>
                <w:szCs w:val="20"/>
                <w:color w:val="auto"/>
              </w:rPr>
            </w:pPr>
          </w:p>
        </w:tc>
      </w:tr>
      <w:tr>
        <w:trPr>
          <w:trHeight w:val="25"/>
        </w:trPr>
        <w:tc>
          <w:tcPr>
            <w:tcW w:w="3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9"/>
                <w:szCs w:val="19"/>
                <w:b w:val="1"/>
                <w:bCs w:val="1"/>
                <w:color w:val="auto"/>
              </w:rPr>
              <w:t>Fiscal 2015</w:t>
            </w:r>
          </w:p>
        </w:tc>
        <w:tc>
          <w:tcPr>
            <w:tcW w:w="4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600" w:type="dxa"/>
            <w:vAlign w:val="bottom"/>
          </w:tcPr>
          <w:p>
            <w:pPr>
              <w:jc w:val="center"/>
              <w:ind w:right="205"/>
              <w:spacing w:after="0"/>
              <w:rPr>
                <w:sz w:val="20"/>
                <w:szCs w:val="20"/>
                <w:color w:val="auto"/>
              </w:rPr>
            </w:pPr>
            <w:r>
              <w:rPr>
                <w:rFonts w:ascii="Arial" w:cs="Arial" w:eastAsia="Arial" w:hAnsi="Arial"/>
                <w:sz w:val="19"/>
                <w:szCs w:val="19"/>
                <w:b w:val="1"/>
                <w:bCs w:val="1"/>
                <w:color w:val="auto"/>
                <w:w w:val="86"/>
              </w:rPr>
              <w:t>Net Sales</w:t>
            </w:r>
          </w:p>
        </w:tc>
        <w:tc>
          <w:tcPr>
            <w:tcW w:w="1840" w:type="dxa"/>
            <w:vAlign w:val="bottom"/>
          </w:tcPr>
          <w:p>
            <w:pPr>
              <w:jc w:val="right"/>
              <w:ind w:right="145"/>
              <w:spacing w:after="0"/>
              <w:rPr>
                <w:sz w:val="20"/>
                <w:szCs w:val="20"/>
                <w:color w:val="auto"/>
              </w:rPr>
            </w:pPr>
            <w:r>
              <w:rPr>
                <w:rFonts w:ascii="Arial" w:cs="Arial" w:eastAsia="Arial" w:hAnsi="Arial"/>
                <w:sz w:val="19"/>
                <w:szCs w:val="19"/>
                <w:color w:val="auto"/>
              </w:rPr>
              <w:t>$23,047,000</w:t>
            </w:r>
          </w:p>
        </w:tc>
        <w:tc>
          <w:tcPr>
            <w:tcW w:w="4060" w:type="dxa"/>
            <w:vAlign w:val="bottom"/>
          </w:tcPr>
          <w:p>
            <w:pPr>
              <w:jc w:val="right"/>
              <w:ind w:right="805"/>
              <w:spacing w:after="0"/>
              <w:rPr>
                <w:sz w:val="20"/>
                <w:szCs w:val="20"/>
                <w:color w:val="auto"/>
              </w:rPr>
            </w:pPr>
            <w:r>
              <w:rPr>
                <w:rFonts w:ascii="Arial" w:cs="Arial" w:eastAsia="Arial" w:hAnsi="Arial"/>
                <w:sz w:val="19"/>
                <w:szCs w:val="19"/>
                <w:color w:val="auto"/>
              </w:rPr>
              <w:t>$25,264,000</w:t>
            </w:r>
          </w:p>
        </w:tc>
        <w:tc>
          <w:tcPr>
            <w:tcW w:w="1840" w:type="dxa"/>
            <w:vAlign w:val="bottom"/>
          </w:tcPr>
          <w:p>
            <w:pPr>
              <w:jc w:val="center"/>
              <w:ind w:left="505"/>
              <w:spacing w:after="0"/>
              <w:rPr>
                <w:sz w:val="20"/>
                <w:szCs w:val="20"/>
                <w:color w:val="auto"/>
              </w:rPr>
            </w:pPr>
            <w:r>
              <w:rPr>
                <w:rFonts w:ascii="Arial" w:cs="Arial" w:eastAsia="Arial" w:hAnsi="Arial"/>
                <w:sz w:val="19"/>
                <w:szCs w:val="19"/>
                <w:color w:val="auto"/>
                <w:w w:val="94"/>
              </w:rPr>
              <w:t>-9%</w:t>
            </w:r>
          </w:p>
        </w:tc>
      </w:tr>
      <w:tr>
        <w:trPr>
          <w:trHeight w:val="24"/>
        </w:trPr>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205"/>
              <w:spacing w:after="0"/>
              <w:rPr>
                <w:sz w:val="20"/>
                <w:szCs w:val="20"/>
                <w:color w:val="auto"/>
              </w:rPr>
            </w:pPr>
            <w:r>
              <w:rPr>
                <w:rFonts w:ascii="Arial" w:cs="Arial" w:eastAsia="Arial" w:hAnsi="Arial"/>
                <w:sz w:val="19"/>
                <w:szCs w:val="19"/>
                <w:b w:val="1"/>
                <w:bCs w:val="1"/>
                <w:color w:val="auto"/>
                <w:w w:val="88"/>
              </w:rPr>
              <w:t>Segment Income</w:t>
            </w:r>
          </w:p>
        </w:tc>
        <w:tc>
          <w:tcPr>
            <w:tcW w:w="184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9"/>
                <w:szCs w:val="19"/>
                <w:color w:val="auto"/>
              </w:rPr>
              <w:t>$7,443,000</w:t>
            </w:r>
          </w:p>
        </w:tc>
        <w:tc>
          <w:tcPr>
            <w:tcW w:w="4060" w:type="dxa"/>
            <w:vAlign w:val="bottom"/>
            <w:tcBorders>
              <w:bottom w:val="single" w:sz="8" w:color="CCEEFF"/>
            </w:tcBorders>
            <w:shd w:val="clear" w:color="auto" w:fill="CCEEFF"/>
          </w:tcPr>
          <w:p>
            <w:pPr>
              <w:jc w:val="right"/>
              <w:ind w:right="865"/>
              <w:spacing w:after="0"/>
              <w:rPr>
                <w:sz w:val="20"/>
                <w:szCs w:val="20"/>
                <w:color w:val="auto"/>
              </w:rPr>
            </w:pPr>
            <w:r>
              <w:rPr>
                <w:rFonts w:ascii="Arial" w:cs="Arial" w:eastAsia="Arial" w:hAnsi="Arial"/>
                <w:sz w:val="19"/>
                <w:szCs w:val="19"/>
                <w:color w:val="auto"/>
              </w:rPr>
              <w:t>$7,993,000</w:t>
            </w:r>
          </w:p>
        </w:tc>
        <w:tc>
          <w:tcPr>
            <w:tcW w:w="1840" w:type="dxa"/>
            <w:vAlign w:val="bottom"/>
            <w:tcBorders>
              <w:bottom w:val="single" w:sz="8" w:color="CCEEFF"/>
            </w:tcBorders>
            <w:shd w:val="clear" w:color="auto" w:fill="CCEEFF"/>
          </w:tcPr>
          <w:p>
            <w:pPr>
              <w:jc w:val="center"/>
              <w:ind w:left="505"/>
              <w:spacing w:after="0"/>
              <w:rPr>
                <w:sz w:val="20"/>
                <w:szCs w:val="20"/>
                <w:color w:val="auto"/>
              </w:rPr>
            </w:pPr>
            <w:r>
              <w:rPr>
                <w:rFonts w:ascii="Arial" w:cs="Arial" w:eastAsia="Arial" w:hAnsi="Arial"/>
                <w:sz w:val="19"/>
                <w:szCs w:val="19"/>
                <w:color w:val="auto"/>
                <w:w w:val="94"/>
              </w:rPr>
              <w:t>-7%</w:t>
            </w:r>
          </w:p>
        </w:tc>
      </w:tr>
      <w:tr>
        <w:trPr>
          <w:trHeight w:val="20"/>
        </w:trPr>
        <w:tc>
          <w:tcPr>
            <w:tcW w:w="36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TO BUSINESS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219075</wp:posOffset>
            </wp:positionV>
            <wp:extent cx="7195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3560" w:type="dxa"/>
            <w:vAlign w:val="bottom"/>
          </w:tcPr>
          <w:p>
            <w:pPr>
              <w:jc w:val="center"/>
              <w:ind w:right="145"/>
              <w:spacing w:after="0"/>
              <w:rPr>
                <w:sz w:val="20"/>
                <w:szCs w:val="20"/>
                <w:color w:val="auto"/>
              </w:rPr>
            </w:pPr>
            <w:r>
              <w:rPr>
                <w:rFonts w:ascii="Arial" w:cs="Arial" w:eastAsia="Arial" w:hAnsi="Arial"/>
                <w:sz w:val="19"/>
                <w:szCs w:val="19"/>
                <w:b w:val="1"/>
                <w:bCs w:val="1"/>
                <w:color w:val="auto"/>
                <w:w w:val="84"/>
              </w:rPr>
              <w:t>Business to Business Products</w:t>
            </w:r>
          </w:p>
        </w:tc>
        <w:tc>
          <w:tcPr>
            <w:tcW w:w="1940" w:type="dxa"/>
            <w:vAlign w:val="bottom"/>
          </w:tcPr>
          <w:p>
            <w:pPr>
              <w:spacing w:after="0"/>
              <w:rPr>
                <w:sz w:val="19"/>
                <w:szCs w:val="19"/>
                <w:color w:val="auto"/>
              </w:rPr>
            </w:pPr>
          </w:p>
        </w:tc>
        <w:tc>
          <w:tcPr>
            <w:tcW w:w="4000" w:type="dxa"/>
            <w:vAlign w:val="bottom"/>
          </w:tcPr>
          <w:p>
            <w:pPr>
              <w:jc w:val="center"/>
              <w:ind w:right="1505"/>
              <w:spacing w:after="0"/>
              <w:rPr>
                <w:sz w:val="20"/>
                <w:szCs w:val="20"/>
                <w:color w:val="auto"/>
              </w:rPr>
            </w:pPr>
            <w:r>
              <w:rPr>
                <w:rFonts w:ascii="Arial" w:cs="Arial" w:eastAsia="Arial" w:hAnsi="Arial"/>
                <w:sz w:val="19"/>
                <w:szCs w:val="19"/>
                <w:b w:val="1"/>
                <w:bCs w:val="1"/>
                <w:color w:val="auto"/>
                <w:w w:val="92"/>
              </w:rPr>
              <w:t>Six-Month Period</w:t>
            </w:r>
          </w:p>
        </w:tc>
        <w:tc>
          <w:tcPr>
            <w:tcW w:w="1840" w:type="dxa"/>
            <w:vAlign w:val="bottom"/>
          </w:tcPr>
          <w:p>
            <w:pPr>
              <w:jc w:val="center"/>
              <w:ind w:left="485"/>
              <w:spacing w:after="0"/>
              <w:rPr>
                <w:sz w:val="20"/>
                <w:szCs w:val="20"/>
                <w:color w:val="auto"/>
              </w:rPr>
            </w:pPr>
            <w:r>
              <w:rPr>
                <w:rFonts w:ascii="Arial" w:cs="Arial" w:eastAsia="Arial" w:hAnsi="Arial"/>
                <w:sz w:val="19"/>
                <w:szCs w:val="19"/>
                <w:b w:val="1"/>
                <w:bCs w:val="1"/>
                <w:color w:val="auto"/>
                <w:w w:val="88"/>
              </w:rPr>
              <w:t>Change</w:t>
            </w:r>
          </w:p>
        </w:tc>
      </w:tr>
      <w:tr>
        <w:trPr>
          <w:trHeight w:val="240"/>
        </w:trPr>
        <w:tc>
          <w:tcPr>
            <w:tcW w:w="3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0" w:type="dxa"/>
            <w:vAlign w:val="bottom"/>
          </w:tcPr>
          <w:p>
            <w:pPr>
              <w:jc w:val="center"/>
              <w:ind w:right="1505"/>
              <w:spacing w:after="0"/>
              <w:rPr>
                <w:sz w:val="20"/>
                <w:szCs w:val="20"/>
                <w:color w:val="auto"/>
              </w:rPr>
            </w:pPr>
            <w:r>
              <w:rPr>
                <w:rFonts w:ascii="Arial" w:cs="Arial" w:eastAsia="Arial" w:hAnsi="Arial"/>
                <w:sz w:val="19"/>
                <w:szCs w:val="19"/>
                <w:b w:val="1"/>
                <w:bCs w:val="1"/>
                <w:i w:val="1"/>
                <w:iCs w:val="1"/>
                <w:color w:val="auto"/>
                <w:w w:val="87"/>
              </w:rPr>
              <w:t>August 1 – January 31</w:t>
            </w:r>
          </w:p>
        </w:tc>
        <w:tc>
          <w:tcPr>
            <w:tcW w:w="1840" w:type="dxa"/>
            <w:vAlign w:val="bottom"/>
          </w:tcPr>
          <w:p>
            <w:pPr>
              <w:spacing w:after="0"/>
              <w:rPr>
                <w:sz w:val="20"/>
                <w:szCs w:val="20"/>
                <w:color w:val="auto"/>
              </w:rPr>
            </w:pPr>
          </w:p>
        </w:tc>
      </w:tr>
      <w:tr>
        <w:trPr>
          <w:trHeight w:val="25"/>
        </w:trPr>
        <w:tc>
          <w:tcPr>
            <w:tcW w:w="3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9"/>
                <w:szCs w:val="19"/>
                <w:b w:val="1"/>
                <w:bCs w:val="1"/>
                <w:color w:val="auto"/>
              </w:rPr>
              <w:t>Fiscal 2015</w:t>
            </w:r>
          </w:p>
        </w:tc>
        <w:tc>
          <w:tcPr>
            <w:tcW w:w="400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560" w:type="dxa"/>
            <w:vAlign w:val="bottom"/>
          </w:tcPr>
          <w:p>
            <w:pPr>
              <w:jc w:val="center"/>
              <w:ind w:right="165"/>
              <w:spacing w:after="0"/>
              <w:rPr>
                <w:sz w:val="20"/>
                <w:szCs w:val="20"/>
                <w:color w:val="auto"/>
              </w:rPr>
            </w:pPr>
            <w:r>
              <w:rPr>
                <w:rFonts w:ascii="Arial" w:cs="Arial" w:eastAsia="Arial" w:hAnsi="Arial"/>
                <w:sz w:val="19"/>
                <w:szCs w:val="19"/>
                <w:b w:val="1"/>
                <w:bCs w:val="1"/>
                <w:color w:val="auto"/>
                <w:w w:val="86"/>
              </w:rPr>
              <w:t>Net Sales</w:t>
            </w:r>
          </w:p>
        </w:tc>
        <w:tc>
          <w:tcPr>
            <w:tcW w:w="1940" w:type="dxa"/>
            <w:vAlign w:val="bottom"/>
          </w:tcPr>
          <w:p>
            <w:pPr>
              <w:ind w:left="680"/>
              <w:spacing w:after="0"/>
              <w:rPr>
                <w:sz w:val="20"/>
                <w:szCs w:val="20"/>
                <w:color w:val="auto"/>
              </w:rPr>
            </w:pPr>
            <w:r>
              <w:rPr>
                <w:rFonts w:ascii="Arial" w:cs="Arial" w:eastAsia="Arial" w:hAnsi="Arial"/>
                <w:sz w:val="19"/>
                <w:szCs w:val="19"/>
                <w:color w:val="auto"/>
              </w:rPr>
              <w:t>$46,695,000</w:t>
            </w:r>
          </w:p>
        </w:tc>
        <w:tc>
          <w:tcPr>
            <w:tcW w:w="4000" w:type="dxa"/>
            <w:vAlign w:val="bottom"/>
          </w:tcPr>
          <w:p>
            <w:pPr>
              <w:ind w:left="2140"/>
              <w:spacing w:after="0"/>
              <w:rPr>
                <w:sz w:val="20"/>
                <w:szCs w:val="20"/>
                <w:color w:val="auto"/>
              </w:rPr>
            </w:pPr>
            <w:r>
              <w:rPr>
                <w:rFonts w:ascii="Arial" w:cs="Arial" w:eastAsia="Arial" w:hAnsi="Arial"/>
                <w:sz w:val="19"/>
                <w:szCs w:val="19"/>
                <w:color w:val="auto"/>
              </w:rPr>
              <w:t>$49,179,000</w:t>
            </w:r>
          </w:p>
        </w:tc>
        <w:tc>
          <w:tcPr>
            <w:tcW w:w="1840" w:type="dxa"/>
            <w:vAlign w:val="bottom"/>
          </w:tcPr>
          <w:p>
            <w:pPr>
              <w:jc w:val="center"/>
              <w:ind w:left="505"/>
              <w:spacing w:after="0"/>
              <w:rPr>
                <w:sz w:val="20"/>
                <w:szCs w:val="20"/>
                <w:color w:val="auto"/>
              </w:rPr>
            </w:pPr>
            <w:r>
              <w:rPr>
                <w:rFonts w:ascii="Arial" w:cs="Arial" w:eastAsia="Arial" w:hAnsi="Arial"/>
                <w:sz w:val="19"/>
                <w:szCs w:val="19"/>
                <w:color w:val="auto"/>
                <w:w w:val="94"/>
              </w:rPr>
              <w:t>-5%</w:t>
            </w:r>
          </w:p>
        </w:tc>
      </w:tr>
      <w:tr>
        <w:trPr>
          <w:trHeight w:val="24"/>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65"/>
              <w:spacing w:after="0"/>
              <w:rPr>
                <w:sz w:val="20"/>
                <w:szCs w:val="20"/>
                <w:color w:val="auto"/>
              </w:rPr>
            </w:pPr>
            <w:r>
              <w:rPr>
                <w:rFonts w:ascii="Arial" w:cs="Arial" w:eastAsia="Arial" w:hAnsi="Arial"/>
                <w:sz w:val="19"/>
                <w:szCs w:val="19"/>
                <w:b w:val="1"/>
                <w:bCs w:val="1"/>
                <w:color w:val="auto"/>
                <w:w w:val="88"/>
              </w:rPr>
              <w:t>Segment Income</w:t>
            </w:r>
          </w:p>
        </w:tc>
        <w:tc>
          <w:tcPr>
            <w:tcW w:w="1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9"/>
                <w:szCs w:val="19"/>
                <w:color w:val="auto"/>
              </w:rPr>
              <w:t>$14,314,000</w:t>
            </w:r>
          </w:p>
        </w:tc>
        <w:tc>
          <w:tcPr>
            <w:tcW w:w="40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9"/>
                <w:szCs w:val="19"/>
                <w:color w:val="auto"/>
              </w:rPr>
              <w:t>$15,644,000</w:t>
            </w:r>
          </w:p>
        </w:tc>
        <w:tc>
          <w:tcPr>
            <w:tcW w:w="1840" w:type="dxa"/>
            <w:vAlign w:val="bottom"/>
            <w:tcBorders>
              <w:bottom w:val="single" w:sz="8" w:color="CCEEFF"/>
            </w:tcBorders>
            <w:shd w:val="clear" w:color="auto" w:fill="CCEEFF"/>
          </w:tcPr>
          <w:p>
            <w:pPr>
              <w:jc w:val="center"/>
              <w:ind w:left="505"/>
              <w:spacing w:after="0"/>
              <w:rPr>
                <w:sz w:val="20"/>
                <w:szCs w:val="20"/>
                <w:color w:val="auto"/>
              </w:rPr>
            </w:pPr>
            <w:r>
              <w:rPr>
                <w:rFonts w:ascii="Arial" w:cs="Arial" w:eastAsia="Arial" w:hAnsi="Arial"/>
                <w:sz w:val="19"/>
                <w:szCs w:val="19"/>
                <w:color w:val="auto"/>
                <w:w w:val="94"/>
              </w:rPr>
              <w:t>-9%</w:t>
            </w:r>
          </w:p>
        </w:tc>
      </w:tr>
      <w:tr>
        <w:trPr>
          <w:trHeight w:val="20"/>
        </w:trPr>
        <w:tc>
          <w:tcPr>
            <w:tcW w:w="35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The reduced sales and income in the Business to Business segment was driven by the same factors in both the second quarter and six-month periods.</w:t>
      </w:r>
    </w:p>
    <w:p>
      <w:pPr>
        <w:spacing w:after="0" w:line="215"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color w:val="auto"/>
        </w:rPr>
        <w:t>There was reduced domestic demand for Pure-Flo bleaching earth product as the soybean crop was of significantly better quality than last year. This cyclical change required lower usage of Pure-Flo to achieve the desired color and clarity in the edible oil produced.</w:t>
      </w:r>
    </w:p>
    <w:p>
      <w:pPr>
        <w:spacing w:after="0" w:line="226" w:lineRule="exact"/>
        <w:rPr>
          <w:sz w:val="20"/>
          <w:szCs w:val="20"/>
          <w:color w:val="auto"/>
        </w:rPr>
      </w:pPr>
    </w:p>
    <w:p>
      <w:pPr>
        <w:jc w:val="both"/>
        <w:ind w:right="740"/>
        <w:spacing w:after="0" w:line="253" w:lineRule="auto"/>
        <w:rPr>
          <w:sz w:val="20"/>
          <w:szCs w:val="20"/>
          <w:color w:val="auto"/>
        </w:rPr>
      </w:pPr>
      <w:r>
        <w:rPr>
          <w:rFonts w:ascii="Arial" w:cs="Arial" w:eastAsia="Arial" w:hAnsi="Arial"/>
          <w:sz w:val="22"/>
          <w:szCs w:val="22"/>
          <w:color w:val="auto"/>
        </w:rPr>
        <w:t>The continued trend toward the growing of crops using genetically modified seeds reduced the demand for Agsorb carriers, particularly for control of corn rootworm. However, the Business to Business segment did see increased demand for Verge engineered granules for agricultural needs.</w:t>
      </w:r>
    </w:p>
    <w:p>
      <w:pPr>
        <w:spacing w:after="0" w:line="22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animal health business experienced increases in both the second quarter and six-month periods. Amlan Trading (Shenzhen) Company Ltd, our recently formed Chinese subsidiary, continued to build its sales and administrative team to position it for future growth.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RETAIL AND WHOLESALE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201930</wp:posOffset>
            </wp:positionV>
            <wp:extent cx="7195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380" w:type="dxa"/>
            <w:vAlign w:val="bottom"/>
          </w:tcPr>
          <w:p>
            <w:pPr>
              <w:jc w:val="center"/>
              <w:spacing w:after="0"/>
              <w:rPr>
                <w:sz w:val="20"/>
                <w:szCs w:val="20"/>
                <w:color w:val="auto"/>
              </w:rPr>
            </w:pPr>
            <w:r>
              <w:rPr>
                <w:rFonts w:ascii="Arial" w:cs="Arial" w:eastAsia="Arial" w:hAnsi="Arial"/>
                <w:sz w:val="19"/>
                <w:szCs w:val="19"/>
                <w:b w:val="1"/>
                <w:bCs w:val="1"/>
                <w:color w:val="auto"/>
                <w:w w:val="90"/>
              </w:rPr>
              <w:t>Retail and Wholesale</w:t>
            </w:r>
          </w:p>
        </w:tc>
        <w:tc>
          <w:tcPr>
            <w:tcW w:w="2060" w:type="dxa"/>
            <w:vAlign w:val="bottom"/>
          </w:tcPr>
          <w:p>
            <w:pPr>
              <w:spacing w:after="0"/>
              <w:rPr>
                <w:sz w:val="18"/>
                <w:szCs w:val="18"/>
                <w:color w:val="auto"/>
              </w:rPr>
            </w:pPr>
          </w:p>
        </w:tc>
        <w:tc>
          <w:tcPr>
            <w:tcW w:w="4060" w:type="dxa"/>
            <w:vAlign w:val="bottom"/>
          </w:tcPr>
          <w:p>
            <w:pPr>
              <w:jc w:val="center"/>
              <w:ind w:right="1445"/>
              <w:spacing w:after="0"/>
              <w:rPr>
                <w:sz w:val="20"/>
                <w:szCs w:val="20"/>
                <w:color w:val="auto"/>
              </w:rPr>
            </w:pPr>
            <w:r>
              <w:rPr>
                <w:rFonts w:ascii="Arial" w:cs="Arial" w:eastAsia="Arial" w:hAnsi="Arial"/>
                <w:sz w:val="19"/>
                <w:szCs w:val="19"/>
                <w:b w:val="1"/>
                <w:bCs w:val="1"/>
                <w:color w:val="auto"/>
                <w:w w:val="91"/>
              </w:rPr>
              <w:t>Three Month Period</w:t>
            </w:r>
          </w:p>
        </w:tc>
        <w:tc>
          <w:tcPr>
            <w:tcW w:w="1840" w:type="dxa"/>
            <w:vAlign w:val="bottom"/>
          </w:tcPr>
          <w:p>
            <w:pPr>
              <w:ind w:left="900"/>
              <w:spacing w:after="0"/>
              <w:rPr>
                <w:sz w:val="20"/>
                <w:szCs w:val="20"/>
                <w:color w:val="auto"/>
              </w:rPr>
            </w:pPr>
            <w:r>
              <w:rPr>
                <w:rFonts w:ascii="Arial" w:cs="Arial" w:eastAsia="Arial" w:hAnsi="Arial"/>
                <w:sz w:val="19"/>
                <w:szCs w:val="19"/>
                <w:b w:val="1"/>
                <w:bCs w:val="1"/>
                <w:color w:val="auto"/>
              </w:rPr>
              <w:t>Change</w:t>
            </w:r>
          </w:p>
        </w:tc>
      </w:tr>
      <w:tr>
        <w:trPr>
          <w:trHeight w:val="246"/>
        </w:trPr>
        <w:tc>
          <w:tcPr>
            <w:tcW w:w="3380" w:type="dxa"/>
            <w:vAlign w:val="bottom"/>
          </w:tcPr>
          <w:p>
            <w:pPr>
              <w:ind w:left="1380"/>
              <w:spacing w:after="0"/>
              <w:rPr>
                <w:sz w:val="20"/>
                <w:szCs w:val="20"/>
                <w:color w:val="auto"/>
              </w:rPr>
            </w:pPr>
            <w:r>
              <w:rPr>
                <w:rFonts w:ascii="Arial" w:cs="Arial" w:eastAsia="Arial" w:hAnsi="Arial"/>
                <w:sz w:val="19"/>
                <w:szCs w:val="19"/>
                <w:b w:val="1"/>
                <w:bCs w:val="1"/>
                <w:color w:val="auto"/>
              </w:rPr>
              <w:t>Products</w:t>
            </w:r>
          </w:p>
        </w:tc>
        <w:tc>
          <w:tcPr>
            <w:tcW w:w="2060" w:type="dxa"/>
            <w:vAlign w:val="bottom"/>
          </w:tcPr>
          <w:p>
            <w:pPr>
              <w:spacing w:after="0"/>
              <w:rPr>
                <w:sz w:val="21"/>
                <w:szCs w:val="21"/>
                <w:color w:val="auto"/>
              </w:rPr>
            </w:pPr>
          </w:p>
        </w:tc>
        <w:tc>
          <w:tcPr>
            <w:tcW w:w="4060" w:type="dxa"/>
            <w:vAlign w:val="bottom"/>
          </w:tcPr>
          <w:p>
            <w:pPr>
              <w:jc w:val="center"/>
              <w:ind w:right="1445"/>
              <w:spacing w:after="0"/>
              <w:rPr>
                <w:sz w:val="20"/>
                <w:szCs w:val="20"/>
                <w:color w:val="auto"/>
              </w:rPr>
            </w:pPr>
            <w:r>
              <w:rPr>
                <w:rFonts w:ascii="Arial" w:cs="Arial" w:eastAsia="Arial" w:hAnsi="Arial"/>
                <w:sz w:val="19"/>
                <w:szCs w:val="19"/>
                <w:b w:val="1"/>
                <w:bCs w:val="1"/>
                <w:i w:val="1"/>
                <w:iCs w:val="1"/>
                <w:color w:val="auto"/>
                <w:w w:val="87"/>
              </w:rPr>
              <w:t>November 1 – January 31</w:t>
            </w:r>
          </w:p>
        </w:tc>
        <w:tc>
          <w:tcPr>
            <w:tcW w:w="1840" w:type="dxa"/>
            <w:vAlign w:val="bottom"/>
          </w:tcPr>
          <w:p>
            <w:pPr>
              <w:spacing w:after="0"/>
              <w:rPr>
                <w:sz w:val="21"/>
                <w:szCs w:val="21"/>
                <w:color w:val="auto"/>
              </w:rPr>
            </w:pPr>
          </w:p>
        </w:tc>
      </w:tr>
      <w:tr>
        <w:trPr>
          <w:trHeight w:val="25"/>
        </w:trPr>
        <w:tc>
          <w:tcPr>
            <w:tcW w:w="3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9"/>
                <w:szCs w:val="19"/>
                <w:b w:val="1"/>
                <w:bCs w:val="1"/>
                <w:color w:val="auto"/>
              </w:rPr>
              <w:t>Fiscal 2015</w:t>
            </w:r>
          </w:p>
        </w:tc>
        <w:tc>
          <w:tcPr>
            <w:tcW w:w="4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38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2060" w:type="dxa"/>
            <w:vAlign w:val="bottom"/>
          </w:tcPr>
          <w:p>
            <w:pPr>
              <w:jc w:val="right"/>
              <w:ind w:right="145"/>
              <w:spacing w:after="0"/>
              <w:rPr>
                <w:sz w:val="20"/>
                <w:szCs w:val="20"/>
                <w:color w:val="auto"/>
              </w:rPr>
            </w:pPr>
            <w:r>
              <w:rPr>
                <w:rFonts w:ascii="Arial" w:cs="Arial" w:eastAsia="Arial" w:hAnsi="Arial"/>
                <w:sz w:val="19"/>
                <w:szCs w:val="19"/>
                <w:color w:val="auto"/>
              </w:rPr>
              <w:t>$41,596,000</w:t>
            </w:r>
          </w:p>
        </w:tc>
        <w:tc>
          <w:tcPr>
            <w:tcW w:w="4060" w:type="dxa"/>
            <w:vAlign w:val="bottom"/>
          </w:tcPr>
          <w:p>
            <w:pPr>
              <w:jc w:val="right"/>
              <w:ind w:right="805"/>
              <w:spacing w:after="0"/>
              <w:rPr>
                <w:sz w:val="20"/>
                <w:szCs w:val="20"/>
                <w:color w:val="auto"/>
              </w:rPr>
            </w:pPr>
            <w:r>
              <w:rPr>
                <w:rFonts w:ascii="Arial" w:cs="Arial" w:eastAsia="Arial" w:hAnsi="Arial"/>
                <w:sz w:val="19"/>
                <w:szCs w:val="19"/>
                <w:color w:val="auto"/>
              </w:rPr>
              <w:t>$44,041,000</w:t>
            </w:r>
          </w:p>
        </w:tc>
        <w:tc>
          <w:tcPr>
            <w:tcW w:w="1840" w:type="dxa"/>
            <w:vAlign w:val="bottom"/>
          </w:tcPr>
          <w:p>
            <w:pPr>
              <w:jc w:val="right"/>
              <w:ind w:right="365"/>
              <w:spacing w:after="0"/>
              <w:rPr>
                <w:sz w:val="20"/>
                <w:szCs w:val="20"/>
                <w:color w:val="auto"/>
              </w:rPr>
            </w:pPr>
            <w:r>
              <w:rPr>
                <w:rFonts w:ascii="Arial" w:cs="Arial" w:eastAsia="Arial" w:hAnsi="Arial"/>
                <w:sz w:val="19"/>
                <w:szCs w:val="19"/>
                <w:color w:val="auto"/>
              </w:rPr>
              <w:t>-6%</w:t>
            </w:r>
          </w:p>
        </w:tc>
      </w:tr>
      <w:tr>
        <w:trPr>
          <w:trHeight w:val="24"/>
        </w:trPr>
        <w:tc>
          <w:tcPr>
            <w:tcW w:w="3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206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9"/>
                <w:szCs w:val="19"/>
                <w:color w:val="auto"/>
              </w:rPr>
              <w:t>$1,262,000</w:t>
            </w:r>
          </w:p>
        </w:tc>
        <w:tc>
          <w:tcPr>
            <w:tcW w:w="4060" w:type="dxa"/>
            <w:vAlign w:val="bottom"/>
            <w:tcBorders>
              <w:bottom w:val="single" w:sz="8" w:color="CCEEFF"/>
            </w:tcBorders>
            <w:shd w:val="clear" w:color="auto" w:fill="CCEEFF"/>
          </w:tcPr>
          <w:p>
            <w:pPr>
              <w:jc w:val="right"/>
              <w:ind w:right="865"/>
              <w:spacing w:after="0"/>
              <w:rPr>
                <w:sz w:val="20"/>
                <w:szCs w:val="20"/>
                <w:color w:val="auto"/>
              </w:rPr>
            </w:pPr>
            <w:r>
              <w:rPr>
                <w:rFonts w:ascii="Arial" w:cs="Arial" w:eastAsia="Arial" w:hAnsi="Arial"/>
                <w:sz w:val="19"/>
                <w:szCs w:val="19"/>
                <w:color w:val="auto"/>
              </w:rPr>
              <w:t>$2,982,000</w:t>
            </w:r>
          </w:p>
        </w:tc>
        <w:tc>
          <w:tcPr>
            <w:tcW w:w="184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9"/>
                <w:szCs w:val="19"/>
                <w:color w:val="auto"/>
              </w:rPr>
              <w:t>-58%</w:t>
            </w:r>
          </w:p>
        </w:tc>
      </w:tr>
      <w:tr>
        <w:trPr>
          <w:trHeight w:val="20"/>
        </w:trPr>
        <w:tc>
          <w:tcPr>
            <w:tcW w:w="33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RETAIL AND WHOLESALE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219075</wp:posOffset>
            </wp:positionV>
            <wp:extent cx="7195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380" w:type="dxa"/>
            <w:vAlign w:val="bottom"/>
          </w:tcPr>
          <w:p>
            <w:pPr>
              <w:jc w:val="center"/>
              <w:spacing w:after="0"/>
              <w:rPr>
                <w:sz w:val="20"/>
                <w:szCs w:val="20"/>
                <w:color w:val="auto"/>
              </w:rPr>
            </w:pPr>
            <w:r>
              <w:rPr>
                <w:rFonts w:ascii="Arial" w:cs="Arial" w:eastAsia="Arial" w:hAnsi="Arial"/>
                <w:sz w:val="19"/>
                <w:szCs w:val="19"/>
                <w:b w:val="1"/>
                <w:bCs w:val="1"/>
                <w:color w:val="auto"/>
                <w:w w:val="90"/>
              </w:rPr>
              <w:t>Retail and Wholesale</w:t>
            </w:r>
          </w:p>
        </w:tc>
        <w:tc>
          <w:tcPr>
            <w:tcW w:w="2120" w:type="dxa"/>
            <w:vAlign w:val="bottom"/>
          </w:tcPr>
          <w:p>
            <w:pPr>
              <w:spacing w:after="0"/>
              <w:rPr>
                <w:sz w:val="18"/>
                <w:szCs w:val="18"/>
                <w:color w:val="auto"/>
              </w:rPr>
            </w:pPr>
          </w:p>
        </w:tc>
        <w:tc>
          <w:tcPr>
            <w:tcW w:w="4000" w:type="dxa"/>
            <w:vAlign w:val="bottom"/>
          </w:tcPr>
          <w:p>
            <w:pPr>
              <w:jc w:val="center"/>
              <w:ind w:right="1505"/>
              <w:spacing w:after="0"/>
              <w:rPr>
                <w:sz w:val="20"/>
                <w:szCs w:val="20"/>
                <w:color w:val="auto"/>
              </w:rPr>
            </w:pPr>
            <w:r>
              <w:rPr>
                <w:rFonts w:ascii="Arial" w:cs="Arial" w:eastAsia="Arial" w:hAnsi="Arial"/>
                <w:sz w:val="19"/>
                <w:szCs w:val="19"/>
                <w:b w:val="1"/>
                <w:bCs w:val="1"/>
                <w:color w:val="auto"/>
                <w:w w:val="92"/>
              </w:rPr>
              <w:t>Six-Month Period</w:t>
            </w:r>
          </w:p>
        </w:tc>
        <w:tc>
          <w:tcPr>
            <w:tcW w:w="1840" w:type="dxa"/>
            <w:vAlign w:val="bottom"/>
          </w:tcPr>
          <w:p>
            <w:pPr>
              <w:ind w:left="900"/>
              <w:spacing w:after="0"/>
              <w:rPr>
                <w:sz w:val="20"/>
                <w:szCs w:val="20"/>
                <w:color w:val="auto"/>
              </w:rPr>
            </w:pPr>
            <w:r>
              <w:rPr>
                <w:rFonts w:ascii="Arial" w:cs="Arial" w:eastAsia="Arial" w:hAnsi="Arial"/>
                <w:sz w:val="19"/>
                <w:szCs w:val="19"/>
                <w:b w:val="1"/>
                <w:bCs w:val="1"/>
                <w:color w:val="auto"/>
              </w:rPr>
              <w:t>Change</w:t>
            </w:r>
          </w:p>
        </w:tc>
      </w:tr>
      <w:tr>
        <w:trPr>
          <w:trHeight w:val="246"/>
        </w:trPr>
        <w:tc>
          <w:tcPr>
            <w:tcW w:w="3380" w:type="dxa"/>
            <w:vAlign w:val="bottom"/>
          </w:tcPr>
          <w:p>
            <w:pPr>
              <w:jc w:val="center"/>
              <w:spacing w:after="0"/>
              <w:rPr>
                <w:sz w:val="20"/>
                <w:szCs w:val="20"/>
                <w:color w:val="auto"/>
              </w:rPr>
            </w:pPr>
            <w:r>
              <w:rPr>
                <w:rFonts w:ascii="Arial" w:cs="Arial" w:eastAsia="Arial" w:hAnsi="Arial"/>
                <w:sz w:val="19"/>
                <w:szCs w:val="19"/>
                <w:b w:val="1"/>
                <w:bCs w:val="1"/>
                <w:color w:val="auto"/>
                <w:w w:val="87"/>
              </w:rPr>
              <w:t>Products</w:t>
            </w:r>
          </w:p>
        </w:tc>
        <w:tc>
          <w:tcPr>
            <w:tcW w:w="2120" w:type="dxa"/>
            <w:vAlign w:val="bottom"/>
          </w:tcPr>
          <w:p>
            <w:pPr>
              <w:spacing w:after="0"/>
              <w:rPr>
                <w:sz w:val="21"/>
                <w:szCs w:val="21"/>
                <w:color w:val="auto"/>
              </w:rPr>
            </w:pPr>
          </w:p>
        </w:tc>
        <w:tc>
          <w:tcPr>
            <w:tcW w:w="4000" w:type="dxa"/>
            <w:vAlign w:val="bottom"/>
          </w:tcPr>
          <w:p>
            <w:pPr>
              <w:jc w:val="center"/>
              <w:ind w:right="1505"/>
              <w:spacing w:after="0"/>
              <w:rPr>
                <w:sz w:val="20"/>
                <w:szCs w:val="20"/>
                <w:color w:val="auto"/>
              </w:rPr>
            </w:pPr>
            <w:r>
              <w:rPr>
                <w:rFonts w:ascii="Arial" w:cs="Arial" w:eastAsia="Arial" w:hAnsi="Arial"/>
                <w:sz w:val="19"/>
                <w:szCs w:val="19"/>
                <w:b w:val="1"/>
                <w:bCs w:val="1"/>
                <w:i w:val="1"/>
                <w:iCs w:val="1"/>
                <w:color w:val="auto"/>
                <w:w w:val="87"/>
              </w:rPr>
              <w:t>August 1 – January 31</w:t>
            </w:r>
          </w:p>
        </w:tc>
        <w:tc>
          <w:tcPr>
            <w:tcW w:w="1840" w:type="dxa"/>
            <w:vAlign w:val="bottom"/>
          </w:tcPr>
          <w:p>
            <w:pPr>
              <w:spacing w:after="0"/>
              <w:rPr>
                <w:sz w:val="21"/>
                <w:szCs w:val="21"/>
                <w:color w:val="auto"/>
              </w:rPr>
            </w:pPr>
          </w:p>
        </w:tc>
      </w:tr>
      <w:tr>
        <w:trPr>
          <w:trHeight w:val="25"/>
        </w:trPr>
        <w:tc>
          <w:tcPr>
            <w:tcW w:w="3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9"/>
                <w:szCs w:val="19"/>
                <w:b w:val="1"/>
                <w:bCs w:val="1"/>
                <w:color w:val="auto"/>
              </w:rPr>
              <w:t>Fiscal 2015</w:t>
            </w:r>
          </w:p>
        </w:tc>
        <w:tc>
          <w:tcPr>
            <w:tcW w:w="400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38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2120" w:type="dxa"/>
            <w:vAlign w:val="bottom"/>
          </w:tcPr>
          <w:p>
            <w:pPr>
              <w:jc w:val="right"/>
              <w:ind w:right="205"/>
              <w:spacing w:after="0"/>
              <w:rPr>
                <w:sz w:val="20"/>
                <w:szCs w:val="20"/>
                <w:color w:val="auto"/>
              </w:rPr>
            </w:pPr>
            <w:r>
              <w:rPr>
                <w:rFonts w:ascii="Arial" w:cs="Arial" w:eastAsia="Arial" w:hAnsi="Arial"/>
                <w:sz w:val="19"/>
                <w:szCs w:val="19"/>
                <w:color w:val="auto"/>
              </w:rPr>
              <w:t>$83,992,000</w:t>
            </w:r>
          </w:p>
        </w:tc>
        <w:tc>
          <w:tcPr>
            <w:tcW w:w="4000" w:type="dxa"/>
            <w:vAlign w:val="bottom"/>
          </w:tcPr>
          <w:p>
            <w:pPr>
              <w:jc w:val="right"/>
              <w:ind w:right="805"/>
              <w:spacing w:after="0"/>
              <w:rPr>
                <w:sz w:val="20"/>
                <w:szCs w:val="20"/>
                <w:color w:val="auto"/>
              </w:rPr>
            </w:pPr>
            <w:r>
              <w:rPr>
                <w:rFonts w:ascii="Arial" w:cs="Arial" w:eastAsia="Arial" w:hAnsi="Arial"/>
                <w:sz w:val="19"/>
                <w:szCs w:val="19"/>
                <w:color w:val="auto"/>
              </w:rPr>
              <w:t>$83,672,000</w:t>
            </w:r>
          </w:p>
        </w:tc>
        <w:tc>
          <w:tcPr>
            <w:tcW w:w="1840" w:type="dxa"/>
            <w:vAlign w:val="bottom"/>
          </w:tcPr>
          <w:p>
            <w:pPr>
              <w:jc w:val="right"/>
              <w:ind w:right="325"/>
              <w:spacing w:after="0"/>
              <w:rPr>
                <w:sz w:val="20"/>
                <w:szCs w:val="20"/>
                <w:color w:val="auto"/>
              </w:rPr>
            </w:pPr>
            <w:r>
              <w:rPr>
                <w:rFonts w:ascii="Arial" w:cs="Arial" w:eastAsia="Arial" w:hAnsi="Arial"/>
                <w:sz w:val="19"/>
                <w:szCs w:val="19"/>
                <w:color w:val="auto"/>
              </w:rPr>
              <w:t>0.4%</w:t>
            </w:r>
          </w:p>
        </w:tc>
      </w:tr>
      <w:tr>
        <w:trPr>
          <w:trHeight w:val="24"/>
        </w:trPr>
        <w:tc>
          <w:tcPr>
            <w:tcW w:w="33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21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9"/>
                <w:szCs w:val="19"/>
                <w:color w:val="auto"/>
              </w:rPr>
              <w:t>$2,148,000</w:t>
            </w:r>
          </w:p>
        </w:tc>
        <w:tc>
          <w:tcPr>
            <w:tcW w:w="4000" w:type="dxa"/>
            <w:vAlign w:val="bottom"/>
            <w:tcBorders>
              <w:bottom w:val="single" w:sz="8" w:color="CCEEFF"/>
            </w:tcBorders>
            <w:shd w:val="clear" w:color="auto" w:fill="CCEEFF"/>
          </w:tcPr>
          <w:p>
            <w:pPr>
              <w:jc w:val="right"/>
              <w:ind w:right="865"/>
              <w:spacing w:after="0"/>
              <w:rPr>
                <w:sz w:val="20"/>
                <w:szCs w:val="20"/>
                <w:color w:val="auto"/>
              </w:rPr>
            </w:pPr>
            <w:r>
              <w:rPr>
                <w:rFonts w:ascii="Arial" w:cs="Arial" w:eastAsia="Arial" w:hAnsi="Arial"/>
                <w:sz w:val="19"/>
                <w:szCs w:val="19"/>
                <w:color w:val="auto"/>
              </w:rPr>
              <w:t>$4,257,000</w:t>
            </w:r>
          </w:p>
        </w:tc>
        <w:tc>
          <w:tcPr>
            <w:tcW w:w="184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9"/>
                <w:szCs w:val="19"/>
                <w:color w:val="auto"/>
              </w:rPr>
              <w:t>-50%</w:t>
            </w:r>
          </w:p>
        </w:tc>
      </w:tr>
      <w:tr>
        <w:trPr>
          <w:trHeight w:val="20"/>
        </w:trPr>
        <w:tc>
          <w:tcPr>
            <w:tcW w:w="33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The results of the Retail and Wholesale segment were also driven by similar factors in both the second quarter and six-month periods.</w:t>
      </w:r>
    </w:p>
    <w:p>
      <w:pPr>
        <w:spacing w:after="0" w:line="215"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All of our major competitors have introduced their own lightweight scoopable litters, further validating the strength of the innovation that Oil-Dri was first to market three years ago. In each case, the competitive new products were introduced with robust advertising and marketing programs accompanied by trade and consumer focused price incentives. This resulted in a fight for retail shelf space that we expect to continue through the remainder of the fiscal year.</w:t>
      </w:r>
    </w:p>
    <w:p>
      <w:pPr>
        <w:spacing w:after="0" w:line="216"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As the lightweight sub-segment continues to develop, we are seeing increased opportunity to provide high quality, lightweight private label litters for existing and new retail partners.</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Some elements of our cost structure experienced favorable trends, namely natural gas cost. However, our manufacturing costs were up due to lower fixed cost absorption and increased labor, benefits and depreciation costs. We expect these increased costs to continue, but they should be better offset by revenues in the second half of the year.</w:t>
      </w:r>
    </w:p>
    <w:p>
      <w:pPr>
        <w:spacing w:after="0" w:line="208"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A pleasant development during the quarter and half year periods was the substantial increase in both the net sales and income achieved by our nearly 75 year-old Oil-Dri industrial absorbent products.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34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FINANCIAL REVIEW</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Cash, cash equivalents, restricted cash and short-term investments at January 31, 2015, totaled $13,703,000 compared to</w:t>
      </w:r>
    </w:p>
    <w:p>
      <w:pPr>
        <w:spacing w:after="0" w:line="33"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$19,682,000 a year ago. Significant uses of cash in the six-month period included capital expenditures and regularly scheduled debt and dividend payments.</w:t>
      </w: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Capital expenditures for the six-month period totaled $9,920,000 which was $3,984,000 more than depreciation and amortization of $5,936,000. By comparison, capital expenditures totaled $6,782,000 in the first six months of fiscal 2014. Capital expenditures were made for new processing and packaging equipment as well as replacements for existing plant and equipment that has exceeded its useful life. Cash provided by operating activities was $10,607,000 for the period, which was $8,207,000 higher than the $2,400,000 in the first six months of fiscal 2014. The primary reason for the change between years was the decrease in working capital.</w:t>
      </w:r>
    </w:p>
    <w:p>
      <w:pPr>
        <w:spacing w:after="0" w:line="234"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On December 9, 2014, Oil-Dri’s Board of Directors declared quarterly cash dividends of $0.20 per share of outstanding Common Stock and $0.15 per share of outstanding Class B Stock. The dividends were paid on March 6, 2015 to stockholders of record at the close of business on February 20, 2015. The Company has paid cash dividends continuously since 1974 and has increased dividends annually for the past eleven years. At the end of the second quarter, the annualized dividend yield on the Company’s Common Stock was 2.6%, based on the quarter’s closing stock price of $30.62 per share and the latest quarterly cash dividend of $0.20.</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Jaffee continued, “The results for the balance of fiscal 2015 will be heavily dependent on the market response to the launch of our Cat’s Pride Fresh &amp; Light Ultimate Care lightweight litter and lightweight private label products.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“On the cost side, we anticipate continued lower processing fuel costs brought on by the drop in natural gas prices. Packaging cost increases should be moderated by lower resin prices.</w:t>
      </w:r>
    </w:p>
    <w:p>
      <w:pPr>
        <w:spacing w:after="0" w:line="21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“In the Business to Business segment, the continued rise in the value of the US Dollar has put additional competitive pressure on export sales of our bleaching earth and animal health products.</w:t>
      </w:r>
    </w:p>
    <w:p>
      <w:pPr>
        <w:spacing w:after="0" w:line="215"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“All-in-all, we are cautiously optimistic that the second half of fiscal 2015 will build on the steady improvement of the past three quarters and deliver increases in net sales and earnings compared to the same periods last year.”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341" w:right="239" w:bottom="1440" w:gutter="0" w:footer="0" w:header="0"/>
        </w:sectPr>
      </w:pPr>
    </w:p>
    <w:bookmarkStart w:id="10" w:name="page11"/>
    <w:bookmarkEnd w:id="10"/>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6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The Company will offer a live webcast of the second quarter earnings teleconference on </w:t>
      </w:r>
      <w:r>
        <w:rPr>
          <w:rFonts w:ascii="Arial" w:cs="Arial" w:eastAsia="Arial" w:hAnsi="Arial"/>
          <w:sz w:val="18"/>
          <w:szCs w:val="18"/>
          <w:b w:val="1"/>
          <w:bCs w:val="1"/>
          <w:color w:val="auto"/>
        </w:rPr>
        <w:t>Wednesday, March 11, 2015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 www.streetevents.com or www.oildri.com.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i w:val="1"/>
          <w:iCs w:val="1"/>
          <w:color w:val="auto"/>
        </w:rPr>
        <w:t>“Cat’s Pride”, “Fresh &amp; Light”, “Pure-Flo”, “Agsorb”, “Verge”, “Oil-Dri” are registered trademarks of Oil-Dri Corporation of America. “Fresh &amp; Light Ultimate Care” is a trademark of Oil-Dri Corporation of America.</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4"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00"/>
          </w:cols>
          <w:pgMar w:left="240" w:top="1440" w:right="259" w:bottom="1440" w:gutter="0" w:footer="0" w:header="0"/>
        </w:sectPr>
      </w:pPr>
    </w:p>
    <w:bookmarkStart w:id="11" w:name="page12"/>
    <w:bookmarkEnd w:id="1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(in thousands, except for per share amounts)</w:t>
            </w: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600" w:type="dxa"/>
            <w:vAlign w:val="bottom"/>
            <w:gridSpan w:val="3"/>
          </w:tcPr>
          <w:p>
            <w:pPr>
              <w:ind w:left="280"/>
              <w:spacing w:after="0"/>
              <w:rPr>
                <w:sz w:val="20"/>
                <w:szCs w:val="20"/>
                <w:color w:val="auto"/>
              </w:rPr>
            </w:pPr>
            <w:r>
              <w:rPr>
                <w:rFonts w:ascii="Arial" w:cs="Arial" w:eastAsia="Arial" w:hAnsi="Arial"/>
                <w:sz w:val="18"/>
                <w:szCs w:val="18"/>
                <w:b w:val="1"/>
                <w:bCs w:val="1"/>
                <w:color w:val="auto"/>
              </w:rPr>
              <w:t>Second Quarter Ended January 31,</w:t>
            </w:r>
          </w:p>
        </w:tc>
        <w:tc>
          <w:tcPr>
            <w:tcW w:w="156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jc w:val="right"/>
              <w:ind w:right="791"/>
              <w:spacing w:after="0"/>
              <w:rPr>
                <w:sz w:val="20"/>
                <w:szCs w:val="20"/>
                <w:color w:val="auto"/>
              </w:rPr>
            </w:pPr>
            <w:r>
              <w:rPr>
                <w:rFonts w:ascii="Arial" w:cs="Arial" w:eastAsia="Arial" w:hAnsi="Arial"/>
                <w:sz w:val="18"/>
                <w:szCs w:val="18"/>
                <w:b w:val="1"/>
                <w:bCs w:val="1"/>
                <w:color w:val="auto"/>
              </w:rPr>
              <w:t>2015</w:t>
            </w: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 of Sales</w:t>
            </w:r>
          </w:p>
        </w:tc>
        <w:tc>
          <w:tcPr>
            <w:tcW w:w="460" w:type="dxa"/>
            <w:vAlign w:val="bottom"/>
          </w:tcPr>
          <w:p>
            <w:pPr>
              <w:spacing w:after="0"/>
              <w:rPr>
                <w:sz w:val="20"/>
                <w:szCs w:val="20"/>
                <w:color w:val="auto"/>
              </w:rPr>
            </w:pPr>
          </w:p>
        </w:tc>
        <w:tc>
          <w:tcPr>
            <w:tcW w:w="15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64,643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69,305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(4,910)</w:t>
            </w:r>
          </w:p>
        </w:tc>
        <w:tc>
          <w:tcPr>
            <w:tcW w:w="1640" w:type="dxa"/>
            <w:vAlign w:val="bottom"/>
          </w:tcPr>
          <w:p>
            <w:pPr>
              <w:jc w:val="right"/>
              <w:spacing w:after="0"/>
              <w:rPr>
                <w:sz w:val="20"/>
                <w:szCs w:val="20"/>
                <w:color w:val="auto"/>
              </w:rPr>
            </w:pPr>
            <w:r>
              <w:rPr>
                <w:rFonts w:ascii="Arial" w:cs="Arial" w:eastAsia="Arial" w:hAnsi="Arial"/>
                <w:sz w:val="18"/>
                <w:szCs w:val="18"/>
                <w:color w:val="auto"/>
              </w:rPr>
              <w:t>76.4 %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(52,412)</w:t>
            </w:r>
          </w:p>
        </w:tc>
        <w:tc>
          <w:tcPr>
            <w:tcW w:w="15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15,223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16,893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(10,952)</w:t>
            </w:r>
          </w:p>
        </w:tc>
        <w:tc>
          <w:tcPr>
            <w:tcW w:w="1640" w:type="dxa"/>
            <w:vAlign w:val="bottom"/>
          </w:tcPr>
          <w:p>
            <w:pPr>
              <w:jc w:val="right"/>
              <w:spacing w:after="0"/>
              <w:rPr>
                <w:sz w:val="20"/>
                <w:szCs w:val="20"/>
                <w:color w:val="auto"/>
              </w:rPr>
            </w:pPr>
            <w:r>
              <w:rPr>
                <w:rFonts w:ascii="Arial" w:cs="Arial" w:eastAsia="Arial" w:hAnsi="Arial"/>
                <w:sz w:val="18"/>
                <w:szCs w:val="18"/>
                <w:color w:val="auto"/>
              </w:rPr>
              <w:t>17.0 %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(11,159)</w:t>
            </w: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4,281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5,734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(307)</w:t>
            </w:r>
          </w:p>
        </w:tc>
        <w:tc>
          <w:tcPr>
            <w:tcW w:w="1640" w:type="dxa"/>
            <w:vAlign w:val="bottom"/>
          </w:tcPr>
          <w:p>
            <w:pPr>
              <w:jc w:val="right"/>
              <w:spacing w:after="0"/>
              <w:rPr>
                <w:sz w:val="20"/>
                <w:szCs w:val="20"/>
                <w:color w:val="auto"/>
              </w:rPr>
            </w:pPr>
            <w:r>
              <w:rPr>
                <w:rFonts w:ascii="Arial" w:cs="Arial" w:eastAsia="Arial" w:hAnsi="Arial"/>
                <w:sz w:val="18"/>
                <w:szCs w:val="18"/>
                <w:color w:val="auto"/>
              </w:rPr>
              <w:t>0.5 %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(385)</w:t>
            </w: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3,886</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5,530</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(1,089)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2,797</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4,281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0.43</w:t>
            </w:r>
          </w:p>
        </w:tc>
        <w:tc>
          <w:tcPr>
            <w:tcW w:w="164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0.65</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0.32</w:t>
            </w: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0.49</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0.39</w:t>
            </w:r>
          </w:p>
        </w:tc>
        <w:tc>
          <w:tcPr>
            <w:tcW w:w="164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0.60</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spacing w:after="0"/>
              <w:rPr>
                <w:sz w:val="21"/>
                <w:szCs w:val="21"/>
                <w:color w:val="auto"/>
              </w:rPr>
            </w:pP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4,953</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4,979</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2,022</w:t>
            </w: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2,005</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spacing w:after="0"/>
              <w:rPr>
                <w:sz w:val="21"/>
                <w:szCs w:val="21"/>
                <w:color w:val="auto"/>
              </w:rPr>
            </w:pP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7,030</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7,007</w:t>
            </w:r>
          </w:p>
        </w:tc>
        <w:tc>
          <w:tcPr>
            <w:tcW w:w="1560" w:type="dxa"/>
            <w:vAlign w:val="bottom"/>
          </w:tcPr>
          <w:p>
            <w:pPr>
              <w:spacing w:after="0"/>
              <w:rPr>
                <w:sz w:val="21"/>
                <w:szCs w:val="21"/>
                <w:color w:val="auto"/>
              </w:rPr>
            </w:pPr>
          </w:p>
        </w:tc>
      </w:tr>
      <w:tr>
        <w:trPr>
          <w:trHeight w:val="270"/>
        </w:trPr>
        <w:tc>
          <w:tcPr>
            <w:tcW w:w="4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6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 January 31,</w:t>
            </w:r>
          </w:p>
        </w:tc>
        <w:tc>
          <w:tcPr>
            <w:tcW w:w="156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jc w:val="right"/>
              <w:ind w:right="791"/>
              <w:spacing w:after="0"/>
              <w:rPr>
                <w:sz w:val="20"/>
                <w:szCs w:val="20"/>
                <w:color w:val="auto"/>
              </w:rPr>
            </w:pPr>
            <w:r>
              <w:rPr>
                <w:rFonts w:ascii="Arial" w:cs="Arial" w:eastAsia="Arial" w:hAnsi="Arial"/>
                <w:sz w:val="18"/>
                <w:szCs w:val="18"/>
                <w:b w:val="1"/>
                <w:bCs w:val="1"/>
                <w:color w:val="auto"/>
              </w:rPr>
              <w:t>2015</w:t>
            </w: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 of Sales</w:t>
            </w:r>
          </w:p>
        </w:tc>
        <w:tc>
          <w:tcPr>
            <w:tcW w:w="460" w:type="dxa"/>
            <w:vAlign w:val="bottom"/>
          </w:tcPr>
          <w:p>
            <w:pPr>
              <w:spacing w:after="0"/>
              <w:rPr>
                <w:sz w:val="20"/>
                <w:szCs w:val="20"/>
                <w:color w:val="auto"/>
              </w:rPr>
            </w:pPr>
          </w:p>
        </w:tc>
        <w:tc>
          <w:tcPr>
            <w:tcW w:w="15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130,687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132,851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(101,685)</w:t>
            </w:r>
          </w:p>
        </w:tc>
        <w:tc>
          <w:tcPr>
            <w:tcW w:w="1640" w:type="dxa"/>
            <w:vAlign w:val="bottom"/>
          </w:tcPr>
          <w:p>
            <w:pPr>
              <w:jc w:val="right"/>
              <w:spacing w:after="0"/>
              <w:rPr>
                <w:sz w:val="20"/>
                <w:szCs w:val="20"/>
                <w:color w:val="auto"/>
              </w:rPr>
            </w:pPr>
            <w:r>
              <w:rPr>
                <w:rFonts w:ascii="Arial" w:cs="Arial" w:eastAsia="Arial" w:hAnsi="Arial"/>
                <w:sz w:val="18"/>
                <w:szCs w:val="18"/>
                <w:color w:val="auto"/>
              </w:rPr>
              <w:t>77.8 %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(99,458)</w:t>
            </w:r>
          </w:p>
        </w:tc>
        <w:tc>
          <w:tcPr>
            <w:tcW w:w="15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29,002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33,393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(21,561)</w:t>
            </w:r>
          </w:p>
        </w:tc>
        <w:tc>
          <w:tcPr>
            <w:tcW w:w="1640" w:type="dxa"/>
            <w:vAlign w:val="bottom"/>
          </w:tcPr>
          <w:p>
            <w:pPr>
              <w:jc w:val="right"/>
              <w:spacing w:after="0"/>
              <w:rPr>
                <w:sz w:val="20"/>
                <w:szCs w:val="20"/>
                <w:color w:val="auto"/>
              </w:rPr>
            </w:pPr>
            <w:r>
              <w:rPr>
                <w:rFonts w:ascii="Arial" w:cs="Arial" w:eastAsia="Arial" w:hAnsi="Arial"/>
                <w:sz w:val="18"/>
                <w:szCs w:val="18"/>
                <w:color w:val="auto"/>
              </w:rPr>
              <w:t>16.5 %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(23,317)</w:t>
            </w: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7,441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10,076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21"/>
                <w:szCs w:val="21"/>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(689)</w:t>
            </w:r>
          </w:p>
        </w:tc>
        <w:tc>
          <w:tcPr>
            <w:tcW w:w="1640" w:type="dxa"/>
            <w:vAlign w:val="bottom"/>
          </w:tcPr>
          <w:p>
            <w:pPr>
              <w:jc w:val="right"/>
              <w:spacing w:after="0"/>
              <w:rPr>
                <w:sz w:val="20"/>
                <w:szCs w:val="20"/>
                <w:color w:val="auto"/>
              </w:rPr>
            </w:pPr>
            <w:r>
              <w:rPr>
                <w:rFonts w:ascii="Arial" w:cs="Arial" w:eastAsia="Arial" w:hAnsi="Arial"/>
                <w:sz w:val="18"/>
                <w:szCs w:val="18"/>
                <w:color w:val="auto"/>
              </w:rPr>
              <w:t>0.5 %</w:t>
            </w:r>
          </w:p>
        </w:tc>
        <w:tc>
          <w:tcPr>
            <w:tcW w:w="46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(809)</w:t>
            </w: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6,751</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9,423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(1,834)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(2,255)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4,917</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7,168</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0.75</w:t>
            </w:r>
          </w:p>
        </w:tc>
        <w:tc>
          <w:tcPr>
            <w:tcW w:w="164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0.56</w:t>
            </w: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0.82</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0.69</w:t>
            </w:r>
          </w:p>
        </w:tc>
        <w:tc>
          <w:tcPr>
            <w:tcW w:w="164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spacing w:after="0"/>
              <w:rPr>
                <w:sz w:val="21"/>
                <w:szCs w:val="21"/>
                <w:color w:val="auto"/>
              </w:rPr>
            </w:pP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4,951</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4,967</w:t>
            </w:r>
          </w:p>
        </w:tc>
        <w:tc>
          <w:tcPr>
            <w:tcW w:w="15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2,016</w:t>
            </w: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1,999</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spacing w:after="0"/>
              <w:rPr>
                <w:sz w:val="21"/>
                <w:szCs w:val="21"/>
                <w:color w:val="auto"/>
              </w:rPr>
            </w:pP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7,023</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6,991</w:t>
            </w:r>
          </w:p>
        </w:tc>
        <w:tc>
          <w:tcPr>
            <w:tcW w:w="1560" w:type="dxa"/>
            <w:vAlign w:val="bottom"/>
          </w:tcPr>
          <w:p>
            <w:pPr>
              <w:spacing w:after="0"/>
              <w:rPr>
                <w:sz w:val="21"/>
                <w:szCs w:val="21"/>
                <w:color w:val="auto"/>
              </w:rPr>
            </w:pPr>
          </w:p>
        </w:tc>
      </w:tr>
      <w:tr>
        <w:trPr>
          <w:trHeight w:val="434"/>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color w:val="auto"/>
              </w:rPr>
              <w:t>7</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440" w:right="239" w:bottom="1440" w:gutter="0" w:footer="0" w:header="0"/>
        </w:sectPr>
      </w:pPr>
    </w:p>
    <w:bookmarkStart w:id="12" w:name="page13"/>
    <w:bookmarkEnd w:id="1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As of January 31,</w:t>
            </w:r>
          </w:p>
        </w:tc>
        <w:tc>
          <w:tcPr>
            <w:tcW w:w="136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2014</w:t>
            </w:r>
          </w:p>
        </w:tc>
      </w:tr>
      <w:tr>
        <w:trPr>
          <w:trHeight w:val="27"/>
        </w:trPr>
        <w:tc>
          <w:tcPr>
            <w:tcW w:w="41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96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12,763</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12,082</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Restricted Cash</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w:t>
            </w:r>
          </w:p>
        </w:tc>
        <w:tc>
          <w:tcPr>
            <w:tcW w:w="8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7,100</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32,255</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37,022</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23,661</w:t>
            </w:r>
          </w:p>
        </w:tc>
        <w:tc>
          <w:tcPr>
            <w:tcW w:w="8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22,734</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Prepaid Expenses</w:t>
            </w:r>
          </w:p>
        </w:tc>
        <w:tc>
          <w:tcPr>
            <w:tcW w:w="2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8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r>
      <w:tr>
        <w:trPr>
          <w:trHeight w:val="237"/>
        </w:trPr>
        <w:tc>
          <w:tcPr>
            <w:tcW w:w="4140" w:type="dxa"/>
            <w:vAlign w:val="bottom"/>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29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77,028</w:t>
            </w: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89,353</w:t>
            </w:r>
          </w:p>
        </w:tc>
      </w:tr>
      <w:tr>
        <w:trPr>
          <w:trHeight w:val="27"/>
        </w:trPr>
        <w:tc>
          <w:tcPr>
            <w:tcW w:w="41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79,702</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27,584</w:t>
            </w:r>
          </w:p>
        </w:tc>
        <w:tc>
          <w:tcPr>
            <w:tcW w:w="8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25,548</w:t>
            </w:r>
          </w:p>
        </w:tc>
      </w:tr>
      <w:tr>
        <w:trPr>
          <w:trHeight w:val="27"/>
        </w:trPr>
        <w:tc>
          <w:tcPr>
            <w:tcW w:w="41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184,314</w:t>
            </w:r>
          </w:p>
        </w:tc>
        <w:tc>
          <w:tcPr>
            <w:tcW w:w="84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183,860</w:t>
            </w:r>
          </w:p>
        </w:tc>
      </w:tr>
      <w:tr>
        <w:trPr>
          <w:trHeight w:val="20"/>
        </w:trPr>
        <w:tc>
          <w:tcPr>
            <w:tcW w:w="4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4"/>
        </w:trPr>
        <w:tc>
          <w:tcPr>
            <w:tcW w:w="4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296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3,483</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7,699</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1,313</w:t>
            </w:r>
          </w:p>
        </w:tc>
        <w:tc>
          <w:tcPr>
            <w:tcW w:w="8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1,242</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2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8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16,686</w:t>
            </w:r>
          </w:p>
        </w:tc>
      </w:tr>
      <w:tr>
        <w:trPr>
          <w:trHeight w:val="237"/>
        </w:trPr>
        <w:tc>
          <w:tcPr>
            <w:tcW w:w="414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29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27,720</w:t>
            </w: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29,127</w:t>
            </w:r>
          </w:p>
        </w:tc>
      </w:tr>
      <w:tr>
        <w:trPr>
          <w:trHeight w:val="27"/>
        </w:trPr>
        <w:tc>
          <w:tcPr>
            <w:tcW w:w="41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15,417</w:t>
            </w:r>
          </w:p>
        </w:tc>
        <w:tc>
          <w:tcPr>
            <w:tcW w:w="8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18,900</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2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8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27,775</w:t>
            </w:r>
          </w:p>
        </w:tc>
      </w:tr>
      <w:tr>
        <w:trPr>
          <w:trHeight w:val="237"/>
        </w:trPr>
        <w:tc>
          <w:tcPr>
            <w:tcW w:w="414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29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49,667</w:t>
            </w: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46,675</w:t>
            </w:r>
          </w:p>
        </w:tc>
      </w:tr>
      <w:tr>
        <w:trPr>
          <w:trHeight w:val="27"/>
        </w:trPr>
        <w:tc>
          <w:tcPr>
            <w:tcW w:w="41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9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106,927</w:t>
            </w:r>
          </w:p>
        </w:tc>
        <w:tc>
          <w:tcPr>
            <w:tcW w:w="8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108,058</w:t>
            </w:r>
          </w:p>
        </w:tc>
      </w:tr>
      <w:tr>
        <w:trPr>
          <w:trHeight w:val="297"/>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96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184,314</w:t>
            </w:r>
          </w:p>
        </w:tc>
        <w:tc>
          <w:tcPr>
            <w:tcW w:w="8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183,860</w:t>
            </w:r>
          </w:p>
        </w:tc>
      </w:tr>
      <w:tr>
        <w:trPr>
          <w:trHeight w:val="284"/>
        </w:trPr>
        <w:tc>
          <w:tcPr>
            <w:tcW w:w="41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296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15.33</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41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Second Quarter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8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4140" w:type="dxa"/>
            <w:vAlign w:val="bottom"/>
          </w:tcPr>
          <w:p>
            <w:pPr>
              <w:spacing w:after="0"/>
              <w:rPr>
                <w:sz w:val="21"/>
                <w:szCs w:val="21"/>
                <w:color w:val="auto"/>
              </w:rPr>
            </w:pPr>
          </w:p>
        </w:tc>
        <w:tc>
          <w:tcPr>
            <w:tcW w:w="296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9,920</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6,782</w:t>
            </w:r>
          </w:p>
        </w:tc>
      </w:tr>
      <w:tr>
        <w:trPr>
          <w:trHeight w:val="27"/>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2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Second Quarter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8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43"/>
        </w:trPr>
        <w:tc>
          <w:tcPr>
            <w:tcW w:w="4140" w:type="dxa"/>
            <w:vAlign w:val="bottom"/>
          </w:tcPr>
          <w:p>
            <w:pPr>
              <w:spacing w:after="0"/>
              <w:rPr>
                <w:sz w:val="21"/>
                <w:szCs w:val="21"/>
                <w:color w:val="auto"/>
              </w:rPr>
            </w:pPr>
          </w:p>
        </w:tc>
        <w:tc>
          <w:tcPr>
            <w:tcW w:w="296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5,936</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4,860</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440" w:right="239" w:bottom="1440" w:gutter="0" w:footer="0" w:header="0"/>
        </w:sectPr>
      </w:pPr>
    </w:p>
    <w:bookmarkStart w:id="13" w:name="page14"/>
    <w:bookmarkEnd w:id="1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5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For the Six Months Ended</w:t>
            </w:r>
          </w:p>
        </w:tc>
        <w:tc>
          <w:tcPr>
            <w:tcW w:w="800" w:type="dxa"/>
            <w:vAlign w:val="bottom"/>
          </w:tcPr>
          <w:p>
            <w:pPr>
              <w:spacing w:after="0"/>
              <w:rPr>
                <w:sz w:val="20"/>
                <w:szCs w:val="20"/>
                <w:color w:val="auto"/>
              </w:rPr>
            </w:pPr>
          </w:p>
        </w:tc>
      </w:tr>
      <w:tr>
        <w:trPr>
          <w:trHeight w:val="270"/>
        </w:trPr>
        <w:tc>
          <w:tcPr>
            <w:tcW w:w="7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1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January 31,</w:t>
            </w:r>
          </w:p>
        </w:tc>
        <w:tc>
          <w:tcPr>
            <w:tcW w:w="800" w:type="dxa"/>
            <w:vAlign w:val="bottom"/>
          </w:tcPr>
          <w:p>
            <w:pPr>
              <w:spacing w:after="0"/>
              <w:rPr>
                <w:sz w:val="23"/>
                <w:szCs w:val="23"/>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7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800" w:type="dxa"/>
            <w:vAlign w:val="bottom"/>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4,917</w:t>
            </w: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7,168</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Increase in Accounts Receivable</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(1,431)</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(5,919)</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(Increase) in 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(Decrease) Increase in Accounts Payable</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(1,232)</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Accrued Expenses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528</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Adjustments</w:t>
            </w:r>
          </w:p>
        </w:tc>
        <w:tc>
          <w:tcPr>
            <w:tcW w:w="1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5,690</w:t>
            </w:r>
          </w:p>
        </w:tc>
        <w:tc>
          <w:tcPr>
            <w:tcW w:w="1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(4,768)</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r>
      <w:tr>
        <w:trPr>
          <w:trHeight w:val="291"/>
        </w:trPr>
        <w:tc>
          <w:tcPr>
            <w:tcW w:w="70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(9,920)</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(6,782)</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of Business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(12,505)</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Dispositions of Investment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11,361</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(8,410)</w:t>
            </w:r>
          </w:p>
        </w:tc>
      </w:tr>
      <w:tr>
        <w:trPr>
          <w:trHeight w:val="291"/>
        </w:trPr>
        <w:tc>
          <w:tcPr>
            <w:tcW w:w="70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Principal Payments on Long-Term Debt</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Paid</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1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w:t>
            </w:r>
          </w:p>
        </w:tc>
      </w:tr>
      <w:tr>
        <w:trPr>
          <w:trHeight w:val="291"/>
        </w:trPr>
        <w:tc>
          <w:tcPr>
            <w:tcW w:w="70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97"/>
        </w:trPr>
        <w:tc>
          <w:tcPr>
            <w:tcW w:w="7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(11,953)</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16,230</w:t>
            </w:r>
          </w:p>
        </w:tc>
        <w:tc>
          <w:tcPr>
            <w:tcW w:w="1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24,035</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138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12,082</w:t>
            </w: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0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color w:val="00497F"/>
        </w:rPr>
        <w:t>(312) 321 1515</w:t>
      </w:r>
    </w:p>
    <w:sectPr>
      <w:pgSz w:w="11900" w:h="16838" w:orient="portrait"/>
      <w:cols w:equalWidth="0" w:num="1">
        <w:col w:w="11340"/>
      </w:cols>
      <w:pgMar w:left="28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2020-01-22T20:33:20Z</dcterms:created>
  <dcterms:modified xsi:type="dcterms:W3CDTF">2020-01-22T20:33:20Z</dcterms:modified>
</cp:coreProperties>
</file>