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8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For the fiscal year ended July 31, 2020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300" w:hanging="247"/>
        <w:spacing w:after="0"/>
        <w:tabs>
          <w:tab w:leader="none" w:pos="3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w:t>
      </w:r>
    </w:p>
    <w:p>
      <w:pPr>
        <w:spacing w:after="0" w:line="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 to _____</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001-12622</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OIL-DRI CORPORATION OF AMERICA</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Delaware36-2048898</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8"/>
        </w:trPr>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2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194"/>
        </w:trPr>
        <w:tc>
          <w:tcPr>
            <w:tcW w:w="4180" w:type="dxa"/>
            <w:vAlign w:val="bottom"/>
            <w:gridSpan w:val="6"/>
          </w:tcPr>
          <w:p>
            <w:pPr>
              <w:ind w:left="1300"/>
              <w:spacing w:after="0" w:line="194" w:lineRule="exact"/>
              <w:rPr>
                <w:sz w:val="20"/>
                <w:szCs w:val="20"/>
                <w:color w:val="auto"/>
              </w:rPr>
            </w:pPr>
            <w:r>
              <w:rPr>
                <w:rFonts w:ascii="Times New Roman" w:cs="Times New Roman" w:eastAsia="Times New Roman" w:hAnsi="Times New Roman"/>
                <w:sz w:val="18"/>
                <w:szCs w:val="18"/>
                <w:color w:val="auto"/>
              </w:rPr>
              <w:t>410 North Michigan Avenue, Suite 400</w:t>
            </w:r>
          </w:p>
        </w:tc>
        <w:tc>
          <w:tcPr>
            <w:tcW w:w="400" w:type="dxa"/>
            <w:vAlign w:val="bottom"/>
          </w:tcPr>
          <w:p>
            <w:pPr>
              <w:spacing w:after="0"/>
              <w:rPr>
                <w:sz w:val="16"/>
                <w:szCs w:val="16"/>
                <w:color w:val="auto"/>
              </w:rPr>
            </w:pPr>
          </w:p>
        </w:tc>
        <w:tc>
          <w:tcPr>
            <w:tcW w:w="2880" w:type="dxa"/>
            <w:vAlign w:val="bottom"/>
            <w:gridSpan w:val="3"/>
          </w:tcPr>
          <w:p>
            <w:pPr>
              <w:ind w:left="280"/>
              <w:spacing w:after="0" w:line="194" w:lineRule="exact"/>
              <w:rPr>
                <w:sz w:val="20"/>
                <w:szCs w:val="20"/>
                <w:color w:val="auto"/>
              </w:rPr>
            </w:pPr>
            <w:r>
              <w:rPr>
                <w:rFonts w:ascii="Times New Roman" w:cs="Times New Roman" w:eastAsia="Times New Roman" w:hAnsi="Times New Roman"/>
                <w:sz w:val="18"/>
                <w:szCs w:val="18"/>
                <w:color w:val="auto"/>
              </w:rPr>
              <w:t>60611-4213</w:t>
            </w:r>
          </w:p>
        </w:tc>
      </w:tr>
      <w:tr>
        <w:trPr>
          <w:trHeight w:val="20"/>
        </w:trPr>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22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Chicago, Illinois</w:t>
            </w:r>
          </w:p>
        </w:tc>
        <w:tc>
          <w:tcPr>
            <w:tcW w:w="328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color w:val="auto"/>
              </w:rPr>
              <w:t>(Zip Code)</w:t>
            </w:r>
          </w:p>
        </w:tc>
      </w:tr>
      <w:tr>
        <w:trPr>
          <w:trHeight w:val="20"/>
        </w:trPr>
        <w:tc>
          <w:tcPr>
            <w:tcW w:w="1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21"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2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$0.10 per share</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ODC</w:t>
            </w:r>
          </w:p>
        </w:tc>
        <w:tc>
          <w:tcPr>
            <w:tcW w:w="42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37" w:lineRule="exact"/>
        <w:rPr>
          <w:sz w:val="24"/>
          <w:szCs w:val="24"/>
          <w:color w:val="auto"/>
        </w:rPr>
      </w:pPr>
    </w:p>
    <w:p>
      <w:pPr>
        <w:ind w:left="510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37" w:lineRule="exact"/>
        <w:rPr>
          <w:sz w:val="24"/>
          <w:szCs w:val="24"/>
          <w:color w:val="auto"/>
        </w:rPr>
      </w:pPr>
    </w:p>
    <w:p>
      <w:pPr>
        <w:ind w:left="512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2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19"/>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79" w:lineRule="exact"/>
        <w:rPr>
          <w:sz w:val="24"/>
          <w:szCs w:val="24"/>
          <w:color w:val="auto"/>
        </w:rPr>
      </w:pPr>
    </w:p>
    <w:p>
      <w:pPr>
        <w:jc w:val="both"/>
        <w:spacing w:after="0" w:line="30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219" w:right="3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35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20" w:type="dxa"/>
            <w:vAlign w:val="bottom"/>
          </w:tcPr>
          <w:p>
            <w:pPr>
              <w:ind w:left="1320"/>
              <w:spacing w:after="0" w:line="221" w:lineRule="exact"/>
              <w:rPr>
                <w:sz w:val="20"/>
                <w:szCs w:val="20"/>
                <w:color w:val="auto"/>
              </w:rPr>
            </w:pPr>
            <w:r>
              <w:rPr>
                <w:rFonts w:ascii="MS PGothic" w:cs="MS PGothic" w:eastAsia="MS PGothic" w:hAnsi="MS PGothic"/>
                <w:sz w:val="22"/>
                <w:szCs w:val="22"/>
                <w:color w:val="auto"/>
              </w:rPr>
              <w:t>☐</w:t>
            </w:r>
          </w:p>
        </w:tc>
        <w:tc>
          <w:tcPr>
            <w:tcW w:w="38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28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36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Accelerated filer</w:t>
            </w:r>
          </w:p>
        </w:tc>
        <w:tc>
          <w:tcPr>
            <w:tcW w:w="3120" w:type="dxa"/>
            <w:vAlign w:val="bottom"/>
          </w:tcPr>
          <w:p>
            <w:pPr>
              <w:ind w:left="1320"/>
              <w:spacing w:after="0" w:line="251" w:lineRule="exact"/>
              <w:rPr>
                <w:sz w:val="20"/>
                <w:szCs w:val="20"/>
                <w:color w:val="auto"/>
              </w:rPr>
            </w:pPr>
            <w:r>
              <w:rPr>
                <w:rFonts w:ascii="MS PGothic" w:cs="MS PGothic" w:eastAsia="MS PGothic" w:hAnsi="MS PGothic"/>
                <w:sz w:val="25"/>
                <w:szCs w:val="25"/>
                <w:color w:val="auto"/>
              </w:rPr>
              <w:t>☒</w:t>
            </w:r>
          </w:p>
        </w:tc>
        <w:tc>
          <w:tcPr>
            <w:tcW w:w="38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90"/>
              </w:rPr>
              <w:t>☐</w:t>
            </w:r>
          </w:p>
        </w:tc>
      </w:tr>
      <w:tr>
        <w:trPr>
          <w:trHeight w:val="33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20" w:type="dxa"/>
            <w:vAlign w:val="bottom"/>
          </w:tcPr>
          <w:p>
            <w:pPr>
              <w:ind w:left="1320"/>
              <w:spacing w:after="0" w:line="221" w:lineRule="exact"/>
              <w:rPr>
                <w:sz w:val="20"/>
                <w:szCs w:val="20"/>
                <w:color w:val="auto"/>
              </w:rPr>
            </w:pPr>
            <w:r>
              <w:rPr>
                <w:rFonts w:ascii="MS PGothic" w:cs="MS PGothic" w:eastAsia="MS PGothic" w:hAnsi="MS PGothic"/>
                <w:sz w:val="22"/>
                <w:szCs w:val="22"/>
                <w:color w:val="auto"/>
              </w:rPr>
              <w:t>☐</w:t>
            </w: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1" w:lineRule="exact"/>
        <w:rPr>
          <w:sz w:val="20"/>
          <w:szCs w:val="20"/>
          <w:color w:val="auto"/>
        </w:rPr>
      </w:pPr>
    </w:p>
    <w:p>
      <w:pPr>
        <w:jc w:val="both"/>
        <w:ind w:right="20" w:firstLine="49"/>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2" w:lineRule="exact"/>
        <w:rPr>
          <w:sz w:val="20"/>
          <w:szCs w:val="20"/>
          <w:color w:val="auto"/>
        </w:rPr>
      </w:pPr>
    </w:p>
    <w:p>
      <w:pPr>
        <w:jc w:val="both"/>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5"/>
          <w:szCs w:val="25"/>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3" w:lineRule="exact"/>
        <w:rPr>
          <w:sz w:val="20"/>
          <w:szCs w:val="20"/>
          <w:color w:val="auto"/>
        </w:rPr>
      </w:pPr>
    </w:p>
    <w:p>
      <w:pPr>
        <w:ind w:left="510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Oil-Dri’s Common Stock owned by non-affiliates as of January 31, 2020 was $193,493,002.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each class of Oil-Dri’s capital stock outstanding as of September 30, 2020:</w:t>
      </w:r>
    </w:p>
    <w:p>
      <w:pPr>
        <w:spacing w:after="0" w:line="27" w:lineRule="exact"/>
        <w:rPr>
          <w:sz w:val="20"/>
          <w:szCs w:val="20"/>
          <w:color w:val="auto"/>
        </w:rPr>
      </w:pPr>
    </w:p>
    <w:p>
      <w:pPr>
        <w:spacing w:after="0"/>
        <w:tabs>
          <w:tab w:leader="none" w:pos="2860" w:val="left"/>
          <w:tab w:leader="none" w:pos="5640" w:val="left"/>
        </w:tabs>
        <w:rPr>
          <w:sz w:val="20"/>
          <w:szCs w:val="20"/>
          <w:color w:val="auto"/>
        </w:rPr>
      </w:pPr>
      <w:r>
        <w:rPr>
          <w:rFonts w:ascii="Times New Roman" w:cs="Times New Roman" w:eastAsia="Times New Roman" w:hAnsi="Times New Roman"/>
          <w:sz w:val="18"/>
          <w:szCs w:val="18"/>
          <w:color w:val="auto"/>
        </w:rPr>
        <w:t>Common Stock – 5,383,876 shares</w:t>
      </w:r>
      <w:r>
        <w:rPr>
          <w:sz w:val="20"/>
          <w:szCs w:val="20"/>
          <w:color w:val="auto"/>
        </w:rPr>
        <w:tab/>
      </w:r>
      <w:r>
        <w:rPr>
          <w:rFonts w:ascii="Times New Roman" w:cs="Times New Roman" w:eastAsia="Times New Roman" w:hAnsi="Times New Roman"/>
          <w:sz w:val="18"/>
          <w:szCs w:val="18"/>
          <w:color w:val="auto"/>
        </w:rPr>
        <w:t>Class B Stock – 2,078,283 shares</w:t>
      </w:r>
      <w:r>
        <w:rPr>
          <w:sz w:val="20"/>
          <w:szCs w:val="20"/>
          <w:color w:val="auto"/>
        </w:rPr>
        <w:tab/>
      </w:r>
      <w:r>
        <w:rPr>
          <w:rFonts w:ascii="Times New Roman" w:cs="Times New Roman" w:eastAsia="Times New Roman" w:hAnsi="Times New Roman"/>
          <w:sz w:val="17"/>
          <w:szCs w:val="17"/>
          <w:color w:val="auto"/>
        </w:rPr>
        <w:t>Class A Common Stock – 0 shares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Oil-Dri’s Proxy Statement for its 2020 Annual Meeting of Stockholders (“Proxy Statement”), which will be filed with the Securities and Exchange Commission (“SEC”) not later than November 28, 2020 (120 days after the end of Oil-Dri’s fiscal year ended July 31, 2020), are incorporated into Part III of this Annual Report on Form 10-K, as indicated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5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8460" w:type="dxa"/>
            <w:vAlign w:val="bottom"/>
          </w:tcPr>
          <w:p>
            <w:pPr>
              <w:jc w:val="center"/>
              <w:ind w:left="1571"/>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000" w:type="dxa"/>
            <w:vAlign w:val="bottom"/>
          </w:tcPr>
          <w:p>
            <w:pPr>
              <w:spacing w:after="0"/>
              <w:rPr>
                <w:sz w:val="20"/>
                <w:szCs w:val="20"/>
                <w:color w:val="auto"/>
              </w:rPr>
            </w:pPr>
          </w:p>
        </w:tc>
      </w:tr>
      <w:tr>
        <w:trPr>
          <w:trHeight w:val="412"/>
        </w:trPr>
        <w:tc>
          <w:tcPr>
            <w:tcW w:w="3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Item</w:t>
            </w:r>
          </w:p>
        </w:tc>
        <w:tc>
          <w:tcPr>
            <w:tcW w:w="2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rPr>
              <w:t>Page</w:t>
            </w: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shd w:val="clear" w:color="auto" w:fill="CCEEFF"/>
          </w:tcPr>
          <w:p>
            <w:pPr>
              <w:jc w:val="center"/>
              <w:ind w:left="1591"/>
              <w:spacing w:after="0"/>
              <w:rPr>
                <w:rFonts w:ascii="Times New Roman" w:cs="Times New Roman" w:eastAsia="Times New Roman" w:hAnsi="Times New Roman"/>
                <w:sz w:val="18"/>
                <w:szCs w:val="18"/>
                <w:b w:val="1"/>
                <w:bCs w:val="1"/>
                <w:color w:val="0000EE"/>
                <w:w w:val="95"/>
              </w:rPr>
            </w:pPr>
            <w:hyperlink w:anchor="page5">
              <w:r>
                <w:rPr>
                  <w:rFonts w:ascii="Times New Roman" w:cs="Times New Roman" w:eastAsia="Times New Roman" w:hAnsi="Times New Roman"/>
                  <w:sz w:val="18"/>
                  <w:szCs w:val="18"/>
                  <w:b w:val="1"/>
                  <w:bCs w:val="1"/>
                  <w:color w:val="0000EE"/>
                  <w:w w:val="95"/>
                </w:rPr>
                <w:t>PART I</w:t>
              </w:r>
            </w:hyperlink>
          </w:p>
        </w:tc>
        <w:tc>
          <w:tcPr>
            <w:tcW w:w="200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5</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1A.</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Risk Factors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11</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Unresolved Staff Comments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19</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Properties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20</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23</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84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0000FF"/>
              </w:rPr>
              <w:t>Mine Safety Disclosure</w:t>
            </w:r>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23</w:t>
              </w:r>
            </w:hyperlink>
          </w:p>
        </w:tc>
      </w:tr>
      <w:tr>
        <w:trPr>
          <w:trHeight w:val="203"/>
        </w:trPr>
        <w:tc>
          <w:tcPr>
            <w:tcW w:w="30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shd w:val="clear" w:color="auto" w:fill="CCEEFF"/>
          </w:tcPr>
          <w:p>
            <w:pPr>
              <w:jc w:val="center"/>
              <w:ind w:left="1591"/>
              <w:spacing w:after="0"/>
              <w:rPr>
                <w:rFonts w:ascii="Times New Roman" w:cs="Times New Roman" w:eastAsia="Times New Roman" w:hAnsi="Times New Roman"/>
                <w:sz w:val="18"/>
                <w:szCs w:val="18"/>
                <w:b w:val="1"/>
                <w:bCs w:val="1"/>
                <w:color w:val="0000EE"/>
                <w:w w:val="97"/>
              </w:rPr>
            </w:pPr>
            <w:hyperlink w:anchor="page24">
              <w:r>
                <w:rPr>
                  <w:rFonts w:ascii="Times New Roman" w:cs="Times New Roman" w:eastAsia="Times New Roman" w:hAnsi="Times New Roman"/>
                  <w:sz w:val="18"/>
                  <w:szCs w:val="18"/>
                  <w:b w:val="1"/>
                  <w:bCs w:val="1"/>
                  <w:color w:val="0000EE"/>
                  <w:w w:val="97"/>
                </w:rPr>
                <w:t>PART II</w:t>
              </w:r>
            </w:hyperlink>
          </w:p>
        </w:tc>
        <w:tc>
          <w:tcPr>
            <w:tcW w:w="200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25"/>
        </w:trPr>
        <w:tc>
          <w:tcPr>
            <w:tcW w:w="300" w:type="dxa"/>
            <w:vAlign w:val="bottom"/>
            <w:shd w:val="clear" w:color="auto" w:fill="CCEEFF"/>
          </w:tcPr>
          <w:p>
            <w:pPr>
              <w:spacing w:after="0"/>
              <w:rPr>
                <w:sz w:val="19"/>
                <w:szCs w:val="19"/>
                <w:color w:val="auto"/>
              </w:rPr>
            </w:pPr>
          </w:p>
        </w:tc>
        <w:tc>
          <w:tcPr>
            <w:tcW w:w="8460" w:type="dxa"/>
            <w:vAlign w:val="bottom"/>
            <w:shd w:val="clear" w:color="auto" w:fill="CCEEFF"/>
          </w:tcPr>
          <w:p>
            <w:pPr>
              <w:ind w:left="90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Market for Registrant's Common Equity, Related Stockholder Matters and Issuer Purchases of</w:t>
              </w:r>
            </w:hyperlink>
          </w:p>
        </w:tc>
        <w:tc>
          <w:tcPr>
            <w:tcW w:w="2000" w:type="dxa"/>
            <w:vAlign w:val="bottom"/>
            <w:shd w:val="clear" w:color="auto" w:fill="CCEEFF"/>
          </w:tcPr>
          <w:p>
            <w:pPr>
              <w:spacing w:after="0"/>
              <w:rPr>
                <w:sz w:val="19"/>
                <w:szCs w:val="19"/>
                <w:color w:val="auto"/>
              </w:rPr>
            </w:pPr>
          </w:p>
        </w:tc>
      </w:tr>
      <w:tr>
        <w:trPr>
          <w:trHeight w:val="241"/>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Equity Securities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24</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25</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Financial Statements and Supplementary Data</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35</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Management's Report on Internal Control Over Financial Reporting</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65</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Report of Independent Registered Public Accounting Firm</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66</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68</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9A.</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Controls and Procedures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68</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Other Information</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68</w:t>
              </w:r>
            </w:hyperlink>
          </w:p>
        </w:tc>
      </w:tr>
      <w:tr>
        <w:trPr>
          <w:trHeight w:val="203"/>
        </w:trPr>
        <w:tc>
          <w:tcPr>
            <w:tcW w:w="30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shd w:val="clear" w:color="auto" w:fill="CCEEFF"/>
          </w:tcPr>
          <w:p>
            <w:pPr>
              <w:jc w:val="center"/>
              <w:ind w:left="1571"/>
              <w:spacing w:after="0"/>
              <w:rPr>
                <w:rFonts w:ascii="Times New Roman" w:cs="Times New Roman" w:eastAsia="Times New Roman" w:hAnsi="Times New Roman"/>
                <w:sz w:val="18"/>
                <w:szCs w:val="18"/>
                <w:b w:val="1"/>
                <w:bCs w:val="1"/>
                <w:color w:val="0000EE"/>
                <w:w w:val="96"/>
              </w:rPr>
            </w:pPr>
            <w:hyperlink w:anchor="page69">
              <w:r>
                <w:rPr>
                  <w:rFonts w:ascii="Times New Roman" w:cs="Times New Roman" w:eastAsia="Times New Roman" w:hAnsi="Times New Roman"/>
                  <w:sz w:val="18"/>
                  <w:szCs w:val="18"/>
                  <w:b w:val="1"/>
                  <w:bCs w:val="1"/>
                  <w:color w:val="0000EE"/>
                  <w:w w:val="96"/>
                </w:rPr>
                <w:t>PART III</w:t>
              </w:r>
            </w:hyperlink>
          </w:p>
        </w:tc>
        <w:tc>
          <w:tcPr>
            <w:tcW w:w="200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Directors, Executive Officers and Corporate Governance</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69</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Executive Compensation</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69</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25"/>
        </w:trPr>
        <w:tc>
          <w:tcPr>
            <w:tcW w:w="300" w:type="dxa"/>
            <w:vAlign w:val="bottom"/>
            <w:shd w:val="clear" w:color="auto" w:fill="CCEEFF"/>
          </w:tcPr>
          <w:p>
            <w:pPr>
              <w:spacing w:after="0"/>
              <w:rPr>
                <w:sz w:val="19"/>
                <w:szCs w:val="19"/>
                <w:color w:val="auto"/>
              </w:rPr>
            </w:pPr>
          </w:p>
        </w:tc>
        <w:tc>
          <w:tcPr>
            <w:tcW w:w="8460" w:type="dxa"/>
            <w:vAlign w:val="bottom"/>
            <w:shd w:val="clear" w:color="auto" w:fill="CCEEFF"/>
          </w:tcPr>
          <w:p>
            <w:pPr>
              <w:ind w:left="90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Security Ownership of Certain Beneficial Owners and Management and Related Stockholder</w:t>
              </w:r>
            </w:hyperlink>
          </w:p>
        </w:tc>
        <w:tc>
          <w:tcPr>
            <w:tcW w:w="2000" w:type="dxa"/>
            <w:vAlign w:val="bottom"/>
            <w:shd w:val="clear" w:color="auto" w:fill="CCEEFF"/>
          </w:tcPr>
          <w:p>
            <w:pPr>
              <w:spacing w:after="0"/>
              <w:rPr>
                <w:sz w:val="19"/>
                <w:szCs w:val="19"/>
                <w:color w:val="auto"/>
              </w:rPr>
            </w:pPr>
          </w:p>
        </w:tc>
      </w:tr>
      <w:tr>
        <w:trPr>
          <w:trHeight w:val="241"/>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Matters</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69</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8460" w:type="dxa"/>
            <w:vAlign w:val="bottom"/>
            <w:tcBorders>
              <w:bottom w:val="single" w:sz="8" w:color="CCEEFF"/>
            </w:tcBorders>
            <w:shd w:val="clear" w:color="auto" w:fill="CCEEFF"/>
          </w:tcPr>
          <w:p>
            <w:pPr>
              <w:ind w:left="90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Certain Relationships and Related Transactions, and Director Independence</w:t>
              </w:r>
            </w:hyperlink>
          </w:p>
        </w:tc>
        <w:tc>
          <w:tcPr>
            <w:tcW w:w="20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69</w:t>
              </w:r>
            </w:hyperlink>
          </w:p>
        </w:tc>
      </w:tr>
      <w:tr>
        <w:trPr>
          <w:trHeight w:val="270"/>
        </w:trPr>
        <w:tc>
          <w:tcPr>
            <w:tcW w:w="30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4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8460" w:type="dxa"/>
            <w:vAlign w:val="bottom"/>
            <w:shd w:val="clear" w:color="auto" w:fill="CCEEFF"/>
          </w:tcPr>
          <w:p>
            <w:pPr>
              <w:ind w:left="90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Principal Accountant Fees and Services</w:t>
              </w:r>
            </w:hyperlink>
          </w:p>
        </w:tc>
        <w:tc>
          <w:tcPr>
            <w:tcW w:w="20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69</w:t>
              </w:r>
            </w:hyperlink>
          </w:p>
        </w:tc>
      </w:tr>
      <w:tr>
        <w:trPr>
          <w:trHeight w:val="27"/>
        </w:trPr>
        <w:tc>
          <w:tcPr>
            <w:tcW w:w="300" w:type="dxa"/>
            <w:vAlign w:val="bottom"/>
            <w:shd w:val="clear" w:color="auto" w:fill="CCEEFF"/>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760"/>
          </w:cols>
          <w:pgMar w:left="580" w:top="33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60"/>
          </w:cols>
          <w:pgMar w:left="580" w:top="333" w:right="559" w:bottom="144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782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CONTENTS (CONTINUED)</w:t>
            </w:r>
          </w:p>
        </w:tc>
        <w:tc>
          <w:tcPr>
            <w:tcW w:w="2540" w:type="dxa"/>
            <w:vAlign w:val="bottom"/>
          </w:tcPr>
          <w:p>
            <w:pPr>
              <w:spacing w:after="0"/>
              <w:rPr>
                <w:sz w:val="20"/>
                <w:szCs w:val="20"/>
                <w:color w:val="auto"/>
              </w:rPr>
            </w:pPr>
          </w:p>
        </w:tc>
      </w:tr>
      <w:tr>
        <w:trPr>
          <w:trHeight w:val="412"/>
        </w:trPr>
        <w:tc>
          <w:tcPr>
            <w:tcW w:w="4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Item</w:t>
            </w:r>
          </w:p>
        </w:tc>
        <w:tc>
          <w:tcPr>
            <w:tcW w:w="25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rPr>
              <w:t>Page</w:t>
            </w: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jc w:val="center"/>
              <w:ind w:left="2010"/>
              <w:spacing w:after="0"/>
              <w:rPr>
                <w:rFonts w:ascii="Times New Roman" w:cs="Times New Roman" w:eastAsia="Times New Roman" w:hAnsi="Times New Roman"/>
                <w:sz w:val="18"/>
                <w:szCs w:val="18"/>
                <w:b w:val="1"/>
                <w:bCs w:val="1"/>
                <w:color w:val="0000EE"/>
                <w:w w:val="97"/>
              </w:rPr>
            </w:pPr>
            <w:hyperlink w:anchor="page71">
              <w:r>
                <w:rPr>
                  <w:rFonts w:ascii="Times New Roman" w:cs="Times New Roman" w:eastAsia="Times New Roman" w:hAnsi="Times New Roman"/>
                  <w:sz w:val="18"/>
                  <w:szCs w:val="18"/>
                  <w:b w:val="1"/>
                  <w:bCs w:val="1"/>
                  <w:color w:val="0000EE"/>
                  <w:w w:val="97"/>
                </w:rPr>
                <w:t>PART IV</w:t>
              </w:r>
            </w:hyperlink>
          </w:p>
        </w:tc>
        <w:tc>
          <w:tcPr>
            <w:tcW w:w="254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50"/>
        </w:trPr>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15</w:t>
            </w:r>
          </w:p>
        </w:tc>
        <w:tc>
          <w:tcPr>
            <w:tcW w:w="7820" w:type="dxa"/>
            <w:vAlign w:val="bottom"/>
            <w:tcBorders>
              <w:bottom w:val="single" w:sz="8" w:color="CCEEFF"/>
            </w:tcBorders>
            <w:shd w:val="clear" w:color="auto" w:fill="CCEEFF"/>
          </w:tcPr>
          <w:p>
            <w:pPr>
              <w:ind w:left="800"/>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Exhibits and Financial Statement Schedule</w:t>
              </w:r>
            </w:hyperlink>
          </w:p>
        </w:tc>
        <w:tc>
          <w:tcPr>
            <w:tcW w:w="2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71</w:t>
              </w:r>
            </w:hyperlink>
          </w:p>
        </w:tc>
      </w:tr>
      <w:tr>
        <w:trPr>
          <w:trHeight w:val="270"/>
        </w:trPr>
        <w:tc>
          <w:tcPr>
            <w:tcW w:w="400" w:type="dxa"/>
            <w:vAlign w:val="bottom"/>
          </w:tcPr>
          <w:p>
            <w:pPr>
              <w:spacing w:after="0"/>
              <w:rPr>
                <w:sz w:val="23"/>
                <w:szCs w:val="23"/>
                <w:color w:val="auto"/>
              </w:rPr>
            </w:pPr>
          </w:p>
        </w:tc>
        <w:tc>
          <w:tcPr>
            <w:tcW w:w="782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ind w:left="800"/>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Signatures</w:t>
              </w:r>
            </w:hyperlink>
          </w:p>
        </w:tc>
        <w:tc>
          <w:tcPr>
            <w:tcW w:w="2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76</w:t>
              </w:r>
            </w:hyperlink>
          </w:p>
        </w:tc>
      </w:tr>
      <w:tr>
        <w:trPr>
          <w:trHeight w:val="270"/>
        </w:trPr>
        <w:tc>
          <w:tcPr>
            <w:tcW w:w="400" w:type="dxa"/>
            <w:vAlign w:val="bottom"/>
          </w:tcPr>
          <w:p>
            <w:pPr>
              <w:spacing w:after="0"/>
              <w:rPr>
                <w:sz w:val="23"/>
                <w:szCs w:val="23"/>
                <w:color w:val="auto"/>
              </w:rPr>
            </w:pPr>
          </w:p>
        </w:tc>
        <w:tc>
          <w:tcPr>
            <w:tcW w:w="782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ind w:left="800"/>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Schedule II - Valuation and Qualifying Accounts</w:t>
              </w:r>
            </w:hyperlink>
          </w:p>
        </w:tc>
        <w:tc>
          <w:tcPr>
            <w:tcW w:w="2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78</w:t>
              </w:r>
            </w:hyperlink>
          </w:p>
        </w:tc>
      </w:tr>
      <w:tr>
        <w:trPr>
          <w:trHeight w:val="270"/>
        </w:trPr>
        <w:tc>
          <w:tcPr>
            <w:tcW w:w="400" w:type="dxa"/>
            <w:vAlign w:val="bottom"/>
          </w:tcPr>
          <w:p>
            <w:pPr>
              <w:spacing w:after="0"/>
              <w:rPr>
                <w:sz w:val="23"/>
                <w:szCs w:val="23"/>
                <w:color w:val="auto"/>
              </w:rPr>
            </w:pPr>
          </w:p>
        </w:tc>
        <w:tc>
          <w:tcPr>
            <w:tcW w:w="782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ind w:left="800"/>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Exhibit Index</w:t>
              </w:r>
            </w:hyperlink>
          </w:p>
        </w:tc>
        <w:tc>
          <w:tcPr>
            <w:tcW w:w="25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79</w:t>
              </w:r>
            </w:hyperlink>
          </w:p>
        </w:tc>
      </w:tr>
      <w:tr>
        <w:trPr>
          <w:trHeight w:val="432"/>
        </w:trPr>
        <w:tc>
          <w:tcPr>
            <w:tcW w:w="400" w:type="dxa"/>
            <w:vAlign w:val="bottom"/>
          </w:tcPr>
          <w:p>
            <w:pPr>
              <w:spacing w:after="0"/>
              <w:rPr>
                <w:sz w:val="24"/>
                <w:szCs w:val="24"/>
                <w:color w:val="auto"/>
              </w:rPr>
            </w:pPr>
          </w:p>
        </w:tc>
        <w:tc>
          <w:tcPr>
            <w:tcW w:w="78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FORWARD-LOOKING STATEMENTS</w:t>
            </w:r>
          </w:p>
        </w:tc>
        <w:tc>
          <w:tcPr>
            <w:tcW w:w="2540" w:type="dxa"/>
            <w:vAlign w:val="bottom"/>
          </w:tcPr>
          <w:p>
            <w:pPr>
              <w:spacing w:after="0"/>
              <w:rPr>
                <w:sz w:val="24"/>
                <w:szCs w:val="24"/>
                <w:color w:val="auto"/>
              </w:rPr>
            </w:pPr>
          </w:p>
        </w:tc>
      </w:tr>
    </w:tbl>
    <w:p>
      <w:pPr>
        <w:spacing w:after="0" w:line="225"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“foresee,” and variations of such words and similar expressions are intended to identify such forward-looking statements, which are made pursuant to the safe harbor provisions of the Private Securities Litigation Reform Act of 1995.</w:t>
      </w:r>
    </w:p>
    <w:p>
      <w:pPr>
        <w:spacing w:after="0" w:line="191"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color w:val="auto"/>
        </w:rPr>
        <w:t>Agsorb, Amlan, Calibrin, Cat’s Pride, ConditionAde, Flo-Fre, Fresh &amp; Light, Jonny Cat, KatKit, MD-09, NeoPrime, Oil-Dri, Pel-Unite, Perform, Pro Mound, Pro's Choice Sports Field Products, Pure-Flo, Rapid Dry, Select, Terra-Green, Ultra-Clear, Varium and Verge are all U.S. registered trademarks of Oil-Dri Corporation of America or of its subsidiaries. Saular is a Canadian registered trademark of Oil-Dri Corporation of America. Fresh Step is a registered trademark of The Clorox Company (“Clorox”).</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USINESS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or our “minerals.”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are Pure-Flo, Perform and Select bleaching clay products, which act as a filtration media for edible oils, fats and tallows. Also, our Ultra-Clear product serves as a purification aid for petroleum-based oils and by-products. We also sell nonclay-based products, such as our Oil-Dri synthetic sorbents used for industrial cleanup and plastic cat litter box liners. Our principal products are described in more detail below.</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recent business developments, see “Management’s Discussion and Analysis of Financial Condition and Results of Operations,” in Part II, Item 7,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produce a wide range of granules and powders used to enhance agricultural and horticultural products. Our mineral-based absorbent products serve as carriers for biological and chemical active ingredients, drying agents, and growing media. Our brands include: Agsorb, an agricultural and horticultural carrier and drying agent; Verge, an engineered granule used as a carrier and drying agent; and Flo-Fre, a highly absorbent microgranule used as a flowability aid.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Agsorb and Verge carriers are used in products that are alternatives to liquid sprays. These products are sold for lawn and garden and row crop applications. The clay granules absorb active ingredients and are then delivered directly into, or on top of, the ground providing a more precise application than liquid sprays. Verge carriers are spherical, uniform-sized granules with very low dust. Agsorb drying agent is blended into fertilizer-pesticide blends applied to absorb moisture and improve flowability. Flo-Fre microgranules are used by grain processors and other large handlers of bulk products to soak up excess moisture, which prevents caking. These products are sold primarily in the United States by our technical sales force.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produce, or use contract processors to produce, Amlan brand name and private label products that manage the health and improve productivity of species in livestock industries. For example, our products provide a number of solutions to health challenges of swine, poultry and dairy cattle. Our Calibrin products are used in animal feed to help animals defend against a broad spectrum of biotoxins. Our Varium and Neoprime products promote intestinal health in poultry and swine, respectively. Our MD-09 moisture manager product is another feed additive for the reduction of wet droppings in poultry. In addition, our Pel-Unite and Pel-Unite Plus products are specialized animal feed pellet binders.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animal health and nutrition products are sold both directly and through a network of distributors to livestock producers, feed mill operators, nutritionists and veterinarians in the United States, Latin America, Africa, Mexico, the Middle East and Asia. The sales force for our subsidiary located in Shenzhen, China also sells these products, as further described in Foreign Operations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Bleaching Clay and Purification Aid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produce an array of products for bleaching, purification and filtration applications that are used around the world by edible oil processors, as well as by refiners of jet fuel and other petroleum-based products.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also be used to prepare oil prior to the creation of biodiesel fuel.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Cat Litter Products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produce two types of mineral-based cat litter products, scoopable and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superior performance with the added convenience of being lighter to carry and pour.</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Branded products</w:t>
      </w:r>
      <w:r>
        <w:rPr>
          <w:rFonts w:ascii="Times New Roman" w:cs="Times New Roman" w:eastAsia="Times New Roman" w:hAnsi="Times New Roman"/>
          <w:sz w:val="18"/>
          <w:szCs w:val="18"/>
          <w:color w:val="auto"/>
        </w:rPr>
        <w:t>. Our scoopable and non-clumping litters are sold under our Cat’s Pride and Jonny Cat brand names. Our Cat's Pride litters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the lightweight segment of the scoopable litter market. In addition, we offer our non-clumping litter in a pre-packaged, disposable tray under the Cat’s Pride KatKit and Jonny Cat brands. Moreover, we offer litter box liners under the Cat's Pride and Jonny Cat product lines. These products are sold through independent food brokers and by our sales force to major grocery, drug, dollar store, mass-merchandiser and pet outlets, as well as through e-commerce.</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label products. </w:t>
      </w:r>
      <w:r>
        <w:rPr>
          <w:rFonts w:ascii="Times New Roman" w:cs="Times New Roman" w:eastAsia="Times New Roman" w:hAnsi="Times New Roman"/>
          <w:sz w:val="18"/>
          <w:szCs w:val="18"/>
          <w:color w:val="auto"/>
        </w:rPr>
        <w:t>We produce private label scoopable and non-clumping cat litters. Our lightweight scoopable litters lead our private label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 litter offerings.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Co-packaged products. </w:t>
      </w:r>
      <w:r>
        <w:rPr>
          <w:rFonts w:ascii="Times New Roman" w:cs="Times New Roman" w:eastAsia="Times New Roman" w:hAnsi="Times New Roman"/>
          <w:sz w:val="18"/>
          <w:szCs w:val="18"/>
          <w:color w:val="auto"/>
        </w:rPr>
        <w:t>We have a long-term supply arrangement with Clorox (which is material to our business) under which we manufacture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non-clumping litters. Under this co-manufacturing relationship, the marketer controls all aspects of sales, marketing, and distribution, as well as the odor control formula, and we are responsible for manufacturing. Under the long-term supply agreement with Clorox we have the exclusive right to supply Clorox’s requirements for Fresh Step coarse cat litter up to certain levels.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Industrial and Automotive Products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and/or sell products made from clay, polypropylene and recycled materials that absorb oil, acid, paint, ink, water and other liquids. These products have industrial, automotive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recycled products are sold in various forms, such as pads, rolls, socks, booms and spill kits.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Industrial and automotive sorbent products are sold through distribution networks that includes industrial, auto parts, safety, sanitary supply, chemical and paper distributors. These products are also sold through environmental service companies, mass-merchandisers, catalogs and through e-commerce.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Sports Products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 sell both branded and private label sports products. Pro’s Choice Sports Field Products are used on baseball, softball, football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infield. Sports products are used at all levels of play, including professional, college and high school and on municipal fields. These products are sold through distributors of sport turf materials as well as to sports field product users.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EGMENTS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direct customers through e-commerce, distributors of industrial cleanup and automotive products, environmental service companies and users of sports field products and sports turf materials.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Certain financial information on both segments is contained in Note 2 of the Notes to the Consolidated Financial Statements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foreign operations are located in Canada and the United Kingdom, which are included in the Retail and Wholesale Products Group, and China, Switzerland, Mexico and Indonesia, which are included in the Business to Business Products Group.</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and plastic containment products.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Amlan Trading (Shenzhen) Company, Ltd., located in Shenzhen, China, is dedicated to animal health and provides natural disease management solutions for livestock. This subsidiary sells animal health and nutrition products under our Amlan brand name and under private label arrangements.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wholly-owned subsidiary, Oil-Dri SARL, is a Swiss company that performs various management, customer service and administrative functions for some of the international customers of our domestic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own a 78.4% interest in a distributor in Mexico, Agromex Importaciones, S.A de C.V. This distributor sells, among other products, our animal health and nutrition products and swine feeding equipment and swine fertilization supplies.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2018, a new wholly-owned subsidiary in Indonesia, PT Amlan Perdagangan Internasional, started operations to distribute our animal health and nutrition products.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2 of the Notes to the Consolidated Financial Statements, which contains certain financial information about our foreign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USTOMERS</w:t>
      </w:r>
    </w:p>
    <w:p>
      <w:pPr>
        <w:spacing w:after="0" w:line="2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Sales to Wal-Mart Stores, Inc. (“Walmart”) and its affiliates accounted for approximately 19% and 20% of our total net sales for fiscal years 2020 and 2019, respectively. Walmart is a customer in our Retail and Wholesale Products Group. There are no customers in the Business to Business Products Group with sales equal to or greater than 10% of our total sales; however, sales to Clorox (a customer in our Business to Business Products Group) and its affiliates accounted for approximately 5% of total net sales for both fiscal years 2020 and 2019. The degree of margin contribution of our significant customers in the Business to Business Products Group varies, with certain customers having a greater effect on our operating results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 loss of any customer other than those described in this paragraph would not be expected to have a material adverse effect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OMPETITION</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six principal competitors in our Retail and Wholesale Products Group, including one which is also our customer. The overall cat litter market has grown in recent years. The overwhelming majority of all cat litter is mineral based, including both scoopable and coarse non-clumping litters. Cat litters based on alternative strata such as paper, various agricultural waste products and silica gels have niche positions. Scoopable products have a majority of the cat litter market share followed by coarse non-clumping litters. The market share for scoopable cat litter has been growing, while the coarse non-clumping litter share has remained stable.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significant competition to attract cat litter consumers across multi-outlet channels, including grocery, mass-merchandiser, dollar, pet and drug stores, as well as through e-commerce. Competition for the scoopable litter market has been particularly intense with new product offerings and increased advertising and promotions by our competitors and by us. We provide our customers with product innovation, a nation-wide distribution network and strong customer service. Our exceptional sales and research and development teams give us a further advantage over smaller and regional manufacturers.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six principal competitors in our Business to Business Products Group.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ATENTS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patents are currently granted for a term of 20 years from the date the patent application is filed. We have obtained or applied for patents for certain of our processes and products sold to customers in both the Retail and Wholesale Products Group and the Business to Business Products Group. Our patents are highly important to our business and we vigorously protect them from apparent infringement, although no single patent is considered material to the business as a whole. The risks associated with our patents (and intellectual property, generally), are discussed in Item 1A,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ACKLOG</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EASONALITY</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July 31, 2020 and 2019, the value of our backlog of orders were approximately $15,692,000 and $11,680,000, respectively. This value was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FFECTS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NFLATION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for further discussion of these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ESERVES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mine our clay on leased or owned land near our manufacturing facilities in Mississippi, Georgia, Illinois and California; we also have reserves in Nevada, Oregon and Tennessee. We estimate that our proven mineral reserves as of July 31, 2020 were approximately 103,627,000 tons in aggregate and our probable reserves were approximately 177,074,000 tons in aggregate, for a total of 280,701,000 tons of mineral reserves. Based on our rate of consumption during fiscal year 2020,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are reflected at cost on our balance sheet.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2020, we utilized these reserves to produce substantially all of the sorbent products that we sold.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geologists and mineral specialists who estimate and evaluate existing and potential reserves in terms of quality, quantity and availability.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INING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schedule summarizes the net book value of land and other plant and equipment for each of our manufacturing facilities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2020 (in thousands):</w:t>
      </w:r>
    </w:p>
    <w:p>
      <w:pPr>
        <w:spacing w:after="0" w:line="149" w:lineRule="exact"/>
        <w:rPr>
          <w:sz w:val="20"/>
          <w:szCs w:val="20"/>
          <w:color w:val="auto"/>
        </w:rPr>
      </w:pPr>
    </w:p>
    <w:tbl>
      <w:tblPr>
        <w:tblLayout w:type="fixed"/>
        <w:tblInd w:w="248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Land &amp; Mineral</w:t>
            </w:r>
          </w:p>
        </w:tc>
        <w:tc>
          <w:tcPr>
            <w:tcW w:w="20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Plant and</w:t>
            </w:r>
          </w:p>
        </w:tc>
      </w:tr>
      <w:tr>
        <w:trPr>
          <w:trHeight w:val="238"/>
        </w:trPr>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Equipment</w:t>
            </w:r>
          </w:p>
        </w:tc>
      </w:tr>
      <w:tr>
        <w:trPr>
          <w:trHeight w:val="27"/>
        </w:trPr>
        <w:tc>
          <w:tcPr>
            <w:tcW w:w="3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w:t>
            </w: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w:t>
            </w:r>
          </w:p>
        </w:tc>
      </w:tr>
      <w:tr>
        <w:trPr>
          <w:trHeight w:val="24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Mississippi</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r>
      <w:tr>
        <w:trPr>
          <w:trHeight w:val="24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year 2020, we had approximately 803 employees, who we refer to as our teammates, 42 of whom were employed by our foreign subsidiaries. We believe our corporate offices, research and development center and manufacturing facilities are adequately staffed and no material labor shortages are anticipated. Approximately 45 of our teammates in the U.S. and approximately 14 of our teammates in Canada are represented by labor unions, with whom we have entered into separate collective bargaining agreements. We consider our employee relations to be satisfactory.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NVIRONMENTAL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mining and manufacturing operations and facilities in Georgia, Mississippi, California and Illinois are required to comply with state surface mining and environmental protection statutes.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mining sites. Historically, reclamation expenses have not had a material effect on our cost of sales.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environmental requirements related to our mining and manufacturing operations and facilities, there has been increased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NERGY</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primarily used natural gas in the processing kilns to dry our clay products during fiscal year 2020. We monitor gas market trends and we may contract for a portion of our anticipated fuel needs using forward purchase contracts to mitigate the volatility of our kiln fuel prices. We do not have any forward purchase contracts as of the fiscal year ended July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p>
    <w:p>
      <w:pPr>
        <w:spacing w:after="0" w:line="2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develop new products and applications and improve existing products at our research and development center in Vernon Hills, Illinois. The facility includes a pilot plant that simulates the production processes of our customers and our manufacturing plants. In fiscal year 2019 we opened a new microbiology lab within walking distance of our existing research and development center that is dedicated to the development of our animal health products. Our staff (and various consultants they engage from time to time) have experience in disciplines such as biology, microbiology, chemistry, physics, mathematics, geological and earth science, material science, geochemistry, physical catalysis, animal nutrition, animal science, oncological nutrition and transitional medicine. In the past several years, our research efforts have resulted in a number of new sorbent products and processes. The facility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VAILABLE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 We face risks related to the recent novel coronavirus outbreak (“the coronavirus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“COVID-19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actions in response thereto, which have exacerbated or could further exacerbate conditions in our other risk factors noted below. The risks described below are not the only risks we face. Our business operations could also be affected by additional factors that are not presently known to us or that we currently consider to be immaterial in our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financial performance depend in large part on successful new product introductions.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portion of our net sales comes from the sale of products in mature categories, some of which have had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as well as other factors and events beyond our control, such as the COVID-19 pandemic and its impact, may occur even after substantial effort and expense on our part. Even in the case of a successful launch of a new product, the ultimate benefit we realize may be uncertain if the new product “cannibalizes” sales of our existing products beyond expected levels. See “</w:t>
      </w:r>
      <w:r>
        <w:rPr>
          <w:rFonts w:ascii="Times New Roman" w:cs="Times New Roman" w:eastAsia="Times New Roman" w:hAnsi="Times New Roman"/>
          <w:sz w:val="18"/>
          <w:szCs w:val="18"/>
          <w:i w:val="1"/>
          <w:iCs w:val="1"/>
          <w:color w:val="auto"/>
        </w:rPr>
        <w:t>Government regulation imposes significant costs on us, and future regulatory changes (or related customer responses to regulatory changes)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 those costs or limit our ability to produce and sell our products</w:t>
      </w:r>
      <w:r>
        <w:rPr>
          <w:rFonts w:ascii="Times New Roman" w:cs="Times New Roman" w:eastAsia="Times New Roman" w:hAnsi="Times New Roman"/>
          <w:sz w:val="18"/>
          <w:szCs w:val="18"/>
          <w:color w:val="auto"/>
        </w:rPr>
        <w:t>” for a discussion of additional risks associated with new product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launches.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The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periodic results may be volatile.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83" w:lineRule="exact"/>
        <w:rPr>
          <w:sz w:val="20"/>
          <w:szCs w:val="20"/>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demand for our products and services;</w:t>
      </w:r>
    </w:p>
    <w:p>
      <w:pPr>
        <w:spacing w:after="0" w:line="27"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timing of sales of our products and services;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with varying profitability sold in a given quarter;</w:t>
      </w:r>
    </w:p>
    <w:p>
      <w:pPr>
        <w:spacing w:after="0" w:line="9" w:lineRule="exact"/>
        <w:rPr>
          <w:rFonts w:ascii="Times New Roman" w:cs="Times New Roman" w:eastAsia="Times New Roman" w:hAnsi="Times New Roman"/>
          <w:sz w:val="18"/>
          <w:szCs w:val="18"/>
          <w:color w:val="auto"/>
        </w:rPr>
      </w:pPr>
    </w:p>
    <w:p>
      <w:pPr>
        <w:ind w:left="500" w:hanging="168"/>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adapt to rapidly changing conditions;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and services by us or our competitors;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price increases and surcharges, as well as other changes in our pricing policies or those of our competitors;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purchasing patterns by our customers, including due to weather conditions;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549" w:right="339" w:bottom="1440" w:gutter="0" w:footer="0" w:header="0"/>
        </w:sectPr>
      </w:pPr>
    </w:p>
    <w:bookmarkStart w:id="11" w:name="page12"/>
    <w:bookmarkEnd w:id="11"/>
    <w:p>
      <w:pPr>
        <w:ind w:left="500" w:hanging="168"/>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major customers and other debtors to meet their obligations to us as they come due;</w:t>
      </w:r>
    </w:p>
    <w:p>
      <w:pPr>
        <w:spacing w:after="0" w:line="27"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regulatory, intellectual property, tax and legal matters;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judgments and charges, settlements, or other litigation and regulatory-related costs;</w:t>
      </w:r>
    </w:p>
    <w:p>
      <w:pPr>
        <w:spacing w:after="0" w:line="9" w:lineRule="exact"/>
        <w:rPr>
          <w:rFonts w:ascii="Times New Roman" w:cs="Times New Roman" w:eastAsia="Times New Roman" w:hAnsi="Times New Roman"/>
          <w:sz w:val="18"/>
          <w:szCs w:val="18"/>
          <w:color w:val="auto"/>
        </w:rPr>
      </w:pPr>
    </w:p>
    <w:p>
      <w:pPr>
        <w:ind w:left="500" w:right="20" w:hanging="168"/>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tax rate of our business, which may be affected by a number of factors, including the use of tax attributes, the financial results of our international subsidiaries and the timing, size and integration of acquisitions we may make from time to time;</w:t>
      </w:r>
    </w:p>
    <w:p>
      <w:pPr>
        <w:ind w:left="500" w:hanging="168"/>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widespread outbreak of an illness or any other communicable disease, any other public health crisis, natural disaster or other force majeure event</w:t>
      </w:r>
      <w:r>
        <w:rPr>
          <w:rFonts w:ascii="Times New Roman" w:cs="Times New Roman" w:eastAsia="Times New Roman" w:hAnsi="Times New Roman"/>
          <w:sz w:val="18"/>
          <w:szCs w:val="18"/>
          <w:color w:val="0000FF"/>
        </w:rPr>
        <w:t>;</w:t>
      </w:r>
    </w:p>
    <w:p>
      <w:pPr>
        <w:ind w:left="500" w:hanging="168"/>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restructuring, impairment or other charges; and</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specific economic conditions in our industry and the industries of our customers.</w:t>
      </w:r>
    </w:p>
    <w:p>
      <w:pPr>
        <w:spacing w:after="0" w:line="207" w:lineRule="exact"/>
        <w:rPr>
          <w:sz w:val="20"/>
          <w:szCs w:val="20"/>
          <w:color w:val="auto"/>
        </w:rPr>
      </w:pPr>
    </w:p>
    <w:p>
      <w:pPr>
        <w:jc w:val="both"/>
        <w:ind w:left="80"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COVID-19 pandemic and its impact may exacerbate these factors and has caused greater fluctuations in our operating results from quarter-to-quarter. Accordingly, we believe that quarter-to-quarter comparisons of our operating results are not necessarily meaningful. Investors should not rely on the results of one quarter as an indication of our future performance.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 widespread threat to public health.</w:t>
      </w:r>
    </w:p>
    <w:p>
      <w:pPr>
        <w:spacing w:after="0" w:line="310" w:lineRule="exact"/>
        <w:rPr>
          <w:sz w:val="20"/>
          <w:szCs w:val="20"/>
          <w:color w:val="auto"/>
        </w:rPr>
      </w:pPr>
    </w:p>
    <w:p>
      <w:pPr>
        <w:jc w:val="both"/>
        <w:ind w:left="120" w:firstLine="648"/>
        <w:spacing w:after="0" w:line="253" w:lineRule="auto"/>
        <w:rPr>
          <w:sz w:val="20"/>
          <w:szCs w:val="20"/>
          <w:color w:val="auto"/>
        </w:rPr>
      </w:pPr>
      <w:r>
        <w:rPr>
          <w:rFonts w:ascii="Times New Roman" w:cs="Times New Roman" w:eastAsia="Times New Roman" w:hAnsi="Times New Roman"/>
          <w:sz w:val="18"/>
          <w:szCs w:val="18"/>
          <w:color w:val="auto"/>
        </w:rPr>
        <w:t>In December 2019, COVID-19 was reported in China and has subsequently spread worldwide. In March 2020, the World Health Organization declared the COVID-19 outbreak a pandemic. In response to the COVID-19 outbreak, countries and local governments across the world implemented “Shelter in Place,” “Safe at Home,” quarantine or similar orders that restricted workforce and/or required closures of “non-essential” businesses along with restrictions on travel. Such restrictions and closures initially disrupted our sales office in China, limited travel by our salesforce and delayed product shipments. While our facilities otherwise have remained operational as essential businesses, there can be no assurances that we will not have to close facilities due to concerns over the health and well-being of our employees, or as a result of government directives. Further, while we have implemented policies and practices to protect our employees at each of our locations, including sanitizing and cleaning protocols, social distancing, remote work, and suspending non-essential employee travel, there can be no assurances that these efforts will be successful in preventing health concerns from impacting our operations. The spread of a widespread threat to public health such as COVID-19 has currently had limited disruption and impact to our third party business partners, suppliers, service providers, and customers.</w:t>
      </w:r>
    </w:p>
    <w:p>
      <w:pPr>
        <w:spacing w:after="0" w:line="275" w:lineRule="exact"/>
        <w:rPr>
          <w:sz w:val="20"/>
          <w:szCs w:val="20"/>
          <w:color w:val="auto"/>
        </w:rPr>
      </w:pPr>
    </w:p>
    <w:p>
      <w:pPr>
        <w:jc w:val="both"/>
        <w:ind w:left="120" w:firstLine="648"/>
        <w:spacing w:after="0" w:line="254" w:lineRule="auto"/>
        <w:rPr>
          <w:sz w:val="20"/>
          <w:szCs w:val="20"/>
          <w:color w:val="auto"/>
        </w:rPr>
      </w:pPr>
      <w:r>
        <w:rPr>
          <w:rFonts w:ascii="Times New Roman" w:cs="Times New Roman" w:eastAsia="Times New Roman" w:hAnsi="Times New Roman"/>
          <w:sz w:val="18"/>
          <w:szCs w:val="18"/>
          <w:color w:val="auto"/>
        </w:rPr>
        <w:t>Although the disruptions, delays and modifications to our operations caused by COVID-19 have not had a material impact on our results of operations, there continues to be significant uncertainty relating to the COVID-19 outbreak as well as the potential effects of such outbreak on our business which could negatively affect our costs, customer orders, and collection of accounts receivable, which may be material. In addition, the deterioration of worldwide economic conditions may impact the proper functioning of financial and capital markets, foreign currency exchange rates, and commodity and energy prices, as well as demand for our products. Even after the COVID-19 pandemic subsides, we may experience adverse impacts to our business and financial results due to any economic recession or depression that has occurred, and due to any major public health crises that may occur in the future. Given the uncertainties related to the outbreak, including its duration and severity, we cannot reasonably estimate the scope of its impact on our employees, operations, suppliers, or customers, or the full extent to which COVID-19 could continue to affect the global economy and our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a number of risks, any of which could cause us not to realize the anticipated benefits.</w:t>
      </w:r>
    </w:p>
    <w:p>
      <w:pPr>
        <w:spacing w:after="0" w:line="229" w:lineRule="exact"/>
        <w:rPr>
          <w:sz w:val="20"/>
          <w:szCs w:val="20"/>
          <w:color w:val="auto"/>
        </w:rPr>
      </w:pPr>
    </w:p>
    <w:p>
      <w:pPr>
        <w:jc w:val="both"/>
        <w:ind w:left="80" w:firstLine="648"/>
        <w:spacing w:after="0" w:line="261" w:lineRule="auto"/>
        <w:rPr>
          <w:sz w:val="20"/>
          <w:szCs w:val="20"/>
          <w:color w:val="auto"/>
        </w:rPr>
      </w:pPr>
      <w:r>
        <w:rPr>
          <w:rFonts w:ascii="Times New Roman" w:cs="Times New Roman" w:eastAsia="Times New Roman" w:hAnsi="Times New Roman"/>
          <w:sz w:val="18"/>
          <w:szCs w:val="18"/>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80" w:lineRule="exact"/>
        <w:rPr>
          <w:sz w:val="20"/>
          <w:szCs w:val="20"/>
          <w:color w:val="auto"/>
        </w:rPr>
      </w:pPr>
    </w:p>
    <w:p>
      <w:pPr>
        <w:ind w:left="500" w:hanging="168"/>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00" w:hanging="168"/>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customers, management and employees of an acquired business;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identified operating and financial synergies anticipated to result from an acquisition;</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that could arise from the integration of the acquired business; and</w:t>
      </w:r>
    </w:p>
    <w:p>
      <w:pPr>
        <w:spacing w:after="0" w:line="9" w:lineRule="exact"/>
        <w:rPr>
          <w:rFonts w:ascii="Times New Roman" w:cs="Times New Roman" w:eastAsia="Times New Roman" w:hAnsi="Times New Roman"/>
          <w:sz w:val="18"/>
          <w:szCs w:val="18"/>
          <w:color w:val="auto"/>
        </w:rPr>
      </w:pPr>
    </w:p>
    <w:p>
      <w:pPr>
        <w:ind w:left="500" w:hanging="168"/>
        <w:spacing w:after="0" w:line="26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business, industry or general economic conditions that affect the assumptions underlying our rationale for pursuing the acquisition.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and there can be no assurances that we can obtain indebtedness or equity capital on terms acceptable to the Company. Increased borrowings would correspondingly increase the Company's financial leverage, and could result in lower credit ratings and increased future borrowing costs. These risks could also reduce the Company's flexibility to respond to changes in its industry or in general economic conditions. In addition, future acquisitions could result in our assuming more long-term liabilities relative to the value of the acquired assets than we have assumed in our previous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for a large portion of our net sales.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Further, the impact of COVID-19 may result in a change in demand for or availability of our products as a result of customers modifying their restocking, fulfillment, or shipping practices in response to the global pandemic.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or trade concessions, or the failure to make them to retain customers, could adversely affect our sales and profitability.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energy, commodity and transportation costs would increase our operating costs, and we may be unable to pass all these increases on to our customers in the form of higher prices and surcharges.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energy, commodity and transportation costs increase disproportionately to our net sales, our earnings could be significantly reduced. Increases in our operating costs may reduce our profitability if we are unable to pass all the increases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 In particular, as a result of the COVID-19 pandemic and increased demand in trucking in certain areas of the United States following the reopening of state economies, we anticipate that the Company may experience increased transportation costs and delays in customer shipments. Given the varying level of state re-openings and the continued spread of the pandemic in the United States (and uncertainty regarding how states will respond to such continued spread), the duration and magnitude of the increased transportation costs cannot be predicted at this time and there can be no assurances that such costs and/or shipping disruptions will not continue to increase.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volatility in the price and availability of natural gas, as well as other sources of energy. From time to time, we may use forward purchase contracts or financial instruments to moderate the volatility of a portion of our energy costs. The success or failure of any such transactions depends on a number of factors, including our ability to anticipate and manage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553"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volatility in energy prices, the general demand for fuel by the manufacturing sector, seasonality and the weather patterns throughout the United States and the world.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prices of other commodities such as paper, plastic resins, synthetic rubber and steel significantly influence the costs of packaging, replacement parts and equipment we use in the manufacture of our products and the maintenance of our facilities. Similarly, transportation prices impact our cost of packaging and raw materials we purchase, as well as our cost to deliver finished products to our customers. As a result, increases in the prices of commodities and transportation may increase our cost of sales and present the same types of risks as described above.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supply, capacity, information technology and logistics disruptions or the costs incurred to avoid these disruptions.</w:t>
      </w:r>
    </w:p>
    <w:p>
      <w:pPr>
        <w:spacing w:after="0" w:line="172" w:lineRule="exact"/>
        <w:rPr>
          <w:sz w:val="20"/>
          <w:szCs w:val="20"/>
          <w:color w:val="auto"/>
        </w:rPr>
      </w:pPr>
    </w:p>
    <w:p>
      <w:pPr>
        <w:jc w:val="both"/>
        <w:ind w:firstLine="567"/>
        <w:spacing w:after="0" w:line="269" w:lineRule="auto"/>
        <w:rPr>
          <w:sz w:val="20"/>
          <w:szCs w:val="20"/>
          <w:color w:val="auto"/>
        </w:rPr>
      </w:pPr>
      <w:r>
        <w:rPr>
          <w:rFonts w:ascii="Times New Roman" w:cs="Times New Roman" w:eastAsia="Times New Roman" w:hAnsi="Times New Roman"/>
          <w:sz w:val="18"/>
          <w:szCs w:val="18"/>
          <w:color w:val="auto"/>
        </w:rPr>
        <w:t>Supply, capacity, information technology and logistics disruptions (which may be caused by a variety of factors, including public health crises such as the COVID-19 outbreak, weather conditions, governmental controls, tariffs, national emergencies, natural disasters or other force majeure events) could adversely affect our ability to manufacture, package or transport our products. As a result of the COVID-19 pandemic, there could be further restrictions on our ability to travel or disruptions in our supply chain or ability to manufacture our products, as well as temporary closures of our facilities or those of our suppliers or customers, any of which could impact our sales and operating results.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In addition, an increase in truck or ocean freight costs may reduce our profitability, and a decrease in transportation availability may affect our ability to deliver our products to our customers and consequently decrease customer satisfaction and future orders. See “</w:t>
      </w:r>
      <w:r>
        <w:rPr>
          <w:rFonts w:ascii="Times New Roman" w:cs="Times New Roman" w:eastAsia="Times New Roman" w:hAnsi="Times New Roman"/>
          <w:sz w:val="18"/>
          <w:szCs w:val="18"/>
          <w:i w:val="1"/>
          <w:iCs w:val="1"/>
          <w:color w:val="auto"/>
        </w:rPr>
        <w:t>Increases in energy, commodity and transportation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would increase our operating costs, and we may be unable to pass all these increases on to our customers in the form of higher prices and surcharges</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risks related to increased transportation costs and logistics disruptions.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failures or cyber security breaches could have an adverse effect on the Company's business and operations.</w:t>
      </w:r>
    </w:p>
    <w:p>
      <w:pPr>
        <w:spacing w:after="0" w:line="24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store, and protect electronic information. For example, a significant portion of the communications between the Company's personnel, customers, and suppliers depends on information technology and we rely on access to such information systems for our operations. We cannot guarantee that the security measures in place will prevent disruptions, failures, cyber-attacks or privacy breaches in the information technology or phone systems of the Company, our customers or third parties, which could adversely affect our communications and business operations. These risks may be increased as more employees work from home as part of our response to the COVID-19 pandemic. We may not have the resources or technical sophistication to anticipate, prevent or detect rapidly-evolving types of cyber-attacks. Attacks may be targeted at us, our customers and suppliers, or others who have entrusted us with information. While the Company has policies and procedures in place, including system monitoring and data back-up processes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cybersecurity attacks or otherwise, could damage our reputation, subject the Company to legal claims and proceedings,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and reputation.</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Our enterprise resource planning system (“ERP”) is designed to accurately maintain our books and records and provide information important to the operation of our business. Any potential disruptions with the ERP system could affect our ability to process orders, ship product and send invoices. These difficulties could, in turn, negatively impact our financial results including sales, earnings and cash flow. Further development and maintenance of the ERP system will continue to require investment of human and financial resources, which may cause increased costs and other difficulties.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inventory strategy by our customers as well as other external factors could adversely affect our sales and increase our inventory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customers in both our Retail and Wholesale Products Group and our Business to Business Products Group have changed inventory levels as part of managing their working capital requirements. Any decrease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saleability of our inventory; however, there is no guaranty that these arrangements will be sufficient to avoid write-offs in excess of our reserves.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 matters create potential compliance and other liability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We believe we have obtained all material permits and licenses required to conduct our present operations. We will, however, need additional permits and renewals of permits in the future.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Furthermore, our reputation could be 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Food and Drug Administration, the Consumer Product Safety Commission, the Occupational Health and Safety Administration, the Mine Safety and Health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333"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As a result of closures caused by government action taken in response to COVID-19, the Company has experienced some delays in obtaining such permits and registrations for its products. While the Company has taken steps to mitigate such delays, there can be no assurances that there will not be further delays as governments and agencies continue to respond to the COVID-19 outbreak. Further, if applicable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 level of corporate social responsibility could damage our reputation and could adversely affect our business, financial condition or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 executives, agents, customers, suppliers, or other third parties (including others in our industry); or our responses to any of the foregoing.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mining operations for a majority of our supply of sorbent minerals.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power outages, equipment 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adequate additional reserves in the future.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337"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The failure to perfect or successfully assert our intellectual property rights could make us less competitive and could have a material adverse effect on our business, operating results, and financial condition.</w:t>
      </w:r>
    </w:p>
    <w:p>
      <w:pPr>
        <w:spacing w:after="0" w:line="19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key member of our senior management team may impede the implementation of our business plans in a timely manner.</w:t>
      </w:r>
    </w:p>
    <w:p>
      <w:pPr>
        <w:spacing w:after="0" w:line="22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current team members. Further, in the event of a loss of a key member of our senior management team, it is uncertain whether COVID-19 and its impact may result in difficulties in recruiting and hiring for such positions.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to our domestic and international sales and business operations due to economic, political, regulatory and other conditions.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Unstable economic, political, regulatory and other conditions could adversely affect demand for our products or disrupt our operations in the United States and in international markets. International sales and operations are subject to currency exchange fluctuations, fund transfer and trade restrictions and import/export duties. In some cases, we may have difficulty enforcing agreements and collecting accounts receivable through a foreign country’s legal system. We derived approximately 22% of our consolidated net sales from sales outside of the United States in fiscal year 2020. 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the U.S. political climate have introduced greater uncertainty with respect to tax policies, trade relations, tariffs and government regulations affecting trade between the U.S. and other countries. In particular, it is uncertain what impact COVID-19 and the reactions of governmental authorities and others thereto will have on international trade and what impact any changes in international trade will have on the economy or on the businesses of the Company and those of its customers and its suppliers. These developments, as well as the risks outlined above, could have a material adverse effect on the Company’s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adverse safety events or product liability claims that may be costly, create adverse publicity and may add further governmental regulation.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Any of these actions could result in material write-offs of inventory, material impairments of intangible assets, goodwill and fixed assets,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333"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2020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Further, as a result of COVID-19, a portion of our workforce has been and continues to work from home, so new processes, procedures, and controls could be required due to the changes in our business environment, which could negatively impact our internal control over financial reporting.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Chief Executive Officer and Chairman of the Board of Directors)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“controlled company” under the New York Stock Exchange Corporate Governance Standards. As a controlled company, we may from time to time rely on exemptions from certain NYSE corporate governance requirements that otherwise would be applicable, including the requirements:</w:t>
      </w:r>
    </w:p>
    <w:p>
      <w:pPr>
        <w:spacing w:after="0" w:line="162" w:lineRule="exact"/>
        <w:rPr>
          <w:sz w:val="20"/>
          <w:szCs w:val="20"/>
          <w:color w:val="auto"/>
        </w:rPr>
      </w:pPr>
    </w:p>
    <w:p>
      <w:pPr>
        <w:ind w:left="500" w:hanging="168"/>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the board of directors consists of independent directors;</w:t>
      </w:r>
    </w:p>
    <w:p>
      <w:pPr>
        <w:spacing w:after="0" w:line="27" w:lineRule="exact"/>
        <w:rPr>
          <w:rFonts w:ascii="Times New Roman" w:cs="Times New Roman" w:eastAsia="Times New Roman" w:hAnsi="Times New Roman"/>
          <w:sz w:val="18"/>
          <w:szCs w:val="18"/>
          <w:color w:val="auto"/>
        </w:rPr>
      </w:pPr>
    </w:p>
    <w:p>
      <w:pPr>
        <w:ind w:left="500" w:hanging="168"/>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governance committee comprised entirely of independent directors with a written charter addressing the committee’s purpose and responsibilities; and</w:t>
      </w:r>
    </w:p>
    <w:p>
      <w:pPr>
        <w:ind w:left="500" w:hanging="168"/>
        <w:spacing w:after="0" w:line="26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comprised entirely of independent directors with a written charter addressing the committee’s purpose and responsibilities.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previously relied on these exemptions (although we are not currently relying on the first exemption listed above), and we intend to continue to rely on them in the future, as applicable. As a result, you may not have the same benefits and information available to stockholders of NYSE-listed companies that are subject to all of the NYSE corporate governance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price of our Common Stock could fluctuate substantially in the future in response to a number of factors, including the following:</w:t>
      </w:r>
    </w:p>
    <w:p>
      <w:pPr>
        <w:spacing w:after="0" w:line="225" w:lineRule="exact"/>
        <w:rPr>
          <w:sz w:val="20"/>
          <w:szCs w:val="20"/>
          <w:color w:val="auto"/>
        </w:rPr>
      </w:pPr>
    </w:p>
    <w:p>
      <w:pPr>
        <w:ind w:left="500" w:hanging="16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or the operating results of our competitors;</w:t>
      </w:r>
    </w:p>
    <w:p>
      <w:pPr>
        <w:spacing w:after="0" w:line="27"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conditions in the economy, the financial markets, or the industries in which we operate;</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alliances or joint ventures by us, our customers, suppliers or competitors;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energy sources and other raw materials; and</w:t>
      </w:r>
    </w:p>
    <w:p>
      <w:pPr>
        <w:spacing w:after="0" w:line="9"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 affecting us, our industries, customers or competitors.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 may experience extreme price and volume fluctuations that have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depress its market price.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i</w:t>
      </w:r>
      <w:r>
        <w:rPr>
          <w:rFonts w:ascii="Times New Roman" w:cs="Times New Roman" w:eastAsia="Times New Roman" w:hAnsi="Times New Roman"/>
          <w:sz w:val="18"/>
          <w:szCs w:val="18"/>
          <w:color w:val="010101"/>
        </w:rPr>
        <w:t>n response to recent public focus on dual class capital structures, certain stock index providers are implementing limitations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inclusion of dual class share structures in their indices. If these restrictions increase, they may impact who buys and holds our stock.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dividends on our common stock may be restricted or eliminated.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future dividends will depend on our future earnings, cash flow, financial requirements and other factors, including market and economic conditions. We are not obligated to continue a dividend for any fixed period, and the payment of dividends could be suspended or discontinued at any time at our discretion and without prior notice. Although we have maintained our dividend despite the impact of COVID-19, there can be no assurance that we will continue to do so, particularly if the situation deteriorates. The amount and timing of any future dividends may vary, and the payment of any dividend does not assure that we will pay dividends in the future.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54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8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Real Property Holdings and Mineral Reserves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6"/>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Land</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Land</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Unpatented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Proven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Probable</w:t>
            </w:r>
          </w:p>
        </w:tc>
        <w:tc>
          <w:tcPr>
            <w:tcW w:w="980" w:type="dxa"/>
            <w:vAlign w:val="bottom"/>
          </w:tcPr>
          <w:p>
            <w:pPr>
              <w:spacing w:after="0"/>
              <w:rPr>
                <w:sz w:val="18"/>
                <w:szCs w:val="18"/>
                <w:color w:val="auto"/>
              </w:rPr>
            </w:pPr>
          </w:p>
        </w:tc>
      </w:tr>
      <w:tr>
        <w:trPr>
          <w:trHeight w:val="238"/>
        </w:trPr>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6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(thousands of tons)</w:t>
            </w:r>
          </w:p>
        </w:tc>
        <w:tc>
          <w:tcPr>
            <w:tcW w:w="980" w:type="dxa"/>
            <w:vAlign w:val="bottom"/>
          </w:tcPr>
          <w:p>
            <w:pPr>
              <w:spacing w:after="0"/>
              <w:rPr>
                <w:sz w:val="23"/>
                <w:szCs w:val="23"/>
                <w:color w:val="auto"/>
              </w:rPr>
            </w:pPr>
          </w:p>
        </w:tc>
      </w:tr>
      <w:tr>
        <w:trPr>
          <w:trHeight w:val="27"/>
        </w:trPr>
        <w:tc>
          <w:tcPr>
            <w:tcW w:w="600" w:type="dxa"/>
            <w:vAlign w:val="bottom"/>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0" w:type="dxa"/>
            <w:vAlign w:val="bottom"/>
          </w:tcPr>
          <w:p>
            <w:pPr>
              <w:spacing w:after="0"/>
              <w:rPr>
                <w:sz w:val="21"/>
                <w:szCs w:val="21"/>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w:t>
            </w:r>
          </w:p>
        </w:tc>
      </w:tr>
      <w:tr>
        <w:trPr>
          <w:trHeight w:val="243"/>
        </w:trPr>
        <w:tc>
          <w:tcPr>
            <w:tcW w:w="600" w:type="dxa"/>
            <w:vAlign w:val="bottom"/>
          </w:tcPr>
          <w:p>
            <w:pPr>
              <w:spacing w:after="0"/>
              <w:rPr>
                <w:sz w:val="21"/>
                <w:szCs w:val="21"/>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3,851</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5,444</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33,874</w:t>
            </w: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23,123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56,997</w:t>
            </w:r>
          </w:p>
        </w:tc>
      </w:tr>
      <w:tr>
        <w:trPr>
          <w:trHeight w:val="27"/>
        </w:trPr>
        <w:tc>
          <w:tcPr>
            <w:tcW w:w="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0" w:type="dxa"/>
            <w:vAlign w:val="bottom"/>
          </w:tcPr>
          <w:p>
            <w:pPr>
              <w:spacing w:after="0"/>
              <w:rPr>
                <w:sz w:val="21"/>
                <w:szCs w:val="21"/>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r>
      <w:tr>
        <w:trPr>
          <w:trHeight w:val="243"/>
        </w:trPr>
        <w:tc>
          <w:tcPr>
            <w:tcW w:w="600" w:type="dxa"/>
            <w:vAlign w:val="bottom"/>
          </w:tcPr>
          <w:p>
            <w:pPr>
              <w:spacing w:after="0"/>
              <w:rPr>
                <w:sz w:val="21"/>
                <w:szCs w:val="21"/>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37,180</w:t>
            </w: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135,128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172,308</w:t>
            </w:r>
          </w:p>
        </w:tc>
      </w:tr>
      <w:tr>
        <w:trPr>
          <w:trHeight w:val="27"/>
        </w:trPr>
        <w:tc>
          <w:tcPr>
            <w:tcW w:w="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0" w:type="dxa"/>
            <w:vAlign w:val="bottom"/>
          </w:tcPr>
          <w:p>
            <w:pPr>
              <w:spacing w:after="0"/>
              <w:rPr>
                <w:sz w:val="21"/>
                <w:szCs w:val="21"/>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r>
      <w:tr>
        <w:trPr>
          <w:trHeight w:val="243"/>
        </w:trPr>
        <w:tc>
          <w:tcPr>
            <w:tcW w:w="600" w:type="dxa"/>
            <w:vAlign w:val="bottom"/>
          </w:tcPr>
          <w:p>
            <w:pPr>
              <w:spacing w:after="0"/>
              <w:rPr>
                <w:sz w:val="21"/>
                <w:szCs w:val="21"/>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0" w:type="dxa"/>
            <w:vAlign w:val="bottom"/>
          </w:tcPr>
          <w:p>
            <w:pPr>
              <w:spacing w:after="0"/>
              <w:rPr>
                <w:sz w:val="23"/>
                <w:szCs w:val="23"/>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7"/>
        </w:trPr>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8,023</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12,485</w:t>
            </w:r>
          </w:p>
        </w:tc>
        <w:tc>
          <w:tcPr>
            <w:tcW w:w="180" w:type="dxa"/>
            <w:vAlign w:val="bottom"/>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103,627</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177,074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280,701</w:t>
            </w:r>
          </w:p>
        </w:tc>
      </w:tr>
      <w:tr>
        <w:trPr>
          <w:trHeight w:val="27"/>
        </w:trPr>
        <w:tc>
          <w:tcPr>
            <w:tcW w:w="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Mississippi, Georgia, Tennessee, Nevada, California and Illinois properties are primarily mineral in nature, except our research and development facility which is included in the Illinois owned land. We mine sorbent minerals primarily consisting of calcium bentonite, attapulgite and diatomaceous shale. We use geologists and mineral specialists who prepared the estimated reserves of these minerals in the table above. See also Item 1 “Business” above for further information about our reserves. The properties in Mississippi, Georgia, California and Illinois are currently in active production and collectively produced approximately 756,000 tons of finished product in both fiscal years 2020 and 2019. Parcels of such land are also sites of manufacturing facilities operated by us. We own approximately one acre of land in Laval, Quebec, Canada, which is the site of the processing, packaging and distribution facility for our Canadian subsidiary</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ROPERTIES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mining operations are conducted on land that we own or lease.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5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INING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ANUFACTURING</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Mining and Hauling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Packaging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Once the clay has been dried to the desired level it will be sized and packaged. Our products have various package sizes and types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operate clay manufacturing and non-clay production facilities on property owned or leased by us as shown on the map below: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19685</wp:posOffset>
            </wp:positionV>
            <wp:extent cx="3789045" cy="3985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89045"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24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Owned/Leased</w:t>
            </w:r>
          </w:p>
        </w:tc>
        <w:tc>
          <w:tcPr>
            <w:tcW w:w="596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Function</w:t>
            </w:r>
          </w:p>
        </w:tc>
      </w:tr>
      <w:tr>
        <w:trPr>
          <w:trHeight w:val="27"/>
        </w:trPr>
        <w:tc>
          <w:tcPr>
            <w:tcW w:w="2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Alpharetta, Georgia</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Non-clay manufacturing and packaging, sales, customer service</w:t>
            </w:r>
          </w:p>
        </w:tc>
      </w:tr>
      <w:tr>
        <w:trPr>
          <w:trHeight w:val="27"/>
        </w:trPr>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Mississippi</w:t>
            </w:r>
          </w:p>
        </w:tc>
        <w:tc>
          <w:tcPr>
            <w:tcW w:w="18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Illinois</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w:t>
            </w:r>
          </w:p>
        </w:tc>
      </w:tr>
      <w:tr>
        <w:trPr>
          <w:trHeight w:val="27"/>
        </w:trPr>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Coppet, Switzerland</w:t>
            </w:r>
          </w:p>
        </w:tc>
        <w:tc>
          <w:tcPr>
            <w:tcW w:w="18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service office</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Jakarta, Indonesia</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w:t>
            </w:r>
          </w:p>
        </w:tc>
      </w:tr>
      <w:tr>
        <w:trPr>
          <w:trHeight w:val="27"/>
        </w:trPr>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Jalisco, Mexico</w:t>
            </w:r>
          </w:p>
        </w:tc>
        <w:tc>
          <w:tcPr>
            <w:tcW w:w="18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Warehouse and office</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Laval, Quebec, Canada</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Non-clay manufacturing and clay and non-clay packaging, sales</w:t>
            </w:r>
          </w:p>
        </w:tc>
      </w:tr>
      <w:tr>
        <w:trPr>
          <w:trHeight w:val="27"/>
        </w:trPr>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8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7"/>
        </w:trPr>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8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Shenzhen, China</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office, customer service</w:t>
            </w:r>
          </w:p>
        </w:tc>
      </w:tr>
      <w:tr>
        <w:trPr>
          <w:trHeight w:val="27"/>
        </w:trPr>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8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Vernon Hills, Illinois</w:t>
            </w:r>
          </w:p>
        </w:tc>
        <w:tc>
          <w:tcPr>
            <w:tcW w:w="18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Owned &amp; Leased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7"/>
        </w:trPr>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25"/>
        </w:trPr>
        <w:tc>
          <w:tcPr>
            <w:tcW w:w="24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Non-clay manufacturing and clay and non-clay packaging, sales, customer</w:t>
            </w:r>
          </w:p>
        </w:tc>
      </w:tr>
      <w:tr>
        <w:trPr>
          <w:trHeight w:val="23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Wisbech, United Kingdom</w:t>
            </w: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w:t>
            </w:r>
          </w:p>
        </w:tc>
      </w:tr>
      <w:tr>
        <w:trPr>
          <w:trHeight w:val="27"/>
        </w:trPr>
        <w:tc>
          <w:tcPr>
            <w:tcW w:w="24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 mortgages on the real property we own. The leases for the locations listed above expire as follows: Jalisco, Mexico in 2020; Alpharetta, Georgia in 2021; Shenzhen, China in 2025; Vernon Hills, Illinois in 2026; Wisbech, United Kingdom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333" w:right="3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2032 and Chicago, Illinois in 2033. The leases for the Coppet, Switzerland and Jakarta, Indonesia offices are on a year-to-year basis. We consider that our properties are generally in good condition, well maintained and suitable and adequate to carry on our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lawsuits, we believe that none of the pending proceedings will have a material adverse effect on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2020 were 684 and 23, respectively, as reported by our transfer agent. In the last three years, we have not sold any securities which were not registered under the Securities Act of 1933.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determines the timing and amount of any dividends. Our Board of Directors may change its dividend practice at 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and our Amended Note Agreement with Prudential requires that certain minimum net worth and tangible net worth levels are to be maintained. To the extent that these balances are not attained, our ability to pay dividends may be impaired. See Note 3 of the Notes to the Consolidated Financial Statements for further information about our note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2020, we did not sell any securities which were not registered under the Securities Act of 1933. The following chart summarizes our Common Stock purchases during this period.</w:t>
      </w:r>
    </w:p>
    <w:p>
      <w:pPr>
        <w:spacing w:after="0" w:line="3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71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24"/>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that may yet be</w:t>
            </w:r>
          </w:p>
        </w:tc>
      </w:tr>
      <w:tr>
        <w:trPr>
          <w:trHeight w:val="216"/>
        </w:trPr>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Plans or</w:t>
            </w:r>
          </w:p>
        </w:tc>
      </w:tr>
      <w:tr>
        <w:trPr>
          <w:trHeight w:val="265"/>
        </w:trPr>
        <w:tc>
          <w:tcPr>
            <w:tcW w:w="1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Ended July 31, 2020</w:t>
            </w:r>
          </w:p>
        </w:tc>
        <w:tc>
          <w:tcPr>
            <w:tcW w:w="120" w:type="dxa"/>
            <w:vAlign w:val="bottom"/>
            <w:tcBorders>
              <w:bottom w:val="single" w:sz="8" w:color="CCEEFF"/>
            </w:tcBorders>
          </w:tcPr>
          <w:p>
            <w:pPr>
              <w:spacing w:after="0"/>
              <w:rPr>
                <w:sz w:val="23"/>
                <w:szCs w:val="23"/>
                <w:color w:val="auto"/>
              </w:rPr>
            </w:pPr>
          </w:p>
        </w:tc>
        <w:tc>
          <w:tcPr>
            <w:tcW w:w="21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6"/>
              </w:rPr>
              <w:t>Purchased</w:t>
            </w:r>
            <w:r>
              <w:rPr>
                <w:rFonts w:ascii="Times New Roman" w:cs="Times New Roman" w:eastAsia="Times New Roman" w:hAnsi="Times New Roman"/>
                <w:sz w:val="25"/>
                <w:szCs w:val="25"/>
                <w:b w:val="1"/>
                <w:bCs w:val="1"/>
                <w:color w:val="auto"/>
                <w:w w:val="96"/>
                <w:vertAlign w:val="superscript"/>
              </w:rPr>
              <w:t>2</w:t>
            </w:r>
          </w:p>
        </w:tc>
        <w:tc>
          <w:tcPr>
            <w:tcW w:w="220" w:type="dxa"/>
            <w:vAlign w:val="bottom"/>
            <w:tcBorders>
              <w:bottom w:val="single" w:sz="8" w:color="CCEEFF"/>
            </w:tcBorders>
          </w:tcPr>
          <w:p>
            <w:pPr>
              <w:spacing w:after="0"/>
              <w:rPr>
                <w:sz w:val="23"/>
                <w:szCs w:val="23"/>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Borders>
              <w:bottom w:val="single" w:sz="8" w:color="CCEEFF"/>
            </w:tcBorders>
          </w:tcPr>
          <w:p>
            <w:pPr>
              <w:spacing w:after="0"/>
              <w:rPr>
                <w:sz w:val="23"/>
                <w:szCs w:val="23"/>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220" w:type="dxa"/>
            <w:vAlign w:val="bottom"/>
            <w:tcBorders>
              <w:bottom w:val="single" w:sz="8" w:color="CCEEFF"/>
            </w:tcBorders>
          </w:tcPr>
          <w:p>
            <w:pPr>
              <w:spacing w:after="0"/>
              <w:rPr>
                <w:sz w:val="23"/>
                <w:szCs w:val="23"/>
                <w:color w:val="auto"/>
              </w:rPr>
            </w:pPr>
          </w:p>
        </w:tc>
        <w:tc>
          <w:tcPr>
            <w:tcW w:w="210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5"/>
                <w:szCs w:val="25"/>
                <w:b w:val="1"/>
                <w:bCs w:val="1"/>
                <w:color w:val="auto"/>
                <w:w w:val="97"/>
                <w:vertAlign w:val="superscript"/>
              </w:rPr>
              <w:t>3</w:t>
            </w:r>
          </w:p>
        </w:tc>
      </w:tr>
      <w:tr>
        <w:trPr>
          <w:trHeight w:val="218"/>
        </w:trPr>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 2020 to May 31,</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41"/>
        </w:trPr>
        <w:tc>
          <w:tcPr>
            <w:tcW w:w="1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913,601</w:t>
            </w:r>
          </w:p>
        </w:tc>
      </w:tr>
      <w:tr>
        <w:trPr>
          <w:trHeight w:val="22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1, 2020 to June 30,</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34"/>
        </w:trPr>
        <w:tc>
          <w:tcPr>
            <w:tcW w:w="1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913,601</w:t>
            </w: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5"/>
        </w:trPr>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2020 to July 31,</w:t>
            </w: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4"/>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25,667</w:t>
            </w: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$35.92</w:t>
            </w:r>
          </w:p>
        </w:tc>
        <w:tc>
          <w:tcPr>
            <w:tcW w:w="220" w:type="dxa"/>
            <w:vAlign w:val="bottom"/>
            <w:shd w:val="clear" w:color="auto" w:fill="CCEEFF"/>
          </w:tcPr>
          <w:p>
            <w:pPr>
              <w:spacing w:after="0"/>
              <w:rPr>
                <w:sz w:val="20"/>
                <w:szCs w:val="20"/>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24,688</w:t>
            </w:r>
          </w:p>
        </w:tc>
        <w:tc>
          <w:tcPr>
            <w:tcW w:w="220" w:type="dxa"/>
            <w:vAlign w:val="bottom"/>
            <w:shd w:val="clear" w:color="auto" w:fill="CCEEFF"/>
          </w:tcPr>
          <w:p>
            <w:pPr>
              <w:spacing w:after="0"/>
              <w:rPr>
                <w:sz w:val="20"/>
                <w:szCs w:val="20"/>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887,934</w:t>
            </w:r>
          </w:p>
        </w:tc>
      </w:tr>
      <w:tr>
        <w:trPr>
          <w:trHeight w:val="27"/>
        </w:trPr>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8"/>
        <w:spacing w:after="0" w:line="236" w:lineRule="auto"/>
        <w:tabs>
          <w:tab w:leader="none" w:pos="135"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Our Board of Directors authorized the repurchase of 300,000 shares of Class B Stock on March 21, 2018, however there have been no repurchases of Class B Stock for the three months ended July 31, 2020, and the authorized Class B Stock is not included in the table above. No shares of our Class A Common Stock are currently outstanding. Descriptions of our Common Stock, Class B Stock and Class A Common Stock are contained in Exhibit 4.1 of this Annual Report on Form 10-K for the fiscal year ended July 31, 2020.</w:t>
      </w:r>
    </w:p>
    <w:p>
      <w:pPr>
        <w:spacing w:after="0" w:line="146"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979 shares surrendered by employees to pay taxes related to restricted stock awards.</w:t>
      </w:r>
    </w:p>
    <w:p>
      <w:pPr>
        <w:spacing w:after="0" w:line="198" w:lineRule="exact"/>
        <w:rPr>
          <w:sz w:val="20"/>
          <w:szCs w:val="20"/>
          <w:color w:val="auto"/>
        </w:rPr>
      </w:pPr>
    </w:p>
    <w:p>
      <w:pPr>
        <w:jc w:val="both"/>
        <w:ind w:firstLine="8"/>
        <w:spacing w:after="0" w:line="233" w:lineRule="auto"/>
        <w:tabs>
          <w:tab w:leader="none" w:pos="147"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Board of Directors authorized repurchase of 250,000 shares on June 14, 2012 and an additional 750,000 shares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and number of shares repurchased will be determined by our management.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54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7 – MANAGEMENT’S DISCUSSION AND ANALYSIS OF FINANCIAL CONDITION AND RESULTS OF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Each operating segment is discussed individually below. Additional detailed descriptions of the operating segments are included in Item 1 “Business”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Consolidated net sales increased approximately $6,202,000 or 2% in fiscal year 2020 compared to fiscal year 2019 along with an increase in income from operations of $14,415,000 or 138%. The increase in income from operations relates to a decrease in cost of sales and a one-time receipt of $13,000,000 relating to licensing of certain of our patents as further described in Note 1 of the Notes to the Consolidated Financial Statements partially offset by higher selling, general and administrative expenses.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Consolidated net income was $18,900,000, or $2.65 per diluted common share, for the fiscal year ended July 31, 2020, a 50% increase from net income of $12,611,000, or $1.80 per diluted common share, for the fiscal year ended July 31, 2019. Higher income from operations as noted above contributed to the increase in net income in fiscal year 2020 offset in part by pension settlement expense as further described in Note 9 of the Notes to the Consolidated Financial Statements as well as by higher income tax expense.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Consolidated Balance Sheets as of July 31, 2020 and our Consolidated Statements of Cash Flows for fiscal year 2020 show an increase in total cash and cash equivalents from fiscal year-end 2019, even while we continue to invest in our facilities, repay debt, pay dividends and make contributions to our pension plan. The increase in cash is further described in Liquidity and Capital Resources.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2019, COVID-19 was reported in China and has subsequently spread worldwide. In March 2020, the World Health Organization declared the COVID-19 outbreak a pandemic. While we saw changes to consumer purchasing patterns for certain products in response to the pandemic and certain increases in our costs arising out of the pandemic, COVID-19 has not, to date, had a significant impact on our business as a whole. All of our facilities, with the exception of our subsidiary in China, (which as noted below, has resumed operations), have continued to operate as essential businesses as permitted under exceptions in the applicable shelter-in-place mandates due to our inclusion in the Critical Manufacturing Sector as defined by the U.S. Department of Homeland Security and other functions defined as essential by government authorities. Our subsidiary in China returned to operations in the third quarter of fiscal year 2020. Our top priority has been, and continues to be, the safety and health of our employees, contractors, and customers. We have adhered to and continue to adhere to guidance from the U.S. Centers for Disease Control and Prevention and local health and governmental authorities with respect to social distancing and physical separation. Additionally, we have increased cleaning and sanitation programs at each of our facilities. As a result, we have not experienced any shutdowns due to workforce absences or illnesses.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further discussed below, our sales increased in fiscal year 2020 primarily due to volume. One of the primary drivers of the increase is that in the third quarter of fiscal year 2020 consumers purchased more cat litter and related products in anticipation of potential future shortages and store closures due to COVID-19. We experienced increases in cat litter sales for both our U.S. business and our subsidiary in Canada as consumers bought more cat litter and related products in response to the shelter-in-place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549"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orders instituted by many states and localities in response to the COVID-19 outbreak. Sales normalized by fiscal year-end 2020. Despite the increase in sales, we have not experienced any increased issues collecting amounts due from customers to date. However, other areas of our business have been negatively impacted. Sales from our industrial and sports products declined in fiscal year 2020 as businesses and sports fields shut down. In the long-term, we foresee that our sports product sales will improve back to pre-pandemic volumes with the re-opening of baseball and softball at all levels. There has been some lower demand from customers in our agricultural business as well a shift in demand from fiscal year 2020 into fiscal year 2021 for one of our customers. In addition, our fluids purification sales decreased in part due to the closures of restaurants and schools, which have not fully re-opened. To a lesser extent, our inability due to COVID-19 to participate in our customers' plant tests of our fluids purification products has also impeded our sales in recent months. Further, during the second quarter of fiscal year 2020 our operations in China temporarily closed, which disrupted our business in China. Our operations in China subsequently re-opened in the third quarter of fiscal year 2020.</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Consolidated gross profit has not been significantly impacted by COVID-19. Our suppliers have either remained open or we have found new suppliers to meet the increase in consumer demand without an impact to pricing. While we have incurred some additional costs from truck loading delays due to the large volume of sales, these costs have not been significant. Further, we have been able to successfully navigate delays in overseas vessel deliveries of our products by increasing our safety stock early in the COVID-19 outbreak as well as finding other providers. We have incurred additional employee compensation costs as a result of increased production to meet increased customer demand as well as additional cleaning and sanitation costs in recent months, but these costs did not have a significant impact on our consolidated gross profit. In addition, we have experienced a decrease in travel costs as our employees have not been traveling during the outbreak.</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closely monitoring the continued spread and effects of the outbreak of COVID-19 on all aspects of our business, including how it has and may impact our suppliers and customers. We have not experienced any significant negative impacts or interruptions and we will continue to closely monitor our inventory levels to mitigate the risk of any potential supply interruptions or changes in customer demands. The impacts of COVID-19 and related economic conditions on our future results are uncertain at this time. The scope, duration and magnitude of the direct and indirect effects of COVID-19 continue to evolve (and in many cases, rapidly) and in ways that are difficult or impossible to anticipate. In addition, because COVID-19 did not materially impact our financial results to date and it remains uncertain whether and how consumers will modify their purchasing habits in response to COVID-19 and continued or reduced government restrictions, these results may not be indicative of the impact that COVID-19 may have on our future results. See “Part I - Item 1A - Risk Factors” for additional discussion regarding the risks COVID-19 presents our business.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impacts of COVID-19 to our specific operating segments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ESULTS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2020 C</w:t>
      </w:r>
      <w:r>
        <w:rPr>
          <w:rFonts w:ascii="Times New Roman" w:cs="Times New Roman" w:eastAsia="Times New Roman" w:hAnsi="Times New Roman"/>
          <w:sz w:val="14"/>
          <w:szCs w:val="14"/>
          <w:b w:val="1"/>
          <w:bCs w:val="1"/>
          <w:color w:val="auto"/>
        </w:rPr>
        <w:t>OMPARED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2019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Consolidated net sales in fiscal year 2020 reached an all-time high of $283,227,000, an increase of $6,202,000 from net sales of $277,025,000 in fiscal year 2019. Net sales in our Retail and Wholesale Products Group increased for our cat litter products, as well as for our subsidiaries in Canada and the United Kingdom. Net sales in our Business to Business Products Group decreased slightly. Sales fluctuations by operating segment are further discussed below.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Consolidated gross profit in fiscal year 2020 was $75,823,000, an increase of $10,163,000 from gross profit of $65,660,000 in the prior fiscal year. Our gross margin (defined as gross profit as a percentage of net sales) in fiscal year 2020 increased to 27% from 24% in fiscal year 2019. Gross profit increased primarily due to lower freight, natural gas and warehouse costs. Freight costs per manufactured ton decreased approximately 18% compared to the prior fiscal year due in part to lower transportation rates from improved truck availability. Costs were higher in the first half of the prior fiscal year due to one-time events, including a greater number of product transfers between our plants and warehouses to support customer service during the implementation of our new ERP system on August 1, 2018 and disruptions due to Hurricane Michael. Our overall freight costs also vary between periods depending on the mix of products sold and the geographic distribution of our customers. We do expect that freight costs will increase in fiscal 2021 as there is an anticipated industry freight need as imports are surging back to pre-COVID-19 levels. The cost per manufactured ton of natural gas used to operate kilns that dry our clay was approximately 29% lower in fiscal year 2020 compared to fiscal year 2019. Warehouse costs were lower in fiscal year 2020 compared to fiscal year 2019 due to better management of inventory. Our suppliers have remained open during COVID-19 and have been able to meet our increased demand. In contrast, non-fuel manufacturing costs per ton were up approximately 3% and purchased material per ton also increased 3%. In addition, we incurred additional employee compensation costs as a result of increased production to meet increased customer demand as well as cleaning and sanitation costs in recent months due to COVID-19. These costs related to COVID-19 did not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have a significant impact on our consolidated gross profit. In addition, an increase in the number of tons produced contributed to higher costs for labor and mining-related costs. Our repairs expense also increased for routine and preventative equipment maintenance. Packaging costs per ton were approximately 1.3% higher compared to the prior fiscal year due in part to the mix of products produced. Many of our contracts for packaging purchases are subject to periodic price adjustments, which trail changes in underlying commodity prices.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Total selling, general and administrative expenses were 16% higher in fiscal year 2020 compared to fiscal year 2019. The discussions of each segment's operating income below describe the changes in selling, general and administrative expenses that were allocated to that segment, particularly the higher advertising costs in the Retail and Wholesale Products Group. The remaining unallocated corporate expenses in fiscal year 2020 included a higher estimated annual incentive bonus accrual for fiscal year 2020 compared to fiscal year 2019. The incentive bonus accrual was based on actual financial results achieved for the fiscal year and discretion by our Chief Executive Officer, in accordance with the incentive plan's provisions. Also included in unallocated corporate expenses was additional expense related to the increase in employer match for our 401(k) plan. A legal contingency is also included in unallocated corporate expenses in fiscal 2020 as further discussed in Note 10 of the Notes to the Consolidated Financial Statements. These higher expenses were partially offset by lower legal and deferred compensation costs and the curtailment gain related to our Supplemental Executive Retirement Plan as further described in Note 9 of the Notes to the Consolidated Financial Statements.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of $1,387,000 in fiscal year 2020 included expense of approximately $2,000,000 of settlement expense under our pension plan as further described in Note 8 to the Notes to the Consolidated Financial Statements. In fiscal year 2019 Other income of $4,723,000 included net proceeds upon resolution of legal proceedings. The amount received under a confidential agreement resolving these legal proceedings was material to our financial results for the period. See Note 2 of the Notes to the Consolidated Financial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expense for fiscal year 2020 was $4,280,000 compared to $1,933,000 in fiscal year 2019 driven by our increase in net income. See Note 5 of the Notes to the Consolidated Financial Statements for additional information about our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of the Business to Business Products Group for fiscal year 2020 were $104,260,000, a decrease of $1,617,000, or 2%, from net sales of $105,877,000 in fiscal year 2019. Net sales increased for our cat litter and animal health products; however, sales declined for our agricultural and horticultural products and fluids purification products.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 sales of our agricultural and horticultural chemical carrier products decreased approximately 10% or $2,425,000 in fiscal year 2020 compared to fiscal year 2019. Sales of traditional granules declined primarily due to the previously reported loss of a large customer, which was partially offset by increased sales to an existing customer. Lower demand from our customers in the agricultural, home and garden industries due to the impact of COVID-19 have also contributed to the decrease in net sales. Net sales of our fluids purification products in fiscal year 2020 decreased approximately 3% or $1,788,000 compared to the prior fiscal year. The lower sales are attributable to a plant closing of a biodiesel processing customer and local pricing competition in foreign markets due to unfavorable exchange rates. More recently, the closures of restaurants and schools due to the outbreak of COVID-19 have caused sales to edible oil producers to decrease. There has also been a decrease in our fluids purification sales for jet fuel processing due to reductions in travel as a result of COVID-19. In addition, our inability to participate in our customers' plant tests of our products due to COVID-19 has also impeded our sales in recent months. However, sales from our UK subsidiary increased in fiscal year 2020 compared to fiscal year 2019 due to a new customer; this increase offset a portion of the decrease in sales from our overall fluids purification products. The lower sales for our agricultural and horticultural chemical carrier products and fluids purification products were partially offset by higher sales of other products in the Business to Business Group, including an increase of approximately 6% or $764,000 compared to the prior fiscal year for sales of our co-packaged coarse cat litter primarily due to volume. Net sales of our animal health and nutrition products also increased approximately 12% or $1,832,000 compared to the prior fiscal year. Sales growth occurred for our animal feed additives primarily in Latin America, Mexico, Africa, and Asia, excluding China. See “Foreign Operations” below for a discussion of sales in China, which were negatively impacted by the spread of the African swine fever in the prior year and COVID-19 in late 2019 and in 2020. The increase in sales growth in Latin America, Mexico, Africa and Asia (excluding China) was slightly offset by a decrease in sales in North America and a delay in the product registration of one of our products as well as a delay in testing and trials of our product at our customers due to COVID-19.</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selling, general and administrative expenses in fiscal year 2020 were approximately 9% or $841,000 higher compared to fiscal year 2019, but remained relatively consistent as a percentage of sales. The increase in SG&amp;A is attributable to higher costs for product development and support, increased compensation-related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expenses, an increase in bad debt allowance for certain uninsured foreign receivables, and additional costs to establish our subsidiary in Indonesia.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Business to Business Products Group’s operating income in fiscal year 2020 was flat compared to fiscal year 2019. While net sales decreased, this decrease was offset by lower freight, natural gas, and warehouse costs in fiscal year 2020 as discussed in Consolidated Results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fiscal year 2020 were $178,967,000, an increase of $7,819,000, or 5%, from net sales of $171,148,000 in fiscal year 2019. Sales of cat litter drove the increase in sales. Total cat litter net sales were $12,014,000 or 9% higher compared to the prior fiscal year with increased sales of both private label and branded litters. Sales of private label scoopable litter increased to existing customers, some of whom had expanded their selection of our products during the prior fiscal year. Similarly, higher sales of private label coarse litter included incremental sales to customers who added these products in the prior fiscal year. Branded coarse litter and litter box liners sales were also higher in fiscal year 2020 compared to the prior fiscal year. Cat litter sales by our subsidiary in Canada further contributed to the sales increase, as discussed in “Foreign Operations” below. Contributing to higher cat litter sales in fiscal year 2020 was higher consumer demand as consumers purchased more cat litter and related products in anticipation of potential future shortages and store closures due to COVID-19. The increase in these sales due to COVID-19 leveled out to a more normalized volume towards the end of fiscal 2020. Also included in the Retail and Wholesale Products Group's results were lower sales of our industrial and sports products compared to fiscal year 2019. Sales of our industrial floor absorbents and sports products decreased 13% or $4,306,000 compared to fiscal year 2019, primarily driven by the impact of businesses and sports fields shutting down due to COVID-19.</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Retail and Wholesale Products Group were approximately $2,535,000 or 15% higher compared to fiscal year 2019. The increase was driven by higher advertising expense due primarily to a focus on targeted programs and digital media.</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segment operating income for fiscal year 2020 was $15,859,000, an increase of $7,176,000, from operating income of $8,683,000 in fiscal year 2019. The higher sales plus lower freight, fuel and warehouse costs, were partially offset by an increase in advertising expenses and to some extent higher packaging and non-fuel costs, as discussed in “Consolidated Results”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SUBSIDIARIES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Foreign operations include our subsidiaries in Canada and the UK, which are included in the Retail and Wholesale Products Group, and our subsidiaries in China, Mexico and Indonesia, which are included in the Business to Business Products Group. Net sales by our foreign subsidiaries during fiscal year 2020 were $15,220,000, an increase of $1,664,000, or 12%, from net sales of $13,556,000 during fiscal year 2019. The increase relates primarily to higher sales by our Canadian subsidiary in fiscal year 2020. One of the drivers of this increase was higher consumer demand in the third quarter as customers purchased more cat litter and related products in anticipation of potential future shortages and store closures due to COVID-19. In addition, our Canadian subsidiary had higher sales in fiscal year 2020 due to new products and customers. Sales of our animal health products by our foreign operations grew to a lesser extent, as higher sales for our subsidiaries in Mexico and Indonesia were mostly offset by lower sales for our subsidiary in China. Sales of animal health products to pork producers in China have not fully recovered since the spread of African swine fever in fiscal year 2019. In addition, our Chinese subsidiary's business operations have been impacted in the second and third quarters of fiscal year 2020 by the recent outbreak of COVID-19. Chinese government restrictions to control the spread of COVID-19 disrupted our sales office, limited travel by our salesforce and delayed product shipments. In addition, our subsidiary in China had a delay in product registration for one of our products as discussed above. Net sales by our foreign subsidiaries represented 5% of our consolidated net sales for both the fiscal years 2020 and 2019.</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fiscal year 2020, our foreign subsidiaries reported a net loss of $1,308,000, compared to net income of $155,000 in fiscal year 2019. Our subsidiaries in Canada and the UK experienced an increase in sales and net income in fiscal year 2020. While our subsidiaries in Mexico and Indonesia experienced an increase in sales in fiscal year 2020 they also had net losses, primarily due to sales commissions to brokers for our Mexico subsidiary and additional costs to establish operations in Indonesia. Our Chinese subsidiary experienced a loss in fiscal year 2020 due to a decrease in sales as noted above as well as changes in product mix.</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Identifiable assets of our foreign subsidiaries as of July 31, 2020 were $12,586,000 compared to $10,195,000 as of July 31, 2019. The increase was due primarily to higher cash, inventory and receivables balances.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IQUIDITY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fiscal year 2020, we primarily used cash generated from operations to fund these requirements. Cash and cash equivalents totaled $40,890,000 and $21,862,000 as of July 31, 2020 and 2019, respectively. Contributing to the increase in cash in fiscal year 2020 is $10,000,000 of borrowings in the fourth quarter of fiscal year 2020 as well as a one-time receipt of $13,000,000 related to licensing of certain of our patents. See Notes 1 of the Notes to the Consolidated Financial Statements for information about the one-time receipt and Note 3 for the borrowings.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COVID-19 has not had a significant impact on our operations as a whole, and we anticipate cash flows from operations and our available sources of liquidity will be sufficient to meet our cash requirements. In addition, we are actively monitoring the timing and collection of our accounts receivable. Given the dynamic nature of COVID-19, we will continue to assess our liquidity needs and to actively manage our spending.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elements of our Consolidated Statements of Cash Flows for the fiscal year (in thousands):</w:t>
      </w:r>
    </w:p>
    <w:p>
      <w:pPr>
        <w:spacing w:after="0" w:line="383" w:lineRule="exact"/>
        <w:rPr>
          <w:sz w:val="20"/>
          <w:szCs w:val="20"/>
          <w:color w:val="auto"/>
        </w:rPr>
      </w:pPr>
    </w:p>
    <w:tbl>
      <w:tblPr>
        <w:tblLayout w:type="fixed"/>
        <w:tblInd w:w="166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42,462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26,743</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(9,886)</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19,028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9,105</w:t>
            </w: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fiscal years 2020 and 2019 were as follows: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Non-cash stock compensation was $961,000 higher for fiscal 2020 compared to fiscal 2019 due to additional grants of restricted stock in fiscal year 2020. In addition, in fiscal year 2019, the amount of stock awarded was significantly higher than in the previous year and a full year of expense related to these awards was recorded in fiscal year 2020. See Note 7 of the Notes to the Consolidated Financial Statements for further information about stock-based compensation.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taxes were $453,000 lower at fiscal year-end 2020 compared to fiscal year-end 2019, and were $406,000 higher at fiscal year-end 2019 compared to fiscal year-end 2018. Deferred income taxes were lower at fiscal year-end 2020 due to postretirement benefits and accrued expenses. Deferred income taxes were higher at fiscal year-end 2019 because during fiscal year 2018, an adjustment to reflect the lower U.S. federal corporate tax rate under the 2017 Tax Cuts and Jobs Act reduced deferred taxes, particularly related to depreciation, deferred compensation and postretirement benefits. See Note 5 of the Notes to the Consolidated Financial Statements for further information about income taxes.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a curtailment gain on our Supplemental Executive Retirement Plan (“SERP”) plan in fiscal year 2020 of $1,296,000, which is further discussed in Note 9 of the Notes to the Consolidated Financial Statements.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less allowance for doubtful accounts and cash discounts, were $411,000 lower at fiscal year-end 2020 compared to fiscal year-end 2019 due primarily to lower sales in the fourth quarter of fiscal 2020 and an increase in our bad debt reserve for certain uninsured foreign receivables which had been previously insured, and for two customers that are slow-paying. The same measure of accounts receivable was $1,908,000 higher at fiscal year-end 2019 compared to fiscal year-end 2018 due to higher sales in the fourth quarter of fiscal year 2019 compared to the same fiscal year end 2018. Fluctuations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81"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balances were impacted in all periods by the timing of both sales and collections, as well as the payment terms provided to various customers in the ordinary course of business.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were $213,000 lower at fiscal year-end 2020 compared to fiscal year-end 2019 due primarily to a higher obsolescence reserve and lower inventory packaging levels. The higher obsolescence reserve and lower packaging inventories are attributed to our focus on inventory management and enhanced data available from our ERP system. Inventories were $1,693,000 higher at fiscal year-end 2019 compared to fiscal year-end 2018 for the exact opposite reason than in fiscal year 2020. A larger amount of on-hand quantities of packaging and other materials purchased at higher costs as well as a lower reserve for discontinued, slow moving and unsaleable inventory contributed to the higher inventory value at fiscal year-end 2019. Furthermore, finished goods and purchased materials inventories vary from year to year due to anticipated sales requirements and the mix of products expected to be produced. See Note 1 of the Notes of the Notes to the Consolidated Financial Statements.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assets were $1,242,000 higher at fiscal year-end 2020 compared to fiscal year-end 2019 due to pre-production development costs at our Georgia mine. Other assets were $617,000 higher at fiscal year-end 2019 than fiscal year-end 2018 related to intangibles.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payable, including income taxes payable, were $4,238,000 higher at fiscal year-end 2020 compared to fiscal year-end 2019. Higher accrued income taxes due to higher net income and a higher effective tax rate drove the increase in fiscal year 2020 as well as higher freight payables due to the increase in sales. In addition, accounts payable were higher at fiscal year-end 2020 due to the additional capital expenditures made in the fourth quarter. Accounts payable were $590,000 higher at fiscal year-end 2019 compared to fiscal year-end 2018 due to normal fluctuations. Changes in trade accounts payable in all periods are subject to normal fluctuations in the timing of payments, the cost of goods and services we purchased, production volume levels and vendor payment terms.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Accrued expenses were $8,632,000 higher at fiscal year-end 2020 compared to fiscal year-end 2019 due primarily to a higher accrued annual discretionary bonus, 401(k) employer match, advertising costs and an accrual for a legal contingency which is further described in Note 10 of the Notes to the Consolidated Financial Statements. These increases were partially offset by lower accruals for unvouchered freight. Accrued expenses were $589,000 lower at fiscal year-end 2019 compared to fiscal year-end 2018 due primarily to a lower annual discretionary bonus, which was partially offset by higher accruals for trade promotions, advertising and freight. Changes in other accrued expenses in all periods are subject to normal fluctuations in the timing of payments.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compensation balances at fiscal year-end 2020 were $421,000 higher compared to fiscal year-end 2019 and fiscal year-end 2019 was slightly lower compared to fiscal year-end 2018. Deferred compensation has increased in fiscal 2020 because of higher deferrals by participants in our deferred compensation plan. A significant payout under the terms of the deferred compensation plan in fiscal year 2018 contributed to $86,000 lower balances at fiscal year-end 2019 compared to fiscal year-end 2018.</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Pension and other postretirement liabilities, net of the adjustment recorded in stockholders' equity, were $5,684,000 lower at fiscal year-end 2020 compared to fiscal year-end 2019 due primarily to the curtailment of our pension plan and a $8,000,000 voluntary contribution to our pension plan in excess of the minimum amount required. These liabilities were $3,307,000 higher at fiscal year-end 2019 compared to fiscal year-end 2018 due primarily to continued accumulation of employee benefits and a lower discount rate applied to the actuarial liability calculation. See Note 8 of the Notes to the Consolidated Financial Statements for more information regarding our postretirement benefit plans.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Other liabilities were $1,120,000 higher at fiscal year-end 2020 compared to fiscal year-end 2019. Other liabilities were $583,000 higher at fiscal year-end 2019 compared to fiscal year-end 2018. The increase in fiscal year 2020 is due to a reclassification of the deferred lease liability to operating lease liabilities upon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increase in fiscal year 2019 was due to a new deferred lease liability.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$14,677,000 in fiscal year 2020 and cash used in investing activities was $7,888,000 in fiscal year 2019. Cash used in fiscal year 2020 related primarily to the purchases of capital expenditures at levels comparable to fiscal year 2019. In fiscal year 2019, dispositions of short-term investments exceeded purchases by $7,134,000. Net dispositions of investment securities provided cash in the first nine months of fiscal year 2019; however, no short-term investments were held in fiscal year 2020 due to the low returns available on these investments.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$8,750,000 in fiscal year 2020 and $9,886,000 in fiscal year 2019. The primary uses of cash in all periods were for long-term debt and dividend payments offset by borrowings as further described in Note 3 of the Notes to the Consolidated Financial Statements. In fiscal year 2020, stock purchases were another primary use of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cash and investment balances held by our foreign subsidiaries as of July 31, 2020 and 2019 were $3,042,000 and $2,136,000,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in the “Foreign Operations” section above.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31, 2019, we signed a fifth amendment to our credit agreement with BMO Harris , which expires on January 31, 2024. The new agreement provides for a $45,000,000 unsecured revolving credit agreement, including a maximum of $10,000,000 for letters of credit. The remaining terms are substantially unchanged from our previous agreement with BMO Harris, including the provision that we may select a variable rate based on either BMO Harris’ prime rate or a LIBOR-based rate, plus a margin which varies depending on our debt to earnings ratio, or a fixed rate as agreed between us and BMO Harris. As of July 31, 2020, the variable rates would have been 3.50% for the BMO Harris’ prime-based rate or 1.50%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2020 and 2019, we were in compliance with its covenants. As of July 31, 2020 and 2019, there were no outstanding borrowings under this credit agreement.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Note 3 of the Notes to the Consolidated Financial Statements for information about our outstanding notes payable and a discussion of the debt instrument that we entered into on May 15, 2020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July 31, 2020, we had remaining authority to repurchase 887,934 shares of Common Stock and 288,925 shares of Class B Stock under a repurchase plan approved by our Board of Directors (the “Board”). Repurchases may be made on the open market (pursuant to Rule 10b5-1 plans or otherwise) or in negotiated transactions. The timing and number of shares repurchased will be determined by our management pursuant to the repurchase plan approved by our Board. In fiscal 2020 we made repurchases of stock as further discussed in Item 5, Market for Registrant' Common Equity, Related Stockholders Matters and Issuer Purchases of Equity Securities.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revolving credit facility, current cash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Our expenditures for capital were comparable to fiscal year 2019. We made $8,000,0000 of discretionary contributions to our pension plan in fiscal year 2020. See Note 8 of the Notes to the Consolidated Financial Statements for discussion of our Pension Plan.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ALANCE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HEET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RRANGEMENTS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any unconsolidated special purpose entities. As of July 31, 2020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335"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derivative instrument or variable interest; or (ii) a retained or contingent interest in assets transferred to such entity or similar arrangement that serves as credit, liquidity or market risk support for such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RITICAL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STIMATES</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U.S. GAAP requires management to make estimates and assumptions that affect the reported amounts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on earnings was based on income, statutory tax rates and tax planning opportunities available to us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in which we operate. Significant judgment was required in determining our effective tax rate and in evaluating our tax positions.</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determine our current and deferred taxes in accordance with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valuation allowances of $923,000 and $732,000 for the amount of the deferred tax benefit related to our foreign net operating loss carryforwards as of July 31, 2020 and 2019, respectively, because we believe it is unlikely we will realize the benefit of these tax attributes in the future.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2020 or 2019. See Note 5 of the Notes to the Consolidated Financial Statements for further discussion.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Trade Promotions. </w:t>
      </w:r>
      <w:r>
        <w:rPr>
          <w:rFonts w:ascii="Times New Roman" w:cs="Times New Roman" w:eastAsia="Times New Roman" w:hAnsi="Times New Roman"/>
          <w:sz w:val="18"/>
          <w:szCs w:val="18"/>
          <w:color w:val="auto"/>
        </w:rPr>
        <w:t>We routinely commit to one-time or ongoing trade promotion programs in our Retail and Wholesale Products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$1,843,000 and $1,449,000 for trade promotions as of July 31, 2020 and 2019, respectively.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Benefit Costs. </w:t>
      </w:r>
      <w:r>
        <w:rPr>
          <w:rFonts w:ascii="Times New Roman" w:cs="Times New Roman" w:eastAsia="Times New Roman" w:hAnsi="Times New Roman"/>
          <w:sz w:val="18"/>
          <w:szCs w:val="18"/>
          <w:color w:val="auto"/>
        </w:rPr>
        <w:t>We calculate our pension and postretirement health benefit obligations and the related effects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2020 and 2019 was the FTSE Pension Discount Curve (formally called the Citi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8 of the Notes to the Consolidated Financial Statements for additional information.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further described in Note 8 of the Notes to the Consolidated Financial Statements, we amended and froze participation in our pension plan and supplemental executive retirement plan in the second quarter of fiscal year 2020. The amendment of these plans triggered a curtailment, which required a remeasurement of the plans’ obligations. Both of these remeasurements were based on actuarially determined amounts. In addition, we offered terminated participants with vested benefits who have not yet begun receipt of benefits under the pension plan the opportunity to receive their pension benefits in a single payment (the “Lump Sum Option”). We made payments to those participants who elected the Lump Sum Option by the May 15, 2020 election deadline. This settlement of a portion of the pension plan was recorded as settlement expense based on actuarially determined amounts in the fourth quarter of fiscal year 2020.</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the risk of loss and title pass to the customer. We record an allowance for doubtful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doubtful accounts and cash discounts of $1,078,000 and $644,000 as of July 31, 2020 and 2019, respectively.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and allowances are not material.</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We value inventories at the lower of cost (first-in, first-out) or market. Inventory costs include the cost of raw materials, packaging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supplies, labor and other overhead costs. We perform a detailed review of our inventory to determine if a reserve adjustment is necessary, giving consideration to obsolescence, inventory levels, product deterioration and other factors. The review also surveys all of our operating facilities and sales divisions to give consideration to historic and new market trends. The inventory reserve values as of July 31, 2020 and 2019 were $926,000 and $704,000, respectively.</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During the normal course of our mining process we remove overburden and perform on-going reclamation activities.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overburden is 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As of July 31, 2020 and 2019, we have recorded an estimated net reclamation asset of $932,000 and $975,000, respectively, and a corresponding estimated reclamation liability of $2,554,000 as of July 31, 2020 and $2,410,000 as of July 31, 2019.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trademarks and other intangible assets. </w:t>
      </w:r>
      <w:r>
        <w:rPr>
          <w:rFonts w:ascii="Times New Roman" w:cs="Times New Roman" w:eastAsia="Times New Roman" w:hAnsi="Times New Roman"/>
          <w:sz w:val="18"/>
          <w:szCs w:val="18"/>
          <w:color w:val="auto"/>
        </w:rPr>
        <w:t>We review carrying values of goodwill, trademarks and other indefinite-lived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intangible assets periodically for possible impairment in accordance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Our impairment review requires significant judgment with respect to factors such as volume, revenue and expenses. Impairment occurs when the carrying value exceeds the fair value. Our impairment analysis is performed in the fourth quarter of the fiscal year and may be re-performed during the year when indicators such as unexpected adverse economic factors, unanticipated technological changes, competitive activities and acts by governments and courts indicate that an asset may become impaired. Our impairment analysis performed in the fourth quarters of both fiscal years 2020 and 2019 did not indicate any impairment. We continue to monitor events, circumstances or changes in the business that might imply a reduction in value which could lead to an impairment. In addition, although we have not identified any triggering events relating to goodwill or our intangibles, the ultimate effects of COVID-19 could change this assessment in the future, as outlined under Item 1A, Risk Factors, discussed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August 1, 2019 we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using the modified retrospective transition approach and, accordingly, we did not restate prior comparative period financial statements. As of the date of adoption, we elected the package of practical expedients that allowed us to forgo assessment under the ASC 842 guidance whether existing or expired contracts contained leases, the classification of expired or existing leases and the accounting for previously incurred initial direct costs. We also elected the practical expedient to forgo assessment under ASC 842 whether existing or expired land easements not previously accounted for under legacy leasing GAAP contain leases. The adoption of ASC 842 on August 1, 2019 resulted in the recognition of additional right-of-use (ROU) assets and lease liabilities related to operating leases of $9,348,000 and $10,910,000, respectively, on our Consolidated Balance Sheet. There was no material impact to any of our other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FASB issued guidance under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are currently evaluating the potential effects of the adoption of this guidance on our Consolidated Financial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guidance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are currently evaluating the impact of the adoption of this requirement on our Consolidated Financial Statements.</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guidance under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 summary of all recently adopted and issued accounting standards is contained in Note 1 of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5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40,890</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 of $1,078 and $644</w:t>
            </w:r>
          </w:p>
        </w:tc>
        <w:tc>
          <w:tcPr>
            <w:tcW w:w="3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 2020 and 2019, respectively</w:t>
            </w:r>
          </w:p>
        </w:tc>
        <w:tc>
          <w:tcPr>
            <w:tcW w:w="3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35,459</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 net</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23,893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24,163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repairs expense</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Current Assets</w:t>
            </w:r>
          </w:p>
        </w:tc>
        <w:tc>
          <w:tcPr>
            <w:tcW w:w="3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108,420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89,276</w:t>
            </w:r>
          </w:p>
        </w:tc>
        <w:tc>
          <w:tcPr>
            <w:tcW w:w="0" w:type="dxa"/>
            <w:vAlign w:val="bottom"/>
          </w:tcPr>
          <w:p>
            <w:pPr>
              <w:spacing w:after="0"/>
              <w:rPr>
                <w:sz w:val="1"/>
                <w:szCs w:val="1"/>
                <w:color w:val="auto"/>
              </w:rPr>
            </w:pPr>
          </w:p>
        </w:tc>
      </w:tr>
      <w:tr>
        <w:trPr>
          <w:trHeight w:val="237"/>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39,274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38,852</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Machinery and equipment</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152,583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145,402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20,569</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Vehicles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17,863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Gross depreciable assets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231,222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220,198</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(169,040)</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(159,036)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depreciable assets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62,182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61,162</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13,717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Land and mineral rights</w:t>
            </w:r>
          </w:p>
        </w:tc>
        <w:tc>
          <w:tcPr>
            <w:tcW w:w="3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17,049</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17,117</w:t>
            </w:r>
          </w:p>
        </w:tc>
        <w:tc>
          <w:tcPr>
            <w:tcW w:w="0" w:type="dxa"/>
            <w:vAlign w:val="bottom"/>
          </w:tcPr>
          <w:p>
            <w:pPr>
              <w:spacing w:after="0"/>
              <w:rPr>
                <w:sz w:val="1"/>
                <w:szCs w:val="1"/>
                <w:color w:val="auto"/>
              </w:rPr>
            </w:pPr>
          </w:p>
        </w:tc>
      </w:tr>
      <w:tr>
        <w:trPr>
          <w:trHeight w:val="237"/>
        </w:trPr>
        <w:tc>
          <w:tcPr>
            <w:tcW w:w="50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92,948</w:t>
            </w:r>
          </w:p>
        </w:tc>
        <w:tc>
          <w:tcPr>
            <w:tcW w:w="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90,798</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9,262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9,262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Trademarks and patents, net of accumulated amortization</w:t>
            </w:r>
          </w:p>
        </w:tc>
        <w:tc>
          <w:tcPr>
            <w:tcW w:w="3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of $457 and $299 in 2020 and 2019, respectively</w:t>
            </w:r>
          </w:p>
        </w:tc>
        <w:tc>
          <w:tcPr>
            <w:tcW w:w="3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5"/>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list, net of accumulated amortization</w:t>
            </w:r>
          </w:p>
        </w:tc>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$6,887 and $6,297 in 2020 and 2019, respectively</w:t>
            </w: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5,670</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37"/>
        </w:trPr>
        <w:tc>
          <w:tcPr>
            <w:tcW w:w="50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Other Assets</w:t>
            </w:r>
          </w:p>
        </w:tc>
        <w:tc>
          <w:tcPr>
            <w:tcW w:w="3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34,514</w:t>
            </w:r>
          </w:p>
        </w:tc>
        <w:tc>
          <w:tcPr>
            <w:tcW w:w="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25,153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235,882</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205,227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6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12,529</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1,808</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2,170</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Salaries, wages and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13,505</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43"/>
        </w:trPr>
        <w:tc>
          <w:tcPr>
            <w:tcW w:w="8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2,349</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Freight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1,313</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43"/>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Real estate tax</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1,658</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9,875</w:t>
            </w:r>
          </w:p>
        </w:tc>
        <w:tc>
          <w:tcPr>
            <w:tcW w:w="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6,376</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46,207</w:t>
            </w:r>
          </w:p>
        </w:tc>
        <w:tc>
          <w:tcPr>
            <w:tcW w:w="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Notes payable, net of unamortized debt issuance costs of $150 and $31 in 2020 and 2019, respectively</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8,848</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5,140</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15,140</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9,135</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3,448</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41,711</w:t>
            </w: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37,075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87,918</w:t>
            </w:r>
          </w:p>
        </w:tc>
        <w:tc>
          <w:tcPr>
            <w:tcW w:w="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69,681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par value $.10 per share, issued 8,449,003 shares in 2020 and 8,284,199 shares in 2019</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845</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5"/>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 B Stock, convertible, par value $.10 per share, issued 2,437,402 shares in 2020 and 2,576,479 shares</w:t>
            </w:r>
          </w:p>
        </w:tc>
        <w:tc>
          <w:tcPr>
            <w:tcW w:w="280" w:type="dxa"/>
            <w:vAlign w:val="bottom"/>
          </w:tcPr>
          <w:p>
            <w:pPr>
              <w:spacing w:after="0"/>
              <w:rPr>
                <w:sz w:val="19"/>
                <w:szCs w:val="19"/>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2019</w:t>
            </w: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44,993</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176,579</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(11,994)</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(12,254)</w:t>
            </w: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0" w:type="dxa"/>
            <w:vAlign w:val="bottom"/>
          </w:tcPr>
          <w:p>
            <w:pPr>
              <w:spacing w:after="0"/>
              <w:rPr>
                <w:sz w:val="1"/>
                <w:szCs w:val="1"/>
                <w:color w:val="auto"/>
              </w:rPr>
            </w:pPr>
          </w:p>
        </w:tc>
      </w:tr>
      <w:tr>
        <w:trPr>
          <w:trHeight w:val="205"/>
        </w:trPr>
        <w:tc>
          <w:tcPr>
            <w:tcW w:w="834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Less treasury stock, at cost (3,090,230 Common and 335,816 Class B shares in 2020 and 2,926,547</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(62,269)</w:t>
            </w:r>
          </w:p>
        </w:tc>
        <w:tc>
          <w:tcPr>
            <w:tcW w:w="4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and 324,741 Class B shares in 2019)</w:t>
            </w: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147,964</w:t>
            </w: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135,546</w:t>
            </w:r>
          </w:p>
        </w:tc>
        <w:tc>
          <w:tcPr>
            <w:tcW w:w="0" w:type="dxa"/>
            <w:vAlign w:val="bottom"/>
          </w:tcPr>
          <w:p>
            <w:pPr>
              <w:spacing w:after="0"/>
              <w:rPr>
                <w:sz w:val="1"/>
                <w:szCs w:val="1"/>
                <w:color w:val="auto"/>
              </w:rPr>
            </w:pPr>
          </w:p>
        </w:tc>
      </w:tr>
      <w:tr>
        <w:trPr>
          <w:trHeight w:val="291"/>
        </w:trPr>
        <w:tc>
          <w:tcPr>
            <w:tcW w:w="8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235,882</w:t>
            </w: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205,227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019"/>
          </w:cols>
          <w:pgMar w:left="1440" w:top="769" w:right="1440" w:bottom="1440" w:gutter="0" w:footer="0" w:header="0"/>
        </w:sectPr>
      </w:pPr>
    </w:p>
    <w:bookmarkStart w:id="37" w:name="page38"/>
    <w:bookmarkEnd w:id="37"/>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7"/>
        </w:trPr>
        <w:tc>
          <w:tcPr>
            <w:tcW w:w="6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6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4"/>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 share</w:t>
            </w:r>
          </w:p>
        </w:tc>
      </w:tr>
      <w:tr>
        <w:trPr>
          <w:trHeight w:val="238"/>
        </w:trPr>
        <w:tc>
          <w:tcPr>
            <w:tcW w:w="6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060" w:type="dxa"/>
            <w:vAlign w:val="bottom"/>
          </w:tcPr>
          <w:p>
            <w:pPr>
              <w:spacing w:after="0"/>
              <w:rPr>
                <w:sz w:val="20"/>
                <w:szCs w:val="20"/>
                <w:color w:val="auto"/>
              </w:rPr>
            </w:pPr>
          </w:p>
        </w:tc>
      </w:tr>
      <w:tr>
        <w:trPr>
          <w:trHeight w:val="216"/>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283,227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277,025</w:t>
            </w:r>
          </w:p>
        </w:tc>
      </w:tr>
      <w:tr>
        <w:trPr>
          <w:trHeight w:val="243"/>
        </w:trPr>
        <w:tc>
          <w:tcPr>
            <w:tcW w:w="6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(207,404)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(211,365)</w:t>
            </w:r>
          </w:p>
        </w:tc>
      </w:tr>
      <w:tr>
        <w:trPr>
          <w:trHeight w:val="27"/>
        </w:trPr>
        <w:tc>
          <w:tcPr>
            <w:tcW w:w="6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75,823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65,660</w:t>
            </w:r>
          </w:p>
        </w:tc>
      </w:tr>
      <w:tr>
        <w:trPr>
          <w:trHeight w:val="243"/>
        </w:trPr>
        <w:tc>
          <w:tcPr>
            <w:tcW w:w="6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Income (1)</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13,000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(2)</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(63,996)</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(55,248)</w:t>
            </w:r>
          </w:p>
        </w:tc>
      </w:tr>
      <w:tr>
        <w:trPr>
          <w:trHeight w:val="237"/>
        </w:trPr>
        <w:tc>
          <w:tcPr>
            <w:tcW w:w="6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24,827</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10,412</w:t>
            </w:r>
          </w:p>
        </w:tc>
      </w:tr>
      <w:tr>
        <w:trPr>
          <w:trHeight w:val="27"/>
        </w:trPr>
        <w:tc>
          <w:tcPr>
            <w:tcW w:w="6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43"/>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 loss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net (3)</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4,723</w:t>
            </w:r>
          </w:p>
        </w:tc>
      </w:tr>
      <w:tr>
        <w:trPr>
          <w:trHeight w:val="237"/>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4,136</w:t>
            </w:r>
          </w:p>
        </w:tc>
      </w:tr>
      <w:tr>
        <w:trPr>
          <w:trHeight w:val="27"/>
        </w:trPr>
        <w:tc>
          <w:tcPr>
            <w:tcW w:w="6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23,020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14,548</w:t>
            </w:r>
          </w:p>
        </w:tc>
      </w:tr>
      <w:tr>
        <w:trPr>
          <w:trHeight w:val="243"/>
        </w:trPr>
        <w:tc>
          <w:tcPr>
            <w:tcW w:w="6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7"/>
        </w:trPr>
        <w:tc>
          <w:tcPr>
            <w:tcW w:w="6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18,740</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12,615</w:t>
            </w:r>
          </w:p>
        </w:tc>
      </w:tr>
      <w:tr>
        <w:trPr>
          <w:trHeight w:val="237"/>
        </w:trPr>
        <w:tc>
          <w:tcPr>
            <w:tcW w:w="6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18,900</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12,611</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65"/>
        </w:trPr>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6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 Common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2.70</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 Class B Common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0"/>
        </w:trPr>
        <w:tc>
          <w:tcPr>
            <w:tcW w:w="6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Diluted Common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 Class B Common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65"/>
        </w:trPr>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3"/>
        </w:trPr>
        <w:tc>
          <w:tcPr>
            <w:tcW w:w="6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 Common</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5,149</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5,112</w:t>
            </w: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 Class B Common</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0"/>
        </w:trPr>
        <w:tc>
          <w:tcPr>
            <w:tcW w:w="6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Diluted Basic Common</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5,246</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5,165</w:t>
            </w:r>
          </w:p>
        </w:tc>
      </w:tr>
      <w:tr>
        <w:trPr>
          <w:trHeight w:val="251"/>
        </w:trPr>
        <w:tc>
          <w:tcPr>
            <w:tcW w:w="6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 Basic Class B Common</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 of the Notes to the Consolidated Financial Statements for further information about amounts included in this line item.</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9 of the Notes to the Consolidated Financial Statements for further information about amounts included in this line item.</w:t>
      </w:r>
    </w:p>
    <w:p>
      <w:pPr>
        <w:spacing w:after="0" w:line="5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Notes 2 and 8 of the Notes to the Consolidated Financial Statements for further information about amounts included in this line item.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139"/>
          </w:cols>
          <w:pgMar w:left="320" w:top="333" w:right="1440" w:bottom="1440" w:gutter="0" w:footer="0" w:header="0"/>
        </w:sectPr>
      </w:pPr>
    </w:p>
    <w:bookmarkStart w:id="38" w:name="page39"/>
    <w:bookmarkEnd w:id="38"/>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7"/>
        </w:trPr>
        <w:tc>
          <w:tcPr>
            <w:tcW w:w="6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7"/>
        </w:trPr>
        <w:tc>
          <w:tcPr>
            <w:tcW w:w="6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20"/>
                <w:szCs w:val="20"/>
                <w:color w:val="auto"/>
              </w:rPr>
            </w:pPr>
          </w:p>
        </w:tc>
      </w:tr>
      <w:tr>
        <w:trPr>
          <w:trHeight w:val="216"/>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18,900</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12,611</w:t>
            </w:r>
          </w:p>
        </w:tc>
      </w:tr>
      <w:tr>
        <w:trPr>
          <w:trHeight w:val="324"/>
        </w:trPr>
        <w:tc>
          <w:tcPr>
            <w:tcW w:w="6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2,897</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7"/>
        </w:trPr>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2,785</w:t>
            </w: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7"/>
        </w:trPr>
        <w:tc>
          <w:tcPr>
            <w:tcW w:w="6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21,685</w:t>
            </w: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8,187</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00"/>
          </w:cols>
          <w:pgMar w:left="320" w:top="333" w:right="107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19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8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&amp; Class B</w:t>
            </w:r>
          </w:p>
        </w:tc>
        <w:tc>
          <w:tcPr>
            <w:tcW w:w="980" w:type="dxa"/>
            <w:vAlign w:val="bottom"/>
            <w:gridSpan w:val="2"/>
            <w:vMerge w:val="continue"/>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&amp; Class B</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6"/>
                <w:szCs w:val="16"/>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68"/>
        </w:trPr>
        <w:tc>
          <w:tcPr>
            <w:tcW w:w="19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July 31, 2018</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10,555,828</w:t>
            </w: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(3,238,833)</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1,056</w:t>
            </w: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38,473</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158,935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(55,946)</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(10,615)</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131,885</w:t>
            </w:r>
          </w:p>
        </w:tc>
        <w:tc>
          <w:tcPr>
            <w:tcW w:w="0" w:type="dxa"/>
            <w:vAlign w:val="bottom"/>
          </w:tcPr>
          <w:p>
            <w:pPr>
              <w:spacing w:after="0"/>
              <w:rPr>
                <w:sz w:val="1"/>
                <w:szCs w:val="1"/>
                <w:color w:val="auto"/>
              </w:rPr>
            </w:pPr>
          </w:p>
        </w:tc>
      </w:tr>
      <w:tr>
        <w:trPr>
          <w:trHeight w:val="265"/>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12,615</w:t>
            </w: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0" w:type="dxa"/>
            <w:vAlign w:val="bottom"/>
          </w:tcPr>
          <w:p>
            <w:pPr>
              <w:spacing w:after="0"/>
              <w:rPr>
                <w:sz w:val="1"/>
                <w:szCs w:val="1"/>
                <w:color w:val="auto"/>
              </w:rPr>
            </w:pPr>
          </w:p>
        </w:tc>
      </w:tr>
      <w:tr>
        <w:trPr>
          <w:trHeight w:val="265"/>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(6,790)</w:t>
            </w: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53"/>
        </w:trPr>
        <w:tc>
          <w:tcPr>
            <w:tcW w:w="19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Net issuance of stock under</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304,850</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1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long-term incentive plans</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Amortization of restricted stock</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25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July 31, 2019</w:t>
            </w:r>
          </w:p>
        </w:tc>
        <w:tc>
          <w:tcPr>
            <w:tcW w:w="8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10,860,678</w:t>
            </w:r>
          </w:p>
        </w:tc>
        <w:tc>
          <w:tcPr>
            <w:tcW w:w="120" w:type="dxa"/>
            <w:vAlign w:val="bottom"/>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(3,251,288)</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1,086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41,300</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164,756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(56,543)</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(15,039)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135,546</w:t>
            </w: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18,740</w:t>
            </w:r>
          </w:p>
        </w:tc>
        <w:tc>
          <w:tcPr>
            <w:tcW w:w="0" w:type="dxa"/>
            <w:vAlign w:val="bottom"/>
          </w:tcPr>
          <w:p>
            <w:pPr>
              <w:spacing w:after="0"/>
              <w:rPr>
                <w:sz w:val="1"/>
                <w:szCs w:val="1"/>
                <w:color w:val="auto"/>
              </w:rPr>
            </w:pPr>
          </w:p>
        </w:tc>
      </w:tr>
      <w:tr>
        <w:trPr>
          <w:trHeight w:val="265"/>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2,785</w:t>
            </w: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w:t>
            </w:r>
          </w:p>
        </w:tc>
        <w:tc>
          <w:tcPr>
            <w:tcW w:w="0" w:type="dxa"/>
            <w:vAlign w:val="bottom"/>
          </w:tcPr>
          <w:p>
            <w:pPr>
              <w:spacing w:after="0"/>
              <w:rPr>
                <w:sz w:val="1"/>
                <w:szCs w:val="1"/>
                <w:color w:val="auto"/>
              </w:rPr>
            </w:pPr>
          </w:p>
        </w:tc>
      </w:tr>
      <w:tr>
        <w:trPr>
          <w:trHeight w:val="265"/>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w:t>
            </w:r>
          </w:p>
        </w:tc>
        <w:tc>
          <w:tcPr>
            <w:tcW w:w="0" w:type="dxa"/>
            <w:vAlign w:val="bottom"/>
          </w:tcPr>
          <w:p>
            <w:pPr>
              <w:spacing w:after="0"/>
              <w:rPr>
                <w:sz w:val="1"/>
                <w:szCs w:val="1"/>
                <w:color w:val="auto"/>
              </w:rPr>
            </w:pPr>
          </w:p>
        </w:tc>
      </w:tr>
      <w:tr>
        <w:trPr>
          <w:trHeight w:val="158"/>
        </w:trPr>
        <w:tc>
          <w:tcPr>
            <w:tcW w:w="19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Net issuance of stock under</w:t>
            </w: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25,727</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long-term incentive plans</w:t>
            </w: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Amortization of restricted stock</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3,368</w:t>
            </w:r>
          </w:p>
        </w:tc>
        <w:tc>
          <w:tcPr>
            <w:tcW w:w="0" w:type="dxa"/>
            <w:vAlign w:val="bottom"/>
          </w:tcPr>
          <w:p>
            <w:pPr>
              <w:spacing w:after="0"/>
              <w:rPr>
                <w:sz w:val="1"/>
                <w:szCs w:val="1"/>
                <w:color w:val="auto"/>
              </w:rPr>
            </w:pPr>
          </w:p>
        </w:tc>
      </w:tr>
      <w:tr>
        <w:trPr>
          <w:trHeight w:val="163"/>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Contributions from</w:t>
            </w: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3"/>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interests (1)</w:t>
            </w:r>
          </w:p>
        </w:tc>
        <w:tc>
          <w:tcPr>
            <w:tcW w:w="9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July 31, 2020</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10,886,405</w:t>
            </w: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(3,426,046)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1,089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44,993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176,579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(62,269)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(12,254)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147,964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8"/>
        <w:spacing w:after="0" w:line="282"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 2020 we increased our interest in one of our non-wholly owned subsidiaries from 52.0% to 78.4% for approximately $724,000 when that subsidiary issued shares through a capital call. Certain other noncontrolling interest holders also purchased shares but to a lesser extent, thereby diluting their collective ownership from 48.0% to 21.6%.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333"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Year-Ended July 31,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18,740</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12,615</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13,923</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13,330</w:t>
            </w:r>
          </w:p>
        </w:tc>
        <w:tc>
          <w:tcPr>
            <w:tcW w:w="0" w:type="dxa"/>
            <w:vAlign w:val="bottom"/>
          </w:tcPr>
          <w:p>
            <w:pPr>
              <w:spacing w:after="0"/>
              <w:rPr>
                <w:sz w:val="1"/>
                <w:szCs w:val="1"/>
                <w:color w:val="auto"/>
              </w:rPr>
            </w:pPr>
          </w:p>
        </w:tc>
      </w:tr>
      <w:tr>
        <w:trPr>
          <w:trHeight w:val="243"/>
        </w:trPr>
        <w:tc>
          <w:tcPr>
            <w:tcW w:w="7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Amortization of investment discounts</w:t>
            </w:r>
          </w:p>
        </w:tc>
        <w:tc>
          <w:tcPr>
            <w:tcW w:w="260" w:type="dxa"/>
            <w:vAlign w:val="bottom"/>
          </w:tcPr>
          <w:p>
            <w:pPr>
              <w:spacing w:after="0"/>
              <w:rPr>
                <w:sz w:val="21"/>
                <w:szCs w:val="21"/>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3,368</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43"/>
        </w:trPr>
        <w:tc>
          <w:tcPr>
            <w:tcW w:w="7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423</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7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Curtailment gain on SERP Plan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decrease in:</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43"/>
        </w:trPr>
        <w:tc>
          <w:tcPr>
            <w:tcW w:w="7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43"/>
        </w:trPr>
        <w:tc>
          <w:tcPr>
            <w:tcW w:w="7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(decrease) in: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4,238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8,632</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3"/>
        </w:trPr>
        <w:tc>
          <w:tcPr>
            <w:tcW w:w="7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Deferred compensation</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(5,684)</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43"/>
        </w:trPr>
        <w:tc>
          <w:tcPr>
            <w:tcW w:w="7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Adjustments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23,722</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14,128</w:t>
            </w:r>
          </w:p>
        </w:tc>
        <w:tc>
          <w:tcPr>
            <w:tcW w:w="0" w:type="dxa"/>
            <w:vAlign w:val="bottom"/>
          </w:tcPr>
          <w:p>
            <w:pPr>
              <w:spacing w:after="0"/>
              <w:rPr>
                <w:sz w:val="1"/>
                <w:szCs w:val="1"/>
                <w:color w:val="auto"/>
              </w:rPr>
            </w:pPr>
          </w:p>
        </w:tc>
      </w:tr>
      <w:tr>
        <w:trPr>
          <w:trHeight w:val="237"/>
        </w:trPr>
        <w:tc>
          <w:tcPr>
            <w:tcW w:w="74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42,462</w:t>
            </w: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26,743</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(14,740)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7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60" w:type="dxa"/>
            <w:vAlign w:val="bottom"/>
          </w:tcPr>
          <w:p>
            <w:pPr>
              <w:spacing w:after="0"/>
              <w:rPr>
                <w:sz w:val="21"/>
                <w:szCs w:val="21"/>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Dispositions of short-term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11,812</w:t>
            </w:r>
          </w:p>
        </w:tc>
        <w:tc>
          <w:tcPr>
            <w:tcW w:w="0" w:type="dxa"/>
            <w:vAlign w:val="bottom"/>
          </w:tcPr>
          <w:p>
            <w:pPr>
              <w:spacing w:after="0"/>
              <w:rPr>
                <w:sz w:val="1"/>
                <w:szCs w:val="1"/>
                <w:color w:val="auto"/>
              </w:rPr>
            </w:pPr>
          </w:p>
        </w:tc>
      </w:tr>
      <w:tr>
        <w:trPr>
          <w:trHeight w:val="237"/>
        </w:trPr>
        <w:tc>
          <w:tcPr>
            <w:tcW w:w="74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(14,677)</w:t>
            </w: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(6,321)</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43"/>
        </w:trPr>
        <w:tc>
          <w:tcPr>
            <w:tcW w:w="7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(5,541)</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7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(8,750)</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0" w:type="dxa"/>
            <w:vAlign w:val="bottom"/>
          </w:tcPr>
          <w:p>
            <w:pPr>
              <w:spacing w:after="0"/>
              <w:rPr>
                <w:sz w:val="1"/>
                <w:szCs w:val="1"/>
                <w:color w:val="auto"/>
              </w:rPr>
            </w:pPr>
          </w:p>
        </w:tc>
      </w:tr>
      <w:tr>
        <w:trPr>
          <w:trHeight w:val="236"/>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19,028</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9,105</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21,862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12,757</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40,890</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21,862</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33" w:right="999" w:bottom="1440" w:gutter="0" w:footer="0" w:header="0"/>
        </w:sectPr>
      </w:pPr>
    </w:p>
    <w:bookmarkStart w:id="41" w:name="page42"/>
    <w:bookmarkEnd w:id="41"/>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7620" w:type="dxa"/>
            <w:vAlign w:val="bottom"/>
            <w:gridSpan w:val="3"/>
          </w:tcPr>
          <w:p>
            <w:pPr>
              <w:ind w:left="21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 CONTINUED</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810"/>
        </w:trPr>
        <w:tc>
          <w:tcPr>
            <w:tcW w:w="7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Year-Ended July 31,</w:t>
            </w:r>
          </w:p>
        </w:tc>
      </w:tr>
      <w:tr>
        <w:trPr>
          <w:trHeight w:val="27"/>
        </w:trPr>
        <w:tc>
          <w:tcPr>
            <w:tcW w:w="7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273</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payments (refund)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2,319</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4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 expenditures accrued, but not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2,990</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r>
      <w:tr>
        <w:trPr>
          <w:trHeight w:val="243"/>
        </w:trPr>
        <w:tc>
          <w:tcPr>
            <w:tcW w:w="7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Cash dividends declared and accrued, but not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1,808</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20"/>
          </w:cols>
          <w:pgMar w:left="320" w:top="549" w:right="10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ATURE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and for purification of petroleum-based oils. We also sell synthetic sorbents, which are used for industrial cleanup.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ONSOLIDATION</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Oil-Dri Corporation of America and its subsidiaries. All significant intercompany balances and transactions have been eliminated from the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ECLASSIFICATION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 These immaterial reclassifications had no effect on the previously reported net income.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ANAGEMENT</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SE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STIMATES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Our estimates and assumptions are revised periodically. Actual results could differ from these estimates. For more information see Critical Accounting Policies and Estimates in Item 7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Management's Discussion and Analysis of Financial Condition and Results of Operations.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pandemic. Despite the adverse effects of COVID-19 on the overall economy, we have not experienced a significant decline in customer orders and sales in fiscal year 2020. However, the effects of COVID-19 are unprecedented, and therefore we are unable to ascertain the effects on our sales and net earnings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ASH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equivalents are highly liquid investments with maturities of three months or less.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RADE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ECEIVABLES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33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NVENTORIES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was as follows as of July 31 (in thousands):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14,500</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r>
      <w:tr>
        <w:trPr>
          <w:trHeight w:val="27"/>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0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43"/>
        </w:trPr>
        <w:tc>
          <w:tcPr>
            <w:tcW w:w="30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7"/>
        </w:trPr>
        <w:tc>
          <w:tcPr>
            <w:tcW w:w="300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000" w:type="dxa"/>
            <w:vAlign w:val="bottom"/>
          </w:tcPr>
          <w:p>
            <w:pPr>
              <w:spacing w:after="0"/>
              <w:rPr>
                <w:sz w:val="22"/>
                <w:szCs w:val="22"/>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23,893</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24,163</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We recorded inventory obsolescence reserves of approximately $926,000 and $704,000 as of July 31, 2020 and 2019, respectively. The higher obsolescence reserve and lower packaging inventories are attributed to our focus on inventory management and enhanced data available from our ERP system. Other inventories increased mainly due to higher levels of raw and purchased materials.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RANSLATION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URRENCIES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NTANGIBLES AND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OODWILL</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amortize most of our intangibles on a straight-line basis over periods ranging from 4 to 20 years. Our customer list intangible asset is amortized at an accelerated amortization rate in the earlier years to reflect the expected pattern of decline in the related benefits over time. Intangible amortization was $804,000 in fiscal year 2020 and $862,000 in fiscal year 2019. Some intangible assets were determined to have indefinite lives and are not amortized, specifically one acquired trademark recorded at $376,000.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estimated intangible amortization expense for the next five fiscal years is as follows (in thousands):</w:t>
      </w:r>
    </w:p>
    <w:p>
      <w:pPr>
        <w:spacing w:after="0" w:line="162" w:lineRule="exact"/>
        <w:rPr>
          <w:sz w:val="20"/>
          <w:szCs w:val="20"/>
          <w:color w:val="auto"/>
        </w:rPr>
      </w:pPr>
    </w:p>
    <w:tbl>
      <w:tblPr>
        <w:tblLayout w:type="fixed"/>
        <w:tblInd w:w="4340" w:type="dxa"/>
        <w:tblCellMar>
          <w:top w:w="0" w:type="dxa"/>
          <w:left w:w="0" w:type="dxa"/>
          <w:bottom w:w="0" w:type="dxa"/>
          <w:right w:w="0" w:type="dxa"/>
        </w:tblCellMar>
      </w:tblPr>
      <w:tr>
        <w:trPr>
          <w:trHeight w:val="270"/>
        </w:trPr>
        <w:tc>
          <w:tcPr>
            <w:tcW w:w="10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9"/>
              </w:rPr>
              <w:t>2021</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43"/>
        </w:trPr>
        <w:tc>
          <w:tcPr>
            <w:tcW w:w="10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9"/>
              </w:rPr>
              <w:t>2022</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7"/>
        </w:trPr>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9"/>
              </w:rPr>
              <w:t>2023</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10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9"/>
              </w:rPr>
              <w:t>2024</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10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9"/>
              </w:rPr>
              <w:t>2025</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1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amortization period of our intangibles subject to amortization is as follows (in years):</w:t>
      </w:r>
    </w:p>
    <w:p>
      <w:pPr>
        <w:spacing w:after="0" w:line="171" w:lineRule="exact"/>
        <w:rPr>
          <w:sz w:val="20"/>
          <w:szCs w:val="20"/>
          <w:color w:val="auto"/>
        </w:rPr>
      </w:pPr>
    </w:p>
    <w:tbl>
      <w:tblPr>
        <w:tblLayout w:type="fixed"/>
        <w:tblInd w:w="210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34"/>
        </w:trPr>
        <w:tc>
          <w:tcPr>
            <w:tcW w:w="488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Amortization Period</w:t>
            </w:r>
          </w:p>
        </w:tc>
      </w:tr>
      <w:tr>
        <w:trPr>
          <w:trHeight w:val="27"/>
        </w:trPr>
        <w:tc>
          <w:tcPr>
            <w:tcW w:w="48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patents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8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8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periodically review indefinite-lived intangibles and goodwill to assess for impairment. Our review is based on cash flow considerations and other approaches that require significant judgment with respect to volume, revenue, expenses and allocations. Impairment occurs when the carrying value exceeds the fair value. Much of our goodwill cannot be specifically assigned to one of our operating segments because of the shared nature of our production facilities; however, for purposes of our most recent impairment analysis we estimated the goodwill allocation and assigned $5,489,000 to the Retail and Wholesale Products Group and $3,773,000 to the Business to Business Products Group.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333"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performed our annual impairment testing in the fourth quarter of fiscal years 2020 and 2019. There was no impairment required based on our analysis for fiscal years 2020 or 2019. We will continue to consider the need to re-perform impairment testing throughout the year when circumstances such as unexpected adverse economic factors, unanticipated technological changes, competitive activities and acts by governments and courts indicate that an asset may become impaired. In addition, although we have not identified any triggering events relating to goodwill or our intangibles, the ultimate effects of COVID-19 could change this assessment in the future, as outlined under Item 1A, Risk Factors, discussed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VERBURDEN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EMOVAL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INING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surface mine sorbent minerals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Stripping costs included in cost of sales were approximately $1,722,000 and $2,430,000 for fiscal years 2020 and 2019, respectively. Stripping costs decreased in fiscal year 2020 due to a decrease in fuel costs and repair costs. We defer and amortize the pre-production overburden removal costs associated with opening a new mine. $316,000 of pre-production overburden removal costs were deferred in fiscal year 2020. There were no pre-production overburden removal costs deferred in fiscal year 2019.</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$13,570,000 and $2,165,000, respectively, as of July 31, 2020, and were $13,638,000 and $2,165,000, respectively, as of July 31, 2019. Pre-production development costs on new mines and any prepaid royalties that may be offset against future royalties due upon extraction of the mineral are also capitalized. Total pre-production costs, including the overburden removal costs deferred above, that were capitalized in fiscal year 2020 were $535,000. No material capitalized pre-production development costs were recorded in fiscal year 2019. Prepaid royalties included in current prepaid expenses and in non-current other assets on the Consolidated Balance Sheets were approximately $1,232,000 and $1,184,000 as of July 31, 2020 and 2019,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ECLAMATION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LANT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QUIPMENT</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generally depreciated using the straight-line method over their estimated useful lives which are listed below. Depreciation expense was $13,119,000 and $12,468,000 in fiscal years 2020 and 2019, respectively. Major improvements and betterments are capitalized, while maintenance and repairs that do not extend the useful life of the applicable assets are expensed as incurred. Interest expense may also be capitalized for assets that require a period of time to get them ready for their intended use. There was no capitalized interest in fiscal years 2020 and 2019.</w:t>
      </w:r>
    </w:p>
    <w:p>
      <w:pPr>
        <w:spacing w:after="0" w:line="122"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Years</w:t>
      </w:r>
    </w:p>
    <w:p>
      <w:pPr>
        <w:spacing w:after="0" w:line="38" w:lineRule="exact"/>
        <w:rPr>
          <w:sz w:val="20"/>
          <w:szCs w:val="20"/>
          <w:color w:val="auto"/>
        </w:rPr>
      </w:pPr>
    </w:p>
    <w:tbl>
      <w:tblPr>
        <w:tblLayout w:type="fixed"/>
        <w:tblInd w:w="2700" w:type="dxa"/>
        <w:tblCellMar>
          <w:top w:w="0" w:type="dxa"/>
          <w:left w:w="0" w:type="dxa"/>
          <w:bottom w:w="0" w:type="dxa"/>
          <w:right w:w="0" w:type="dxa"/>
        </w:tblCellMar>
      </w:tblPr>
      <w:tr>
        <w:trPr>
          <w:trHeight w:val="263"/>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Buildings and leasehold improvements</w:t>
            </w:r>
          </w:p>
        </w:tc>
        <w:tc>
          <w:tcPr>
            <w:tcW w:w="17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Packaging</w:t>
            </w:r>
          </w:p>
        </w:tc>
        <w:tc>
          <w:tcPr>
            <w:tcW w:w="2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Processing</w:t>
            </w:r>
          </w:p>
        </w:tc>
        <w:tc>
          <w:tcPr>
            <w:tcW w:w="2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Mining and other</w:t>
            </w:r>
          </w:p>
        </w:tc>
        <w:tc>
          <w:tcPr>
            <w:tcW w:w="2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2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r>
      <w:tr>
        <w:trPr>
          <w:trHeight w:val="648"/>
        </w:trPr>
        <w:tc>
          <w:tcPr>
            <w:tcW w:w="2820" w:type="dxa"/>
            <w:vAlign w:val="bottom"/>
          </w:tcPr>
          <w:p>
            <w:pPr>
              <w:spacing w:after="0"/>
              <w:rPr>
                <w:sz w:val="24"/>
                <w:szCs w:val="24"/>
                <w:color w:val="auto"/>
              </w:rPr>
            </w:pPr>
          </w:p>
        </w:tc>
        <w:tc>
          <w:tcPr>
            <w:tcW w:w="17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99"/>
              </w:rPr>
              <w:t>45</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 No impairment was recorded in either fiscal year 2020 or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ONCURRENT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IABILITIES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27, 2020, in response to the COVID-19 pandemic, the Coronavirus Aid, Relief, and Economic Security Act (the “CARES Act”) was signed into U.S. law. The CARES Act provides for, among other things, deferral of the employer portion of social security taxes incurred through the end of calendar 2020. As permitted by the CARES Act, we deferred approximately $864,000 in payroll taxes during the fiscal year ended July 31, 2020 and expect to defer the payment of payroll taxes each quarter for the remainder of calendar year 2020 to be paid equally in the fourth quarters of calendar years 2021 and 2022 representing approximately $2,100,000 in payroll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RADE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ROMOTIONS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of trade spending patterns and that of the industry, current trends and forecast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DVERTISING</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$9,674,000 and $6,909,000 in fiscal years 2020 and 2019,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AIR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ALUE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NSTRUMENTS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Non-derivative financial instruments included in the Consolidated Balance Sheets are cash and cash equivalents and notes payable. These instruments, except for notes payable, were carried at amounts approximating fair value as of July 31, 2020 and 2019. See Note 4 of the Notes to the Consolidated Financial Statements for additional information regarding the fair value of our financial instruments, including notes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EVENUE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ECOGNITION</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and allowances are not material.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$247,000 and $259,000 as of July 31, 2020 and July 31, 2019, respectively. This liability is reported in Other Accrued Expenses on the Consolidated Balance Sheets. Revenue recognized during fiscal year 2020 that was included in the liability for advance payments at the beginning of the year was $232,000.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5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OST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ALES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HIPPING AND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ANDLING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Shipping and handling costs are included in cost of sales and were approximately $39,865,000 and $47,717,000 for fiscal years 2020 and 2019, respectively. The decrease in fiscal year 2020 relates to the decrease in freight due to lower transportation rates from improved truck availability. In addition, costs were higher in the first half of the prior fiscal year due to one-time events, including a greater number of product transfers between our plants and warehouses to support customer service during the implementation of our new ERP system on August 1, 2018 and disruptions due to Hurricane Michael.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ELLING</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4"/>
          <w:szCs w:val="14"/>
          <w:b w:val="1"/>
          <w:bCs w:val="1"/>
          <w:color w:val="auto"/>
        </w:rPr>
        <w:t>ENERAL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of approximately $2,765,000 and $3,202,000 were charged to expense as incurred for fiscal years 2020 and 2019, respectively, and are recorded in selling,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ENSION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OSTRETIREMENT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Benefits</w:t>
      </w:r>
      <w:r>
        <w:rPr>
          <w:rFonts w:ascii="Times New Roman" w:cs="Times New Roman" w:eastAsia="Times New Roman" w:hAnsi="Times New Roman"/>
          <w:sz w:val="18"/>
          <w:szCs w:val="18"/>
          <w:color w:val="auto"/>
        </w:rPr>
        <w:t>. The funded status of our defined pension and postretirement health benefit plans are recognized on the Consolidated Balance Sheets.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funded status that arise during the period but are not recognized as components of net periodic benefit cost are recognized within other comprehensive income, net of income tax. In fiscal year 2020 we amended the defined benefit pension plan and the plan is now closed to new entrants. See Note 8 of the Notes to the Consolidated Financial Statements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account for stock options and restricted stock issued under our long term incentive plans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fair value of stock-based compensation is determined at the grant date. The related compensation expense is recognized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vesting period. See Note 7 of the Notes to the Consolidated Financial Statements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NCOME TAXES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to existing valuation allowances, we provide for uncertain tax positions, if necessary, when such tax positions do not meet the recognition thresholds or measurement standards prescribed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Amounts for uncertain tax positions are adjusted when new information becomes available or when positions are effectively settled. We recognize interest and penalties accrued related to uncertain tax positions in income tax expense.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333" w:right="339" w:bottom="1440" w:gutter="0" w:footer="0" w:header="0"/>
        </w:sectPr>
      </w:pPr>
    </w:p>
    <w:bookmarkStart w:id="47" w:name="page48"/>
    <w:bookmarkEnd w:id="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will be remitted in the foreseeable future, a corresponding expense is accrued in the current period. See Note 5 of the Notes to the Consolidated Financial Statements for additional information about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p>
    <w:p>
      <w:pPr>
        <w:spacing w:after="0" w:line="270" w:lineRule="exact"/>
        <w:rPr>
          <w:sz w:val="20"/>
          <w:szCs w:val="20"/>
          <w:color w:val="auto"/>
        </w:rPr>
      </w:pPr>
    </w:p>
    <w:p>
      <w:pPr>
        <w:jc w:val="both"/>
        <w:ind w:firstLine="718"/>
        <w:spacing w:after="0" w:line="309" w:lineRule="auto"/>
        <w:rPr>
          <w:sz w:val="20"/>
          <w:szCs w:val="20"/>
          <w:color w:val="auto"/>
        </w:rPr>
      </w:pPr>
      <w:r>
        <w:rPr>
          <w:rFonts w:ascii="Times New Roman" w:cs="Times New Roman" w:eastAsia="Times New Roman" w:hAnsi="Times New Roman"/>
          <w:sz w:val="18"/>
          <w:szCs w:val="18"/>
          <w:color w:val="auto"/>
        </w:rPr>
        <w:t>Included within Other Operating Income is revenue earned from a confidential license agreement. Pursuant to this agreement, the Company granted a non-exclusive, perpetual license to develop, manufacture, use, distribute and sell products produced using formulations under certain of our patents until their expiration and agreed to certain limitations on the ability of the parties to bring forth patent infringement claims or challenges relating to certain products in exchange for a one-time payment of $13,000,000. This revenue is recognized at a point in time as it is considered functional intellectual property.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August 1, 2019 we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using the modified retrospective transition approach and, accordingly, we did not restate prior comparative period financial statements. As of the date of adoption, we elected the package of practical expedients that allowed us to forgo assessment under the ASC 842 guidance whether existing or expired contracts contained leases, the classification of expired or existing leases and the accounting for previously incurred initial direct costs. We also elected the practical expedient to forgo assessment under ASC 842 whether existing or expired land easements not previously accounted for under legacy leasing GAAP contain leases. The adoption of ASC 842 on August 1, 2019 resulted in the recognition of additional ROU assets and lease liabilities related to operating leases of $9,348,000 and $10,910,000, respectively, on our Consolidated Balance Sheet. There was no material impact to any of our other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FASB issued guidance under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are currently evaluating the potential effects of the adoption of this guidance on our Consolidated Financial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guidance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are currently evaluating the impact of the adoption of this requirement on our Consolidated Financial Statements.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guidance under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OPERATING SEGMENTS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337"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processors and refiners of edible oils, petroleum-based oils and biodiesel fuel; manufacturers of animal feed and agricultural chemicals; distributors of animal health and nutrition products; and marketers of consumer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40" w:type="dxa"/>
            <w:vAlign w:val="bottom"/>
          </w:tcPr>
          <w:p>
            <w:pPr>
              <w:spacing w:after="0"/>
              <w:rPr>
                <w:sz w:val="18"/>
                <w:szCs w:val="18"/>
                <w:color w:val="auto"/>
              </w:rPr>
            </w:pPr>
          </w:p>
        </w:tc>
        <w:tc>
          <w:tcPr>
            <w:tcW w:w="25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Retail and Wholesale Products</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14,528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147,503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135,489</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29,035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33,341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21,886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50,117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2,429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17,729</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104,260</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178,967</w:t>
            </w:r>
          </w:p>
        </w:tc>
        <w:tc>
          <w:tcPr>
            <w:tcW w:w="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171,148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accounting policies of the segments are the same as those described in the Note 1 of the Notes to the Consolidated Financial Statements.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corporate expenses line in the table below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 Other income in fiscal year 2019 included net proceeds upon resolution of legal proceedings. The amount received under a confidential agreement resolving these legal proceedings was material to our financial results for the period. Other operating income in fiscal year 2020 relates to revenue earned from a license arrangement of our intellectual property. See Note 1 of the Notes to the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337"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40" w:right="1380"/>
        <w:spacing w:after="0" w:line="321" w:lineRule="auto"/>
        <w:rPr>
          <w:sz w:val="20"/>
          <w:szCs w:val="20"/>
          <w:color w:val="auto"/>
        </w:rPr>
      </w:pPr>
      <w:r>
        <w:rPr>
          <w:rFonts w:ascii="Times New Roman" w:cs="Times New Roman" w:eastAsia="Times New Roman" w:hAnsi="Times New Roman"/>
          <w:sz w:val="18"/>
          <w:szCs w:val="18"/>
          <w:color w:val="auto"/>
        </w:rPr>
        <w:t>Business to Business Products Retail and Wholesale Products Unallocated assets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40" w:right="1380"/>
        <w:spacing w:after="0" w:line="337" w:lineRule="auto"/>
        <w:rPr>
          <w:sz w:val="20"/>
          <w:szCs w:val="20"/>
          <w:color w:val="auto"/>
        </w:rPr>
      </w:pPr>
      <w:r>
        <w:rPr>
          <w:rFonts w:ascii="Times New Roman" w:cs="Times New Roman" w:eastAsia="Times New Roman" w:hAnsi="Times New Roman"/>
          <w:sz w:val="17"/>
          <w:szCs w:val="17"/>
          <w:color w:val="auto"/>
        </w:rPr>
        <w:t>Business to Business Products Retail and Wholesale Products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Operating Income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Corporate Expenses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Total Other (Expense) Income, Net</w:t>
      </w:r>
    </w:p>
    <w:p>
      <w:pPr>
        <w:spacing w:after="0" w:line="84" w:lineRule="exact"/>
        <w:rPr>
          <w:sz w:val="20"/>
          <w:szCs w:val="20"/>
          <w:color w:val="auto"/>
        </w:rPr>
      </w:pPr>
    </w:p>
    <w:p>
      <w:pPr>
        <w:ind w:left="40" w:right="1380"/>
        <w:spacing w:after="0" w:line="310" w:lineRule="auto"/>
        <w:rPr>
          <w:sz w:val="20"/>
          <w:szCs w:val="20"/>
          <w:color w:val="auto"/>
        </w:rPr>
      </w:pPr>
      <w:r>
        <w:rPr>
          <w:rFonts w:ascii="Times New Roman" w:cs="Times New Roman" w:eastAsia="Times New Roman" w:hAnsi="Times New Roman"/>
          <w:sz w:val="18"/>
          <w:szCs w:val="18"/>
          <w:b w:val="1"/>
          <w:bCs w:val="1"/>
          <w:color w:val="auto"/>
        </w:rPr>
        <w:t>Income Before Income Taxes Income Tax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72,987</w:t>
            </w:r>
          </w:p>
        </w:tc>
        <w:tc>
          <w:tcPr>
            <w:tcW w:w="2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65,282</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95,838</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94,809</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67,057</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45,136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235,882</w:t>
            </w:r>
          </w:p>
        </w:tc>
        <w:tc>
          <w:tcPr>
            <w:tcW w:w="2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205,227</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104,260</w:t>
            </w:r>
          </w:p>
        </w:tc>
        <w:tc>
          <w:tcPr>
            <w:tcW w:w="2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105,877</w:t>
            </w:r>
          </w:p>
        </w:tc>
        <w:tc>
          <w:tcPr>
            <w:tcW w:w="2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31,218</w:t>
            </w:r>
          </w:p>
        </w:tc>
        <w:tc>
          <w:tcPr>
            <w:tcW w:w="2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31,388</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178,967</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171,148</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15,859</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283,227</w:t>
            </w:r>
          </w:p>
        </w:tc>
        <w:tc>
          <w:tcPr>
            <w:tcW w:w="2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277,025</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13,000</w:t>
            </w: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(35,250)</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24,827</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23,020</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14,548</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(4,280)</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-3110865</wp:posOffset>
            </wp:positionV>
            <wp:extent cx="653224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2245" cy="17145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-2767965</wp:posOffset>
            </wp:positionV>
            <wp:extent cx="653224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2245" cy="17145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-1388110</wp:posOffset>
            </wp:positionV>
            <wp:extent cx="653224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2245" cy="17145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-1036320</wp:posOffset>
            </wp:positionV>
            <wp:extent cx="6532245"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2245" cy="17970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-685165</wp:posOffset>
            </wp:positionV>
            <wp:extent cx="653224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2245" cy="18034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-333375</wp:posOffset>
            </wp:positionV>
            <wp:extent cx="6532245"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2245" cy="17970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3620" w:space="720"/>
            <w:col w:w="5960"/>
          </w:cols>
          <w:pgMar w:left="320" w:top="495" w:right="1279" w:bottom="1440" w:gutter="0" w:footer="0" w:header="0"/>
        </w:sectPr>
      </w:pPr>
    </w:p>
    <w:tbl>
      <w:tblPr>
        <w:tblLayout w:type="fixed"/>
        <w:tblInd w:w="0" w:type="dxa"/>
        <w:tblCellMar>
          <w:top w:w="0" w:type="dxa"/>
          <w:left w:w="0" w:type="dxa"/>
          <w:bottom w:w="0" w:type="dxa"/>
          <w:right w:w="0" w:type="dxa"/>
        </w:tblCellMar>
      </w:tblPr>
      <w:tr>
        <w:trPr>
          <w:trHeight w:val="264"/>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18,740</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12,615</w:t>
            </w:r>
          </w:p>
        </w:tc>
      </w:tr>
      <w:tr>
        <w:trPr>
          <w:trHeight w:val="237"/>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18,900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12,611</w:t>
            </w:r>
          </w:p>
        </w:tc>
      </w:tr>
      <w:tr>
        <w:trPr>
          <w:trHeight w:val="20"/>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by fiscal year of financial information by geographic region (in thousands):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Sales to unaffiliated customers by:</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268,007</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263,469</w:t>
            </w:r>
          </w:p>
        </w:tc>
        <w:tc>
          <w:tcPr>
            <w:tcW w:w="0" w:type="dxa"/>
            <w:vAlign w:val="bottom"/>
          </w:tcPr>
          <w:p>
            <w:pPr>
              <w:spacing w:after="0"/>
              <w:rPr>
                <w:sz w:val="1"/>
                <w:szCs w:val="1"/>
                <w:color w:val="auto"/>
              </w:rPr>
            </w:pPr>
          </w:p>
        </w:tc>
      </w:tr>
      <w:tr>
        <w:trPr>
          <w:trHeight w:val="243"/>
        </w:trPr>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15,220</w:t>
            </w:r>
          </w:p>
        </w:tc>
        <w:tc>
          <w:tcPr>
            <w:tcW w:w="3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or transfers between geographic areas: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6,566</w:t>
            </w:r>
          </w:p>
        </w:tc>
        <w:tc>
          <w:tcPr>
            <w:tcW w:w="3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24,494</w:t>
            </w:r>
          </w:p>
        </w:tc>
        <w:tc>
          <w:tcPr>
            <w:tcW w:w="3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3"/>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Oil-Dri:</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20,208</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43"/>
        </w:trPr>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3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Identifiable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Domestic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223,296</w:t>
            </w:r>
          </w:p>
        </w:tc>
        <w:tc>
          <w:tcPr>
            <w:tcW w:w="3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195,032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Foreign subsidiaries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12,586</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within identifiable assets for our foreign subsidiaries is cash held at foreign banks of $3,038,000 as of July 31, 2020.</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300"/>
          </w:cols>
          <w:pgMar w:left="320" w:top="495" w:right="1279" w:bottom="1440" w:gutter="0" w:footer="0" w:header="0"/>
          <w:type w:val="continuous"/>
        </w:sectPr>
      </w:pPr>
    </w:p>
    <w:bookmarkStart w:id="50" w:name="page51"/>
    <w:bookmarkEnd w:id="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to Walmart, our largest customer, are included in our Retail and Wholesale Products Group. The percentage of consolidated net sales and net accounts receivable attributed to Walmart are shown in the table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Pr>
          <w:p>
            <w:pPr>
              <w:spacing w:after="0"/>
              <w:rPr>
                <w:sz w:val="20"/>
                <w:szCs w:val="20"/>
                <w:color w:val="auto"/>
              </w:rPr>
            </w:pPr>
          </w:p>
        </w:tc>
        <w:tc>
          <w:tcPr>
            <w:tcW w:w="7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for the years ended July 31</w:t>
            </w:r>
          </w:p>
        </w:tc>
        <w:tc>
          <w:tcPr>
            <w:tcW w:w="8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accounts receivable as of July 31</w:t>
            </w: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w:t>
            </w:r>
          </w:p>
        </w:tc>
        <w:tc>
          <w:tcPr>
            <w:tcW w:w="360" w:type="dxa"/>
            <w:vAlign w:val="bottom"/>
          </w:tcPr>
          <w:p>
            <w:pPr>
              <w:spacing w:after="0"/>
              <w:rPr>
                <w:sz w:val="21"/>
                <w:szCs w:val="21"/>
                <w:color w:val="auto"/>
              </w:rPr>
            </w:pPr>
          </w:p>
        </w:tc>
        <w:tc>
          <w:tcPr>
            <w:tcW w:w="7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69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There are no other customers with sales equal to or greater than 10% of our total sales.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 – DEBT</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composition of notes payable is as follows as of July 31 (in thousands):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gridSpan w:val="5"/>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160" w:type="dxa"/>
            <w:vAlign w:val="bottom"/>
            <w:gridSpan w:val="5"/>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Senior notes payable in annual installments on August 1. Final payment made in fiscal year 2020. Interest was</w:t>
            </w:r>
          </w:p>
        </w:tc>
        <w:tc>
          <w:tcPr>
            <w:tcW w:w="7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payable semi-annually at an annual rate of 3.96%.</w:t>
            </w:r>
          </w:p>
        </w:tc>
        <w:tc>
          <w:tcPr>
            <w:tcW w:w="8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25"/>
        </w:trPr>
        <w:tc>
          <w:tcPr>
            <w:tcW w:w="8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Amended and Restated Note Purchase and Private Shelf Agreement. Annual principal installments on May 15:</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$1,000 in each fiscal year 2021 through 2030. Interest is payable semi-annually at an annual rate of 3.95%</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maturities of notes payable</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gridSpan w:val="3"/>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notes payable</w:t>
            </w:r>
          </w:p>
        </w:tc>
        <w:tc>
          <w:tcPr>
            <w:tcW w:w="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8,848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issued senior promissory notes in November 2010 for $18,500,000. The note agreement provided that the proceeds could be used to fund future principal payments on debt, acquisitions, stock repurchases, capital expenditures and working capital purposes. The note agreement contained restrictions against certain activities, among other things and under various conditions, as well as financial covenants, including a minimum fixed charges coverage ratio and a minimum consolidated debt ratio. As further described below, these notes were amended in May 2020 and paid in full in July 2020.</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15, 2020 (the “Effective Date”), we entered into an Amended and Restated Note Purchase and Private Shelf Agreement (the “Amended Note Agreement”) with PGIM, Inc. (“Prudential”) and certain existing noteholders and purchasers affiliated with Prudential named therein. The Amended Note Agreement amends and restates the Note Agreement between Oil-Dri, Prudential and certain existing noteholders named therein, dated as of November 12, 2010 (the “Prior Note Agreement”), under which our 3.96% Series A Senior Notes (the “Series A Notes”) were previously issued in an original aggregate principal amount of $18,500,000.</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Amended Note Agreement, (i) the Series A Notes, in an aggregate principal amount of $3,100,000 as of immediately prior to the Effective Date, were paid in full in July 2020 and (ii) we issued $10,000,000 in aggregate principal amount of our 3.95% Series B Senior Notes due May 15, 2030 (the “Series B Notes”). In addition, the Amended Note Agreement provided us with the ability to request, from time to time until May 15, 2023 (or such earlier date as provided for in the Amended Note Agreement), that Prudential affiliate(s) purchase, at Prudential’s discretion and on an uncommitted basis, additional senior unsecured notes of Oil-Dri (the “Shelf Notes,” and collectively with the Series A Notes and Series B Notes, the “Notes”) in an aggregate principal amount of up to $75,000,000 minus the aggregate principal amount of Notes then outstanding and Shelf Notes that have been accepted for purchase. Interest payable on any Shelf Note agreed to be purchased under the Amended Note Agreement will be at a rate determined by Prudential and will mature not more than fifteen years after the date of original issue of such Shelf Note.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Like the Prior Note Agreement, the Amended Note Agreement is guaranteed, on an unsecured basis, by certain U.S. subsidiaries of Oil-Dri, and contains customary covenants, including but not limited to, limitations on our and certain of our subsidiaries’ ability to incur indebtedness, incur liens, engage in mergers, and sell or transfer assets and stock, as well as financial covenants, including a minimum fixed charges coverage ratio and consolidated debt ratio that remain the same as those contained in the Prior Note Agreement. Upon the occurrence of certain events of default, our obligations under the Amended Note Agreement may be accelerated. Such events of default include payment defaults, covenant defaults and other enumerated defaults.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 credit agreement with BMO Harris that expires on January 31, 2024. The agreement provides for a $45,000,000 unsecured revolving credit agreement, including a maximum of $10,000,000 for letters of credit. Under the credit agreement,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337" w:right="339" w:bottom="1440" w:gutter="0" w:footer="0" w:header="0"/>
        </w:sectPr>
      </w:pPr>
    </w:p>
    <w:bookmarkStart w:id="51" w:name="page52"/>
    <w:bookmarkEnd w:id="5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may select a variable rate based on either BMO Harris’ prime rate or a LIBOR-based rate, plus a margin which varies depending on our debt to earnings ratio, or a fixed rate as agreed between us and BMO Harris. As of July 31, 2020, the variable rates would have been 3.50% for the BMO Harris’ prime-based rate or 1.50% for the LIBOR-based rate.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July 31, 2020 and 2019, there were no outstanding borrowings under this credit agreement. However, we had outstanding letters of credit of $1,284,000 as of July 31, 2020 under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 indebtedness or to dispose of assets. The agreement also requires us to maintain a minimum fixed coverage ratio, a minimum consolidated net worth and a minimum consolidated debt ratio. 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senior promissory notes. We were in compliance with all restrictive covenants and limitations as of July 31, 2020.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schedule by fiscal year of future principal maturities of notes payable as of July 31, 2020 (in thousands):</w:t>
      </w:r>
    </w:p>
    <w:p>
      <w:pPr>
        <w:spacing w:after="0" w:line="162" w:lineRule="exact"/>
        <w:rPr>
          <w:sz w:val="20"/>
          <w:szCs w:val="20"/>
          <w:color w:val="auto"/>
        </w:rPr>
      </w:pPr>
    </w:p>
    <w:tbl>
      <w:tblPr>
        <w:tblLayout w:type="fixed"/>
        <w:tblInd w:w="3980" w:type="dxa"/>
        <w:tblCellMar>
          <w:top w:w="0" w:type="dxa"/>
          <w:left w:w="0" w:type="dxa"/>
          <w:bottom w:w="0" w:type="dxa"/>
          <w:right w:w="0" w:type="dxa"/>
        </w:tblCellMar>
      </w:tblPr>
      <w:tr>
        <w:trPr>
          <w:trHeight w:val="270"/>
        </w:trPr>
        <w:tc>
          <w:tcPr>
            <w:tcW w:w="1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9"/>
              </w:rPr>
              <w:t>2021</w:t>
            </w:r>
          </w:p>
        </w:tc>
        <w:tc>
          <w:tcPr>
            <w:tcW w:w="13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10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9"/>
              </w:rPr>
              <w:t>2022</w:t>
            </w:r>
          </w:p>
        </w:tc>
        <w:tc>
          <w:tcPr>
            <w:tcW w:w="1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9"/>
              </w:rPr>
              <w:t>2023</w:t>
            </w:r>
          </w:p>
        </w:tc>
        <w:tc>
          <w:tcPr>
            <w:tcW w:w="1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10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9"/>
              </w:rPr>
              <w:t>2024</w:t>
            </w:r>
          </w:p>
        </w:tc>
        <w:tc>
          <w:tcPr>
            <w:tcW w:w="1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9"/>
              </w:rPr>
              <w:t>2025</w:t>
            </w:r>
          </w:p>
        </w:tc>
        <w:tc>
          <w:tcPr>
            <w:tcW w:w="1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0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right="2500"/>
        <w:spacing w:after="0" w:line="250" w:lineRule="auto"/>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equivalents are classified as Level 1 of the fair value hierarchy because they were valued using quoted market prices in active markets. Cash equivalents were $6,000 and $26,000 as of July 31, 2020 and 2019, respectively. These cash instruments are primarily money market funds and are included in cash and cash equivalents on the Consolidated Balance Sheets.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and accounts payable balances on the Consolidated Balance Sheets approximate their fair values as of July 31, 2020 and 2019 due to the short maturity and nature of those balances.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Notes payable on the Consolidated Balance Sheets are carried at the face amount of future maturities. The estimated fair value of notes payable was approximately $11,631,000 as of July 31, 2020 and $6,357,000 as of July 31, 2019. The fair value was estimated using the exit price notion of fair value and is classified as Level 2. The increase in fair value is attributable to the Amended and Restated Note Purchase and Private Shelf Agreement entered into in May 2020. See Note 3 of the Notes to the Consolidated Financial Statements for further information about the new debt.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1 of the Notes to Consolidated Financial Statements for further information about goodwill and other intangible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accounts receivable. Our cash is held in banks which are covered by the Federal Deposit Insurance Corporation; however, our cash balances are in excess of the maximum amount that is insured. Concentrations of credit risk with respect to accounts receivable are subject to the financial condition of certain major customers, principally the customer referred to in Note 2 of the Notes to the Consolidated Financial Statements. We generally do not require collateral to secure customer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 expense by fiscal year consists of the following (in thousands):</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3,768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999</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37"/>
        </w:trPr>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Income Tax Total</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4,772</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 Total</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5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4,280</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reasons for variations between the statutory federal rate and the effective rates by fiscal year were as follows:</w:t>
      </w:r>
    </w:p>
    <w:p>
      <w:pPr>
        <w:spacing w:after="0" w:line="167"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3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21.0 %</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deductions allowed for mining</w:t>
            </w:r>
          </w:p>
        </w:tc>
        <w:tc>
          <w:tcPr>
            <w:tcW w:w="3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w:t>
            </w:r>
          </w:p>
        </w:tc>
        <w:tc>
          <w:tcPr>
            <w:tcW w:w="2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expense, net of federal tax expense</w:t>
            </w:r>
          </w:p>
        </w:tc>
        <w:tc>
          <w:tcPr>
            <w:tcW w:w="3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in effective tax rate of foreign subsidiaries</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income taxes</w:t>
            </w:r>
          </w:p>
        </w:tc>
        <w:tc>
          <w:tcPr>
            <w:tcW w:w="3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3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18.6 %</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The Consolidated Balance Sheets included the following tax effects of cumulative temporary differences as of July 31 (in thousands):</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80" w:type="dxa"/>
            <w:vAlign w:val="bottom"/>
          </w:tcPr>
          <w:p>
            <w:pPr>
              <w:spacing w:after="0"/>
              <w:rPr>
                <w:sz w:val="24"/>
                <w:szCs w:val="24"/>
                <w:color w:val="auto"/>
              </w:rPr>
            </w:pPr>
          </w:p>
        </w:tc>
      </w:tr>
      <w:tr>
        <w:trPr>
          <w:trHeight w:val="27"/>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7"/>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3,926</w:t>
            </w:r>
          </w:p>
        </w:tc>
        <w:tc>
          <w:tcPr>
            <w:tcW w:w="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3,995</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 of use assets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marketing expenses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Reclamation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foreign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14,138</w:t>
            </w: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6,836</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4,494</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Deferred taxes for postretirement benefits were also affected by employer contributions and the freeze of our pension plan that significantly reduced our pension liability. See Note 8 of the Notes to the Consolidated Financial Statements for further information about postretirement benefits. Deferred taxes for lease right of use assets and liabilities were recorded upon the implementation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on August 1, 2019. See Notes 1 and 11 of the Notes to the Consolidated Financial Statements for further information about leases. Deferred taxes for accrued expenses reflected a higher accrual for the annual discretionary bonus.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a valuation allowance of $923,000 and $732,000 as of July 31, 2020 and July 31, 2019, respectively, for the amount of the deferred tax benefit related to our foreign net operating loss carryforwards since we believe it is unlikely we will realize the benefit of these tax attributes in the future. As of July 31, 2020, we have total net operating loss carryforwards from state jurisdictions of approximately $2,000,000. The carryforward expiration dates vary by state. No valuation allowance has been established for these carryforwards since we expect our future profitability will allow us to fully realize these tax benefits.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foreign subsidiaries in the United Kingdom and China have not generated any untaxed foreign income, therefore we have not provided for any related income taxes.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no material liability for unrecognized tax benefits based on tax positions related to the current and prior fiscal years as of July 31, 2020 and 2019; correspondingly, no related interest and penalties were recognized as income tax expense and there were no accruals for such items in either of these fiscal years.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multiple state and foreign jurisdictions. We have no income tax returns under examination as of July 31, 2020 and federal tax returns for fiscal years 2018 and 2019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a limited number of open state and local income tax audits in which no material issues have been preliminarily identified. There are no material open or unsettled foreign income tax audits. We believe our accrual for tax liabilities is adequate for all open audit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NOTE 6 – ACCUMULATED OTHER COMPREHENSIVE (LOSS)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by component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38"/>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Health Benefits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w:t>
            </w: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140" w:type="dxa"/>
            <w:vAlign w:val="bottom"/>
          </w:tcPr>
          <w:p>
            <w:pPr>
              <w:spacing w:after="0"/>
              <w:rPr>
                <w:sz w:val="20"/>
                <w:szCs w:val="20"/>
                <w:color w:val="auto"/>
              </w:rPr>
            </w:pPr>
          </w:p>
        </w:tc>
        <w:tc>
          <w:tcPr>
            <w:tcW w:w="1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(5,089) a)</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1"/>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5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b)</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r>
      <w:tr>
        <w:trPr>
          <w:trHeight w:val="205"/>
        </w:trPr>
        <w:tc>
          <w:tcPr>
            <w:tcW w:w="42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140" w:type="dxa"/>
            <w:vAlign w:val="bottom"/>
          </w:tcPr>
          <w:p>
            <w:pPr>
              <w:spacing w:after="0"/>
              <w:rPr>
                <w:sz w:val="20"/>
                <w:szCs w:val="20"/>
                <w:color w:val="auto"/>
              </w:rPr>
            </w:pPr>
          </w:p>
        </w:tc>
        <w:tc>
          <w:tcPr>
            <w:tcW w:w="1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(4,431) 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1"/>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c>
          <w:tcPr>
            <w:tcW w:w="5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b)</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Curtailment/Settlement on Pension Plan</w:t>
            </w: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6,570</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c)</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6,570</w:t>
            </w: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5"/>
        </w:trPr>
        <w:tc>
          <w:tcPr>
            <w:tcW w:w="42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61"/>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2,897</w:t>
            </w:r>
          </w:p>
        </w:tc>
        <w:tc>
          <w:tcPr>
            <w:tcW w:w="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2,785</w:t>
            </w:r>
          </w:p>
        </w:tc>
      </w:tr>
      <w:tr>
        <w:trPr>
          <w:trHeight w:val="25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(11,994)</w:t>
            </w:r>
          </w:p>
        </w:tc>
        <w:tc>
          <w:tcPr>
            <w:tcW w:w="5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(12,254)</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taxes of $1,359,000 and $1,607,000 in fiscal years 2020 and 2019, respectively, and are included in Other Comprehensive Loss.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taxes of $242,000 and $185,000 in fiscal years 2020 and 2019, respectively. Amounts are included in the components of net periodic benefit cost for the pension and postretirement health plans.</w:t>
      </w:r>
    </w:p>
    <w:p>
      <w:pPr>
        <w:ind w:left="340" w:hanging="332"/>
        <w:spacing w:after="0" w:line="26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net of taxes of $2,075,000 in fiscal year 2020. Amounts are included in the components of net periodic benefit cost for the pension and postretirement health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of the Notes to the Consolidated Financial Statements for further information about pension and postretirement health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July 31, 2020, there were 370,836 shares available for future grants under this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RESTRICTED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4"/>
          <w:szCs w:val="14"/>
          <w:b w:val="1"/>
          <w:bCs w:val="1"/>
          <w:color w:val="auto"/>
        </w:rPr>
        <w:t>TOCK</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non-vested restricted stock as of July 31, 2020 was issued under the 2006 Plan with vesting periods generally from two to five years. The fair value of restricted stock was determined by the closing market price of our Common Stock on the date of grant multiplied by the number of shares granted.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333"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3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Unamortized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3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30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outstanding at July 31, 2018</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32.74</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32.89</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31.90</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30.85</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outstanding at July 31, 2019</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33.09</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10,474</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33.57</w:t>
            </w: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vMerge w:val="continue"/>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2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32.53</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32.46</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restricted stock outstanding at July 31, 2020</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33.19</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7,784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for restricted stock of $2,560,000 and $1,834,000, net of related tax effect, was recognized in fiscal years 2020 and 2019, respectively. The total restricted stock compensation related tax benefit was $808,000 and $579,000 in fiscal years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PENSION AND OTHER POSTRETIREMENT BENEFITS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 The amendment of the Pension Plan triggered a pension curtailment, which required a remeasurement of the Pension Plan's obligation. The remeasurement resulted in a decrease in the benefit obligation of approximately $6,632,000, which was recorded in Other Comprehensive Income, net of taxes of $1,592,000 in the second quarter of fiscal year 2020. During the third quarter of fiscal 2020 we offered terminated participants with vested benefits who have not yet begun receipt of benefits under the Plan the opportunity to receive their pension benefits in a single payment (the “Lump Sum Option”). We made payments in the fourth quarter of fiscal year 2020 to those participants who elected the Lump Sum Option by the May 15, 2020 election deadline. The settlement expense was $2,012,000 and was recorded net of tax in Other, net in the Consolidated Statements of Operation.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401(k) savings plan is maintained under which we match a portion of employee contributions. This plan is available to essentially all domestic employees following a specific number of days of employment. Our contributions to this plan, and to similar plans maintained by our foreign subsidiaries, were $2,035,000 and $764,000 for fiscal years 2020 and 2019, respectively. During fiscal year 2020, we changed the percentage of employer matching contributions from 50% of every employee dollar contributed up to 4% of earnings to 100% of every employee dollar contributed up to 6% of earnings.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55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changes in the plans’ benefit obligations, asset fair values and funded status by fiscal year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r>
      <w:tr>
        <w:trPr>
          <w:trHeight w:val="27"/>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61,553</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54,267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2,958</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2,667</w:t>
            </w:r>
          </w:p>
        </w:tc>
      </w:tr>
      <w:tr>
        <w:trPr>
          <w:trHeight w:val="27"/>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8,570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Curtailments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57,280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61,553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40,725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40,971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5,816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Employer contribution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45,334</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40,725</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Funded status, recorded in Consolidated Balance Sheets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(11,946)</w:t>
            </w: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(3,291)</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“Cash Flows” below for further information about employer contributions and benefits payments.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accumulated benefit obligation for the Pension Plan was $57,280,000 and $54,696,000 as of July 31, 2020 and July 31, 2019,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Postretirement Health</w:t>
            </w:r>
          </w:p>
        </w:tc>
      </w:tr>
      <w:tr>
        <w:trPr>
          <w:trHeight w:val="238"/>
        </w:trPr>
        <w:tc>
          <w:tcPr>
            <w:tcW w:w="4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8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46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4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(11,946)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 – net of tax:</w:t>
            </w: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actuarial loss</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11,642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14,731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r>
      <w:tr>
        <w:trPr>
          <w:trHeight w:val="243"/>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Prior service cost (income)</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891"/>
        </w:trPr>
        <w:tc>
          <w:tcPr>
            <w:tcW w:w="4660" w:type="dxa"/>
            <w:vAlign w:val="bottom"/>
          </w:tcPr>
          <w:p>
            <w:pPr>
              <w:spacing w:after="0"/>
              <w:rPr>
                <w:sz w:val="24"/>
                <w:szCs w:val="24"/>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the net periodic pension and postretirement health benefit costs by fiscal year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Postretirement Health</w:t>
            </w:r>
          </w:p>
        </w:tc>
      </w:tr>
      <w:tr>
        <w:trPr>
          <w:trHeight w:val="238"/>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Pension Cost</w:t>
            </w:r>
          </w:p>
        </w:tc>
        <w:tc>
          <w:tcPr>
            <w:tcW w:w="200" w:type="dxa"/>
            <w:vAlign w:val="bottom"/>
          </w:tcPr>
          <w:p>
            <w:pPr>
              <w:spacing w:after="0"/>
              <w:rPr>
                <w:sz w:val="20"/>
                <w:szCs w:val="20"/>
                <w:color w:val="auto"/>
              </w:rPr>
            </w:pPr>
          </w:p>
        </w:tc>
        <w:tc>
          <w:tcPr>
            <w:tcW w:w="20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Benefit Cost</w:t>
            </w: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Prior service costs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actuarial loss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cost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amounts, net of tax, that are recognized in other comprehensive income by fiscal year (in thousands):</w:t>
      </w:r>
    </w:p>
    <w:p>
      <w:pPr>
        <w:spacing w:after="0" w:line="167"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Postretirement Health</w:t>
            </w:r>
          </w:p>
        </w:tc>
      </w:tr>
      <w:tr>
        <w:trPr>
          <w:trHeight w:val="238"/>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2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2019</w:t>
            </w:r>
          </w:p>
        </w:tc>
      </w:tr>
      <w:tr>
        <w:trPr>
          <w:trHeight w:val="27"/>
        </w:trPr>
        <w:tc>
          <w:tcPr>
            <w:tcW w:w="5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5,016</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Prior service (cost) income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Curtailment/Settlement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recognized in other comprehensive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4,429</w:t>
            </w:r>
          </w:p>
        </w:tc>
        <w:tc>
          <w:tcPr>
            <w:tcW w:w="4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following table shows amortization amounts, net of tax, expected to be recognized in fiscal year 2021 in accumulated other comprehensive income (in thousands):</w:t>
      </w:r>
    </w:p>
    <w:p>
      <w:pPr>
        <w:spacing w:after="0" w:line="77"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Postretirement</w:t>
            </w:r>
          </w:p>
        </w:tc>
      </w:t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2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0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Health Benefits</w:t>
            </w:r>
          </w:p>
        </w:tc>
      </w:tr>
      <w:tr>
        <w:trPr>
          <w:trHeight w:val="27"/>
        </w:trPr>
        <w:tc>
          <w:tcPr>
            <w:tcW w:w="6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actuarial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service income</w:t>
            </w:r>
          </w:p>
        </w:tc>
        <w:tc>
          <w:tcPr>
            <w:tcW w:w="120" w:type="dxa"/>
            <w:vAlign w:val="bottom"/>
          </w:tcPr>
          <w:p>
            <w:pPr>
              <w:spacing w:after="0"/>
              <w:rPr>
                <w:sz w:val="21"/>
                <w:szCs w:val="21"/>
                <w:color w:val="auto"/>
              </w:rPr>
            </w:pPr>
          </w:p>
        </w:tc>
        <w:tc>
          <w:tcPr>
            <w:tcW w:w="1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60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to be recognized as other comprehensive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During fiscal 2020, we made two voluntary contributions for $5,000,000 and $3,000,000 in excess of the minimum required amount. The first contribution was made within eight and one-half months after the end of our fiscal year 2019 and therefore was deductible for our 2019 tax year. The voluntary contributions also improved our funded status and contributed to a lower net periodic benefit expense.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expect to make a contribution to the Pension Plan in fiscal year 2021. The postretirement health plan is an unfunded plan. Our policy is to pay health insurance premiums and claims from our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333"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The following table shows the estimated future benefit payments by fiscal year (in thousands):</w:t>
      </w:r>
    </w:p>
    <w:p>
      <w:pPr>
        <w:spacing w:after="0" w:line="167"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2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w:t>
            </w:r>
          </w:p>
        </w:tc>
      </w:tr>
      <w:tr>
        <w:trPr>
          <w:trHeight w:val="238"/>
        </w:trPr>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22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Health Benefits</w:t>
            </w:r>
          </w:p>
        </w:tc>
      </w:tr>
      <w:tr>
        <w:trPr>
          <w:trHeight w:val="27"/>
        </w:trPr>
        <w:tc>
          <w:tcPr>
            <w:tcW w:w="1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3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3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2026-30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3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Postretirement Health</w:t>
            </w:r>
          </w:p>
        </w:tc>
      </w:tr>
      <w:tr>
        <w:trPr>
          <w:trHeight w:val="238"/>
        </w:trPr>
        <w:tc>
          <w:tcPr>
            <w:tcW w:w="6420" w:type="dxa"/>
            <w:vAlign w:val="bottom"/>
          </w:tcPr>
          <w:p>
            <w:pPr>
              <w:spacing w:after="0"/>
              <w:rPr>
                <w:sz w:val="20"/>
                <w:szCs w:val="20"/>
                <w:color w:val="auto"/>
              </w:rPr>
            </w:pPr>
          </w:p>
        </w:tc>
        <w:tc>
          <w:tcPr>
            <w:tcW w:w="248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820" w:type="dxa"/>
            <w:vAlign w:val="bottom"/>
          </w:tcPr>
          <w:p>
            <w:pPr>
              <w:spacing w:after="0"/>
              <w:rPr>
                <w:sz w:val="20"/>
                <w:szCs w:val="20"/>
                <w:color w:val="auto"/>
              </w:rPr>
            </w:pPr>
          </w:p>
        </w:tc>
        <w:tc>
          <w:tcPr>
            <w:tcW w:w="1520" w:type="dxa"/>
            <w:vAlign w:val="bottom"/>
            <w:gridSpan w:val="3"/>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Benefits</w:t>
            </w:r>
          </w:p>
        </w:tc>
      </w:tr>
      <w:tr>
        <w:trPr>
          <w:trHeight w:val="27"/>
        </w:trPr>
        <w:tc>
          <w:tcPr>
            <w:tcW w:w="6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20"/>
                <w:szCs w:val="20"/>
                <w:color w:val="auto"/>
              </w:rPr>
            </w:pPr>
          </w:p>
        </w:tc>
        <w:tc>
          <w:tcPr>
            <w:tcW w:w="8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5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7"/>
        </w:trPr>
        <w:tc>
          <w:tcPr>
            <w:tcW w:w="6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2.93%</w:t>
            </w:r>
          </w:p>
        </w:tc>
        <w:tc>
          <w:tcPr>
            <w:tcW w:w="152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 for year-end obligations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3.35%</w:t>
            </w:r>
          </w:p>
        </w:tc>
        <w:tc>
          <w:tcPr>
            <w:tcW w:w="120" w:type="dxa"/>
            <w:vAlign w:val="bottom"/>
          </w:tcPr>
          <w:p>
            <w:pPr>
              <w:spacing w:after="0"/>
              <w:rPr>
                <w:sz w:val="21"/>
                <w:szCs w:val="21"/>
                <w:color w:val="auto"/>
              </w:rPr>
            </w:pP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1.63%</w:t>
            </w:r>
          </w:p>
        </w:tc>
        <w:tc>
          <w:tcPr>
            <w:tcW w:w="15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2.93%</w:t>
            </w:r>
          </w:p>
        </w:tc>
      </w:tr>
      <w:tr>
        <w:trPr>
          <w:trHeight w:val="27"/>
        </w:trPr>
        <w:tc>
          <w:tcPr>
            <w:tcW w:w="6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increase in compensation levels for net periodic benefit costs</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of increase in compensation levels for year-end obligations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20" w:type="dxa"/>
            <w:vAlign w:val="bottom"/>
          </w:tcPr>
          <w:p>
            <w:pPr>
              <w:spacing w:after="0"/>
              <w:rPr>
                <w:sz w:val="21"/>
                <w:szCs w:val="21"/>
                <w:color w:val="auto"/>
              </w:rPr>
            </w:pPr>
          </w:p>
        </w:tc>
        <w:tc>
          <w:tcPr>
            <w:tcW w:w="8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
        </w:trPr>
        <w:tc>
          <w:tcPr>
            <w:tcW w:w="6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expected rate of return on 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7.00%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
        </w:trPr>
        <w:tc>
          <w:tcPr>
            <w:tcW w:w="6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discount rate was based on the FTSE Pension Discount Curve to determine separately for the Pension Plan and the postretirement health plan, the single equivalent rate that would yield the same present value as the specific plan’s expected cash flows.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fiscal year 2020, the medical cost trend assumption used for the postretirement health benefit cost was 7.2%. The graded trend rate is expected to decrease to an ultimate rate of 4.5% in fiscal year 2038.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effect on postretirement health costs and accruals in fiscal year 2020 of a one-percentage point change in the assumed health care cost trend (in thousands):</w:t>
      </w:r>
    </w:p>
    <w:p>
      <w:pPr>
        <w:spacing w:after="0" w:line="320"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One-Percentage Point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One-Percentage</w:t>
            </w:r>
          </w:p>
        </w:tc>
      </w:tr>
      <w:tr>
        <w:trPr>
          <w:trHeight w:val="238"/>
        </w:trPr>
        <w:tc>
          <w:tcPr>
            <w:tcW w:w="4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Point Decrease</w:t>
            </w:r>
          </w:p>
        </w:tc>
      </w:tr>
      <w:tr>
        <w:trPr>
          <w:trHeight w:val="27"/>
        </w:trPr>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total service and interest cost</w:t>
            </w:r>
          </w:p>
        </w:tc>
        <w:tc>
          <w:tcPr>
            <w:tcW w:w="312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accumulated postretirement benefit obligation</w:t>
            </w:r>
          </w:p>
        </w:tc>
        <w:tc>
          <w:tcPr>
            <w:tcW w:w="31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tcPr>
          <w:p>
            <w:pPr>
              <w:spacing w:after="0"/>
              <w:rPr>
                <w:sz w:val="21"/>
                <w:szCs w:val="21"/>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$(297)</w:t>
            </w:r>
          </w:p>
        </w:tc>
      </w:tr>
      <w:tr>
        <w:trPr>
          <w:trHeight w:val="891"/>
        </w:trPr>
        <w:tc>
          <w:tcPr>
            <w:tcW w:w="4420" w:type="dxa"/>
            <w:vAlign w:val="bottom"/>
          </w:tcPr>
          <w:p>
            <w:pPr>
              <w:spacing w:after="0"/>
              <w:rPr>
                <w:sz w:val="24"/>
                <w:szCs w:val="24"/>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Pension Plan Assets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year 2021 and the actual allocation as of July 31:</w:t>
      </w:r>
    </w:p>
    <w:p>
      <w:pPr>
        <w:spacing w:after="0" w:line="118"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Target fiscal</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5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Asset Allocation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accrued income</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43"/>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Fixed income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c>
          <w:tcPr>
            <w:tcW w:w="3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58%</w:t>
            </w:r>
          </w:p>
        </w:tc>
      </w:tr>
      <w:tr>
        <w:trPr>
          <w:trHeight w:val="27"/>
        </w:trPr>
        <w:tc>
          <w:tcPr>
            <w:tcW w:w="35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anticipation of the Lump Sum Option payments we adjusted our asset allocation in fiscal year 2020 and plan to revert back to our historical asset allocations in fiscal year 2021.</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Pension Plan's assets carried at fair value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Fair Value At July 31, 2020</w:t>
            </w:r>
          </w:p>
        </w:tc>
        <w:tc>
          <w:tcPr>
            <w:tcW w:w="12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6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(Level 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66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5"/>
                <w:szCs w:val="25"/>
                <w:color w:val="auto"/>
                <w:vertAlign w:val="superscript"/>
              </w:rPr>
              <w:t>(a)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5"/>
                <w:szCs w:val="25"/>
                <w:color w:val="auto"/>
                <w:vertAlign w:val="superscript"/>
              </w:rPr>
              <w:t>(b)</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companies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 companies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 - international mutual funds: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0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Developed market</w:t>
            </w:r>
            <w:r>
              <w:rPr>
                <w:rFonts w:ascii="Times New Roman" w:cs="Times New Roman" w:eastAsia="Times New Roman" w:hAnsi="Times New Roman"/>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2,867</w:t>
            </w:r>
          </w:p>
        </w:tc>
      </w:tr>
      <w:tr>
        <w:trPr>
          <w:trHeight w:val="270"/>
        </w:trPr>
        <w:tc>
          <w:tcPr>
            <w:tcW w:w="6600" w:type="dxa"/>
            <w:vAlign w:val="bottom"/>
          </w:tcPr>
          <w:p>
            <w:pPr>
              <w:ind w:left="340"/>
              <w:spacing w:after="0" w:line="270" w:lineRule="exact"/>
              <w:rPr>
                <w:sz w:val="20"/>
                <w:szCs w:val="20"/>
                <w:color w:val="auto"/>
              </w:rPr>
            </w:pPr>
            <w:r>
              <w:rPr>
                <w:rFonts w:ascii="Times New Roman" w:cs="Times New Roman" w:eastAsia="Times New Roman" w:hAnsi="Times New Roman"/>
                <w:sz w:val="18"/>
                <w:szCs w:val="18"/>
                <w:color w:val="auto"/>
              </w:rPr>
              <w:t>Emerging markets</w:t>
            </w:r>
            <w:r>
              <w:rPr>
                <w:rFonts w:ascii="Times New Roman" w:cs="Times New Roman" w:eastAsia="Times New Roman" w:hAnsi="Times New Roman"/>
                <w:sz w:val="25"/>
                <w:szCs w:val="25"/>
                <w:color w:val="auto"/>
                <w:vertAlign w:val="superscript"/>
              </w:rPr>
              <w:t>(d)</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w:t>
            </w:r>
          </w:p>
        </w:tc>
      </w:tr>
      <w:tr>
        <w:trPr>
          <w:trHeight w:val="270"/>
        </w:trPr>
        <w:tc>
          <w:tcPr>
            <w:tcW w:w="66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Commodities</w:t>
            </w:r>
            <w:r>
              <w:rPr>
                <w:rFonts w:ascii="Times New Roman" w:cs="Times New Roman" w:eastAsia="Times New Roman" w:hAnsi="Times New Roman"/>
                <w:sz w:val="25"/>
                <w:szCs w:val="25"/>
                <w:color w:val="auto"/>
                <w:vertAlign w:val="superscript"/>
              </w:rPr>
              <w:t>(e)</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3,014</w:t>
            </w:r>
          </w:p>
        </w:tc>
      </w:tr>
      <w:tr>
        <w:trPr>
          <w:trHeight w:val="270"/>
        </w:trPr>
        <w:tc>
          <w:tcPr>
            <w:tcW w:w="6600" w:type="dxa"/>
            <w:vAlign w:val="bottom"/>
          </w:tcPr>
          <w:p>
            <w:pPr>
              <w:ind w:left="340"/>
              <w:spacing w:after="0" w:line="270" w:lineRule="exact"/>
              <w:rPr>
                <w:sz w:val="20"/>
                <w:szCs w:val="20"/>
                <w:color w:val="auto"/>
              </w:rPr>
            </w:pPr>
            <w:r>
              <w:rPr>
                <w:rFonts w:ascii="Times New Roman" w:cs="Times New Roman" w:eastAsia="Times New Roman" w:hAnsi="Times New Roman"/>
                <w:sz w:val="18"/>
                <w:szCs w:val="18"/>
                <w:color w:val="auto"/>
              </w:rPr>
              <w:t>Debt securities</w:t>
            </w:r>
            <w:r>
              <w:rPr>
                <w:rFonts w:ascii="Times New Roman" w:cs="Times New Roman" w:eastAsia="Times New Roman" w:hAnsi="Times New Roman"/>
                <w:sz w:val="25"/>
                <w:szCs w:val="25"/>
                <w:color w:val="auto"/>
                <w:vertAlign w:val="superscript"/>
              </w:rPr>
              <w:t>(f)</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10,131</w:t>
            </w:r>
          </w:p>
        </w:tc>
      </w:tr>
      <w:tr>
        <w:trPr>
          <w:trHeight w:val="270"/>
        </w:trPr>
        <w:tc>
          <w:tcPr>
            <w:tcW w:w="660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Government sponsored entities</w:t>
            </w:r>
            <w:r>
              <w:rPr>
                <w:rFonts w:ascii="Times New Roman" w:cs="Times New Roman" w:eastAsia="Times New Roman" w:hAnsi="Times New Roman"/>
                <w:sz w:val="25"/>
                <w:szCs w:val="25"/>
                <w:color w:val="auto"/>
                <w:vertAlign w:val="superscript"/>
              </w:rPr>
              <w:t>(g)</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5,131</w:t>
            </w:r>
          </w:p>
        </w:tc>
      </w:tr>
      <w:tr>
        <w:trPr>
          <w:trHeight w:val="270"/>
        </w:trPr>
        <w:tc>
          <w:tcPr>
            <w:tcW w:w="6600" w:type="dxa"/>
            <w:vAlign w:val="bottom"/>
          </w:tcPr>
          <w:p>
            <w:pPr>
              <w:ind w:left="340"/>
              <w:spacing w:after="0" w:line="270" w:lineRule="exact"/>
              <w:rPr>
                <w:sz w:val="20"/>
                <w:szCs w:val="20"/>
                <w:color w:val="auto"/>
              </w:rPr>
            </w:pPr>
            <w:r>
              <w:rPr>
                <w:rFonts w:ascii="Times New Roman" w:cs="Times New Roman" w:eastAsia="Times New Roman" w:hAnsi="Times New Roman"/>
                <w:sz w:val="18"/>
                <w:szCs w:val="18"/>
                <w:color w:val="auto"/>
              </w:rPr>
              <w:t>Multi-strategy bond fund</w:t>
            </w:r>
            <w:r>
              <w:rPr>
                <w:rFonts w:ascii="Times New Roman" w:cs="Times New Roman" w:eastAsia="Times New Roman" w:hAnsi="Times New Roman"/>
                <w:sz w:val="25"/>
                <w:szCs w:val="25"/>
                <w:color w:val="auto"/>
                <w:vertAlign w:val="superscript"/>
              </w:rPr>
              <w:t>(h)</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10,547</w:t>
            </w:r>
          </w:p>
        </w:tc>
      </w:tr>
      <w:tr>
        <w:trPr>
          <w:trHeight w:val="270"/>
        </w:trPr>
        <w:tc>
          <w:tcPr>
            <w:tcW w:w="6600" w:type="dxa"/>
            <w:vAlign w:val="bottom"/>
            <w:shd w:val="clear" w:color="auto" w:fill="CCEEFF"/>
          </w:tcPr>
          <w:p>
            <w:pPr>
              <w:ind w:left="400"/>
              <w:spacing w:after="0" w:line="270" w:lineRule="exact"/>
              <w:rPr>
                <w:sz w:val="20"/>
                <w:szCs w:val="20"/>
                <w:color w:val="auto"/>
              </w:rPr>
            </w:pPr>
            <w:r>
              <w:rPr>
                <w:rFonts w:ascii="Times New Roman" w:cs="Times New Roman" w:eastAsia="Times New Roman" w:hAnsi="Times New Roman"/>
                <w:sz w:val="18"/>
                <w:szCs w:val="18"/>
                <w:color w:val="auto"/>
              </w:rPr>
              <w:t>Money market fund</w:t>
            </w:r>
            <w:r>
              <w:rPr>
                <w:rFonts w:ascii="Times New Roman" w:cs="Times New Roman" w:eastAsia="Times New Roman" w:hAnsi="Times New Roman"/>
                <w:sz w:val="25"/>
                <w:szCs w:val="25"/>
                <w:color w:val="auto"/>
                <w:vertAlign w:val="superscript"/>
              </w:rPr>
              <w:t>(i)</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r>
      <w:tr>
        <w:trPr>
          <w:trHeight w:val="270"/>
        </w:trPr>
        <w:tc>
          <w:tcPr>
            <w:tcW w:w="66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(j)</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1,683</w:t>
            </w:r>
          </w:p>
        </w:tc>
      </w:tr>
      <w:tr>
        <w:trPr>
          <w:trHeight w:val="257"/>
        </w:trPr>
        <w:tc>
          <w:tcPr>
            <w:tcW w:w="66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45,334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42,189</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333" w:right="339" w:bottom="1440" w:gutter="0" w:footer="0" w:header="0"/>
        </w:sectPr>
      </w:pPr>
    </w:p>
    <w:bookmarkStart w:id="60" w:name="page61"/>
    <w:bookmarkEnd w:id="60"/>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Fair Value At July 31, 2019</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6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5"/>
                <w:szCs w:val="25"/>
                <w:color w:val="auto"/>
                <w:vertAlign w:val="superscript"/>
              </w:rPr>
              <w:t>(b)</w:t>
            </w: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companies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9,628</w:t>
            </w:r>
          </w:p>
        </w:tc>
        <w:tc>
          <w:tcPr>
            <w:tcW w:w="0" w:type="dxa"/>
            <w:vAlign w:val="bottom"/>
          </w:tcPr>
          <w:p>
            <w:pPr>
              <w:spacing w:after="0"/>
              <w:rPr>
                <w:sz w:val="1"/>
                <w:szCs w:val="1"/>
                <w:color w:val="auto"/>
              </w:rPr>
            </w:pPr>
          </w:p>
        </w:tc>
      </w:tr>
      <w:tr>
        <w:trPr>
          <w:trHeight w:val="243"/>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 companies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 international 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40"/>
              <w:spacing w:after="0" w:line="270" w:lineRule="exact"/>
              <w:rPr>
                <w:sz w:val="20"/>
                <w:szCs w:val="20"/>
                <w:color w:val="auto"/>
              </w:rPr>
            </w:pPr>
            <w:r>
              <w:rPr>
                <w:rFonts w:ascii="Times New Roman" w:cs="Times New Roman" w:eastAsia="Times New Roman" w:hAnsi="Times New Roman"/>
                <w:sz w:val="18"/>
                <w:szCs w:val="18"/>
                <w:color w:val="auto"/>
              </w:rPr>
              <w:t>Developed market</w:t>
            </w:r>
            <w:r>
              <w:rPr>
                <w:rFonts w:ascii="Times New Roman" w:cs="Times New Roman" w:eastAsia="Times New Roman" w:hAnsi="Times New Roman"/>
                <w:sz w:val="25"/>
                <w:szCs w:val="25"/>
                <w:color w:val="auto"/>
                <w:vertAlign w:val="superscript"/>
              </w:rPr>
              <w:t>(c)</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Emerging markets</w:t>
            </w:r>
            <w:r>
              <w:rPr>
                <w:rFonts w:ascii="Times New Roman" w:cs="Times New Roman" w:eastAsia="Times New Roman" w:hAnsi="Times New Roman"/>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70"/>
        </w:trPr>
        <w:tc>
          <w:tcPr>
            <w:tcW w:w="66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Commodities</w:t>
            </w:r>
            <w:r>
              <w:rPr>
                <w:rFonts w:ascii="Times New Roman" w:cs="Times New Roman" w:eastAsia="Times New Roman" w:hAnsi="Times New Roman"/>
                <w:sz w:val="25"/>
                <w:szCs w:val="25"/>
                <w:color w:val="auto"/>
                <w:vertAlign w:val="superscript"/>
              </w:rPr>
              <w:t>(e)</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securities(f)</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8,103</w:t>
            </w:r>
          </w:p>
        </w:tc>
        <w:tc>
          <w:tcPr>
            <w:tcW w:w="0" w:type="dxa"/>
            <w:vAlign w:val="bottom"/>
          </w:tcPr>
          <w:p>
            <w:pPr>
              <w:spacing w:after="0"/>
              <w:rPr>
                <w:sz w:val="1"/>
                <w:szCs w:val="1"/>
                <w:color w:val="auto"/>
              </w:rPr>
            </w:pPr>
          </w:p>
        </w:tc>
      </w:tr>
      <w:tr>
        <w:trPr>
          <w:trHeight w:val="270"/>
        </w:trPr>
        <w:tc>
          <w:tcPr>
            <w:tcW w:w="6600" w:type="dxa"/>
            <w:vAlign w:val="bottom"/>
          </w:tcPr>
          <w:p>
            <w:pPr>
              <w:ind w:left="340"/>
              <w:spacing w:after="0" w:line="270" w:lineRule="exact"/>
              <w:rPr>
                <w:sz w:val="20"/>
                <w:szCs w:val="20"/>
                <w:color w:val="auto"/>
              </w:rPr>
            </w:pPr>
            <w:r>
              <w:rPr>
                <w:rFonts w:ascii="Times New Roman" w:cs="Times New Roman" w:eastAsia="Times New Roman" w:hAnsi="Times New Roman"/>
                <w:sz w:val="18"/>
                <w:szCs w:val="18"/>
                <w:color w:val="auto"/>
              </w:rPr>
              <w:t>Government sponsored entities</w:t>
            </w:r>
            <w:r>
              <w:rPr>
                <w:rFonts w:ascii="Times New Roman" w:cs="Times New Roman" w:eastAsia="Times New Roman" w:hAnsi="Times New Roman"/>
                <w:sz w:val="25"/>
                <w:szCs w:val="25"/>
                <w:color w:val="auto"/>
                <w:vertAlign w:val="superscript"/>
              </w:rPr>
              <w:t>(g)</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Multi-strategy bond fund</w:t>
            </w:r>
            <w:r>
              <w:rPr>
                <w:rFonts w:ascii="Times New Roman" w:cs="Times New Roman" w:eastAsia="Times New Roman" w:hAnsi="Times New Roman"/>
                <w:sz w:val="25"/>
                <w:szCs w:val="25"/>
                <w:color w:val="auto"/>
                <w:vertAlign w:val="superscript"/>
              </w:rPr>
              <w:t>(h)</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0"/>
        </w:trPr>
        <w:tc>
          <w:tcPr>
            <w:tcW w:w="6600" w:type="dxa"/>
            <w:vAlign w:val="bottom"/>
          </w:tcPr>
          <w:p>
            <w:pPr>
              <w:ind w:left="400"/>
              <w:spacing w:after="0" w:line="270" w:lineRule="exact"/>
              <w:rPr>
                <w:sz w:val="20"/>
                <w:szCs w:val="20"/>
                <w:color w:val="auto"/>
              </w:rPr>
            </w:pPr>
            <w:r>
              <w:rPr>
                <w:rFonts w:ascii="Times New Roman" w:cs="Times New Roman" w:eastAsia="Times New Roman" w:hAnsi="Times New Roman"/>
                <w:sz w:val="18"/>
                <w:szCs w:val="18"/>
                <w:color w:val="auto"/>
              </w:rPr>
              <w:t>Money market fund</w:t>
            </w:r>
            <w:r>
              <w:rPr>
                <w:rFonts w:ascii="Times New Roman" w:cs="Times New Roman" w:eastAsia="Times New Roman" w:hAnsi="Times New Roman"/>
                <w:sz w:val="25"/>
                <w:szCs w:val="25"/>
                <w:color w:val="auto"/>
                <w:vertAlign w:val="superscript"/>
              </w:rPr>
              <w:t>(i)</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(j)</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57"/>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40,725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33,903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consists of highly liquid investments which are traded in active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represents equities traded on regulated exchanges, as well as funds that invest in a portfolio of such stocks.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mutual funds seek long-term capital growth by investing no less than 80% of their assets in stocks of non- U.S. companies that are primarily in developed markets, but also may invest in emerging and less developed markets.</w:t>
      </w: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mutual funds seek to track the performance of a benchmark index that measures the investment return of stock issued by companies located in emerging market countries.</w:t>
      </w: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seek attractive total return by investing primarily in a diversified portfolio of commodity futures contracts and fixed income investments.</w:t>
      </w: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includes bonds and loans of U.S. and non-U.S. corporate issuers from diverse industries and bonds of domestic and foreign municipalities.</w:t>
      </w: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represents a beneficial ownership interest in a pool of single-family residential mortgage loans. These investments are generally not backed by the full faith and credit of the United States government, except for securities valued at $289,000 in our portfolio as of July 31, 2020 and $377,000 as of July 31, 2019.</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invests at least 80% of its net assets in bonds and other fixed income instruments issued by governmental or private-sector entities. More than 50% of its net assets are invested in mortgage-backed securities. The fund may invest up to 33 1/3% of its net assets in high-yield bonds, bank loans and assignments and credit default swaps.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money market mutual funds seek to provide current income consistent with liquidity and stability of principal by investing in a diversified portfolio of high quality, short-term, dollar-denominated debt securities. These funds may include securities issued or guaranteed as to principal and interest by the U.S. government or its agencies, short-term securities issued by domestic or foreign banks, domestic and dollar-denominated foreign commercial papers, and other short-term corporate obligations and obligations issued or guaranteed by one or more foreign governments.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includes funds that use a number of other strategies, including arbitrage, to obtain long-term positive returns. The portfolio of instruments may include equities, debt securities, real estate properties, warrants, options, swaps, future contracts, forwards or other types of derivative instruments.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NOTE 9 – DEFERRED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Oil-Dri's deferred compensation plans permit directors and certain management employees to defer portions of their compensation and to earn interest on the deferred amounts. Participants have deferred $266,000 and $418,000 into these plans in fiscal years 2020 and 2019, respectively. We recorded $171,000 and $204,000 of interest expense associated with these plans in fiscal years 2020 and 2019, respectively. Payments to participants were $440,000 and $1,144,000 in fiscal years 2020 and 2019, respectively, and the total liability recorded for deferred compensation was $4,017,000 and $3,560,000 as of July 31, 2020 and 2019, respectively.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Oil-Dri Corporation of America Annual Incentive Plan provides certain executives with the opportunity to receive a deferred executive bonus award if certain financial goals are met. A total of $1,352,000 and $513,000 were awarded to certain executives for fiscal years 2020 and 2019, respectively. These awards will vest and accrue interest over a three-year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is unfunded and benefits will be funded when payments are made.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SERP liability is actuarially determined at the end of each fiscal year using assumptions similar to those used for the Pension Plan, see Note 8 of the Notes to the Consolidated Financial Statements. The SERP liability was $1,447,000 and $2,708,000 as of July 31, 2020 and July 31, 2019, respectively. We recorded expense related to the SERP of $34,000 and $539,000 in fiscal years 2020 and 2019, respectively. On January 9, 2020, we amended the SERP to freeze participation and any excess benefit, supplemental benefit or additional benefit effective March 1, 2020. Consequently, the SERP is closed to new participants and current participants no longer earn additional benefits on or after March 1, 2020. The amendment of the SERP triggered a curtailment which required a remeasurement of the SERP's obligation. The remeasurement resulted in a decrease in the SERP liability and recognition of a curtailment gain of approximately $1,296,000, which has been recorded in SG&amp;A. Subsequent to the curtailment, the SERP was terminated effective June 30, 2020. Any payments that would otherwise have been payable pursuant to the SERP plan on or after June 30, 2021, will instead be paid in the form of one lump sum, with such lump sum payable no earlier than June 30, 2021 and no later than June 8,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CONTINGENCIES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have determined a reasonable estimate of this liability within a range, with no amount within that range being a better estimate than any other amount, and have therefore recorded that estimate within Other accrued expenses.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333"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Operating lease costs are included in Cost of Sales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based on the nature of the lease. The following table summarizes total lease costs for our operating leases (in thousands):</w:t>
      </w:r>
    </w:p>
    <w:p>
      <w:pPr>
        <w:spacing w:after="0" w:line="36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Twelve Months</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Ended July 31, 2020</w:t>
            </w:r>
          </w:p>
        </w:tc>
        <w:tc>
          <w:tcPr>
            <w:tcW w:w="0" w:type="dxa"/>
            <w:vAlign w:val="bottom"/>
          </w:tcPr>
          <w:p>
            <w:pPr>
              <w:spacing w:after="0"/>
              <w:rPr>
                <w:sz w:val="1"/>
                <w:szCs w:val="1"/>
                <w:color w:val="auto"/>
              </w:rPr>
            </w:pPr>
          </w:p>
        </w:tc>
      </w:tr>
      <w:tr>
        <w:trPr>
          <w:trHeight w:val="27"/>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 cost</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383"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For the Twelve Months</w:t>
      </w:r>
    </w:p>
    <w:p>
      <w:pPr>
        <w:spacing w:after="0" w:line="31"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Ended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22860</wp:posOffset>
            </wp:positionV>
            <wp:extent cx="119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45720</wp:posOffset>
            </wp:positionV>
            <wp:extent cx="408051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80510" cy="308610"/>
                    </a:xfrm>
                    <a:prstGeom prst="rect">
                      <a:avLst/>
                    </a:prstGeom>
                    <a:noFill/>
                  </pic:spPr>
                </pic:pic>
              </a:graphicData>
            </a:graphic>
          </wp:anchor>
        </w:drawing>
      </w:r>
    </w:p>
    <w:p>
      <w:pPr>
        <w:spacing w:after="0" w:line="6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w:t>
      </w:r>
    </w:p>
    <w:p>
      <w:pPr>
        <w:spacing w:after="0" w:line="2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liabilities:</w:t>
      </w:r>
    </w:p>
    <w:p>
      <w:pPr>
        <w:spacing w:after="0" w:line="41" w:lineRule="exact"/>
        <w:rPr>
          <w:sz w:val="20"/>
          <w:szCs w:val="20"/>
          <w:color w:val="auto"/>
        </w:rPr>
      </w:pPr>
    </w:p>
    <w:p>
      <w:pPr>
        <w:ind w:left="2520"/>
        <w:spacing w:after="0"/>
        <w:tabs>
          <w:tab w:leader="none" w:pos="6960" w:val="left"/>
          <w:tab w:leader="none" w:pos="8360" w:val="left"/>
        </w:tabs>
        <w:rPr>
          <w:sz w:val="20"/>
          <w:szCs w:val="20"/>
          <w:color w:val="auto"/>
        </w:rPr>
      </w:pPr>
      <w:r>
        <w:rPr>
          <w:rFonts w:ascii="Times New Roman" w:cs="Times New Roman" w:eastAsia="Times New Roman" w:hAnsi="Times New Roman"/>
          <w:sz w:val="18"/>
          <w:szCs w:val="18"/>
          <w:b w:val="1"/>
          <w:bCs w:val="1"/>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1,878</w:t>
      </w:r>
    </w:p>
    <w:p>
      <w:pPr>
        <w:spacing w:after="0" w:line="200" w:lineRule="exact"/>
        <w:rPr>
          <w:sz w:val="20"/>
          <w:szCs w:val="20"/>
          <w:color w:val="auto"/>
        </w:rPr>
      </w:pP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Consolidated Balance Sheet, excluding leases with an initial term of twelve months or less. Other supplemental balance sheet information related to leases was as follows:</w:t>
      </w:r>
    </w:p>
    <w:p>
      <w:pPr>
        <w:spacing w:after="0" w:line="10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Twelve Months Ended</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July 31, 2020</w:t>
            </w:r>
          </w:p>
        </w:tc>
        <w:tc>
          <w:tcPr>
            <w:tcW w:w="0" w:type="dxa"/>
            <w:vAlign w:val="bottom"/>
          </w:tcPr>
          <w:p>
            <w:pPr>
              <w:spacing w:after="0"/>
              <w:rPr>
                <w:sz w:val="1"/>
                <w:szCs w:val="1"/>
                <w:color w:val="auto"/>
              </w:rPr>
            </w:pPr>
          </w:p>
        </w:tc>
      </w:tr>
      <w:tr>
        <w:trPr>
          <w:trHeight w:val="2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 operating leases</w:t>
            </w: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0" w:type="dxa"/>
            <w:vAlign w:val="bottom"/>
            <w:vMerge w:val="continue"/>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9.4 years</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 - operating leases</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3.87%</w:t>
            </w:r>
          </w:p>
        </w:tc>
        <w:tc>
          <w:tcPr>
            <w:tcW w:w="0" w:type="dxa"/>
            <w:vAlign w:val="bottom"/>
          </w:tcPr>
          <w:p>
            <w:pPr>
              <w:spacing w:after="0"/>
              <w:rPr>
                <w:sz w:val="1"/>
                <w:szCs w:val="1"/>
                <w:color w:val="auto"/>
              </w:rPr>
            </w:pPr>
          </w:p>
        </w:tc>
      </w:tr>
      <w:tr>
        <w:trPr>
          <w:trHeight w:val="27"/>
        </w:trPr>
        <w:tc>
          <w:tcPr>
            <w:tcW w:w="68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scheduled minimum future lease payments due within twelve months for operating leases with terms longer than one year for which cash flows are fixed and determinable as of July 31, 2020 (in thousands):</w:t>
      </w:r>
    </w:p>
    <w:p>
      <w:pPr>
        <w:spacing w:after="0" w:line="99" w:lineRule="exact"/>
        <w:rPr>
          <w:sz w:val="20"/>
          <w:szCs w:val="20"/>
          <w:color w:val="auto"/>
        </w:rPr>
      </w:pPr>
    </w:p>
    <w:tbl>
      <w:tblPr>
        <w:tblLayout w:type="fixed"/>
        <w:tblInd w:w="3360" w:type="dxa"/>
        <w:tblCellMar>
          <w:top w:w="0" w:type="dxa"/>
          <w:left w:w="0" w:type="dxa"/>
          <w:bottom w:w="0" w:type="dxa"/>
          <w:right w:w="0" w:type="dxa"/>
        </w:tblCellMar>
      </w:tblPr>
      <w:tr>
        <w:trPr>
          <w:trHeight w:val="270"/>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2,552</w:t>
            </w: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2,076</w:t>
            </w:r>
          </w:p>
        </w:tc>
      </w:tr>
      <w:tr>
        <w:trPr>
          <w:trHeight w:val="27"/>
        </w:trPr>
        <w:tc>
          <w:tcPr>
            <w:tcW w:w="2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1,106</w:t>
            </w: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965</w:t>
            </w:r>
          </w:p>
        </w:tc>
      </w:tr>
      <w:tr>
        <w:trPr>
          <w:trHeight w:val="27"/>
        </w:trPr>
        <w:tc>
          <w:tcPr>
            <w:tcW w:w="2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885</w:t>
            </w: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6,131</w:t>
            </w:r>
          </w:p>
        </w:tc>
      </w:tr>
      <w:tr>
        <w:trPr>
          <w:trHeight w:val="27"/>
        </w:trPr>
        <w:tc>
          <w:tcPr>
            <w:tcW w:w="28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13,715</w:t>
            </w: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r>
      <w:tr>
        <w:trPr>
          <w:trHeight w:val="27"/>
        </w:trPr>
        <w:tc>
          <w:tcPr>
            <w:tcW w:w="28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lease obligation</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11,305</w:t>
            </w:r>
          </w:p>
        </w:tc>
      </w:tr>
      <w:tr>
        <w:trPr>
          <w:trHeight w:val="20"/>
        </w:trPr>
        <w:tc>
          <w:tcPr>
            <w:tcW w:w="2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Rent expense for the fiscal year ended July 31, 2019 was $2,873,000. The following table summarizes scheduled minimum future lease payments due within twelve months for operating leases with terms longer than one year for which cash flows are fixed and determinable as of July 31, 2019 (in thousands):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553" w:right="339" w:bottom="1440" w:gutter="0" w:footer="0" w:header="0"/>
        </w:sectPr>
      </w:pPr>
    </w:p>
    <w:bookmarkStart w:id="63" w:name="page64"/>
    <w:bookmarkEnd w:id="63"/>
    <w:tbl>
      <w:tblPr>
        <w:tblLayout w:type="fixed"/>
        <w:tblInd w:w="3360" w:type="dxa"/>
        <w:tblCellMar>
          <w:top w:w="0" w:type="dxa"/>
          <w:left w:w="0" w:type="dxa"/>
          <w:bottom w:w="0" w:type="dxa"/>
          <w:right w:w="0" w:type="dxa"/>
        </w:tblCellMar>
      </w:tblPr>
      <w:tr>
        <w:trPr>
          <w:trHeight w:val="270"/>
        </w:trPr>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r>
      <w:tr>
        <w:trPr>
          <w:trHeight w:val="243"/>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r>
      <w:tr>
        <w:trPr>
          <w:trHeight w:val="27"/>
        </w:trPr>
        <w:tc>
          <w:tcPr>
            <w:tcW w:w="1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r>
      <w:tr>
        <w:trPr>
          <w:trHeight w:val="243"/>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r>
      <w:tr>
        <w:trPr>
          <w:trHeight w:val="27"/>
        </w:trPr>
        <w:tc>
          <w:tcPr>
            <w:tcW w:w="1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w:t>
            </w:r>
          </w:p>
        </w:tc>
      </w:tr>
      <w:tr>
        <w:trPr>
          <w:trHeight w:val="243"/>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Management has evaluated subsequent events through the date the financial statements were issued. Based on our evaluation no events have occurred that would require recognition in the Consolidated Financial Statements or disclosure in the Notes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One member of our Board of Directors retired from the role of President and Chief Executive Officer of a customer of ours on September 28, 2019 and is currently party to a post-employment consulting agreement with the customer. Total net sales to that customer, including sales to subsidiaries of that customer, were $388,000 and $462,000 for fiscal years 2020 and 2019, respectively. There were no outstanding accounts receivable due from that customer, and its subsidiaries, as of July 31, 2020 and $10,000 outstanding as of July 31, 2019.</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member of our Board of Directors is currently the President and Chief Executive Officer of a vendor of ours. Total payments to this vendor for fees and cost reimbursements were $420,000 and $271,000 for fiscal years 2020 and 2019, respectively. There were no outstanding amounts due to that vendor as of July 31, 2020 or July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491"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07"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framework) issued by the Committee Sponsoring Organizations of the Treadway Commission (COSO). Based on our assessment,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our internal control over financial reporting was effective as of July 31, 2020.</w:t>
      </w:r>
    </w:p>
    <w:p>
      <w:pPr>
        <w:spacing w:after="0" w:line="18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Our internal controls over financial reporting as of July 31, 2020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Oil-Dri Corporation of America (a Delaware corporation) and subsidiaries (the “Company”) as of July 31, 2020 and 2019, and the related consolidated statements of operations, comprehensive income, changes in stockholders’ equity, and cash flows for each of the two years in the period ended July 31, 2020, and the related notes and financial statement schedule included under Item 15(a)) (collectively referred to as the “financial statements”). We also have audited the Company’s internal control over financial reporting as of July 31, 2020,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0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July 31, 2020 and 2019, and the results of its operations and its cash flows for each of the two years in the period ended July 31, 2020 in conformity with accounting principles generally accepted in the United States of America. Also in our opinion, the Company maintained, in all material respects, effective internal control over financial reporting as of July 31, 2020, based on criteria established in the 2013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COSO.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has changed its method of accounting for leases in the current year due to the adoption of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320" w:top="549" w:right="379" w:bottom="1440" w:gutter="0" w:footer="0" w:header="0"/>
        </w:sectPr>
      </w:pPr>
    </w:p>
    <w:bookmarkStart w:id="66" w:name="page67"/>
    <w:bookmarkEnd w:id="66"/>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60"/>
          </w:cols>
          <w:pgMar w:left="320" w:top="337"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made enhancements to the functionality of our existing ERP system so as to upgrade our technology and improve our financial and operational information. The Company has appropriately considered these functionality enhancements in its design of and testing for effectiveness of internal controls over financial reporting and concluded, as part of the evaluation described in the above paragraph, that the ongoing enhancement of the ERP system has not materially changed the effectiveness of its internal control over financial reporting. 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14"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There were no changes, other than those described herein, in our internal control over financial reporting that occurred during our most recently completed fiscal quarter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54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(except as set forth below) is contained in Oil-Dri’s Proxy Statement for its 2020 annual meeting of stockholders under the captions “1. Election of Directors,” “Executive Officers,” “Director Nominations,” “Board of Directors Committee Membership and Meetings,” “Audit Committee” and “Corporate Governance Matters” and is incorporated herein by this reference.</w:t>
      </w:r>
    </w:p>
    <w:p>
      <w:pPr>
        <w:spacing w:after="0" w:line="203"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is contained in Oil-Dri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Proxy Statement for its 2020 annual meeting of stockholders under the captions “Executive Compensation,” “Director Compensation,” “Board of Directors Committee Membership and Meetings,”and “Compensation Committee” and is incorporated herein by reference.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63" w:lineRule="exact"/>
        <w:rPr>
          <w:sz w:val="20"/>
          <w:szCs w:val="20"/>
          <w:color w:val="auto"/>
        </w:rPr>
      </w:pPr>
    </w:p>
    <w:p>
      <w:pPr>
        <w:jc w:val="both"/>
        <w:ind w:firstLine="648"/>
        <w:spacing w:after="0" w:line="331" w:lineRule="auto"/>
        <w:rPr>
          <w:sz w:val="20"/>
          <w:szCs w:val="20"/>
          <w:color w:val="auto"/>
        </w:rPr>
      </w:pPr>
      <w:r>
        <w:rPr>
          <w:rFonts w:ascii="Times New Roman" w:cs="Times New Roman" w:eastAsia="Times New Roman" w:hAnsi="Times New Roman"/>
          <w:sz w:val="18"/>
          <w:szCs w:val="18"/>
          <w:color w:val="auto"/>
        </w:rPr>
        <w:t xml:space="preserve">Except as set forth herein,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information required by this Item is contained in Oil-Dri’s Proxy Statement for its 2020 annual meeting of stockholders under the captions “Principal Stockholders” and “Security Ownership of Management” and is incorporated herein by reference.</w:t>
      </w:r>
    </w:p>
    <w:p>
      <w:pPr>
        <w:spacing w:after="0" w:line="1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Compensation Plan Information. </w:t>
      </w:r>
      <w:r>
        <w:rPr>
          <w:rFonts w:ascii="Times New Roman" w:cs="Times New Roman" w:eastAsia="Times New Roman" w:hAnsi="Times New Roman"/>
          <w:sz w:val="18"/>
          <w:szCs w:val="18"/>
          <w:color w:val="auto"/>
        </w:rPr>
        <w:t>The following table presents information about compensation plans under which our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authorized for issuance. There are no outstanding stock options as of July 31, 2020. See Note 7 of the Notes to the Consolidated Financial Statements for further information about these stock-based compensation plans.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July 31, 2020</w:t>
      </w:r>
    </w:p>
    <w:p>
      <w:pPr>
        <w:spacing w:after="0" w:line="4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further issuance under</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 of</w:t>
            </w:r>
          </w:p>
        </w:tc>
        <w:tc>
          <w:tcPr>
            <w:tcW w:w="1840" w:type="dxa"/>
            <w:vAlign w:val="bottom"/>
            <w:gridSpan w:val="2"/>
            <w:vMerge w:val="continue"/>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(in</w:t>
            </w: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9"/>
        </w:trPr>
        <w:tc>
          <w:tcPr>
            <w:tcW w:w="502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 (in thousands)</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256" w:lineRule="exact"/>
        <w:rPr>
          <w:sz w:val="20"/>
          <w:szCs w:val="20"/>
          <w:color w:val="auto"/>
        </w:rPr>
      </w:pPr>
    </w:p>
    <w:p>
      <w:pPr>
        <w:ind w:right="20" w:firstLine="648"/>
        <w:spacing w:after="0" w:line="329" w:lineRule="auto"/>
        <w:rPr>
          <w:sz w:val="20"/>
          <w:szCs w:val="20"/>
          <w:color w:val="auto"/>
        </w:rPr>
      </w:pPr>
      <w:r>
        <w:rPr>
          <w:rFonts w:ascii="Times New Roman" w:cs="Times New Roman" w:eastAsia="Times New Roman" w:hAnsi="Times New Roman"/>
          <w:sz w:val="18"/>
          <w:szCs w:val="18"/>
          <w:color w:val="auto"/>
        </w:rPr>
        <w:t>The information required by this Item is contained in Oil-Dri’s Proxy Statement for its 2020 annual meeting of stockholders under the captions “Certain Relationships and Related Party Transactions” and “Director Independence” and is incorporated herein by reference.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54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14 – PRINCIPAL ACCOUNTANT FEES AND SERVICES</w:t>
      </w:r>
    </w:p>
    <w:p>
      <w:pPr>
        <w:spacing w:after="0" w:line="256"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The information required by this Item is contained in Oil-Dri’s Proxy Statement for its 2020 annual meeting of stockholders under the caption “Other Matters Relating to the Independent Auditor - Auditor Fees” and is incorporated herein by reference.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549" w:right="339" w:bottom="1440" w:gutter="0" w:footer="0" w:header="0"/>
        </w:sectPr>
      </w:pPr>
    </w:p>
    <w:bookmarkStart w:id="70" w:name="page71"/>
    <w:bookmarkEnd w:id="7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EXHIBITS AND FINANCIAL STATEMENT SCHEDULE</w:t>
      </w:r>
    </w:p>
    <w:p>
      <w:pPr>
        <w:spacing w:after="0" w:line="391"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The following consolidated financial statements are contained herein.</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Balance Sheets as of July 31, 2020 and July 31, 2019.</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Statements of Operations for the fiscal years ended July 31, 2020 and July 31, 2019.</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July 31, 2020 and July 31, 2019.</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July 31, 2020 and July 31, 2019.</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July 31, 2020 and July 31, 2019.</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333"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The following financial statement schedule is contained herein:</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Schedule to Financial Statements, as follows:</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Schedule II - Valuation and Qualifying Accounts, years ended July 31, 2020 and July 31, 2019.</w:t>
      </w:r>
    </w:p>
    <w:p>
      <w:pPr>
        <w:spacing w:after="0" w:line="333" w:lineRule="exact"/>
        <w:rPr>
          <w:sz w:val="20"/>
          <w:szCs w:val="20"/>
          <w:color w:val="auto"/>
        </w:rPr>
      </w:pPr>
    </w:p>
    <w:p>
      <w:pPr>
        <w:ind w:left="1280" w:right="34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220"/>
          </w:cols>
          <w:pgMar w:left="320" w:top="549" w:right="359" w:bottom="1440" w:gutter="0" w:footer="0" w:header="0"/>
        </w:sectPr>
      </w:pPr>
    </w:p>
    <w:p>
      <w:pPr>
        <w:spacing w:after="0" w:line="270"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7"/>
          <w:szCs w:val="17"/>
          <w:color w:val="auto"/>
        </w:rPr>
        <w:t>(a)(3)</w:t>
      </w:r>
      <w:r>
        <w:rPr>
          <w:sz w:val="20"/>
          <w:szCs w:val="20"/>
          <w:color w:val="auto"/>
        </w:rPr>
        <w:tab/>
      </w:r>
      <w:r>
        <w:rPr>
          <w:rFonts w:ascii="Times New Roman" w:cs="Times New Roman" w:eastAsia="Times New Roman" w:hAnsi="Times New Roman"/>
          <w:sz w:val="17"/>
          <w:szCs w:val="17"/>
          <w:color w:val="auto"/>
        </w:rPr>
        <w:t>The following documents are exhibits to this Report:</w:t>
      </w: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320"/>
        <w:spacing w:after="0"/>
        <w:tabs>
          <w:tab w:leader="none" w:pos="31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720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38"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7"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20">
        <w:r>
          <w:rPr>
            <w:rFonts w:ascii="Times New Roman" w:cs="Times New Roman" w:eastAsia="Times New Roman" w:hAnsi="Times New Roman"/>
            <w:sz w:val="18"/>
            <w:szCs w:val="18"/>
            <w:u w:val="single" w:color="auto"/>
            <w:color w:val="0000FF"/>
          </w:rPr>
          <w:t>Incorporated by reference to Exhibit 4.1 to Oil-Dri’s Registration</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Statement on Form S-8 (Registration No. 333-57625), filed on June</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24, 1998.</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500" w:space="720"/>
            <w:col w:w="5000"/>
          </w:cols>
          <w:pgMar w:left="320" w:top="549" w:right="359" w:bottom="1440" w:gutter="0" w:footer="0" w:header="0"/>
          <w:type w:val="continuous"/>
        </w:sectPr>
      </w:pPr>
    </w:p>
    <w:p>
      <w:pPr>
        <w:spacing w:after="0" w:line="84" w:lineRule="exact"/>
        <w:rPr>
          <w:rFonts w:ascii="Times New Roman" w:cs="Times New Roman" w:eastAsia="Times New Roman" w:hAnsi="Times New Roman"/>
          <w:sz w:val="18"/>
          <w:szCs w:val="18"/>
          <w:u w:val="single" w:color="auto"/>
          <w:color w:val="0000FF"/>
        </w:rPr>
      </w:pPr>
    </w:p>
    <w:tbl>
      <w:tblPr>
        <w:tblLayout w:type="fixed"/>
        <w:tblInd w:w="300" w:type="dxa"/>
        <w:tblCellMar>
          <w:top w:w="0" w:type="dxa"/>
          <w:left w:w="0" w:type="dxa"/>
          <w:bottom w:w="0" w:type="dxa"/>
          <w:right w:w="0" w:type="dxa"/>
        </w:tblCellMar>
      </w:tblPr>
      <w:tr>
        <w:trPr>
          <w:trHeight w:val="216"/>
        </w:trPr>
        <w:tc>
          <w:tcPr>
            <w:tcW w:w="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3.2</w:t>
            </w: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By-Laws of Oil-Dri Corporation of America, as Amended and</w:t>
            </w:r>
          </w:p>
        </w:tc>
      </w:tr>
      <w:tr>
        <w:trPr>
          <w:trHeight w:val="234"/>
        </w:trPr>
        <w:tc>
          <w:tcPr>
            <w:tcW w:w="64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Restated on December 12, 2017.</w:t>
            </w:r>
          </w:p>
        </w:tc>
      </w:tr>
      <w:tr>
        <w:trPr>
          <w:trHeight w:val="567"/>
        </w:trPr>
        <w:tc>
          <w:tcPr>
            <w:tcW w:w="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4.1</w:t>
            </w: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Description of Capital Stock</w:t>
            </w:r>
          </w:p>
        </w:tc>
      </w:tr>
      <w:tr>
        <w:trPr>
          <w:trHeight w:val="562"/>
        </w:trPr>
        <w:tc>
          <w:tcPr>
            <w:tcW w:w="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Memorandum of Agreement #1450 “Fresh Step“</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dated as of</w:t>
            </w:r>
          </w:p>
        </w:tc>
      </w:tr>
      <w:tr>
        <w:trPr>
          <w:trHeight w:val="216"/>
        </w:trPr>
        <w:tc>
          <w:tcPr>
            <w:tcW w:w="64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12,  2001  between  A&amp;M  Products  Manufacturing</w:t>
            </w:r>
          </w:p>
        </w:tc>
      </w:tr>
      <w:tr>
        <w:trPr>
          <w:trHeight w:val="216"/>
        </w:trPr>
        <w:tc>
          <w:tcPr>
            <w:tcW w:w="64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  and  Oil-Dri  (confidential  treatment  of  certain</w:t>
            </w:r>
          </w:p>
        </w:tc>
      </w:tr>
      <w:tr>
        <w:trPr>
          <w:trHeight w:val="234"/>
        </w:trPr>
        <w:tc>
          <w:tcPr>
            <w:tcW w:w="64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portions of this exhibit has been granted).</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64" w:lineRule="exact"/>
        <w:rPr>
          <w:rFonts w:ascii="Times New Roman" w:cs="Times New Roman" w:eastAsia="Times New Roman" w:hAnsi="Times New Roman"/>
          <w:sz w:val="18"/>
          <w:szCs w:val="18"/>
          <w:u w:val="single" w:color="auto"/>
          <w:color w:val="0000FF"/>
        </w:rPr>
      </w:pPr>
    </w:p>
    <w:p>
      <w:pPr>
        <w:ind w:right="20"/>
        <w:spacing w:after="0" w:line="282" w:lineRule="auto"/>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Incorporated by reference to Exhibit 3 to Oil-Dri’s (file No. 001-</w:t>
        </w:r>
      </w:hyperlink>
      <w:hyperlink r:id="rId21">
        <w:r>
          <w:rPr>
            <w:rFonts w:ascii="Times New Roman" w:cs="Times New Roman" w:eastAsia="Times New Roman" w:hAnsi="Times New Roman"/>
            <w:sz w:val="18"/>
            <w:szCs w:val="18"/>
            <w:u w:val="single" w:color="auto"/>
            <w:color w:val="0000FF"/>
          </w:rPr>
          <w:t>12622) Quarterly Report on Form 10-Q filed on March 9, 2018.</w:t>
        </w:r>
      </w:hyperlink>
    </w:p>
    <w:p>
      <w:pPr>
        <w:spacing w:after="0" w:line="29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Filed herewith</w:t>
        </w:r>
      </w:hyperlink>
    </w:p>
    <w:p>
      <w:pPr>
        <w:spacing w:after="0" w:line="36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Incorporated by reference to Exhibit 10(s) to Oil-Dri’s (File No. 001-</w:t>
        </w:r>
      </w:hyperlink>
      <w:hyperlink r:id="rId22">
        <w:r>
          <w:rPr>
            <w:rFonts w:ascii="Times New Roman" w:cs="Times New Roman" w:eastAsia="Times New Roman" w:hAnsi="Times New Roman"/>
            <w:sz w:val="18"/>
            <w:szCs w:val="18"/>
            <w:u w:val="single" w:color="auto"/>
            <w:color w:val="0000FF"/>
          </w:rPr>
          <w:t>12622) Current Report on Form 8-K filed on May 1, 2001.</w:t>
        </w:r>
      </w:hyperlink>
    </w:p>
    <w:p>
      <w:pPr>
        <w:spacing w:after="0" w:line="609" w:lineRule="exact"/>
        <w:rPr>
          <w:sz w:val="20"/>
          <w:szCs w:val="20"/>
          <w:color w:val="auto"/>
        </w:rPr>
      </w:pPr>
    </w:p>
    <w:p>
      <w:pPr>
        <w:sectPr>
          <w:pgSz w:w="11900" w:h="16838" w:orient="portrait"/>
          <w:cols w:equalWidth="0" w:num="2">
            <w:col w:w="5840" w:space="380"/>
            <w:col w:w="5000"/>
          </w:cols>
          <w:pgMar w:left="320" w:top="549" w:right="359" w:bottom="1440" w:gutter="0" w:footer="0" w:header="0"/>
          <w:type w:val="continuous"/>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549" w:right="35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Exhibit</w:t>
            </w:r>
          </w:p>
        </w:tc>
        <w:tc>
          <w:tcPr>
            <w:tcW w:w="4620" w:type="dxa"/>
            <w:vAlign w:val="bottom"/>
          </w:tcPr>
          <w:p>
            <w:pPr>
              <w:spacing w:after="0"/>
              <w:rPr>
                <w:sz w:val="18"/>
                <w:szCs w:val="18"/>
                <w:color w:val="auto"/>
              </w:rPr>
            </w:pPr>
          </w:p>
        </w:tc>
      </w:tr>
      <w:tr>
        <w:trPr>
          <w:trHeight w:val="234"/>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No.</w:t>
            </w:r>
          </w:p>
        </w:tc>
        <w:tc>
          <w:tcPr>
            <w:tcW w:w="4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07"/>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7"/>
                <w:szCs w:val="17"/>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dated  as  of  December  13,  2002,  to</w:t>
            </w:r>
          </w:p>
        </w:tc>
      </w:tr>
      <w:tr>
        <w:trPr>
          <w:trHeight w:val="241"/>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Memorandum of Agreement #1450 “Fresh Step”</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dated as of</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12, 2001.</w:t>
            </w:r>
          </w:p>
        </w:tc>
      </w:tr>
      <w:tr>
        <w:trPr>
          <w:trHeight w:val="537"/>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dated  as  of  October  15,  2007,  to</w:t>
            </w:r>
          </w:p>
        </w:tc>
      </w:tr>
      <w:tr>
        <w:trPr>
          <w:trHeight w:val="241"/>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Memorandum of Agreement #1450 “Fresh Step”</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dated as of</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12, 2001 (confidential treatment of certain portions of</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this exhibit has been granted).</w:t>
            </w:r>
          </w:p>
        </w:tc>
      </w:tr>
      <w:tr>
        <w:trPr>
          <w:trHeight w:val="537"/>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Amendment, dated as of May 27, 2016, to Memorandum</w:t>
            </w:r>
          </w:p>
        </w:tc>
      </w:tr>
      <w:tr>
        <w:trPr>
          <w:trHeight w:val="241"/>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Agreement #1450 “Fresh Step”</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dated as of March 12,</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(confidential treatment of certain portions of this exhibit</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have been requested).</w:t>
            </w:r>
          </w:p>
        </w:tc>
      </w:tr>
      <w:tr>
        <w:trPr>
          <w:trHeight w:val="54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Exclusive Supply Agreement dated May 19, 1999 between</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Church &amp; Dwight Co., Inc. and Oil-Dri (confidential treatment</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certain portions of this exhibit has been granted).</w:t>
            </w:r>
          </w:p>
        </w:tc>
      </w:tr>
      <w:tr>
        <w:trPr>
          <w:trHeight w:val="52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dated  January  27,  2006  among  the</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Company, certain subsidiaries of the Company and Harris N.A.</w:t>
            </w:r>
          </w:p>
        </w:tc>
      </w:tr>
      <w:tr>
        <w:trPr>
          <w:trHeight w:val="52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dated as of December 19, 2008 to Credit</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7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dated as of December 21, 2011 to Credit</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Amendment, dated as of June 21, 2012 to Credit</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79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Amendment, dated as of December 4, 2014 to Credit</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79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Fifth Amendment, dated as of January 31, 2019 to Credit</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dated as of January 27, 2006.</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Annex A to the Fifth Amendment to Credit Agreement dated</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of January 27, 2006.</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$18,500,000 Note Agreement dated as of November 12, 2010</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among  Oil-Dri  Corporation  of  America,  The  Prudential</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Company  of  America,  Prudential  Retirement</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and Annuity Company, Forethought Life Insurance</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Physicians  Mutual  Insurance  Company  and</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BCBSM, Inc. dba Blue Cross and Blue Shield of Minnesota.</w:t>
            </w:r>
          </w:p>
        </w:tc>
      </w:tr>
      <w:tr>
        <w:trPr>
          <w:trHeight w:val="459"/>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2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Incorporated by reference to Exhibit 10.2 to Oil-Dri’s (File No. 001-</w:t>
        </w:r>
      </w:hyperlink>
      <w:hyperlink r:id="rId24">
        <w:r>
          <w:rPr>
            <w:rFonts w:ascii="Times New Roman" w:cs="Times New Roman" w:eastAsia="Times New Roman" w:hAnsi="Times New Roman"/>
            <w:sz w:val="18"/>
            <w:szCs w:val="18"/>
            <w:u w:val="single" w:color="auto"/>
            <w:color w:val="0000FF"/>
          </w:rPr>
          <w:t>12622) Annual Report on Form 10-K for the fiscal year ended July</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31, 2007.</w:t>
        </w:r>
      </w:hyperlink>
    </w:p>
    <w:p>
      <w:pPr>
        <w:spacing w:after="0" w:line="324"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Incorporated by reference to Exhibit 10.1 to Oil-Dri’s (File No. 001-</w:t>
        </w:r>
      </w:hyperlink>
      <w:hyperlink r:id="rId25">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October 31, 2007.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0"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Incorporated by reference to Exhibit 10.4 to Oil-Dri’s (File No. 001-</w:t>
        </w:r>
      </w:hyperlink>
      <w:hyperlink r:id="rId26">
        <w:r>
          <w:rPr>
            <w:rFonts w:ascii="Times New Roman" w:cs="Times New Roman" w:eastAsia="Times New Roman" w:hAnsi="Times New Roman"/>
            <w:sz w:val="18"/>
            <w:szCs w:val="18"/>
            <w:u w:val="single" w:color="auto"/>
            <w:color w:val="0000FF"/>
          </w:rPr>
          <w:t>12622) Annual Report on Form 10-K for the fiscal year ended July</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31, 2016.</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0"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Incorporated by reference to Exhibit (10)(r) to Oil-Dri’s (File No.</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001-12622)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July 31, 1999.</w:t>
        </w:r>
      </w:hyperlink>
    </w:p>
    <w:p>
      <w:pPr>
        <w:spacing w:after="0" w:line="284"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28">
        <w:r>
          <w:rPr>
            <w:rFonts w:ascii="Times New Roman" w:cs="Times New Roman" w:eastAsia="Times New Roman" w:hAnsi="Times New Roman"/>
            <w:sz w:val="18"/>
            <w:szCs w:val="18"/>
            <w:u w:val="single" w:color="auto"/>
            <w:color w:val="0000FF"/>
          </w:rPr>
          <w:t>Incorporated by reference to Exhibit 10.1 to Oil-Dri’s (File No. 001-</w:t>
        </w:r>
      </w:hyperlink>
      <w:hyperlink r:id="rId28">
        <w:r>
          <w:rPr>
            <w:rFonts w:ascii="Times New Roman" w:cs="Times New Roman" w:eastAsia="Times New Roman" w:hAnsi="Times New Roman"/>
            <w:sz w:val="18"/>
            <w:szCs w:val="18"/>
            <w:u w:val="single" w:color="auto"/>
            <w:color w:val="0000FF"/>
          </w:rPr>
          <w:t>12622) Current Report on Form 8-K filed on February 1, 2006.</w:t>
        </w:r>
      </w:hyperlink>
    </w:p>
    <w:p>
      <w:pPr>
        <w:spacing w:after="0" w:line="270"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29">
        <w:r>
          <w:rPr>
            <w:rFonts w:ascii="Times New Roman" w:cs="Times New Roman" w:eastAsia="Times New Roman" w:hAnsi="Times New Roman"/>
            <w:sz w:val="18"/>
            <w:szCs w:val="18"/>
            <w:u w:val="single" w:color="auto"/>
            <w:color w:val="0000FF"/>
          </w:rPr>
          <w:t>Incorporated by reference to Exhibit 10.1 to Oil-Dri’s (File No. 001-</w:t>
        </w:r>
      </w:hyperlink>
      <w:hyperlink r:id="rId29">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January 31, 2009.</w:t>
        </w:r>
      </w:hyperlink>
    </w:p>
    <w:p>
      <w:pPr>
        <w:spacing w:after="0" w:line="284"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Incorporated by reference to Exhibit 10 to Oil-Dri’s (File No. 001-</w:t>
        </w:r>
      </w:hyperlink>
      <w:hyperlink r:id="rId30">
        <w:r>
          <w:rPr>
            <w:rFonts w:ascii="Times New Roman" w:cs="Times New Roman" w:eastAsia="Times New Roman" w:hAnsi="Times New Roman"/>
            <w:sz w:val="18"/>
            <w:szCs w:val="18"/>
            <w:u w:val="single" w:color="auto"/>
            <w:color w:val="0000FF"/>
          </w:rPr>
          <w:t>12622) Current Report on Form 8-K filed on December 28, 2011.</w:t>
        </w:r>
      </w:hyperlink>
    </w:p>
    <w:p>
      <w:pPr>
        <w:spacing w:after="0" w:line="32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31">
        <w:r>
          <w:rPr>
            <w:rFonts w:ascii="Times New Roman" w:cs="Times New Roman" w:eastAsia="Times New Roman" w:hAnsi="Times New Roman"/>
            <w:sz w:val="18"/>
            <w:szCs w:val="18"/>
            <w:u w:val="single" w:color="auto"/>
            <w:color w:val="0000FF"/>
          </w:rPr>
          <w:t>Incorporated by reference to Exhibit 10.12 to Oil-Dri’s (File No.</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001-12622)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July 31, 2012.</w:t>
        </w:r>
      </w:hyperlink>
    </w:p>
    <w:p>
      <w:pPr>
        <w:spacing w:after="0" w:line="33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32">
        <w:r>
          <w:rPr>
            <w:rFonts w:ascii="Times New Roman" w:cs="Times New Roman" w:eastAsia="Times New Roman" w:hAnsi="Times New Roman"/>
            <w:sz w:val="18"/>
            <w:szCs w:val="18"/>
            <w:u w:val="single" w:color="auto"/>
            <w:color w:val="0000FF"/>
          </w:rPr>
          <w:t>Incorporated by reference to Exhibit 10.1 to Oil-Dri’s (File No. 001-</w:t>
        </w:r>
      </w:hyperlink>
      <w:hyperlink r:id="rId32">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October 31, 2014.</w:t>
        </w:r>
      </w:hyperlink>
    </w:p>
    <w:p>
      <w:pPr>
        <w:spacing w:after="0" w:line="33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33">
        <w:r>
          <w:rPr>
            <w:rFonts w:ascii="Times New Roman" w:cs="Times New Roman" w:eastAsia="Times New Roman" w:hAnsi="Times New Roman"/>
            <w:sz w:val="18"/>
            <w:szCs w:val="18"/>
            <w:u w:val="single" w:color="auto"/>
            <w:color w:val="0000FF"/>
          </w:rPr>
          <w:t>Incorporated by reference to Exhibit 10.1 to Oil-Dri’s (File No. 001-</w:t>
        </w:r>
      </w:hyperlink>
      <w:hyperlink r:id="rId33">
        <w:r>
          <w:rPr>
            <w:rFonts w:ascii="Times New Roman" w:cs="Times New Roman" w:eastAsia="Times New Roman" w:hAnsi="Times New Roman"/>
            <w:sz w:val="18"/>
            <w:szCs w:val="18"/>
            <w:u w:val="single" w:color="auto"/>
            <w:color w:val="0000FF"/>
          </w:rPr>
          <w:t>12622) Current Report on Form 8-K filed on January 31, 2019.</w:t>
        </w:r>
      </w:hyperlink>
    </w:p>
    <w:p>
      <w:pPr>
        <w:spacing w:after="0" w:line="32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34">
        <w:r>
          <w:rPr>
            <w:rFonts w:ascii="Times New Roman" w:cs="Times New Roman" w:eastAsia="Times New Roman" w:hAnsi="Times New Roman"/>
            <w:sz w:val="18"/>
            <w:szCs w:val="18"/>
            <w:u w:val="single" w:color="auto"/>
            <w:color w:val="0000FF"/>
          </w:rPr>
          <w:t>Incorporated by reference to Exhibit 10.2 to Oil-Dri’s (File No. 001-</w:t>
        </w:r>
      </w:hyperlink>
      <w:hyperlink r:id="rId34">
        <w:r>
          <w:rPr>
            <w:rFonts w:ascii="Times New Roman" w:cs="Times New Roman" w:eastAsia="Times New Roman" w:hAnsi="Times New Roman"/>
            <w:sz w:val="18"/>
            <w:szCs w:val="18"/>
            <w:u w:val="single" w:color="auto"/>
            <w:color w:val="0000FF"/>
          </w:rPr>
          <w:t>12622) Current Report on Form 8-K filed on January 31, 2019.</w:t>
        </w:r>
      </w:hyperlink>
    </w:p>
    <w:p>
      <w:pPr>
        <w:spacing w:after="0" w:line="32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Incorporated by reference to Exhibit 10.1 to Oil-Dri’s (File No. 001-</w:t>
        </w:r>
      </w:hyperlink>
      <w:hyperlink r:id="rId35">
        <w:r>
          <w:rPr>
            <w:rFonts w:ascii="Times New Roman" w:cs="Times New Roman" w:eastAsia="Times New Roman" w:hAnsi="Times New Roman"/>
            <w:sz w:val="18"/>
            <w:szCs w:val="18"/>
            <w:u w:val="single" w:color="auto"/>
            <w:color w:val="0000FF"/>
          </w:rPr>
          <w:t>12622) Current Report on Form 8-K filed on November 16, 2010.</w:t>
        </w:r>
      </w:hyperlink>
    </w:p>
    <w:p>
      <w:pPr>
        <w:sectPr>
          <w:pgSz w:w="11900" w:h="16838" w:orient="portrait"/>
          <w:cols w:equalWidth="0" w:num="2">
            <w:col w:w="5860" w:space="360"/>
            <w:col w:w="5000"/>
          </w:cols>
          <w:pgMar w:left="320" w:top="49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120"/>
        <w:spacing w:after="0"/>
        <w:tabs>
          <w:tab w:leader="none" w:pos="29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22860</wp:posOffset>
            </wp:positionV>
            <wp:extent cx="372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362" w:lineRule="exact"/>
        <w:rPr>
          <w:sz w:val="20"/>
          <w:szCs w:val="20"/>
          <w:color w:val="auto"/>
        </w:rPr>
      </w:pPr>
    </w:p>
    <w:p>
      <w:pPr>
        <w:jc w:val="both"/>
        <w:ind w:left="1080" w:hanging="1018"/>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Amended and Restated Note Purchase and Private Shelf Agreement, dated as of May 15, 2020, among Oil-Dri Corporation of America, PGIM, Inc. and existing noteholders and purchasers named therein.</w:t>
      </w:r>
    </w:p>
    <w:p>
      <w:pPr>
        <w:spacing w:after="0" w:line="342" w:lineRule="exact"/>
        <w:rPr>
          <w:sz w:val="20"/>
          <w:szCs w:val="20"/>
          <w:color w:val="auto"/>
        </w:rPr>
      </w:pPr>
    </w:p>
    <w:p>
      <w:pPr>
        <w:jc w:val="both"/>
        <w:ind w:left="1080" w:right="20" w:hanging="1018"/>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Description of 1987 Executive Deferred Compensation Program.*</w:t>
      </w:r>
    </w:p>
    <w:p>
      <w:pPr>
        <w:spacing w:after="0" w:line="200" w:lineRule="exact"/>
        <w:rPr>
          <w:sz w:val="20"/>
          <w:szCs w:val="20"/>
          <w:color w:val="auto"/>
        </w:rPr>
      </w:pPr>
    </w:p>
    <w:p>
      <w:pPr>
        <w:spacing w:after="0" w:line="340"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Oil-Dri Corporation of America Deferred Compensation Plan,</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as amended and restated effective April 1, 2003.*</w:t>
      </w:r>
    </w:p>
    <w:p>
      <w:pPr>
        <w:spacing w:after="0" w:line="200" w:lineRule="exact"/>
        <w:rPr>
          <w:sz w:val="20"/>
          <w:szCs w:val="20"/>
          <w:color w:val="auto"/>
        </w:rPr>
      </w:pPr>
    </w:p>
    <w:p>
      <w:pPr>
        <w:spacing w:after="0" w:line="385" w:lineRule="exact"/>
        <w:rPr>
          <w:sz w:val="20"/>
          <w:szCs w:val="20"/>
          <w:color w:val="auto"/>
        </w:rPr>
      </w:pPr>
    </w:p>
    <w:p>
      <w:pPr>
        <w:jc w:val="both"/>
        <w:ind w:left="1080" w:hanging="1018"/>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First Amendment, effective as of January 1, 2007, to Oil-Dri Corporation of America Deferred Compensation Plan, as amended and restated effective April 1, 2003.*</w:t>
      </w:r>
    </w:p>
    <w:p>
      <w:pPr>
        <w:spacing w:after="0" w:line="338" w:lineRule="exact"/>
        <w:rPr>
          <w:sz w:val="20"/>
          <w:szCs w:val="20"/>
          <w:color w:val="auto"/>
        </w:rPr>
      </w:pPr>
    </w:p>
    <w:p>
      <w:pPr>
        <w:jc w:val="both"/>
        <w:ind w:left="1080" w:hanging="1018"/>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Second Amendment, effective as of January 1, 2008, to Oil-Dri Corporation of America Deferred Compensation Plan, as amended and restated effective April 1, 2003.*</w:t>
      </w:r>
    </w:p>
    <w:p>
      <w:pPr>
        <w:spacing w:after="0" w:line="284"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7"/>
          <w:szCs w:val="17"/>
          <w:color w:val="auto"/>
        </w:rPr>
        <w:t>Supplemental Executive Retirement Plan dated April 1, 2003.*</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81"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38">
        <w:r>
          <w:rPr>
            <w:rFonts w:ascii="Times New Roman" w:cs="Times New Roman" w:eastAsia="Times New Roman" w:hAnsi="Times New Roman"/>
            <w:sz w:val="18"/>
            <w:szCs w:val="18"/>
            <w:u w:val="single" w:color="auto"/>
            <w:color w:val="0000FF"/>
          </w:rPr>
          <w:t>Incorporated by reference to Exhibit 10.1 to Oil-Dri's (file No. 001-</w:t>
        </w:r>
      </w:hyperlink>
      <w:hyperlink r:id="rId38">
        <w:r>
          <w:rPr>
            <w:rFonts w:ascii="Times New Roman" w:cs="Times New Roman" w:eastAsia="Times New Roman" w:hAnsi="Times New Roman"/>
            <w:sz w:val="18"/>
            <w:szCs w:val="18"/>
            <w:u w:val="single" w:color="auto"/>
            <w:color w:val="0000FF"/>
          </w:rPr>
          <w:t>12622) Current Report on Form 8-K filed on May 21, 2020.</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(10)(f) to Oil-Dri’s (File No. 001-12622) Annual Report on Form 10-K for the fiscal year ended July 31, 1988.</w:t>
      </w:r>
    </w:p>
    <w:p>
      <w:pPr>
        <w:spacing w:after="0" w:line="338"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39">
        <w:r>
          <w:rPr>
            <w:rFonts w:ascii="Times New Roman" w:cs="Times New Roman" w:eastAsia="Times New Roman" w:hAnsi="Times New Roman"/>
            <w:sz w:val="18"/>
            <w:szCs w:val="18"/>
            <w:u w:val="single" w:color="auto"/>
            <w:color w:val="0000FF"/>
          </w:rPr>
          <w:t>Incorporated by reference to Exhibit (10)(j)(1) to Oil-Dri’s (File No.</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001-12622)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April 30, 2003.</w:t>
        </w:r>
      </w:hyperlink>
    </w:p>
    <w:p>
      <w:pPr>
        <w:spacing w:after="0" w:line="33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40">
        <w:r>
          <w:rPr>
            <w:rFonts w:ascii="Times New Roman" w:cs="Times New Roman" w:eastAsia="Times New Roman" w:hAnsi="Times New Roman"/>
            <w:sz w:val="18"/>
            <w:szCs w:val="18"/>
            <w:u w:val="single" w:color="auto"/>
            <w:color w:val="0000FF"/>
          </w:rPr>
          <w:t>Incorporated by reference to Exhibit 10.1 to Oil-Dri’s (File No. 001-</w:t>
        </w:r>
      </w:hyperlink>
      <w:hyperlink r:id="rId40">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January 31, 2008.</w:t>
        </w:r>
      </w:hyperlink>
    </w:p>
    <w:p>
      <w:pPr>
        <w:spacing w:after="0" w:line="33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u w:val="single" w:color="auto"/>
            <w:color w:val="0000FF"/>
          </w:rPr>
          <w:t>Incorporated by reference to Exhibit 10.2 to Oil-Dri’s (File No. 001-</w:t>
        </w:r>
      </w:hyperlink>
      <w:hyperlink r:id="rId41">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January 31, 2008.</w:t>
        </w:r>
      </w:hyperlink>
    </w:p>
    <w:p>
      <w:pPr>
        <w:spacing w:after="0" w:line="284"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Incorporated by reference to Exhibit (10)(1) to Oil-Dri’s (File No.</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001-12622)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April 30, 2003.</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640" w:space="380"/>
            <w:col w:w="5000"/>
          </w:cols>
          <w:pgMar w:left="520" w:top="499" w:right="359" w:bottom="1440" w:gutter="0" w:footer="0" w:header="0"/>
        </w:sectPr>
      </w:pPr>
    </w:p>
    <w:p>
      <w:pPr>
        <w:spacing w:after="0" w:line="84" w:lineRule="exact"/>
        <w:rPr>
          <w:rFonts w:ascii="Times New Roman" w:cs="Times New Roman" w:eastAsia="Times New Roman" w:hAnsi="Times New Roman"/>
          <w:sz w:val="18"/>
          <w:szCs w:val="18"/>
          <w:u w:val="single" w:color="auto"/>
          <w:color w:val="0000FF"/>
        </w:rPr>
      </w:pPr>
    </w:p>
    <w:tbl>
      <w:tblPr>
        <w:tblLayout w:type="fixed"/>
        <w:tblInd w:w="6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10.20</w:t>
            </w: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First Amendment, effective March 1, 2020, to the Oil-Dri</w:t>
            </w:r>
          </w:p>
        </w:tc>
      </w:tr>
      <w:tr>
        <w:trPr>
          <w:trHeight w:val="216"/>
        </w:trPr>
        <w:tc>
          <w:tcPr>
            <w:tcW w:w="70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Corporation of America Supplemental Executive Retirement</w:t>
            </w:r>
          </w:p>
        </w:tc>
      </w:tr>
      <w:tr>
        <w:trPr>
          <w:trHeight w:val="234"/>
        </w:trPr>
        <w:tc>
          <w:tcPr>
            <w:tcW w:w="70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 dated April 1, 2003.*</w:t>
            </w:r>
          </w:p>
        </w:tc>
      </w:tr>
      <w:tr>
        <w:trPr>
          <w:trHeight w:val="576"/>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10.21</w:t>
            </w: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Second Amendment, effective June 30, 2020, to the Oil-Dri</w:t>
            </w:r>
          </w:p>
        </w:tc>
      </w:tr>
      <w:tr>
        <w:trPr>
          <w:trHeight w:val="216"/>
        </w:trPr>
        <w:tc>
          <w:tcPr>
            <w:tcW w:w="70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Corporation of America Supplemental Executive Retirement</w:t>
            </w:r>
          </w:p>
        </w:tc>
      </w:tr>
      <w:tr>
        <w:trPr>
          <w:trHeight w:val="234"/>
        </w:trPr>
        <w:tc>
          <w:tcPr>
            <w:tcW w:w="70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 dated April 1, 2003.*</w:t>
            </w:r>
          </w:p>
        </w:tc>
      </w:tr>
      <w:tr>
        <w:trPr>
          <w:trHeight w:val="576"/>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10.22</w:t>
            </w: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Oil-Dri Corporation of America Annual Incentive Plan (as</w:t>
            </w:r>
          </w:p>
        </w:tc>
      </w:tr>
      <w:tr>
        <w:trPr>
          <w:trHeight w:val="234"/>
        </w:trPr>
        <w:tc>
          <w:tcPr>
            <w:tcW w:w="70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effective January 1, 2008).*</w:t>
            </w:r>
          </w:p>
        </w:tc>
      </w:tr>
      <w:tr>
        <w:trPr>
          <w:trHeight w:val="738"/>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10.23</w:t>
            </w: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Oil-Dri Corporation of America 2005 Deferred Compensation</w:t>
            </w:r>
          </w:p>
        </w:tc>
      </w:tr>
      <w:tr>
        <w:trPr>
          <w:trHeight w:val="234"/>
        </w:trPr>
        <w:tc>
          <w:tcPr>
            <w:tcW w:w="70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 (as amended and restated effective January 1, 2008)*</w:t>
            </w:r>
          </w:p>
        </w:tc>
      </w:tr>
      <w:tr>
        <w:trPr>
          <w:trHeight w:val="79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10.24</w:t>
            </w: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First Amendment, effective July 1, 2020, to the Oil-Dri</w:t>
            </w:r>
          </w:p>
        </w:tc>
      </w:tr>
      <w:tr>
        <w:trPr>
          <w:trHeight w:val="216"/>
        </w:trPr>
        <w:tc>
          <w:tcPr>
            <w:tcW w:w="70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Corporation of America 2005 Deferred Compensation Plan (as</w:t>
            </w:r>
          </w:p>
        </w:tc>
      </w:tr>
      <w:tr>
        <w:trPr>
          <w:trHeight w:val="234"/>
        </w:trPr>
        <w:tc>
          <w:tcPr>
            <w:tcW w:w="70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effective January 1, 2008).*</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64" w:lineRule="exact"/>
        <w:rPr>
          <w:rFonts w:ascii="Times New Roman" w:cs="Times New Roman" w:eastAsia="Times New Roman" w:hAnsi="Times New Roman"/>
          <w:sz w:val="18"/>
          <w:szCs w:val="18"/>
          <w:u w:val="single" w:color="auto"/>
          <w:color w:val="0000FF"/>
        </w:rPr>
      </w:pPr>
    </w:p>
    <w:p>
      <w:pPr>
        <w:ind w:right="100"/>
        <w:spacing w:after="0" w:line="266" w:lineRule="auto"/>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Incorporated by reference to Exhibit 10.1 to Oil-Dri's (File No. 001-</w:t>
        </w:r>
      </w:hyperlink>
      <w:hyperlink r:id="rId43">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January 31, 2020.</w:t>
        </w:r>
      </w:hyperlink>
    </w:p>
    <w:p>
      <w:pPr>
        <w:spacing w:after="0" w:line="33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Filed herewith</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9"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Incorporated by reference to Exhibit 10.4 to Oil-Dri’s (File No. 001-</w:t>
        </w:r>
      </w:hyperlink>
      <w:hyperlink r:id="rId44">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January 31, 2008.</w:t>
        </w:r>
      </w:hyperlink>
    </w:p>
    <w:p>
      <w:pPr>
        <w:spacing w:after="0" w:line="284"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Incorporated by reference to Exhibit 10.3 to Oil-Dri’s (File No. 001-</w:t>
        </w:r>
      </w:hyperlink>
      <w:hyperlink r:id="rId45">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January 31, 2008.</w:t>
        </w:r>
      </w:hyperlink>
    </w:p>
    <w:p>
      <w:pPr>
        <w:spacing w:after="0" w:line="33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Filed herewith</w:t>
        </w:r>
      </w:hyperlink>
    </w:p>
    <w:p>
      <w:pPr>
        <w:spacing w:after="0" w:line="65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640" w:space="380"/>
            <w:col w:w="5000"/>
          </w:cols>
          <w:pgMar w:left="520" w:top="499" w:right="359" w:bottom="1440" w:gutter="0" w:footer="0" w:header="0"/>
          <w:type w:val="continuous"/>
        </w:sectPr>
      </w:pPr>
    </w:p>
    <w:p>
      <w:pPr>
        <w:spacing w:after="0" w:line="106" w:lineRule="exact"/>
        <w:rPr>
          <w:rFonts w:ascii="Times New Roman" w:cs="Times New Roman" w:eastAsia="Times New Roman" w:hAnsi="Times New Roman"/>
          <w:sz w:val="18"/>
          <w:szCs w:val="18"/>
          <w:u w:val="single" w:color="auto"/>
          <w:color w:val="0000FF"/>
        </w:rPr>
      </w:pPr>
    </w:p>
    <w:p>
      <w:pPr>
        <w:ind w:left="1080" w:hanging="1018"/>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Oil-Dri Corporation of America 2006 Long Term Incentive Plan (as amended and restated effective July 28, 2006)*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86"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Incorporated by reference to Appendix A to Oil-Dri’s (File No. 001-</w:t>
        </w:r>
      </w:hyperlink>
      <w:hyperlink r:id="rId46">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November 3, 2006.</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640" w:space="380"/>
            <w:col w:w="5000"/>
          </w:cols>
          <w:pgMar w:left="520" w:top="499" w:right="359" w:bottom="1440" w:gutter="0" w:footer="0" w:header="0"/>
          <w:type w:val="continuous"/>
        </w:sectPr>
      </w:pPr>
    </w:p>
    <w:p>
      <w:pPr>
        <w:spacing w:after="0" w:line="327" w:lineRule="exact"/>
        <w:rPr>
          <w:rFonts w:ascii="Times New Roman" w:cs="Times New Roman" w:eastAsia="Times New Roman" w:hAnsi="Times New Roman"/>
          <w:sz w:val="18"/>
          <w:szCs w:val="18"/>
          <w:u w:val="single" w:color="auto"/>
          <w:color w:val="0000FF"/>
        </w:rPr>
      </w:pPr>
    </w:p>
    <w:p>
      <w:pPr>
        <w:jc w:val="center"/>
        <w:ind w:right="16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520" w:top="499" w:right="35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Exhibit</w:t>
            </w:r>
          </w:p>
        </w:tc>
        <w:tc>
          <w:tcPr>
            <w:tcW w:w="4620" w:type="dxa"/>
            <w:vAlign w:val="bottom"/>
          </w:tcPr>
          <w:p>
            <w:pPr>
              <w:spacing w:after="0"/>
              <w:rPr>
                <w:sz w:val="18"/>
                <w:szCs w:val="18"/>
                <w:color w:val="auto"/>
              </w:rPr>
            </w:pPr>
          </w:p>
        </w:tc>
      </w:tr>
      <w:tr>
        <w:trPr>
          <w:trHeight w:val="234"/>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No.</w:t>
            </w:r>
          </w:p>
        </w:tc>
        <w:tc>
          <w:tcPr>
            <w:tcW w:w="4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56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effective as of January 1, 2008, to Oil-Dri</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 of America 2006 Long Term Incentive Plan (as</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effective July 28, 2006)*</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effective as of October 15, 2015, to Oil-</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Dri Corporation of America 2006 Long Term Incentive Plan</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previously amended and restated effective July 28, 2006)*</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Amendment to Oil-Dri Corporation of America 2006</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Incentive Plan*</w:t>
            </w:r>
          </w:p>
        </w:tc>
      </w:tr>
      <w:tr>
        <w:trPr>
          <w:trHeight w:val="79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 Employee Stock Option Agreement for Class A</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  Employee  Stock  Option  Agreement  for</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 Employee Stock Option Agreement for Class B</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r>
      <w:tr>
        <w:trPr>
          <w:trHeight w:val="387"/>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 Director Stock Option Agreement for Common</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r>
      <w:tr>
        <w:trPr>
          <w:trHeight w:val="54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  Restricted  Stock  Agreement  for  Class  A</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  Restricted  Stock  Agreement  for  Common</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r>
      <w:tr>
        <w:trPr>
          <w:trHeight w:val="52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Oil-Dri Corporation of America 2006 Long Term</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 Restricted Stock Agreement for Class B Stock.*</w:t>
            </w:r>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2018 Restricted Stock Agreement for Class B Stock</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the Oil-Dri Corporation of America 2006 Long Term</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Plan.*</w:t>
            </w:r>
          </w:p>
        </w:tc>
      </w:tr>
      <w:tr>
        <w:trPr>
          <w:trHeight w:val="59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re: Computation of Net Income Per Share.</w:t>
            </w:r>
          </w:p>
        </w:tc>
      </w:tr>
      <w:tr>
        <w:trPr>
          <w:trHeight w:val="783"/>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2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Incorporated by reference to Exhibit 10.5 to Oil-Dri’s (File No. 001-</w:t>
        </w:r>
      </w:hyperlink>
      <w:hyperlink r:id="rId48">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January 31, 2008.</w:t>
        </w:r>
      </w:hyperlink>
    </w:p>
    <w:p>
      <w:pPr>
        <w:spacing w:after="0" w:line="33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Incorporated by reference to Appendix A to Oil-Dri’s (File No. 001-</w:t>
        </w:r>
      </w:hyperlink>
      <w:hyperlink r:id="rId49">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October 28, 2015.</w:t>
        </w:r>
      </w:hyperlink>
    </w:p>
    <w:p>
      <w:pPr>
        <w:spacing w:after="0" w:line="338" w:lineRule="exact"/>
        <w:rPr>
          <w:rFonts w:ascii="Times New Roman" w:cs="Times New Roman" w:eastAsia="Times New Roman" w:hAnsi="Times New Roman"/>
          <w:sz w:val="18"/>
          <w:szCs w:val="18"/>
          <w:u w:val="single" w:color="auto"/>
          <w:color w:val="0000FF"/>
        </w:rPr>
      </w:pPr>
    </w:p>
    <w:p>
      <w:pPr>
        <w:ind w:right="80"/>
        <w:spacing w:after="0" w:line="266"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Incorporated by reference to Appendix A of Oil-Dri's (File No. 001-</w:t>
        </w:r>
      </w:hyperlink>
      <w:hyperlink r:id="rId50">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October 30, 2019</w:t>
        </w:r>
      </w:hyperlink>
    </w:p>
    <w:p>
      <w:pPr>
        <w:spacing w:after="0" w:line="338" w:lineRule="exact"/>
        <w:rPr>
          <w:rFonts w:ascii="Times New Roman" w:cs="Times New Roman" w:eastAsia="Times New Roman" w:hAnsi="Times New Roman"/>
          <w:sz w:val="18"/>
          <w:szCs w:val="18"/>
          <w:u w:val="single" w:color="auto"/>
          <w:color w:val="0000FF"/>
        </w:rPr>
      </w:pPr>
    </w:p>
    <w:p>
      <w:pPr>
        <w:spacing w:after="0" w:line="282"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Incorporated by reference to Exhibit 10.2 to Oil-Dri’s (file No. 001-</w:t>
        </w:r>
      </w:hyperlink>
      <w:hyperlink r:id="rId51">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34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Incorporated by reference to Exhibit 10.3 to Oil-Dri’s (file No. 001-</w:t>
        </w:r>
      </w:hyperlink>
      <w:hyperlink r:id="rId52">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34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Incorporated by reference to Exhibit 10.4 to Oil-Dri’s (file No. 001-</w:t>
        </w:r>
      </w:hyperlink>
      <w:hyperlink r:id="rId53">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351"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Incorporated by reference to Exhibit 10.5 to Oil-Dri’s (file No. 001-</w:t>
        </w:r>
      </w:hyperlink>
      <w:hyperlink r:id="rId54">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313"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Incorporated by reference to Exhibit 10.6 to Oil-Dri’s (file No. 001-</w:t>
        </w:r>
      </w:hyperlink>
      <w:hyperlink r:id="rId55">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34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Incorporated by reference to Exhibit 10.7 to Oil-Dri’s (file No. 001-</w:t>
        </w:r>
      </w:hyperlink>
      <w:hyperlink r:id="rId56">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86"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Incorporated by reference to Exhibit 10.8 to Oil-Dri’s (file No. 001-</w:t>
        </w:r>
      </w:hyperlink>
      <w:hyperlink r:id="rId57">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324" w:lineRule="exact"/>
        <w:rPr>
          <w:sz w:val="20"/>
          <w:szCs w:val="20"/>
          <w:color w:val="auto"/>
        </w:rPr>
      </w:pPr>
    </w:p>
    <w:p>
      <w:pPr>
        <w:ind w:right="40"/>
        <w:spacing w:after="0" w:line="266" w:lineRule="auto"/>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u w:val="single" w:color="auto"/>
            <w:color w:val="0000FF"/>
          </w:rPr>
          <w:t>Incorporated by reference to Exhibit 10.29 to Oil-Dri's (file No. 001-</w:t>
        </w:r>
      </w:hyperlink>
      <w:hyperlink r:id="rId58">
        <w:r>
          <w:rPr>
            <w:rFonts w:ascii="Times New Roman" w:cs="Times New Roman" w:eastAsia="Times New Roman" w:hAnsi="Times New Roman"/>
            <w:sz w:val="18"/>
            <w:szCs w:val="18"/>
            <w:u w:val="single" w:color="auto"/>
            <w:color w:val="0000FF"/>
          </w:rPr>
          <w:t>12622) Annual Report on Form 10-K for the fiscal year ended July</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31, 2018</w:t>
        </w:r>
        <w:r>
          <w:rPr>
            <w:rFonts w:ascii="Times New Roman" w:cs="Times New Roman" w:eastAsia="Times New Roman" w:hAnsi="Times New Roman"/>
            <w:sz w:val="18"/>
            <w:szCs w:val="18"/>
            <w:color w:val="000000"/>
          </w:rPr>
          <w:t>.</w:t>
        </w:r>
      </w:hyperlink>
    </w:p>
    <w:p>
      <w:pPr>
        <w:spacing w:after="0" w:line="33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Filed herewith.</w:t>
        </w:r>
      </w:hyperlink>
    </w:p>
    <w:p>
      <w:pPr>
        <w:sectPr>
          <w:pgSz w:w="11900" w:h="16838" w:orient="portrait"/>
          <w:cols w:equalWidth="0" w:num="2">
            <w:col w:w="5860" w:space="360"/>
            <w:col w:w="5000"/>
          </w:cols>
          <w:pgMar w:left="320" w:top="499"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Exhibit</w:t>
            </w: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No.</w:t>
            </w:r>
          </w:p>
        </w:tc>
        <w:tc>
          <w:tcPr>
            <w:tcW w:w="49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Description</w:t>
            </w:r>
          </w:p>
        </w:tc>
        <w:tc>
          <w:tcPr>
            <w:tcW w:w="5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27"/>
        </w:trPr>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54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4"/>
                <w:szCs w:val="24"/>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Code of Ethics</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at Oil-Dri’s website at www.oildri.com or in print upon</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request to Investor Relations, Oil-Dri Corporation of America, 410</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Michigan  Avenue,  Suite  400,  Chicago,  IL  60611-4213,</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telephone (312) 321-1515 or e-mail to info@oildri.com.</w:t>
            </w:r>
          </w:p>
        </w:tc>
      </w:tr>
      <w:tr>
        <w:trPr>
          <w:trHeight w:val="59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24"/>
                <w:szCs w:val="24"/>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Subsidiaries of Oil-Dri Corporation of America</w:t>
            </w:r>
          </w:p>
        </w:tc>
        <w:tc>
          <w:tcPr>
            <w:tcW w:w="5040" w:type="dxa"/>
            <w:vAlign w:val="bottom"/>
          </w:tcPr>
          <w:p>
            <w:pPr>
              <w:ind w:left="20"/>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Filed herewith.</w:t>
              </w:r>
            </w:hyperlink>
          </w:p>
        </w:tc>
      </w:tr>
      <w:tr>
        <w:trPr>
          <w:trHeight w:val="59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4"/>
                <w:szCs w:val="24"/>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5040" w:type="dxa"/>
            <w:vAlign w:val="bottom"/>
          </w:tcPr>
          <w:p>
            <w:pPr>
              <w:ind w:left="20"/>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Filed herewith.</w:t>
              </w:r>
            </w:hyperlink>
          </w:p>
        </w:tc>
      </w:tr>
      <w:tr>
        <w:trPr>
          <w:trHeight w:val="59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Certifications pursuant to Rule 13a – 14(a).</w:t>
            </w:r>
          </w:p>
        </w:tc>
        <w:tc>
          <w:tcPr>
            <w:tcW w:w="5040" w:type="dxa"/>
            <w:vAlign w:val="bottom"/>
          </w:tcPr>
          <w:p>
            <w:pPr>
              <w:ind w:left="20"/>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Filed herewith.</w:t>
              </w:r>
            </w:hyperlink>
          </w:p>
        </w:tc>
      </w:tr>
      <w:tr>
        <w:trPr>
          <w:trHeight w:val="57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Certifications pursuant to Section 1350 of the Sarbanes-Oxley</w:t>
            </w:r>
          </w:p>
        </w:tc>
        <w:tc>
          <w:tcPr>
            <w:tcW w:w="5040" w:type="dxa"/>
            <w:vAlign w:val="bottom"/>
          </w:tcPr>
          <w:p>
            <w:pPr>
              <w:ind w:left="20"/>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Furnished herewith.</w:t>
              </w:r>
            </w:hyperlink>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Act of 2002.</w:t>
            </w:r>
          </w:p>
        </w:tc>
        <w:tc>
          <w:tcPr>
            <w:tcW w:w="5040" w:type="dxa"/>
            <w:vAlign w:val="bottom"/>
          </w:tcPr>
          <w:p>
            <w:pPr>
              <w:spacing w:after="0"/>
              <w:rPr>
                <w:sz w:val="20"/>
                <w:szCs w:val="20"/>
                <w:color w:val="auto"/>
              </w:rPr>
            </w:pPr>
          </w:p>
        </w:tc>
      </w:tr>
      <w:tr>
        <w:trPr>
          <w:trHeight w:val="59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320" w:type="dxa"/>
            <w:vAlign w:val="bottom"/>
          </w:tcPr>
          <w:p>
            <w:pPr>
              <w:spacing w:after="0"/>
              <w:rPr>
                <w:sz w:val="24"/>
                <w:szCs w:val="24"/>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Mine Safety Disclosure</w:t>
            </w:r>
          </w:p>
        </w:tc>
        <w:tc>
          <w:tcPr>
            <w:tcW w:w="5040" w:type="dxa"/>
            <w:vAlign w:val="bottom"/>
          </w:tcPr>
          <w:p>
            <w:pPr>
              <w:ind w:left="2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Filed herewith.</w:t>
              </w:r>
            </w:hyperlink>
          </w:p>
        </w:tc>
      </w:tr>
      <w:tr>
        <w:trPr>
          <w:trHeight w:val="576"/>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101.INS</w:t>
            </w: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XBRL Taxonomy Instance Document</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document.</w:t>
            </w:r>
          </w:p>
        </w:tc>
      </w:tr>
      <w:tr>
        <w:trPr>
          <w:trHeight w:val="594"/>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101.SCH</w:t>
            </w: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594"/>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101.CAL</w:t>
            </w: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594"/>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101.DEF</w:t>
            </w: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576"/>
        </w:trPr>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5040" w:type="dxa"/>
            <w:vAlign w:val="bottom"/>
          </w:tcPr>
          <w:p>
            <w:pPr>
              <w:spacing w:after="0"/>
              <w:rPr>
                <w:sz w:val="20"/>
                <w:szCs w:val="20"/>
                <w:color w:val="auto"/>
              </w:rPr>
            </w:pPr>
          </w:p>
        </w:tc>
      </w:tr>
      <w:tr>
        <w:trPr>
          <w:trHeight w:val="594"/>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101.LAB</w:t>
            </w: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594"/>
        </w:trPr>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101.PRE</w:t>
            </w: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36" w:lineRule="exact"/>
        <w:rPr>
          <w:sz w:val="20"/>
          <w:szCs w:val="20"/>
          <w:color w:val="auto"/>
        </w:rPr>
      </w:pPr>
    </w:p>
    <w:p>
      <w:pPr>
        <w:ind w:left="5540" w:right="5520" w:hanging="4744"/>
        <w:spacing w:after="0" w:line="814" w:lineRule="auto"/>
        <w:tabs>
          <w:tab w:leader="none" w:pos="12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75</w:t>
      </w:r>
    </w:p>
    <w:p>
      <w:pPr>
        <w:sectPr>
          <w:pgSz w:w="11900" w:h="16838" w:orient="portrait"/>
          <w:cols w:equalWidth="0" w:num="1">
            <w:col w:w="11240"/>
          </w:cols>
          <w:pgMar w:left="320" w:top="49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2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2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tbl>
      <w:tblPr>
        <w:tblLayout w:type="fixed"/>
        <w:tblInd w:w="51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27"/>
        </w:trPr>
        <w:tc>
          <w:tcPr>
            <w:tcW w:w="64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Daniel S. Jaffee</w:t>
            </w:r>
          </w:p>
        </w:tc>
      </w:tr>
      <w:tr>
        <w:trPr>
          <w:trHeight w:val="270"/>
        </w:trPr>
        <w:tc>
          <w:tcPr>
            <w:tcW w:w="640" w:type="dxa"/>
            <w:vAlign w:val="bottom"/>
          </w:tcPr>
          <w:p>
            <w:pPr>
              <w:spacing w:after="0"/>
              <w:rPr>
                <w:sz w:val="23"/>
                <w:szCs w:val="23"/>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13, 2020</w:t>
      </w:r>
    </w:p>
    <w:p>
      <w:pPr>
        <w:spacing w:after="0" w:line="225" w:lineRule="exact"/>
        <w:rPr>
          <w:sz w:val="20"/>
          <w:szCs w:val="20"/>
          <w:color w:val="auto"/>
        </w:rPr>
      </w:pPr>
    </w:p>
    <w:p>
      <w:pPr>
        <w:jc w:val="both"/>
        <w:ind w:right="20" w:firstLine="2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24" w:lineRule="exact"/>
        <w:rPr>
          <w:sz w:val="20"/>
          <w:szCs w:val="20"/>
          <w:color w:val="auto"/>
        </w:rPr>
      </w:pPr>
    </w:p>
    <w:p>
      <w:pPr>
        <w:ind w:left="300"/>
        <w:spacing w:after="0"/>
        <w:tabs>
          <w:tab w:leader="none" w:pos="5860" w:val="left"/>
        </w:tabs>
        <w:rPr>
          <w:sz w:val="20"/>
          <w:szCs w:val="20"/>
          <w:color w:val="auto"/>
        </w:rPr>
      </w:pPr>
      <w:r>
        <w:rPr>
          <w:rFonts w:ascii="Times New Roman" w:cs="Times New Roman" w:eastAsia="Times New Roman" w:hAnsi="Times New Roman"/>
          <w:sz w:val="18"/>
          <w:szCs w:val="18"/>
          <w:color w:val="auto"/>
        </w:rPr>
        <w:t>/s/ Daniel S. Jaffee</w:t>
      </w:r>
      <w:r>
        <w:rPr>
          <w:sz w:val="20"/>
          <w:szCs w:val="20"/>
          <w:color w:val="auto"/>
        </w:rPr>
        <w:tab/>
      </w:r>
      <w:r>
        <w:rPr>
          <w:rFonts w:ascii="Times New Roman" w:cs="Times New Roman" w:eastAsia="Times New Roman" w:hAnsi="Times New Roman"/>
          <w:sz w:val="18"/>
          <w:szCs w:val="18"/>
          <w:color w:val="auto"/>
        </w:rPr>
        <w:t>October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3411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Daniel S. Jaffee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4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300"/>
        <w:spacing w:after="0"/>
        <w:tabs>
          <w:tab w:leader="none" w:pos="5860" w:val="left"/>
        </w:tabs>
        <w:rPr>
          <w:sz w:val="20"/>
          <w:szCs w:val="20"/>
          <w:color w:val="auto"/>
        </w:rPr>
      </w:pPr>
      <w:r>
        <w:rPr>
          <w:rFonts w:ascii="Times New Roman" w:cs="Times New Roman" w:eastAsia="Times New Roman" w:hAnsi="Times New Roman"/>
          <w:sz w:val="18"/>
          <w:szCs w:val="18"/>
          <w:color w:val="auto"/>
        </w:rPr>
        <w:t>/s/ Susan M. Kreh</w:t>
      </w:r>
      <w:r>
        <w:rPr>
          <w:sz w:val="20"/>
          <w:szCs w:val="20"/>
          <w:color w:val="auto"/>
        </w:rPr>
        <w:tab/>
      </w:r>
      <w:r>
        <w:rPr>
          <w:rFonts w:ascii="Times New Roman" w:cs="Times New Roman" w:eastAsia="Times New Roman" w:hAnsi="Times New Roman"/>
          <w:sz w:val="18"/>
          <w:szCs w:val="18"/>
          <w:color w:val="auto"/>
        </w:rPr>
        <w:t>October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3411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Susan M. Kreh</w:t>
      </w:r>
    </w:p>
    <w:p>
      <w:pPr>
        <w:spacing w:after="0" w:line="63"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87" w:lineRule="exact"/>
        <w:rPr>
          <w:sz w:val="20"/>
          <w:szCs w:val="20"/>
          <w:color w:val="auto"/>
        </w:rPr>
      </w:pPr>
    </w:p>
    <w:p>
      <w:pPr>
        <w:ind w:left="300"/>
        <w:spacing w:after="0"/>
        <w:tabs>
          <w:tab w:leader="none" w:pos="5860" w:val="left"/>
        </w:tabs>
        <w:rPr>
          <w:sz w:val="20"/>
          <w:szCs w:val="20"/>
          <w:color w:val="auto"/>
        </w:rPr>
      </w:pPr>
      <w:r>
        <w:rPr>
          <w:rFonts w:ascii="Times New Roman" w:cs="Times New Roman" w:eastAsia="Times New Roman" w:hAnsi="Times New Roman"/>
          <w:sz w:val="18"/>
          <w:szCs w:val="18"/>
          <w:color w:val="auto"/>
        </w:rPr>
        <w:t>/s/ Paula J. Krystopolski</w:t>
      </w:r>
      <w:r>
        <w:rPr>
          <w:sz w:val="20"/>
          <w:szCs w:val="20"/>
          <w:color w:val="auto"/>
        </w:rPr>
        <w:tab/>
      </w:r>
      <w:r>
        <w:rPr>
          <w:rFonts w:ascii="Times New Roman" w:cs="Times New Roman" w:eastAsia="Times New Roman" w:hAnsi="Times New Roman"/>
          <w:sz w:val="18"/>
          <w:szCs w:val="18"/>
          <w:color w:val="auto"/>
        </w:rPr>
        <w:t>October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3411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7"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Paula J. Krystopolski</w:t>
      </w:r>
    </w:p>
    <w:p>
      <w:pPr>
        <w:spacing w:after="0" w:line="63"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63"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(Controller)</w:t>
      </w:r>
    </w:p>
    <w:p>
      <w:pPr>
        <w:spacing w:after="0" w:line="38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Ellen-Blair Chube</w:t>
            </w:r>
          </w:p>
        </w:tc>
        <w:tc>
          <w:tcPr>
            <w:tcW w:w="3540" w:type="dxa"/>
            <w:vAlign w:val="bottom"/>
          </w:tcPr>
          <w:p>
            <w:pPr>
              <w:spacing w:after="0"/>
              <w:rPr>
                <w:sz w:val="20"/>
                <w:szCs w:val="20"/>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7"/>
        </w:trPr>
        <w:tc>
          <w:tcPr>
            <w:tcW w:w="18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5160" w:type="dxa"/>
            <w:vAlign w:val="bottom"/>
            <w:gridSpan w:val="2"/>
          </w:tcPr>
          <w:p>
            <w:pPr>
              <w:jc w:val="center"/>
              <w:ind w:right="3370"/>
              <w:spacing w:after="0"/>
              <w:rPr>
                <w:sz w:val="20"/>
                <w:szCs w:val="20"/>
                <w:color w:val="auto"/>
              </w:rPr>
            </w:pPr>
            <w:r>
              <w:rPr>
                <w:rFonts w:ascii="Times New Roman" w:cs="Times New Roman" w:eastAsia="Times New Roman" w:hAnsi="Times New Roman"/>
                <w:sz w:val="18"/>
                <w:szCs w:val="18"/>
                <w:color w:val="auto"/>
                <w:w w:val="98"/>
              </w:rPr>
              <w:t>Ellen-Blair Chube</w:t>
            </w:r>
          </w:p>
        </w:tc>
      </w:tr>
      <w:tr>
        <w:trPr>
          <w:trHeight w:val="270"/>
        </w:trPr>
        <w:tc>
          <w:tcPr>
            <w:tcW w:w="1840" w:type="dxa"/>
            <w:vAlign w:val="bottom"/>
          </w:tcPr>
          <w:p>
            <w:pPr>
              <w:spacing w:after="0"/>
              <w:rPr>
                <w:sz w:val="23"/>
                <w:szCs w:val="23"/>
                <w:color w:val="auto"/>
              </w:rPr>
            </w:pPr>
          </w:p>
        </w:tc>
        <w:tc>
          <w:tcPr>
            <w:tcW w:w="5160" w:type="dxa"/>
            <w:vAlign w:val="bottom"/>
            <w:gridSpan w:val="2"/>
          </w:tcPr>
          <w:p>
            <w:pPr>
              <w:jc w:val="center"/>
              <w:ind w:right="33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594"/>
        </w:trPr>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Paul M. Hindsley</w:t>
            </w:r>
          </w:p>
        </w:tc>
        <w:tc>
          <w:tcPr>
            <w:tcW w:w="354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7"/>
        </w:trPr>
        <w:tc>
          <w:tcPr>
            <w:tcW w:w="18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5160" w:type="dxa"/>
            <w:vAlign w:val="bottom"/>
            <w:gridSpan w:val="2"/>
          </w:tcPr>
          <w:p>
            <w:pPr>
              <w:jc w:val="center"/>
              <w:ind w:right="3370"/>
              <w:spacing w:after="0"/>
              <w:rPr>
                <w:sz w:val="20"/>
                <w:szCs w:val="20"/>
                <w:color w:val="auto"/>
              </w:rPr>
            </w:pPr>
            <w:r>
              <w:rPr>
                <w:rFonts w:ascii="Times New Roman" w:cs="Times New Roman" w:eastAsia="Times New Roman" w:hAnsi="Times New Roman"/>
                <w:sz w:val="18"/>
                <w:szCs w:val="18"/>
                <w:color w:val="auto"/>
                <w:w w:val="99"/>
              </w:rPr>
              <w:t>Paul M. Hindsley</w:t>
            </w:r>
          </w:p>
        </w:tc>
      </w:tr>
      <w:tr>
        <w:trPr>
          <w:trHeight w:val="270"/>
        </w:trPr>
        <w:tc>
          <w:tcPr>
            <w:tcW w:w="1840" w:type="dxa"/>
            <w:vAlign w:val="bottom"/>
          </w:tcPr>
          <w:p>
            <w:pPr>
              <w:spacing w:after="0"/>
              <w:rPr>
                <w:sz w:val="23"/>
                <w:szCs w:val="23"/>
                <w:color w:val="auto"/>
              </w:rPr>
            </w:pPr>
          </w:p>
        </w:tc>
        <w:tc>
          <w:tcPr>
            <w:tcW w:w="5160" w:type="dxa"/>
            <w:vAlign w:val="bottom"/>
            <w:gridSpan w:val="2"/>
          </w:tcPr>
          <w:p>
            <w:pPr>
              <w:jc w:val="center"/>
              <w:ind w:right="33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945"/>
        </w:trPr>
        <w:tc>
          <w:tcPr>
            <w:tcW w:w="1840" w:type="dxa"/>
            <w:vAlign w:val="bottom"/>
          </w:tcPr>
          <w:p>
            <w:pPr>
              <w:spacing w:after="0"/>
              <w:rPr>
                <w:sz w:val="24"/>
                <w:szCs w:val="24"/>
                <w:color w:val="auto"/>
              </w:rPr>
            </w:pPr>
          </w:p>
        </w:tc>
        <w:tc>
          <w:tcPr>
            <w:tcW w:w="516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76</w:t>
            </w:r>
          </w:p>
        </w:tc>
      </w:tr>
    </w:tbl>
    <w:p>
      <w:pPr>
        <w:sectPr>
          <w:pgSz w:w="11900" w:h="16838" w:orient="portrait"/>
          <w:cols w:equalWidth="0" w:num="1">
            <w:col w:w="11240"/>
          </w:cols>
          <w:pgMar w:left="320" w:top="333"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 Michael A. Nemeroff</w:t>
            </w:r>
          </w:p>
        </w:tc>
        <w:tc>
          <w:tcPr>
            <w:tcW w:w="3560" w:type="dxa"/>
            <w:vAlign w:val="bottom"/>
          </w:tcPr>
          <w:p>
            <w:pPr>
              <w:spacing w:after="0"/>
              <w:rPr>
                <w:sz w:val="20"/>
                <w:szCs w:val="20"/>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7"/>
        </w:trPr>
        <w:tc>
          <w:tcPr>
            <w:tcW w:w="19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6"/>
        </w:trPr>
        <w:tc>
          <w:tcPr>
            <w:tcW w:w="1960" w:type="dxa"/>
            <w:vAlign w:val="bottom"/>
          </w:tcPr>
          <w:p>
            <w:pPr>
              <w:spacing w:after="0"/>
              <w:rPr>
                <w:sz w:val="20"/>
                <w:szCs w:val="20"/>
                <w:color w:val="auto"/>
              </w:rPr>
            </w:pPr>
          </w:p>
        </w:tc>
        <w:tc>
          <w:tcPr>
            <w:tcW w:w="5180" w:type="dxa"/>
            <w:vAlign w:val="bottom"/>
            <w:gridSpan w:val="2"/>
          </w:tcPr>
          <w:p>
            <w:pPr>
              <w:jc w:val="center"/>
              <w:ind w:right="3490"/>
              <w:spacing w:after="0"/>
              <w:rPr>
                <w:sz w:val="20"/>
                <w:szCs w:val="20"/>
                <w:color w:val="auto"/>
              </w:rPr>
            </w:pPr>
            <w:r>
              <w:rPr>
                <w:rFonts w:ascii="Times New Roman" w:cs="Times New Roman" w:eastAsia="Times New Roman" w:hAnsi="Times New Roman"/>
                <w:sz w:val="18"/>
                <w:szCs w:val="18"/>
                <w:color w:val="auto"/>
              </w:rPr>
              <w:t>Michael A. Nemeroff</w:t>
            </w:r>
          </w:p>
        </w:tc>
      </w:tr>
      <w:tr>
        <w:trPr>
          <w:trHeight w:val="270"/>
        </w:trPr>
        <w:tc>
          <w:tcPr>
            <w:tcW w:w="1960" w:type="dxa"/>
            <w:vAlign w:val="bottom"/>
          </w:tcPr>
          <w:p>
            <w:pPr>
              <w:spacing w:after="0"/>
              <w:rPr>
                <w:sz w:val="23"/>
                <w:szCs w:val="23"/>
                <w:color w:val="auto"/>
              </w:rPr>
            </w:pPr>
          </w:p>
        </w:tc>
        <w:tc>
          <w:tcPr>
            <w:tcW w:w="5180" w:type="dxa"/>
            <w:vAlign w:val="bottom"/>
            <w:gridSpan w:val="2"/>
          </w:tcPr>
          <w:p>
            <w:pPr>
              <w:jc w:val="center"/>
              <w:ind w:right="3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540"/>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George C. Roeth</w:t>
            </w:r>
          </w:p>
        </w:tc>
        <w:tc>
          <w:tcPr>
            <w:tcW w:w="356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7"/>
        </w:trPr>
        <w:tc>
          <w:tcPr>
            <w:tcW w:w="19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5180" w:type="dxa"/>
            <w:vAlign w:val="bottom"/>
            <w:gridSpan w:val="2"/>
          </w:tcPr>
          <w:p>
            <w:pPr>
              <w:jc w:val="center"/>
              <w:ind w:right="3350"/>
              <w:spacing w:after="0"/>
              <w:rPr>
                <w:sz w:val="20"/>
                <w:szCs w:val="20"/>
                <w:color w:val="auto"/>
              </w:rPr>
            </w:pPr>
            <w:r>
              <w:rPr>
                <w:rFonts w:ascii="Times New Roman" w:cs="Times New Roman" w:eastAsia="Times New Roman" w:hAnsi="Times New Roman"/>
                <w:sz w:val="18"/>
                <w:szCs w:val="18"/>
                <w:color w:val="auto"/>
              </w:rPr>
              <w:t>George C. Roeth</w:t>
            </w:r>
          </w:p>
        </w:tc>
      </w:tr>
      <w:tr>
        <w:trPr>
          <w:trHeight w:val="270"/>
        </w:trPr>
        <w:tc>
          <w:tcPr>
            <w:tcW w:w="1960" w:type="dxa"/>
            <w:vAlign w:val="bottom"/>
          </w:tcPr>
          <w:p>
            <w:pPr>
              <w:spacing w:after="0"/>
              <w:rPr>
                <w:sz w:val="23"/>
                <w:szCs w:val="23"/>
                <w:color w:val="auto"/>
              </w:rPr>
            </w:pPr>
          </w:p>
        </w:tc>
        <w:tc>
          <w:tcPr>
            <w:tcW w:w="5180" w:type="dxa"/>
            <w:vAlign w:val="bottom"/>
            <w:gridSpan w:val="2"/>
          </w:tcPr>
          <w:p>
            <w:pPr>
              <w:jc w:val="center"/>
              <w:ind w:right="33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567"/>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Allan H. Selig</w:t>
            </w:r>
          </w:p>
        </w:tc>
        <w:tc>
          <w:tcPr>
            <w:tcW w:w="356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7"/>
        </w:trPr>
        <w:tc>
          <w:tcPr>
            <w:tcW w:w="19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5180" w:type="dxa"/>
            <w:vAlign w:val="bottom"/>
            <w:gridSpan w:val="2"/>
          </w:tcPr>
          <w:p>
            <w:pPr>
              <w:jc w:val="center"/>
              <w:ind w:right="3490"/>
              <w:spacing w:after="0"/>
              <w:rPr>
                <w:sz w:val="20"/>
                <w:szCs w:val="20"/>
                <w:color w:val="auto"/>
              </w:rPr>
            </w:pPr>
            <w:r>
              <w:rPr>
                <w:rFonts w:ascii="Times New Roman" w:cs="Times New Roman" w:eastAsia="Times New Roman" w:hAnsi="Times New Roman"/>
                <w:sz w:val="18"/>
                <w:szCs w:val="18"/>
                <w:color w:val="auto"/>
              </w:rPr>
              <w:t>Allan H. Selig</w:t>
            </w:r>
          </w:p>
        </w:tc>
      </w:tr>
      <w:tr>
        <w:trPr>
          <w:trHeight w:val="270"/>
        </w:trPr>
        <w:tc>
          <w:tcPr>
            <w:tcW w:w="1960" w:type="dxa"/>
            <w:vAlign w:val="bottom"/>
          </w:tcPr>
          <w:p>
            <w:pPr>
              <w:spacing w:after="0"/>
              <w:rPr>
                <w:sz w:val="23"/>
                <w:szCs w:val="23"/>
                <w:color w:val="auto"/>
              </w:rPr>
            </w:pPr>
          </w:p>
        </w:tc>
        <w:tc>
          <w:tcPr>
            <w:tcW w:w="5180" w:type="dxa"/>
            <w:vAlign w:val="bottom"/>
            <w:gridSpan w:val="2"/>
          </w:tcPr>
          <w:p>
            <w:pPr>
              <w:jc w:val="center"/>
              <w:ind w:right="3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540"/>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Paul E. Suckow</w:t>
            </w:r>
          </w:p>
        </w:tc>
        <w:tc>
          <w:tcPr>
            <w:tcW w:w="356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7"/>
        </w:trPr>
        <w:tc>
          <w:tcPr>
            <w:tcW w:w="19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5180" w:type="dxa"/>
            <w:vAlign w:val="bottom"/>
            <w:gridSpan w:val="2"/>
          </w:tcPr>
          <w:p>
            <w:pPr>
              <w:jc w:val="center"/>
              <w:ind w:right="3490"/>
              <w:spacing w:after="0"/>
              <w:rPr>
                <w:sz w:val="20"/>
                <w:szCs w:val="20"/>
                <w:color w:val="auto"/>
              </w:rPr>
            </w:pPr>
            <w:r>
              <w:rPr>
                <w:rFonts w:ascii="Times New Roman" w:cs="Times New Roman" w:eastAsia="Times New Roman" w:hAnsi="Times New Roman"/>
                <w:sz w:val="18"/>
                <w:szCs w:val="18"/>
                <w:color w:val="auto"/>
              </w:rPr>
              <w:t>Paul E. Suckow</w:t>
            </w:r>
          </w:p>
        </w:tc>
      </w:tr>
      <w:tr>
        <w:trPr>
          <w:trHeight w:val="270"/>
        </w:trPr>
        <w:tc>
          <w:tcPr>
            <w:tcW w:w="1960" w:type="dxa"/>
            <w:vAlign w:val="bottom"/>
          </w:tcPr>
          <w:p>
            <w:pPr>
              <w:spacing w:after="0"/>
              <w:rPr>
                <w:sz w:val="23"/>
                <w:szCs w:val="23"/>
                <w:color w:val="auto"/>
              </w:rPr>
            </w:pPr>
          </w:p>
        </w:tc>
        <w:tc>
          <w:tcPr>
            <w:tcW w:w="5180" w:type="dxa"/>
            <w:vAlign w:val="bottom"/>
            <w:gridSpan w:val="2"/>
          </w:tcPr>
          <w:p>
            <w:pPr>
              <w:jc w:val="center"/>
              <w:ind w:right="3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567"/>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/s/ Lawrence E. Washow</w:t>
            </w:r>
          </w:p>
        </w:tc>
        <w:tc>
          <w:tcPr>
            <w:tcW w:w="356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7"/>
        </w:trPr>
        <w:tc>
          <w:tcPr>
            <w:tcW w:w="19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5180" w:type="dxa"/>
            <w:vAlign w:val="bottom"/>
            <w:gridSpan w:val="2"/>
          </w:tcPr>
          <w:p>
            <w:pPr>
              <w:jc w:val="center"/>
              <w:ind w:right="3490"/>
              <w:spacing w:after="0"/>
              <w:rPr>
                <w:sz w:val="20"/>
                <w:szCs w:val="20"/>
                <w:color w:val="auto"/>
              </w:rPr>
            </w:pPr>
            <w:r>
              <w:rPr>
                <w:rFonts w:ascii="Times New Roman" w:cs="Times New Roman" w:eastAsia="Times New Roman" w:hAnsi="Times New Roman"/>
                <w:sz w:val="18"/>
                <w:szCs w:val="18"/>
                <w:color w:val="auto"/>
                <w:w w:val="98"/>
              </w:rPr>
              <w:t>Lawrence E. Washow</w:t>
            </w:r>
          </w:p>
        </w:tc>
      </w:tr>
      <w:tr>
        <w:trPr>
          <w:trHeight w:val="270"/>
        </w:trPr>
        <w:tc>
          <w:tcPr>
            <w:tcW w:w="1960" w:type="dxa"/>
            <w:vAlign w:val="bottom"/>
          </w:tcPr>
          <w:p>
            <w:pPr>
              <w:spacing w:after="0"/>
              <w:rPr>
                <w:sz w:val="23"/>
                <w:szCs w:val="23"/>
                <w:color w:val="auto"/>
              </w:rPr>
            </w:pPr>
          </w:p>
        </w:tc>
        <w:tc>
          <w:tcPr>
            <w:tcW w:w="5180" w:type="dxa"/>
            <w:vAlign w:val="bottom"/>
            <w:gridSpan w:val="2"/>
          </w:tcPr>
          <w:p>
            <w:pPr>
              <w:jc w:val="center"/>
              <w:ind w:right="34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675"/>
        </w:trPr>
        <w:tc>
          <w:tcPr>
            <w:tcW w:w="1960" w:type="dxa"/>
            <w:vAlign w:val="bottom"/>
          </w:tcPr>
          <w:p>
            <w:pPr>
              <w:spacing w:after="0"/>
              <w:rPr>
                <w:sz w:val="24"/>
                <w:szCs w:val="24"/>
                <w:color w:val="auto"/>
              </w:rPr>
            </w:pPr>
          </w:p>
        </w:tc>
        <w:tc>
          <w:tcPr>
            <w:tcW w:w="518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77</w:t>
            </w:r>
          </w:p>
        </w:tc>
      </w:tr>
    </w:tbl>
    <w:p>
      <w:pPr>
        <w:sectPr>
          <w:pgSz w:w="11900" w:h="16838" w:orient="portrait"/>
          <w:cols w:equalWidth="0" w:num="1">
            <w:col w:w="10139"/>
          </w:cols>
          <w:pgMar w:left="320" w:top="769"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OIL-DRI CORPORATION OF AMERICA AND SUBSIDIARIES</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387" w:lineRule="exact"/>
        <w:rPr>
          <w:sz w:val="20"/>
          <w:szCs w:val="20"/>
          <w:color w:val="auto"/>
        </w:rPr>
      </w:pPr>
    </w:p>
    <w:tbl>
      <w:tblPr>
        <w:tblLayout w:type="fixed"/>
        <w:tblInd w:w="194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and cash discounts: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 (Reduction)</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recovery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reserve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7"/>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360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549" w:right="1440"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9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34290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30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w:anchor="page80">
        <w:r>
          <w:rPr>
            <w:rFonts w:ascii="Times New Roman" w:cs="Times New Roman" w:eastAsia="Times New Roman" w:hAnsi="Times New Roman"/>
            <w:sz w:val="18"/>
            <w:szCs w:val="18"/>
            <w:u w:val="single" w:color="auto"/>
            <w:color w:val="0000FF"/>
          </w:rPr>
          <w:t>Description of Capital Stock</w:t>
        </w:r>
      </w:hyperlink>
    </w:p>
    <w:p>
      <w:pPr>
        <w:spacing w:after="0" w:line="63" w:lineRule="exact"/>
        <w:rPr>
          <w:sz w:val="20"/>
          <w:szCs w:val="20"/>
          <w:color w:val="auto"/>
        </w:rPr>
      </w:pPr>
    </w:p>
    <w:p>
      <w:pPr>
        <w:ind w:left="22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w:anchor="page82">
        <w:r>
          <w:rPr>
            <w:rFonts w:ascii="Times New Roman" w:cs="Times New Roman" w:eastAsia="Times New Roman" w:hAnsi="Times New Roman"/>
            <w:sz w:val="17"/>
            <w:szCs w:val="17"/>
            <w:u w:val="single" w:color="auto"/>
            <w:color w:val="0000FF"/>
          </w:rPr>
          <w:t>Second Amendment, effective June 30, 2020, to the Oil-Dri Corporation of America Supplemental Executive Retirement Plan dated April</w:t>
        </w:r>
      </w:hyperlink>
    </w:p>
    <w:p>
      <w:pPr>
        <w:spacing w:after="0" w:line="27"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1, 2003.</w:t>
        </w:r>
      </w:hyperlink>
    </w:p>
    <w:p>
      <w:pPr>
        <w:spacing w:after="0" w:line="369" w:lineRule="exact"/>
        <w:rPr>
          <w:sz w:val="20"/>
          <w:szCs w:val="20"/>
          <w:color w:val="auto"/>
        </w:rPr>
      </w:pPr>
    </w:p>
    <w:p>
      <w:pPr>
        <w:ind w:left="1060" w:right="480" w:hanging="856"/>
        <w:spacing w:after="0" w:line="28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w:anchor="page84">
        <w:r>
          <w:rPr>
            <w:rFonts w:ascii="Times New Roman" w:cs="Times New Roman" w:eastAsia="Times New Roman" w:hAnsi="Times New Roman"/>
            <w:sz w:val="18"/>
            <w:szCs w:val="18"/>
            <w:u w:val="single" w:color="auto"/>
            <w:color w:val="0000FF"/>
          </w:rPr>
          <w:t>First Amendment, effective July 1, 2020, to the Oil-Dri Corporation of America 2005 Deferred Compensation Plan (as amended and</w:t>
        </w:r>
      </w:hyperlink>
      <w:r>
        <w:rPr>
          <w:rFonts w:ascii="Times New Roman" w:cs="Times New Roman" w:eastAsia="Times New Roman" w:hAnsi="Times New Roman"/>
          <w:sz w:val="18"/>
          <w:szCs w:val="18"/>
          <w:u w:val="single" w:color="auto"/>
          <w:color w:val="0000FF"/>
        </w:rPr>
        <w:t xml:space="preserve"> </w:t>
      </w:r>
      <w:hyperlink w:anchor="page84">
        <w:r>
          <w:rPr>
            <w:rFonts w:ascii="Times New Roman" w:cs="Times New Roman" w:eastAsia="Times New Roman" w:hAnsi="Times New Roman"/>
            <w:sz w:val="18"/>
            <w:szCs w:val="18"/>
            <w:u w:val="single" w:color="auto"/>
            <w:color w:val="0000FF"/>
          </w:rPr>
          <w:t>restated effective January 1, 2008).</w:t>
        </w:r>
      </w:hyperlink>
    </w:p>
    <w:p>
      <w:pPr>
        <w:spacing w:after="0" w:line="324" w:lineRule="exact"/>
        <w:rPr>
          <w:sz w:val="20"/>
          <w:szCs w:val="20"/>
          <w:color w:val="auto"/>
        </w:rPr>
      </w:pPr>
    </w:p>
    <w:p>
      <w:pPr>
        <w:ind w:left="2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11.1</w:t>
      </w:r>
      <w:r>
        <w:rPr>
          <w:sz w:val="20"/>
          <w:szCs w:val="20"/>
          <w:color w:val="auto"/>
        </w:rPr>
        <w:tab/>
      </w:r>
      <w:hyperlink w:anchor="page87">
        <w:r>
          <w:rPr>
            <w:rFonts w:ascii="Times New Roman" w:cs="Times New Roman" w:eastAsia="Times New Roman" w:hAnsi="Times New Roman"/>
            <w:sz w:val="18"/>
            <w:szCs w:val="18"/>
            <w:u w:val="single" w:color="auto"/>
            <w:color w:val="0000FF"/>
          </w:rPr>
          <w:t>Statement Re: Computation of Net Income Per Share</w:t>
        </w:r>
      </w:hyperlink>
    </w:p>
    <w:p>
      <w:pPr>
        <w:spacing w:after="0" w:line="333" w:lineRule="exact"/>
        <w:rPr>
          <w:sz w:val="20"/>
          <w:szCs w:val="20"/>
          <w:color w:val="auto"/>
        </w:rPr>
      </w:pPr>
    </w:p>
    <w:p>
      <w:pPr>
        <w:ind w:left="2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w:anchor="page88">
        <w:r>
          <w:rPr>
            <w:rFonts w:ascii="Times New Roman" w:cs="Times New Roman" w:eastAsia="Times New Roman" w:hAnsi="Times New Roman"/>
            <w:sz w:val="18"/>
            <w:szCs w:val="18"/>
            <w:u w:val="single" w:color="auto"/>
            <w:color w:val="0000FF"/>
          </w:rPr>
          <w:t>Subsidiaries of Oil-Dri Corporation of America</w:t>
        </w:r>
      </w:hyperlink>
    </w:p>
    <w:p>
      <w:pPr>
        <w:spacing w:after="0" w:line="333"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23.1</w:t>
      </w:r>
      <w:r>
        <w:rPr>
          <w:sz w:val="20"/>
          <w:szCs w:val="20"/>
          <w:color w:val="auto"/>
        </w:rPr>
        <w:tab/>
      </w:r>
      <w:hyperlink w:anchor="page89">
        <w:r>
          <w:rPr>
            <w:rFonts w:ascii="Times New Roman" w:cs="Times New Roman" w:eastAsia="Times New Roman" w:hAnsi="Times New Roman"/>
            <w:sz w:val="17"/>
            <w:szCs w:val="17"/>
            <w:u w:val="single" w:color="auto"/>
            <w:color w:val="0000FF"/>
          </w:rPr>
          <w:t>Consent of Independent Registered Public Accounting Firm</w:t>
        </w:r>
      </w:hyperlink>
    </w:p>
    <w:p>
      <w:pPr>
        <w:spacing w:after="0" w:line="333" w:lineRule="exact"/>
        <w:rPr>
          <w:sz w:val="20"/>
          <w:szCs w:val="20"/>
          <w:color w:val="auto"/>
        </w:rPr>
      </w:pPr>
    </w:p>
    <w:p>
      <w:pPr>
        <w:ind w:left="2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90">
        <w:r>
          <w:rPr>
            <w:rFonts w:ascii="Times New Roman" w:cs="Times New Roman" w:eastAsia="Times New Roman" w:hAnsi="Times New Roman"/>
            <w:sz w:val="18"/>
            <w:szCs w:val="18"/>
            <w:u w:val="single" w:color="auto"/>
            <w:color w:val="0000FF"/>
          </w:rPr>
          <w:t>Certifications by Daniel S. Jaffee, President and Chief Executive Officer and Susan M. Kreh, Chief Financial Officer, required by Rule</w:t>
        </w:r>
      </w:hyperlink>
    </w:p>
    <w:p>
      <w:pPr>
        <w:spacing w:after="0" w:line="27"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13a-14(a)</w:t>
        </w:r>
      </w:hyperlink>
    </w:p>
    <w:p>
      <w:pPr>
        <w:spacing w:after="0" w:line="315" w:lineRule="exact"/>
        <w:rPr>
          <w:sz w:val="20"/>
          <w:szCs w:val="20"/>
          <w:color w:val="auto"/>
        </w:rPr>
      </w:pPr>
    </w:p>
    <w:p>
      <w:pPr>
        <w:ind w:left="2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hyperlink w:anchor="page92">
        <w:r>
          <w:rPr>
            <w:rFonts w:ascii="Times New Roman" w:cs="Times New Roman" w:eastAsia="Times New Roman" w:hAnsi="Times New Roman"/>
            <w:sz w:val="18"/>
            <w:szCs w:val="18"/>
            <w:u w:val="single" w:color="auto"/>
            <w:color w:val="0000FF"/>
          </w:rPr>
          <w:t>Certifications pursuant to Section 1350 of the Sarbanes-Oxley Act of 2002</w:t>
        </w:r>
      </w:hyperlink>
    </w:p>
    <w:p>
      <w:pPr>
        <w:spacing w:after="0" w:line="333" w:lineRule="exact"/>
        <w:rPr>
          <w:sz w:val="20"/>
          <w:szCs w:val="20"/>
          <w:color w:val="auto"/>
        </w:rPr>
      </w:pPr>
    </w:p>
    <w:p>
      <w:pPr>
        <w:ind w:left="1060" w:hanging="736"/>
        <w:spacing w:after="0"/>
        <w:tabs>
          <w:tab w:leader="none" w:pos="1060" w:val="left"/>
        </w:tabs>
        <w:numPr>
          <w:ilvl w:val="0"/>
          <w:numId w:val="16"/>
        </w:numPr>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Mine Safety Disclosure</w:t>
        </w:r>
      </w:hyperlink>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101.SCH</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432"/>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41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Note:</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may receive copies of the above listed exhibits, without fee, by written request to Investor Relations, Oil-Dri Corporation of</w:t>
            </w:r>
          </w:p>
        </w:tc>
      </w:tr>
      <w:tr>
        <w:trPr>
          <w:trHeight w:val="234"/>
        </w:trPr>
        <w:tc>
          <w:tcPr>
            <w:tcW w:w="84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 410 North Michigan Avenue, Suite 400, Chicago, Illinois 60611-4213, telephone (312) 321-1515 or e-mail to info@oildri.com.</w:t>
            </w:r>
          </w:p>
        </w:tc>
      </w:tr>
      <w:tr>
        <w:trPr>
          <w:trHeight w:val="675"/>
        </w:trPr>
        <w:tc>
          <w:tcPr>
            <w:tcW w:w="840" w:type="dxa"/>
            <w:vAlign w:val="bottom"/>
          </w:tcPr>
          <w:p>
            <w:pPr>
              <w:spacing w:after="0"/>
              <w:rPr>
                <w:sz w:val="24"/>
                <w:szCs w:val="24"/>
                <w:color w:val="auto"/>
              </w:rPr>
            </w:pPr>
          </w:p>
        </w:tc>
        <w:tc>
          <w:tcPr>
            <w:tcW w:w="10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79</w:t>
            </w:r>
          </w:p>
        </w:tc>
      </w:tr>
    </w:tbl>
    <w:p>
      <w:pPr>
        <w:sectPr>
          <w:pgSz w:w="11900" w:h="16838" w:orient="portrait"/>
          <w:cols w:equalWidth="0" w:num="1">
            <w:col w:w="11100"/>
          </w:cols>
          <w:pgMar w:left="420" w:top="549"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and is subject to and qualified in its entirety by reference to both the Certificate of Incorporation of Oil-Dri, as amended (the "Certificate of Incorporation"), and the By-Laws of Oil-Dri Corporation of America, as Amended and Restated (the "By-laws"). The Certificate of Incorporation and the By-laws are each incorporated by reference as an exhibit to the Annual Report on Form 10-K of which this Exhibit 4.1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as of July 31, 2020 and 2019 consisted of 15,000,000 shares of Common Stock, 7,000,000 shares of Class B Stock and 30,000,000 shares of Class A Common Stock, each with a par value of $.10 per share. There are no Class A Common Stock shares currently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is entitled to one vote per share and Class B Stock is entitled to ten votes per share, while Class A Common Stock has no voting rights except in accordance with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Common Stock, Class A Common Stock and Class B Stock are equal in respect of all rights to dividends (other than cash as described above)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and Class A Common Stock have no conversion rights. Class B Stock is convertible on a share-by-share basis into Common Stock at any time and is subject to mandatory conversion under certain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of Class Rights and Powers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when the shares of Class B Stock cease to account for at least 20% of the total of both shares of Common Stock and Class B Stock outstanding, or for a period of one year do not account for at least 10% of the the total shares of Common Stock, Class B Stock and Class A Common Stock outstanding, then any shares of Class B Stock outstanding shall, without any action by the Board of Directors, automatically convert to shares of Common Stock. In addition, and the provisions for different voting or cash dividend rights for Common Stock and Class B Stock shall thence forth not be in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all classes of stock are entitled to share ratably as a single class in the remaining net assets of the Company. A merger or consolidation of the Company or a sale or conveyance of all or any part of the Company's assets will not be deemed a liquidation, dissolution or winding 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Sale and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Stock is subject to restrictions that permit the sale or transfer of these shares only to certain permitted transferees.</w:t>
      </w:r>
    </w:p>
    <w:p>
      <w:pPr>
        <w:sectPr>
          <w:pgSz w:w="11900" w:h="16838" w:orient="portrait"/>
          <w:cols w:equalWidth="0" w:num="1">
            <w:col w:w="11240"/>
          </w:cols>
          <w:pgMar w:left="320" w:top="54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 Redemption or Preemptive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have no preemptive, redemption or subscription rights.</w:t>
      </w:r>
    </w:p>
    <w:p>
      <w:pPr>
        <w:sectPr>
          <w:pgSz w:w="11900" w:h="16838" w:orient="portrait"/>
          <w:cols w:equalWidth="0" w:num="1">
            <w:col w:w="10139"/>
          </w:cols>
          <w:pgMar w:left="320" w:top="549"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w:t>
      </w:r>
    </w:p>
    <w:p>
      <w:pPr>
        <w:spacing w:after="0" w:line="207"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WHEREAS, Oil-Dri Corporation of America (the “Corporation”) maintains the Oil-Dri Corporation of America Supplemental Executive Retirement Plan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Section 5.1 of the Plan provides that the Corporation may amend the Plan at any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Corporation previously amended the Plan effective March 1, 2020, to freeze Plan participation and future benefit accruals;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Section 5.2 of the Plan provides that the Corporation may terminate the Plan at any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Corporation deems it appropriate to terminate the Plan effective June 30, 2020;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of Directors of the Corporation has previously approved terminating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Corporation amends the Plan, effective June 30, 2020, to provide for its termination, as follows:</w:t>
      </w:r>
    </w:p>
    <w:p>
      <w:pPr>
        <w:spacing w:after="0" w:line="225" w:lineRule="exact"/>
        <w:rPr>
          <w:sz w:val="20"/>
          <w:szCs w:val="20"/>
          <w:color w:val="auto"/>
        </w:rPr>
      </w:pPr>
    </w:p>
    <w:p>
      <w:pPr>
        <w:ind w:left="1420" w:hanging="778"/>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defined herein shall have the meaning as defined under the Plan.</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8 is added to the Plan and reads as follows: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8 - Plan Termination</w:t>
      </w:r>
    </w:p>
    <w:p>
      <w:pPr>
        <w:spacing w:after="0" w:line="229" w:lineRule="exact"/>
        <w:rPr>
          <w:sz w:val="20"/>
          <w:szCs w:val="20"/>
          <w:color w:val="auto"/>
        </w:rPr>
      </w:pPr>
    </w:p>
    <w:p>
      <w:pPr>
        <w:ind w:left="1960"/>
        <w:spacing w:after="0"/>
        <w:tabs>
          <w:tab w:leader="none" w:pos="23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Termination. Effective June 30, 2020 (the “Termination Date”), the Plan shall be terminated in accordance with this Article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w:t>
      </w:r>
    </w:p>
    <w:p>
      <w:pPr>
        <w:spacing w:after="0" w:line="207" w:lineRule="exact"/>
        <w:rPr>
          <w:sz w:val="20"/>
          <w:szCs w:val="20"/>
          <w:color w:val="auto"/>
        </w:rPr>
      </w:pPr>
    </w:p>
    <w:p>
      <w:pPr>
        <w:ind w:left="1960"/>
        <w:spacing w:after="0"/>
        <w:tabs>
          <w:tab w:leader="none" w:pos="2340" w:val="left"/>
        </w:tabs>
        <w:rPr>
          <w:sz w:val="20"/>
          <w:szCs w:val="20"/>
          <w:color w:val="auto"/>
        </w:rPr>
      </w:pPr>
      <w:r>
        <w:rPr>
          <w:rFonts w:ascii="Times New Roman" w:cs="Times New Roman" w:eastAsia="Times New Roman" w:hAnsi="Times New Roman"/>
          <w:sz w:val="18"/>
          <w:szCs w:val="18"/>
          <w:color w:val="auto"/>
        </w:rPr>
        <w:t>8.2</w:t>
        <w:tab/>
        <w:t>Distribution of Benefits.</w:t>
      </w:r>
    </w:p>
    <w:p>
      <w:pPr>
        <w:spacing w:after="0" w:line="225" w:lineRule="exact"/>
        <w:rPr>
          <w:sz w:val="20"/>
          <w:szCs w:val="20"/>
          <w:color w:val="auto"/>
        </w:rPr>
      </w:pPr>
    </w:p>
    <w:p>
      <w:pPr>
        <w:ind w:left="1300" w:right="20" w:firstLine="652"/>
        <w:spacing w:after="0" w:line="282" w:lineRule="auto"/>
        <w:tabs>
          <w:tab w:leader="none" w:pos="23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8.2(b) and 8.2(c), all benefits payable to a Participant or Beneficiary under the Plan shall be distributed in the form of one lump sum no earlier than 12 months and no later than 24 months following the Termination Date.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4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that become due to a Participant or Beneficiary pursuant to the Plan prior the first anniversary of the Termination Date shall be paid pursuant to the terms of the Plan without regard to this Section 8.2.</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that would otherwise have been payable pursuant to the Plan on or after June 30, 2021, shall instead be paid in the form of one lump sum, with such lump sum payable no earlier than June 30, 2021 and no later than June 8, 2022.”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Second Amendment to be executed by the signature of a duly authorized officer as of this 29th day of June 2020 effective as provided herein.</w:t>
      </w:r>
    </w:p>
    <w:p>
      <w:pPr>
        <w:sectPr>
          <w:pgSz w:w="11900" w:h="16838" w:orient="portrait"/>
          <w:cols w:equalWidth="0" w:num="1">
            <w:col w:w="11240"/>
          </w:cols>
          <w:pgMar w:left="320" w:top="549"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3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w w:val="98"/>
              </w:rPr>
              <w:t>OIL-DRI CORPORATION OF AMERICA</w:t>
            </w:r>
          </w:p>
        </w:tc>
        <w:tc>
          <w:tcPr>
            <w:tcW w:w="0" w:type="dxa"/>
            <w:vAlign w:val="bottom"/>
          </w:tcPr>
          <w:p>
            <w:pPr>
              <w:spacing w:after="0"/>
              <w:rPr>
                <w:sz w:val="1"/>
                <w:szCs w:val="1"/>
                <w:color w:val="auto"/>
              </w:rPr>
            </w:pPr>
          </w:p>
        </w:tc>
      </w:tr>
      <w:tr>
        <w:trPr>
          <w:trHeight w:val="608"/>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By: /s/ Susan Kreh</w:t>
            </w:r>
          </w:p>
        </w:tc>
        <w:tc>
          <w:tcPr>
            <w:tcW w:w="0" w:type="dxa"/>
            <w:vAlign w:val="bottom"/>
          </w:tcPr>
          <w:p>
            <w:pPr>
              <w:spacing w:after="0"/>
              <w:rPr>
                <w:sz w:val="1"/>
                <w:szCs w:val="1"/>
                <w:color w:val="auto"/>
              </w:rPr>
            </w:pPr>
          </w:p>
        </w:tc>
      </w:tr>
      <w:tr>
        <w:trPr>
          <w:trHeight w:val="344"/>
        </w:trPr>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ATTEST</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By: /s/ Laura G. Scheland</w:t>
            </w:r>
          </w:p>
        </w:tc>
        <w:tc>
          <w:tcPr>
            <w:tcW w:w="43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Its: CFO</w:t>
            </w:r>
          </w:p>
        </w:tc>
        <w:tc>
          <w:tcPr>
            <w:tcW w:w="0" w:type="dxa"/>
            <w:vAlign w:val="bottom"/>
          </w:tcPr>
          <w:p>
            <w:pPr>
              <w:spacing w:after="0"/>
              <w:rPr>
                <w:sz w:val="1"/>
                <w:szCs w:val="1"/>
                <w:color w:val="auto"/>
              </w:rPr>
            </w:pPr>
          </w:p>
        </w:tc>
      </w:tr>
      <w:tr>
        <w:trPr>
          <w:trHeight w:val="88"/>
        </w:trPr>
        <w:tc>
          <w:tcPr>
            <w:tcW w:w="4040" w:type="dxa"/>
            <w:vAlign w:val="bottom"/>
            <w:gridSpan w:val="7"/>
            <w:vMerge w:val="continue"/>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Its: Vice President and General Counsel</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June 29, 2020</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19"/>
          </w:cols>
          <w:pgMar w:left="740" w:top="715"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2005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WHEREAS, Oil-Dri Corporation of America (the “Company”) maintains the Oil-Dri Corporation of America 2005 Deferred Compensation Plan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Section 9.1 of the Plan provides that the Company may amend the Plan at any time; and</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deems it appropriate to amend the Plan to add an employer discretionary contribution effective July 1, 2020 and the Company’s Board of Directors have approved such an amendment.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Company amends the Plan, effective July 1, 2020, as follows:</w:t>
      </w:r>
    </w:p>
    <w:p>
      <w:pPr>
        <w:spacing w:after="0" w:line="22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defined herein shall have the meaning as defined under the Plan.</w:t>
      </w:r>
    </w:p>
    <w:p>
      <w:pPr>
        <w:spacing w:after="0" w:line="225"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2.24, 2.25 and 2.26 entitled “Company Contribution”, “Retirement” and “Year of Service” respectively are added to read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 xml:space="preserve">Company Contribution </w:t>
      </w:r>
      <w:r>
        <w:rPr>
          <w:rFonts w:ascii="Times New Roman" w:cs="Times New Roman" w:eastAsia="Times New Roman" w:hAnsi="Times New Roman"/>
          <w:sz w:val="17"/>
          <w:szCs w:val="17"/>
          <w:color w:val="auto"/>
        </w:rPr>
        <w:t>means a contribution made by the Company on behalf of a Participant pursuant to Section 4.2.</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b w:val="1"/>
          <w:bCs w:val="1"/>
          <w:color w:val="auto"/>
        </w:rPr>
        <w:t xml:space="preserve">Retirement </w:t>
      </w:r>
      <w:r>
        <w:rPr>
          <w:rFonts w:ascii="Times New Roman" w:cs="Times New Roman" w:eastAsia="Times New Roman" w:hAnsi="Times New Roman"/>
          <w:sz w:val="17"/>
          <w:szCs w:val="17"/>
          <w:color w:val="auto"/>
        </w:rPr>
        <w:t>means a Participant’s Separation from Service at or after the attainment of age 55.</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2.26 Year of Service </w:t>
      </w:r>
      <w:r>
        <w:rPr>
          <w:rFonts w:ascii="Times New Roman" w:cs="Times New Roman" w:eastAsia="Times New Roman" w:hAnsi="Times New Roman"/>
          <w:sz w:val="18"/>
          <w:szCs w:val="18"/>
          <w:color w:val="auto"/>
        </w:rPr>
        <w:t>means each twelve (12) month period commencing on a Participant’s commencement of employment with the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ending on the date the Participant’s Separation from Service.”</w:t>
      </w:r>
    </w:p>
    <w:p>
      <w:pPr>
        <w:spacing w:after="0" w:line="159" w:lineRule="exact"/>
        <w:rPr>
          <w:sz w:val="20"/>
          <w:szCs w:val="20"/>
          <w:color w:val="auto"/>
        </w:rPr>
      </w:pPr>
    </w:p>
    <w:p>
      <w:pPr>
        <w:ind w:left="660" w:right="4280" w:hanging="328"/>
        <w:spacing w:after="0" w:line="50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 is renamed “Contributions” and a new Section 4.2 is added to read as follows: “</w:t>
      </w:r>
      <w:r>
        <w:rPr>
          <w:rFonts w:ascii="Times New Roman" w:cs="Times New Roman" w:eastAsia="Times New Roman" w:hAnsi="Times New Roman"/>
          <w:sz w:val="18"/>
          <w:szCs w:val="18"/>
          <w:b w:val="1"/>
          <w:bCs w:val="1"/>
          <w:color w:val="auto"/>
        </w:rPr>
        <w:t>4.2 Company Contributions</w:t>
      </w:r>
    </w:p>
    <w:p>
      <w:pPr>
        <w:spacing w:after="0" w:line="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each Plan Year the Company may, but is not required to, contribute to any Participant’s Account, a Company Contribution. For any Plan Year, Company Contributions may be made for some, but not all, Participants. The amount of the Company Contribution for any Plan Year may vary from Participant to Participant, all as determined by the Company in its sole discretion. No earnings shall be credited on any Company Contributions until after such contributions are allocated to a Participant’s Account. For the avoidance of doubt, it is permissible for the Company to determine that no Company Contributions shall be made to the Account of any Participant.”</w:t>
      </w:r>
    </w:p>
    <w:p>
      <w:pPr>
        <w:spacing w:after="0" w:line="183" w:lineRule="exact"/>
        <w:rPr>
          <w:sz w:val="20"/>
          <w:szCs w:val="20"/>
          <w:color w:val="auto"/>
        </w:rPr>
      </w:pPr>
    </w:p>
    <w:p>
      <w:pPr>
        <w:ind w:left="660" w:right="7540" w:hanging="328"/>
        <w:spacing w:after="0" w:line="50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 is amended to read as follows: “</w:t>
      </w:r>
      <w:r>
        <w:rPr>
          <w:rFonts w:ascii="Times New Roman" w:cs="Times New Roman" w:eastAsia="Times New Roman" w:hAnsi="Times New Roman"/>
          <w:sz w:val="18"/>
          <w:szCs w:val="18"/>
          <w:b w:val="1"/>
          <w:bCs w:val="1"/>
          <w:color w:val="auto"/>
        </w:rPr>
        <w:t>5.1 Accounts</w:t>
      </w:r>
    </w:p>
    <w:p>
      <w:pPr>
        <w:spacing w:after="0" w:line="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Administrator shall establish a bookkeeping Account for each Participant reflecting Elective Deferrals and Company Contributions made for the Participant’s benefit and any distributions to the Participant, together with any adjustments for Earnings. The Plan Administrator shall provide the Participant as soon as practicable after the end of the Plan Year with a statement of his or her Account as of the last business day of the Plan Year, reflecting the amounts of Elective Deferrals, Company Contributions, Earnings, and distributions of such Account since the prior statement.”</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 is amended to read as follows:</w:t>
      </w:r>
    </w:p>
    <w:p>
      <w:pPr>
        <w:sectPr>
          <w:pgSz w:w="11900" w:h="16838" w:orient="portrait"/>
          <w:cols w:equalWidth="0" w:num="1">
            <w:col w:w="11240"/>
          </w:cols>
          <w:pgMar w:left="320" w:top="1413" w:right="339" w:bottom="1440" w:gutter="0" w:footer="0" w:header="0"/>
        </w:sectPr>
      </w:pPr>
    </w:p>
    <w:bookmarkStart w:id="84" w:name="page85"/>
    <w:bookmarkEnd w:id="84"/>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Participant shall be immediately vested in and, subject to Participant’s elections as to time and form of payment under Section 7.1, shall have a nonforfeitable right to, all Elective Deferrals and all Earnings attributable thereto credited to his or her Account.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Participant shall be vested in and, subject to Participant’s elections as to time and form of payment under Section 7.1, shall have a nonforfeitable right to, all Company Contributions and all Earnings thereon in accordance with the schedule below.</w:t>
      </w:r>
    </w:p>
    <w:p>
      <w:pPr>
        <w:spacing w:after="0" w:line="324" w:lineRule="exact"/>
        <w:rPr>
          <w:sz w:val="20"/>
          <w:szCs w:val="20"/>
          <w:color w:val="auto"/>
        </w:rPr>
      </w:pPr>
    </w:p>
    <w:tbl>
      <w:tblPr>
        <w:tblLayout w:type="fixed"/>
        <w:tblInd w:w="28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0" w:type="dxa"/>
            <w:vAlign w:val="bottom"/>
            <w:gridSpan w:val="4"/>
          </w:tcPr>
          <w:p>
            <w:pPr>
              <w:jc w:val="center"/>
              <w:ind w:left="1050"/>
              <w:spacing w:after="0"/>
              <w:rPr>
                <w:sz w:val="20"/>
                <w:szCs w:val="20"/>
                <w:color w:val="auto"/>
              </w:rPr>
            </w:pPr>
            <w:r>
              <w:rPr>
                <w:rFonts w:ascii="Times New Roman" w:cs="Times New Roman" w:eastAsia="Times New Roman" w:hAnsi="Times New Roman"/>
                <w:sz w:val="18"/>
                <w:szCs w:val="18"/>
                <w:color w:val="auto"/>
                <w:w w:val="99"/>
              </w:rPr>
              <w:t>The Nonforfeitable</w:t>
            </w:r>
          </w:p>
        </w:tc>
      </w:tr>
      <w:tr>
        <w:trPr>
          <w:trHeight w:val="194"/>
        </w:trPr>
        <w:tc>
          <w:tcPr>
            <w:tcW w:w="40" w:type="dxa"/>
            <w:vAlign w:val="bottom"/>
          </w:tcPr>
          <w:p>
            <w:pPr>
              <w:spacing w:after="0"/>
              <w:rPr>
                <w:sz w:val="16"/>
                <w:szCs w:val="16"/>
                <w:color w:val="auto"/>
              </w:rPr>
            </w:pPr>
          </w:p>
        </w:tc>
        <w:tc>
          <w:tcPr>
            <w:tcW w:w="1940" w:type="dxa"/>
            <w:vAlign w:val="bottom"/>
            <w:gridSpan w:val="2"/>
          </w:tcPr>
          <w:p>
            <w:pPr>
              <w:jc w:val="center"/>
              <w:ind w:right="1180"/>
              <w:spacing w:after="0" w:line="194" w:lineRule="exact"/>
              <w:rPr>
                <w:sz w:val="20"/>
                <w:szCs w:val="20"/>
                <w:color w:val="auto"/>
              </w:rPr>
            </w:pPr>
            <w:r>
              <w:rPr>
                <w:rFonts w:ascii="Times New Roman" w:cs="Times New Roman" w:eastAsia="Times New Roman" w:hAnsi="Times New Roman"/>
                <w:sz w:val="18"/>
                <w:szCs w:val="18"/>
                <w:color w:val="auto"/>
                <w:w w:val="95"/>
              </w:rPr>
              <w:t>Years</w:t>
            </w:r>
          </w:p>
        </w:tc>
        <w:tc>
          <w:tcPr>
            <w:tcW w:w="5200" w:type="dxa"/>
            <w:vAlign w:val="bottom"/>
            <w:gridSpan w:val="4"/>
          </w:tcPr>
          <w:p>
            <w:pPr>
              <w:jc w:val="center"/>
              <w:ind w:left="1050"/>
              <w:spacing w:after="0" w:line="194" w:lineRule="exact"/>
              <w:rPr>
                <w:sz w:val="20"/>
                <w:szCs w:val="20"/>
                <w:color w:val="auto"/>
              </w:rPr>
            </w:pPr>
            <w:r>
              <w:rPr>
                <w:rFonts w:ascii="Times New Roman" w:cs="Times New Roman" w:eastAsia="Times New Roman" w:hAnsi="Times New Roman"/>
                <w:sz w:val="18"/>
                <w:szCs w:val="18"/>
                <w:color w:val="auto"/>
                <w:w w:val="99"/>
              </w:rPr>
              <w:t>Percentage of Company Contributions and any Earnings</w:t>
            </w:r>
          </w:p>
        </w:tc>
      </w:tr>
      <w:tr>
        <w:trPr>
          <w:trHeight w:val="196"/>
        </w:trPr>
        <w:tc>
          <w:tcPr>
            <w:tcW w:w="40" w:type="dxa"/>
            <w:vAlign w:val="bottom"/>
          </w:tcPr>
          <w:p>
            <w:pPr>
              <w:spacing w:after="0"/>
              <w:rPr>
                <w:sz w:val="17"/>
                <w:szCs w:val="17"/>
                <w:color w:val="auto"/>
              </w:rPr>
            </w:pPr>
          </w:p>
        </w:tc>
        <w:tc>
          <w:tcPr>
            <w:tcW w:w="1940" w:type="dxa"/>
            <w:vAlign w:val="bottom"/>
            <w:gridSpan w:val="2"/>
          </w:tcPr>
          <w:p>
            <w:pPr>
              <w:jc w:val="center"/>
              <w:ind w:right="1200"/>
              <w:spacing w:after="0" w:line="196" w:lineRule="exact"/>
              <w:rPr>
                <w:sz w:val="20"/>
                <w:szCs w:val="20"/>
                <w:color w:val="auto"/>
              </w:rPr>
            </w:pPr>
            <w:r>
              <w:rPr>
                <w:rFonts w:ascii="Times New Roman" w:cs="Times New Roman" w:eastAsia="Times New Roman" w:hAnsi="Times New Roman"/>
                <w:sz w:val="18"/>
                <w:szCs w:val="18"/>
                <w:color w:val="auto"/>
              </w:rPr>
              <w:t>of Service</w:t>
            </w:r>
          </w:p>
        </w:tc>
        <w:tc>
          <w:tcPr>
            <w:tcW w:w="2860" w:type="dxa"/>
            <w:vAlign w:val="bottom"/>
          </w:tcPr>
          <w:p>
            <w:pPr>
              <w:spacing w:after="0"/>
              <w:rPr>
                <w:sz w:val="17"/>
                <w:szCs w:val="17"/>
                <w:color w:val="auto"/>
              </w:rPr>
            </w:pPr>
          </w:p>
        </w:tc>
        <w:tc>
          <w:tcPr>
            <w:tcW w:w="1100" w:type="dxa"/>
            <w:vAlign w:val="bottom"/>
            <w:gridSpan w:val="2"/>
          </w:tcPr>
          <w:p>
            <w:pPr>
              <w:jc w:val="center"/>
              <w:ind w:right="500"/>
              <w:spacing w:after="0" w:line="196" w:lineRule="exact"/>
              <w:rPr>
                <w:sz w:val="20"/>
                <w:szCs w:val="20"/>
                <w:color w:val="auto"/>
              </w:rPr>
            </w:pPr>
            <w:r>
              <w:rPr>
                <w:rFonts w:ascii="Times New Roman" w:cs="Times New Roman" w:eastAsia="Times New Roman" w:hAnsi="Times New Roman"/>
                <w:sz w:val="18"/>
                <w:szCs w:val="18"/>
                <w:color w:val="auto"/>
                <w:w w:val="99"/>
              </w:rPr>
              <w:t>Thereon</w:t>
            </w:r>
          </w:p>
        </w:tc>
        <w:tc>
          <w:tcPr>
            <w:tcW w:w="1240" w:type="dxa"/>
            <w:vAlign w:val="bottom"/>
            <w:tcBorders>
              <w:top w:val="single" w:sz="8" w:color="auto"/>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2"/>
        </w:trPr>
        <w:tc>
          <w:tcPr>
            <w:tcW w:w="19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Less than 2</w:t>
            </w:r>
          </w:p>
        </w:tc>
        <w:tc>
          <w:tcPr>
            <w:tcW w:w="3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4"/>
        </w:trPr>
        <w:tc>
          <w:tcPr>
            <w:tcW w:w="40" w:type="dxa"/>
            <w:vAlign w:val="bottom"/>
          </w:tcPr>
          <w:p>
            <w:pPr>
              <w:spacing w:after="0"/>
              <w:rPr>
                <w:sz w:val="20"/>
                <w:szCs w:val="20"/>
                <w:color w:val="auto"/>
              </w:rPr>
            </w:pPr>
          </w:p>
        </w:tc>
        <w:tc>
          <w:tcPr>
            <w:tcW w:w="19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9"/>
              </w:rPr>
              <w:t>2 or More</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all outstanding but unvested Company Contributions of a Participant who has not incurred a Separation from Service shall become vested and nonforfeitable upon a Change in Control or a Participant’s death. For the avoidance of doubt, all Company Contributions and Earnings thereon that are not vested pursuant to this Section 6.1 at the time of the Participant’s Separation from Service shall be immediately forfeited at the time of such Participant’s Separation from Service without the need for further action on the part of the Company, the Employer or the Participant.”</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 is amended to read as follows: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7.1  Election as to Time and Form of Payment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Participant shall elect on the Election Form the date at which the Elective Deferrals and Company Contributions (including any Earnings attributable thereto) for a Plan Year will commence to be paid to the Participant. Such date must be: (i) at least five years following the beginning of such Plan Year; or (ii) the date of Separation from Service.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 shall also elect thereon for payments to be paid in either:</w:t>
      </w:r>
    </w:p>
    <w:p>
      <w:pPr>
        <w:spacing w:after="0" w:line="27"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lump sum; or</w:t>
      </w:r>
    </w:p>
    <w:p>
      <w:pPr>
        <w:spacing w:after="0" w:line="9" w:lineRule="exact"/>
        <w:rPr>
          <w:rFonts w:ascii="Times New Roman" w:cs="Times New Roman" w:eastAsia="Times New Roman" w:hAnsi="Times New Roman"/>
          <w:sz w:val="18"/>
          <w:szCs w:val="18"/>
          <w:color w:val="auto"/>
        </w:rPr>
      </w:pPr>
    </w:p>
    <w:p>
      <w:pPr>
        <w:ind w:left="1300" w:right="20" w:hanging="644"/>
        <w:spacing w:after="0" w:line="260"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installments over a period elected by the Participant up to 15 years, the amount of each installment to equal the balance of his or her Account immediately prior to the installment divided by the number of installments remaining to be paid (“Annual Installments”).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Elective Deferrals and Company Contributions (including any Earnings attributable thereto) are to be paid upon the Participant’s Separation from Service, such payment will be paid (or begin to be paid) as soon as practicable following the six (6) month anniversary of such Separation from Service. If payments upon Separation from Service are to be made in Annual Installments, the initial Annual Installment will be paid as soon as practicable following the six month anniversary of the Participant’s Separation from Service, the second Annual Installment will be paid as soon as practicable following the one year anniversary of such Separation from Service, and subsequent Annual Installments will be paid annually thereafter as soon as practicable following the yearly anniversary of such Separation from Service.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such election will be effective only for Elective Deferrals and Company Contributions (including any Earnings attributable thereto) for the Plan Year for which it is made or to which such contributions are attributable. For the avoidance of doubt, any election made for a Plan Year shall apply to all Elective Deferrals and Company Contributions (and applicable respective Earnings) for such Plan Year, and it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possible under the Plan for Elective Deferrals (and related Earnings) for a Plan Year to be subject to a different election regarding the time and form of payment thereof than the time and form of payment that is elected for Company Contributions (and related Earnings) for such Plan Year. Except as otherwise provided in Sections 7.3, 7.4, 7.5, 7.6, 7.7 or 7.8, payment of a Participant’s Account shall be made in accordance with the Participant’s elections under this Section 7.1. Such elections will be irrevocable except as provided in Section 7.2 below.”</w:t>
      </w:r>
    </w:p>
    <w:p>
      <w:pPr>
        <w:spacing w:after="0" w:line="18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7.4 is amended to read as follows: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7.4.  Separation from Service That is Not a Retirement</w:t>
      </w:r>
    </w:p>
    <w:p>
      <w:pPr>
        <w:sectPr>
          <w:pgSz w:w="11900" w:h="16838" w:orient="portrait"/>
          <w:cols w:equalWidth="0" w:num="1">
            <w:col w:w="11240"/>
          </w:cols>
          <w:pgMar w:left="320" w:top="549" w:right="339" w:bottom="1440" w:gutter="0" w:footer="0" w:header="0"/>
        </w:sectPr>
      </w:pPr>
    </w:p>
    <w:bookmarkStart w:id="85" w:name="page86"/>
    <w:bookmarkEnd w:id="8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 Participant’s Separation from Service for any reason other than death, so long as such Separation from Service does not constitute a Retirement, the Participant’s entire vested Account shall be paid to the Participant in a single lump sum as soon as practicable following the six month anniversary of such Separation from Service.”</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Section 7.8 is amended to read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Participant suffers an Unforeseen Emergency, as defined herein, the Plan Administrator, in its sole discretion, may pay to the Participant only that portion, if any, of his or her vested Account which the Plan Administrator determines is necessary to satisfy the emergency need, including at the discretion of the Plan Administrator any amounts necessary to pay any federal, state and local income taxes reasonably anticipated to result from the distribution.”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First Amendment to be executed by the signature of a duly authorized officer as of this 29th day of June, 2020 effective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32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COMPANY:</w:t>
            </w:r>
          </w:p>
        </w:tc>
      </w:tr>
      <w:tr>
        <w:trPr>
          <w:trHeight w:val="432"/>
        </w:trPr>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ATTEST</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91"/>
        </w:trPr>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Laura G Scheland</w:t>
            </w:r>
          </w:p>
        </w:tc>
        <w:tc>
          <w:tcPr>
            <w:tcW w:w="432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w w:val="98"/>
              </w:rPr>
              <w:t>OIL-DRI CORPORATION OF AMERICA</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Its: Vice President and General Counsel</w:t>
            </w:r>
          </w:p>
        </w:tc>
        <w:tc>
          <w:tcPr>
            <w:tcW w:w="432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By: /s/ Susan Kreh</w:t>
            </w:r>
          </w:p>
        </w:tc>
      </w:tr>
      <w:tr>
        <w:trPr>
          <w:trHeight w:val="20"/>
        </w:trPr>
        <w:tc>
          <w:tcPr>
            <w:tcW w:w="2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4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June 29, 2020</w:t>
            </w:r>
          </w:p>
        </w:tc>
        <w:tc>
          <w:tcPr>
            <w:tcW w:w="432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Its: CFO</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ectPr>
          <w:pgSz w:w="11900" w:h="16838" w:orient="portrait"/>
          <w:cols w:equalWidth="0" w:num="1">
            <w:col w:w="11240"/>
          </w:cols>
          <w:pgMar w:left="320" w:top="55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Computation of Net Income Per Share</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7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12,611</w:t>
            </w:r>
          </w:p>
        </w:tc>
      </w:tr>
      <w:tr>
        <w:trPr>
          <w:trHeight w:val="243"/>
        </w:trPr>
        <w:tc>
          <w:tcPr>
            <w:tcW w:w="7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nonvested restricted stock</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available to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12,121</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79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Shares Calculation</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65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r>
      <w:tr>
        <w:trPr>
          <w:trHeight w:val="250"/>
        </w:trPr>
        <w:tc>
          <w:tcPr>
            <w:tcW w:w="7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shares outstanding - Basic Common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5,112</w:t>
            </w:r>
          </w:p>
        </w:tc>
      </w:tr>
      <w:tr>
        <w:trPr>
          <w:trHeight w:val="243"/>
        </w:trPr>
        <w:tc>
          <w:tcPr>
            <w:tcW w:w="7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shares outstanding - Basic Class B Common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 Common Stock - Basic Common - relating to stock options and non-vested restricted stock</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7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Potential Common Stock - Basic Class B Common - relating to stock options and non-vested restricted stock</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shares outstanding - Assuming dilution</w:t>
            </w: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7,251</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3"/>
        </w:trPr>
        <w:tc>
          <w:tcPr>
            <w:tcW w:w="7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Basic Common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7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Income Per Share: Basic Class B Common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7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Diluted Common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0"/>
        </w:trPr>
        <w:tc>
          <w:tcPr>
            <w:tcW w:w="7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Per Share: Diluted Class B Common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660"/>
          </w:cols>
          <w:pgMar w:left="320" w:top="117" w:right="9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State or Country</w:t>
            </w: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of Organization</w:t>
            </w:r>
          </w:p>
        </w:tc>
      </w:tr>
      <w:tr>
        <w:trPr>
          <w:trHeight w:val="27"/>
        </w:trPr>
        <w:tc>
          <w:tcPr>
            <w:tcW w:w="354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Agromex Importaciones, S.A. de C.V.</w:t>
            </w:r>
          </w:p>
        </w:tc>
        <w:tc>
          <w:tcPr>
            <w:tcW w:w="4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Amlan Trading (Shenzhen) Company, Ltd.</w:t>
            </w: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China</w:t>
            </w:r>
          </w:p>
        </w:tc>
      </w:tr>
      <w:tr>
        <w:trPr>
          <w:trHeight w:val="27"/>
        </w:trPr>
        <w:tc>
          <w:tcPr>
            <w:tcW w:w="354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Production Company</w:t>
            </w:r>
          </w:p>
        </w:tc>
        <w:tc>
          <w:tcPr>
            <w:tcW w:w="4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Mississippi</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Mounds Management, Inc.</w:t>
            </w: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54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Production Company, LLC</w:t>
            </w:r>
          </w:p>
        </w:tc>
        <w:tc>
          <w:tcPr>
            <w:tcW w:w="4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Illinois</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ODC Acquisition Corp.</w:t>
            </w: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Illinois</w:t>
            </w:r>
          </w:p>
        </w:tc>
      </w:tr>
      <w:tr>
        <w:trPr>
          <w:trHeight w:val="27"/>
        </w:trPr>
        <w:tc>
          <w:tcPr>
            <w:tcW w:w="354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Oil-Dri Canada ULC</w:t>
            </w:r>
          </w:p>
        </w:tc>
        <w:tc>
          <w:tcPr>
            <w:tcW w:w="4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Georgia</w:t>
            </w: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Georgia</w:t>
            </w:r>
          </w:p>
        </w:tc>
      </w:tr>
      <w:tr>
        <w:trPr>
          <w:trHeight w:val="27"/>
        </w:trPr>
        <w:tc>
          <w:tcPr>
            <w:tcW w:w="354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Amlan International</w:t>
            </w:r>
          </w:p>
        </w:tc>
        <w:tc>
          <w:tcPr>
            <w:tcW w:w="4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Nevada</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Production Company</w:t>
            </w: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Mississippi</w:t>
            </w:r>
          </w:p>
        </w:tc>
      </w:tr>
      <w:tr>
        <w:trPr>
          <w:trHeight w:val="27"/>
        </w:trPr>
        <w:tc>
          <w:tcPr>
            <w:tcW w:w="354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Oil-Dri SARL</w:t>
            </w:r>
          </w:p>
        </w:tc>
        <w:tc>
          <w:tcPr>
            <w:tcW w:w="4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Switzerland</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(U.K.) Limited</w:t>
            </w: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354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 Amlan Perdagangan Internasional</w:t>
            </w:r>
          </w:p>
        </w:tc>
        <w:tc>
          <w:tcPr>
            <w:tcW w:w="4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Indonesia</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Taft Production Company</w:t>
            </w:r>
          </w:p>
        </w:tc>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139"/>
          </w:cols>
          <w:pgMar w:left="320" w:top="117"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October 13, 2020, with respect to the consolidated financial statements and internal control over financial reporting included in the Annual Report of Oil-Dri Corporation of America on Form 10-K for the year ended</w:t>
      </w:r>
    </w:p>
    <w:p>
      <w:pPr>
        <w:spacing w:after="0" w:line="260" w:lineRule="auto"/>
        <w:rPr>
          <w:sz w:val="20"/>
          <w:szCs w:val="20"/>
          <w:color w:val="auto"/>
        </w:rPr>
      </w:pPr>
      <w:r>
        <w:rPr>
          <w:rFonts w:ascii="Times New Roman" w:cs="Times New Roman" w:eastAsia="Times New Roman" w:hAnsi="Times New Roman"/>
          <w:sz w:val="18"/>
          <w:szCs w:val="18"/>
          <w:color w:val="auto"/>
        </w:rPr>
        <w:t>July 31, 2020. We consent to the incorporation by reference of said report in the Registration Statements of Oil-Dri Corporation of America on Forms S-8 (File Nos. 333-139550 and 333-236912).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2020</w:t>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 -14(A)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Oil-Dri Corporation of America (the “registrant”);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76"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13, 2020</w:t>
            </w:r>
          </w:p>
        </w:tc>
      </w:tr>
      <w:tr>
        <w:trPr>
          <w:trHeight w:val="27"/>
        </w:trPr>
        <w:tc>
          <w:tcPr>
            <w:tcW w:w="86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27"/>
        </w:trPr>
        <w:tc>
          <w:tcPr>
            <w:tcW w:w="86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r>
      <w:tr>
        <w:trPr>
          <w:trHeight w:val="297"/>
        </w:trPr>
        <w:tc>
          <w:tcPr>
            <w:tcW w:w="86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2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color w:val="auto"/>
        </w:rPr>
        <w:t>EXHIBIT 31.1 (CONTINUED):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Susan M. Kreh, certify that:</w:t>
      </w:r>
    </w:p>
    <w:p>
      <w:pPr>
        <w:spacing w:after="0" w:line="225"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Oil-Dri Corporation of America (the “registrant”);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76" w:lineRule="auto"/>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300" w:hanging="401"/>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401"/>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13, 2020</w:t>
            </w:r>
          </w:p>
        </w:tc>
      </w:tr>
      <w:tr>
        <w:trPr>
          <w:trHeight w:val="27"/>
        </w:trPr>
        <w:tc>
          <w:tcPr>
            <w:tcW w:w="86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27"/>
        </w:trPr>
        <w:tc>
          <w:tcPr>
            <w:tcW w:w="86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Susan M. Kreh</w:t>
            </w:r>
          </w:p>
        </w:tc>
      </w:tr>
      <w:tr>
        <w:trPr>
          <w:trHeight w:val="297"/>
        </w:trPr>
        <w:tc>
          <w:tcPr>
            <w:tcW w:w="86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55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Annual Report on Form 10-K for the year ended July 31, 2020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2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8"/>
          <w:szCs w:val="18"/>
          <w:color w:val="auto"/>
        </w:rPr>
        <w:t>Dated:</w:t>
        <w:tab/>
        <w:t>October 13, 2020</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915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Annual Report on Form 10-K for the year ended July 31, 2020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2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8"/>
          <w:szCs w:val="18"/>
          <w:color w:val="auto"/>
        </w:rPr>
        <w:t>Dated:</w:t>
        <w:tab/>
        <w:t>October 13, 2020</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91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Susan M. Kreh</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240"/>
          </w:cols>
          <w:pgMar w:left="320" w:top="55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2020.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Legal Actions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104</w:t>
            </w:r>
          </w:p>
        </w:tc>
        <w:tc>
          <w:tcPr>
            <w:tcW w:w="7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107(a)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Dollar</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 and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110(b)(2)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Imminent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Pending as of</w:t>
            </w: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Initiated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Resolved</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Substantial”</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104(b)</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Citations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Flagrant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Danger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Proposed MSHA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Last Day of</w:t>
            </w: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During</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During</w:t>
            </w:r>
          </w:p>
        </w:tc>
        <w:tc>
          <w:tcPr>
            <w:tcW w:w="0" w:type="dxa"/>
            <w:vAlign w:val="bottom"/>
          </w:tcPr>
          <w:p>
            <w:pPr>
              <w:spacing w:after="0"/>
              <w:rPr>
                <w:sz w:val="1"/>
                <w:szCs w:val="1"/>
                <w:color w:val="auto"/>
              </w:rPr>
            </w:pPr>
          </w:p>
        </w:tc>
      </w:tr>
      <w:tr>
        <w:trPr>
          <w:trHeight w:val="234"/>
        </w:trPr>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Mine location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Orders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Assessments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Period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7"/>
        </w:trPr>
        <w:tc>
          <w:tcPr>
            <w:tcW w:w="15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5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Ochlocknee,</w:t>
            </w: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3,037</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1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280" w:type="dxa"/>
            <w:vAlign w:val="bottom"/>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CCEEFF"/>
            </w:tcBorders>
            <w:vMerge w:val="continue"/>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2,512</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Mountain,</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850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2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4,814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15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no mining-related fatalities at any of our facilities during the twelve months ended July 31, 2020.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3"/>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95"/>
    </w:lvl>
  </w:abstractNum>
  <w:abstractNum w:abstractNumId="16">
    <w:nsid w:val="2443A858"/>
    <w:multiLevelType w:val="hybridMultilevel"/>
    <w:lvl w:ilvl="0">
      <w:lvlJc w:val="left"/>
      <w:lvlText w:val="%1."/>
      <w:numFmt w:val="decimal"/>
      <w:start w:val="1"/>
    </w:lvl>
    <w:lvl w:ilvl="1">
      <w:lvlJc w:val="left"/>
      <w:lvlText w:val="%2."/>
      <w:numFmt w:val="decimal"/>
      <w:start w:val="2"/>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3"/>
    </w:lvl>
  </w:abstractNum>
  <w:abstractNum w:abstractNumId="20">
    <w:nsid w:val="8EDBDAB"/>
    <w:multiLevelType w:val="hybridMultilevel"/>
    <w:lvl w:ilvl="0">
      <w:lvlJc w:val="left"/>
      <w:lvlText w:val="%1."/>
      <w:numFmt w:val="decimal"/>
      <w:start w:val="4"/>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decimal"/>
      <w:start w:val="6"/>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7"/>
    </w:lvl>
  </w:abstractNum>
  <w:abstractNum w:abstractNumId="25">
    <w:nsid w:val="54E49EB4"/>
    <w:multiLevelType w:val="hybridMultilevel"/>
    <w:lvl w:ilvl="0">
      <w:lvlJc w:val="left"/>
      <w:lvlText w:val="%1."/>
      <w:numFmt w:val="decimal"/>
      <w:start w:val="8"/>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47" Type="http://schemas.openxmlformats.org/officeDocument/2006/relationships/image" Target="media/image16.png"/><Relationship Id="rId59" Type="http://schemas.openxmlformats.org/officeDocument/2006/relationships/image" Target="media/image17.png"/><Relationship Id="rId60" Type="http://schemas.openxmlformats.org/officeDocument/2006/relationships/image" Target="media/image18.png"/><Relationship Id="rId61" Type="http://schemas.openxmlformats.org/officeDocument/2006/relationships/image" Target="media/image19.png"/><Relationship Id="rId62" Type="http://schemas.openxmlformats.org/officeDocument/2006/relationships/image" Target="media/image20.png"/><Relationship Id="rId63" Type="http://schemas.openxmlformats.org/officeDocument/2006/relationships/image" Target="media/image21.png"/><Relationship Id="rId64" Type="http://schemas.openxmlformats.org/officeDocument/2006/relationships/image" Target="media/image22.png"/><Relationship Id="rId20" Type="http://schemas.openxmlformats.org/officeDocument/2006/relationships/hyperlink" Target="http://www.sec.gov/Archives/edgar/data/74046/0000074046-98-000008.txt" TargetMode="External"/><Relationship Id="rId21" Type="http://schemas.openxmlformats.org/officeDocument/2006/relationships/hyperlink" Target="http://www.sec.gov/Archives/edgar/data/74046/000007404618000007/odcex301312018.htm" TargetMode="External"/><Relationship Id="rId22" Type="http://schemas.openxmlformats.org/officeDocument/2006/relationships/hyperlink" Target="http://www.sec.gov/Archives/edgar/data/74046/000007404601500009/fs_1.txt" TargetMode="External"/><Relationship Id="rId24" Type="http://schemas.openxmlformats.org/officeDocument/2006/relationships/hyperlink" Target="http://www.sec.gov/Archives/edgar/data/74046/000120677407002369/exhibit10-2.htm" TargetMode="External"/><Relationship Id="rId25" Type="http://schemas.openxmlformats.org/officeDocument/2006/relationships/hyperlink" Target="http://www.sec.gov/Archives/edgar/data/74046/000114420407066302/v096599_ex10-1.htm" TargetMode="External"/><Relationship Id="rId26" Type="http://schemas.openxmlformats.org/officeDocument/2006/relationships/hyperlink" Target="http://www.sec.gov/Archives/edgar/data/74046/000007404616000094/odcex10407312016.htm" TargetMode="External"/><Relationship Id="rId27" Type="http://schemas.openxmlformats.org/officeDocument/2006/relationships/hyperlink" Target="http://www.sec.gov/Archives/edgar/data/74046/000095013799003743/0000950137-99-003743.txt" TargetMode="External"/><Relationship Id="rId28" Type="http://schemas.openxmlformats.org/officeDocument/2006/relationships/hyperlink" Target="http://www.sec.gov/Archives/edgar/data/74046/000101381606000051/form8k_020106ex101.txt" TargetMode="External"/><Relationship Id="rId29" Type="http://schemas.openxmlformats.org/officeDocument/2006/relationships/hyperlink" Target="http://www.sec.gov/Archives/edgar/data/74046/000114420409013035/v142330_ex10-1.htm" TargetMode="External"/><Relationship Id="rId30" Type="http://schemas.openxmlformats.org/officeDocument/2006/relationships/hyperlink" Target="http://www.sec.gov/Archives/edgar/data/74046/000114420411071922/v244230_ex10.htm" TargetMode="External"/><Relationship Id="rId31" Type="http://schemas.openxmlformats.org/officeDocument/2006/relationships/hyperlink" Target="http://www.sec.gov/Archives/edgar/data/74046/000007404612000012/odcex101207312012.htm" TargetMode="External"/><Relationship Id="rId32" Type="http://schemas.openxmlformats.org/officeDocument/2006/relationships/hyperlink" Target="http://www.sec.gov/Archives/edgar/data/74046/000007404614000017/odcex10110312014.htm" TargetMode="External"/><Relationship Id="rId33" Type="http://schemas.openxmlformats.org/officeDocument/2006/relationships/hyperlink" Target="http://www.sec.gov/Archives/edgar/data/74046/000007404619000008/fifthamendmenttocreditagre.htm" TargetMode="External"/><Relationship Id="rId34" Type="http://schemas.openxmlformats.org/officeDocument/2006/relationships/hyperlink" Target="http://www.sec.gov/Archives/edgar/data/74046/000007404619000008/annexa-final.htm" TargetMode="External"/><Relationship Id="rId35" Type="http://schemas.openxmlformats.org/officeDocument/2006/relationships/hyperlink" Target="http://www.sec.gov/Archives/edgar/data/74046/000114420410061518/v202918_ex10-1.htm" TargetMode="External"/><Relationship Id="rId38" Type="http://schemas.openxmlformats.org/officeDocument/2006/relationships/hyperlink" Target="https://www.sec.gov/Archives/edgar/data/74046/000007404620000025/odc20200515exh101.htm" TargetMode="External"/><Relationship Id="rId39" Type="http://schemas.openxmlformats.org/officeDocument/2006/relationships/hyperlink" Target="http://www.sec.gov/Archives/edgar/data/74046/000007404603000021/q3f03x10.txt" TargetMode="External"/><Relationship Id="rId40" Type="http://schemas.openxmlformats.org/officeDocument/2006/relationships/hyperlink" Target="http://www.sec.gov/Archives/edgar/data/74046/000114420408014071/v105960_ex10-1.htm" TargetMode="External"/><Relationship Id="rId41" Type="http://schemas.openxmlformats.org/officeDocument/2006/relationships/hyperlink" Target="http://www.sec.gov/Archives/edgar/data/74046/000114420408014071/v105960_ex10-2.htm" TargetMode="External"/><Relationship Id="rId42" Type="http://schemas.openxmlformats.org/officeDocument/2006/relationships/hyperlink" Target="http://www.sec.gov/Archives/edgar/data/74046/000007404603000021/q3f03exl.txt" TargetMode="External"/><Relationship Id="rId43" Type="http://schemas.openxmlformats.org/officeDocument/2006/relationships/hyperlink" Target="https://www.sec.gov/Archives/edgar/data/74046/000007404620000009/odcex1011312020.htm" TargetMode="External"/><Relationship Id="rId44" Type="http://schemas.openxmlformats.org/officeDocument/2006/relationships/hyperlink" Target="http://www.sec.gov/Archives/edgar/data/74046/000114420408014071/v105960_ex10-4.htm" TargetMode="External"/><Relationship Id="rId45" Type="http://schemas.openxmlformats.org/officeDocument/2006/relationships/hyperlink" Target="http://www.sec.gov/Archives/edgar/data/74046/000114420408014071/v105960_ex10-3.htm" TargetMode="External"/><Relationship Id="rId46" Type="http://schemas.openxmlformats.org/officeDocument/2006/relationships/hyperlink" Target="http://www.sec.gov/Archives/edgar/data/74046/000120677406002257/oildri_nps.htm" TargetMode="External"/><Relationship Id="rId48" Type="http://schemas.openxmlformats.org/officeDocument/2006/relationships/hyperlink" Target="http://www.sec.gov/Archives/edgar/data/74046/000114420408014071/v105960_ex10-5.htm" TargetMode="External"/><Relationship Id="rId49" Type="http://schemas.openxmlformats.org/officeDocument/2006/relationships/hyperlink" Target="http://www.sec.gov/Archives/edgar/data/74046/000007404615000050/odcproxy07312015.htm#s249522831a274fd3a1b004bb0d87f4df" TargetMode="External"/><Relationship Id="rId50" Type="http://schemas.openxmlformats.org/officeDocument/2006/relationships/hyperlink" Target="https://www.sec.gov/Archives/edgar/data/74046/000007404619000066/odcproxy2019.htm" TargetMode="External"/><Relationship Id="rId51" Type="http://schemas.openxmlformats.org/officeDocument/2006/relationships/hyperlink" Target="http://www.sec.gov/Archives/edgar/data/74046/000127528706006429/od8243ex102.htm" TargetMode="External"/><Relationship Id="rId52" Type="http://schemas.openxmlformats.org/officeDocument/2006/relationships/hyperlink" Target="http://www.sec.gov/Archives/edgar/data/74046/000127528706006429/od8243ex103.htm" TargetMode="External"/><Relationship Id="rId53" Type="http://schemas.openxmlformats.org/officeDocument/2006/relationships/hyperlink" Target="http://www.sec.gov/Archives/edgar/data/74046/000127528706006429/od8243ex104.htm" TargetMode="External"/><Relationship Id="rId54" Type="http://schemas.openxmlformats.org/officeDocument/2006/relationships/hyperlink" Target="http://www.sec.gov/Archives/edgar/data/74046/000127528706006429/od8243ex105.htm" TargetMode="External"/><Relationship Id="rId55" Type="http://schemas.openxmlformats.org/officeDocument/2006/relationships/hyperlink" Target="http://www.sec.gov/Archives/edgar/data/74046/000127528706006429/od8243ex106.htm" TargetMode="External"/><Relationship Id="rId56" Type="http://schemas.openxmlformats.org/officeDocument/2006/relationships/hyperlink" Target="http://www.sec.gov/Archives/edgar/data/74046/000127528706006429/od8243ex107.htm" TargetMode="External"/><Relationship Id="rId57" Type="http://schemas.openxmlformats.org/officeDocument/2006/relationships/hyperlink" Target="http://www.sec.gov/Archives/edgar/data/74046/000127528706006429/od8243ex108.htm" TargetMode="External"/><Relationship Id="rId58" Type="http://schemas.openxmlformats.org/officeDocument/2006/relationships/hyperlink" Target="http://www.sec.gov/Archives/edgar/data/74046/000007404618000046/odcex10290731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2020-10-13T15:18:05Z</dcterms:created>
  <dcterms:modified xsi:type="dcterms:W3CDTF">2020-10-13T15:18:05Z</dcterms:modified>
</cp:coreProperties>
</file>