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-234950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0"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19050</wp:posOffset>
            </wp:positionV>
            <wp:extent cx="7047230" cy="4569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69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JAFFEE DANIEL S</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tcPr>
          <w:p>
            <w:pPr>
              <w:ind w:left="40"/>
              <w:spacing w:after="0"/>
              <w:rPr>
                <w:sz w:val="20"/>
                <w:szCs w:val="20"/>
                <w:color w:val="auto"/>
              </w:rPr>
            </w:pPr>
            <w:r>
              <w:rPr>
                <w:rFonts w:ascii="Arial" w:cs="Arial" w:eastAsia="Arial" w:hAnsi="Arial"/>
                <w:sz w:val="13"/>
                <w:szCs w:val="13"/>
                <w:color w:val="auto"/>
              </w:rPr>
              <w:t>(Last)</w:t>
            </w:r>
          </w:p>
        </w:tc>
        <w:tc>
          <w:tcPr>
            <w:tcW w:w="1100" w:type="dxa"/>
            <w:vAlign w:val="bottom"/>
          </w:tcPr>
          <w:p>
            <w:pPr>
              <w:ind w:left="240"/>
              <w:spacing w:after="0"/>
              <w:rPr>
                <w:sz w:val="20"/>
                <w:szCs w:val="20"/>
                <w:color w:val="auto"/>
              </w:rPr>
            </w:pPr>
            <w:r>
              <w:rPr>
                <w:rFonts w:ascii="Arial" w:cs="Arial" w:eastAsia="Arial" w:hAnsi="Arial"/>
                <w:sz w:val="13"/>
                <w:szCs w:val="13"/>
                <w:color w:val="auto"/>
              </w:rPr>
              <w:t>(First)</w:t>
            </w:r>
          </w:p>
        </w:tc>
        <w:tc>
          <w:tcPr>
            <w:tcW w:w="11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5"/>
        </w:trPr>
        <w:tc>
          <w:tcPr>
            <w:tcW w:w="2120" w:type="dxa"/>
            <w:vAlign w:val="bottom"/>
            <w:gridSpan w:val="2"/>
          </w:tcPr>
          <w:p>
            <w:pPr>
              <w:ind w:left="40"/>
              <w:spacing w:after="0"/>
              <w:rPr>
                <w:sz w:val="20"/>
                <w:szCs w:val="20"/>
                <w:color w:val="auto"/>
              </w:rPr>
            </w:pPr>
            <w:r>
              <w:rPr>
                <w:rFonts w:ascii="Arial" w:cs="Arial" w:eastAsia="Arial" w:hAnsi="Arial"/>
                <w:sz w:val="17"/>
                <w:szCs w:val="17"/>
                <w:color w:val="0000FF"/>
              </w:rPr>
              <w:t>410 N. MICHIGAN AVE.</w:t>
            </w:r>
          </w:p>
        </w:tc>
        <w:tc>
          <w:tcPr>
            <w:tcW w:w="1160" w:type="dxa"/>
            <w:vAlign w:val="bottom"/>
          </w:tcPr>
          <w:p>
            <w:pPr>
              <w:spacing w:after="0"/>
              <w:rPr>
                <w:sz w:val="23"/>
                <w:szCs w:val="23"/>
                <w:color w:val="auto"/>
              </w:rPr>
            </w:pPr>
          </w:p>
        </w:tc>
      </w:tr>
      <w:tr>
        <w:trPr>
          <w:trHeight w:val="255"/>
        </w:trPr>
        <w:tc>
          <w:tcPr>
            <w:tcW w:w="1020" w:type="dxa"/>
            <w:vAlign w:val="bottom"/>
          </w:tcPr>
          <w:p>
            <w:pPr>
              <w:ind w:left="40"/>
              <w:spacing w:after="0"/>
              <w:rPr>
                <w:sz w:val="20"/>
                <w:szCs w:val="20"/>
                <w:color w:val="auto"/>
              </w:rPr>
            </w:pPr>
            <w:r>
              <w:rPr>
                <w:rFonts w:ascii="Arial" w:cs="Arial" w:eastAsia="Arial" w:hAnsi="Arial"/>
                <w:sz w:val="17"/>
                <w:szCs w:val="17"/>
                <w:color w:val="0000FF"/>
              </w:rPr>
              <w:t>SUITE 400</w:t>
            </w:r>
          </w:p>
        </w:tc>
        <w:tc>
          <w:tcPr>
            <w:tcW w:w="11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423"/>
        </w:trPr>
        <w:tc>
          <w:tcPr>
            <w:tcW w:w="1020" w:type="dxa"/>
            <w:vAlign w:val="bottom"/>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6"/>
        </w:trPr>
        <w:tc>
          <w:tcPr>
            <w:tcW w:w="1020" w:type="dxa"/>
            <w:vAlign w:val="bottom"/>
          </w:tcPr>
          <w:p>
            <w:pPr>
              <w:ind w:left="40"/>
              <w:spacing w:after="0"/>
              <w:rPr>
                <w:sz w:val="20"/>
                <w:szCs w:val="20"/>
                <w:color w:val="auto"/>
              </w:rPr>
            </w:pPr>
            <w:r>
              <w:rPr>
                <w:rFonts w:ascii="Arial" w:cs="Arial" w:eastAsia="Arial" w:hAnsi="Arial"/>
                <w:sz w:val="17"/>
                <w:szCs w:val="17"/>
                <w:color w:val="0000FF"/>
              </w:rPr>
              <w:t>CHICAGO</w:t>
            </w:r>
          </w:p>
        </w:tc>
        <w:tc>
          <w:tcPr>
            <w:tcW w:w="1100" w:type="dxa"/>
            <w:vAlign w:val="bottom"/>
          </w:tcPr>
          <w:p>
            <w:pPr>
              <w:ind w:left="240"/>
              <w:spacing w:after="0"/>
              <w:rPr>
                <w:sz w:val="20"/>
                <w:szCs w:val="20"/>
                <w:color w:val="auto"/>
              </w:rPr>
            </w:pPr>
            <w:r>
              <w:rPr>
                <w:rFonts w:ascii="Arial" w:cs="Arial" w:eastAsia="Arial" w:hAnsi="Arial"/>
                <w:sz w:val="17"/>
                <w:szCs w:val="17"/>
                <w:color w:val="0000FF"/>
              </w:rPr>
              <w:t>IL</w:t>
            </w:r>
          </w:p>
        </w:tc>
        <w:tc>
          <w:tcPr>
            <w:tcW w:w="1160" w:type="dxa"/>
            <w:vAlign w:val="bottom"/>
          </w:tcPr>
          <w:p>
            <w:pPr>
              <w:ind w:left="360"/>
              <w:spacing w:after="0"/>
              <w:rPr>
                <w:sz w:val="20"/>
                <w:szCs w:val="20"/>
                <w:color w:val="auto"/>
              </w:rPr>
            </w:pPr>
            <w:r>
              <w:rPr>
                <w:rFonts w:ascii="Arial" w:cs="Arial" w:eastAsia="Arial" w:hAnsi="Arial"/>
                <w:sz w:val="17"/>
                <w:szCs w:val="17"/>
                <w:color w:val="0000FF"/>
                <w:w w:val="85"/>
              </w:rPr>
              <w:t>60611-4213</w:t>
            </w:r>
          </w:p>
        </w:tc>
      </w:tr>
      <w:tr>
        <w:trPr>
          <w:trHeight w:val="461"/>
        </w:trPr>
        <w:tc>
          <w:tcPr>
            <w:tcW w:w="1020" w:type="dxa"/>
            <w:vAlign w:val="bottom"/>
          </w:tcPr>
          <w:p>
            <w:pPr>
              <w:ind w:left="40"/>
              <w:spacing w:after="0"/>
              <w:rPr>
                <w:sz w:val="20"/>
                <w:szCs w:val="20"/>
                <w:color w:val="auto"/>
              </w:rPr>
            </w:pPr>
            <w:r>
              <w:rPr>
                <w:rFonts w:ascii="Arial" w:cs="Arial" w:eastAsia="Arial" w:hAnsi="Arial"/>
                <w:sz w:val="13"/>
                <w:szCs w:val="13"/>
                <w:color w:val="auto"/>
              </w:rPr>
              <w:t>(City)</w:t>
            </w:r>
          </w:p>
        </w:tc>
        <w:tc>
          <w:tcPr>
            <w:tcW w:w="1100" w:type="dxa"/>
            <w:vAlign w:val="bottom"/>
          </w:tcPr>
          <w:p>
            <w:pPr>
              <w:ind w:left="240"/>
              <w:spacing w:after="0"/>
              <w:rPr>
                <w:sz w:val="20"/>
                <w:szCs w:val="20"/>
                <w:color w:val="auto"/>
              </w:rPr>
            </w:pPr>
            <w:r>
              <w:rPr>
                <w:rFonts w:ascii="Arial" w:cs="Arial" w:eastAsia="Arial" w:hAnsi="Arial"/>
                <w:sz w:val="13"/>
                <w:szCs w:val="13"/>
                <w:color w:val="auto"/>
              </w:rPr>
              <w:t>(State)</w:t>
            </w:r>
          </w:p>
        </w:tc>
        <w:tc>
          <w:tcPr>
            <w:tcW w:w="11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6"/>
        </w:trPr>
        <w:tc>
          <w:tcPr>
            <w:tcW w:w="3840" w:type="dxa"/>
            <w:vAlign w:val="bottom"/>
            <w:gridSpan w:val="4"/>
          </w:tcPr>
          <w:p>
            <w:pPr>
              <w:ind w:left="80"/>
              <w:spacing w:after="0" w:line="136" w:lineRule="exact"/>
              <w:rPr>
                <w:rFonts w:ascii="Arial" w:cs="Arial" w:eastAsia="Arial" w:hAnsi="Arial"/>
                <w:sz w:val="15"/>
                <w:szCs w:val="15"/>
                <w:color w:val="0000EE"/>
              </w:rPr>
            </w:pPr>
            <w:hyperlink r:id="rId13">
              <w:r>
                <w:rPr>
                  <w:rFonts w:ascii="Arial" w:cs="Arial" w:eastAsia="Arial" w:hAnsi="Arial"/>
                  <w:sz w:val="15"/>
                  <w:szCs w:val="15"/>
                  <w:color w:val="0000EE"/>
                </w:rPr>
                <w:t xml:space="preserve">Oil-Dri Corp of America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ODC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66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5"/>
        </w:trPr>
        <w:tc>
          <w:tcPr>
            <w:tcW w:w="210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09/06/2023</w:t>
            </w:r>
          </w:p>
        </w:tc>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0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160"/>
              <w:spacing w:after="0"/>
              <w:rPr>
                <w:sz w:val="20"/>
                <w:szCs w:val="20"/>
                <w:color w:val="auto"/>
              </w:rPr>
            </w:pPr>
            <w:r>
              <w:rPr>
                <w:rFonts w:ascii="Arial" w:cs="Arial" w:eastAsia="Arial" w:hAnsi="Arial"/>
                <w:sz w:val="17"/>
                <w:szCs w:val="17"/>
                <w:color w:val="0000FF"/>
              </w:rPr>
              <w:t>Chairman, President and CEO</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3"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3" w:lineRule="exact"/>
        <w:rPr>
          <w:sz w:val="24"/>
          <w:szCs w:val="24"/>
          <w:color w:val="auto"/>
        </w:rPr>
      </w:pPr>
    </w:p>
    <w:p>
      <w:pPr>
        <w:ind w:left="320" w:right="380"/>
        <w:spacing w:after="0" w:line="27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838" w:orient="portrait"/>
          <w:cols w:equalWidth="0" w:num="2">
            <w:col w:w="3360" w:space="48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ind w:left="260"/>
              <w:spacing w:after="0" w:line="241" w:lineRule="exact"/>
              <w:rPr>
                <w:sz w:val="20"/>
                <w:szCs w:val="20"/>
                <w:color w:val="auto"/>
              </w:rPr>
            </w:pPr>
            <w:r>
              <w:rPr>
                <w:rFonts w:ascii="Arial" w:cs="Arial" w:eastAsia="Arial" w:hAnsi="Arial"/>
                <w:sz w:val="22"/>
                <w:szCs w:val="22"/>
                <w:color w:val="000000"/>
                <w:vertAlign w:val="subscript"/>
              </w:rPr>
              <w:t>$</w:t>
            </w:r>
            <w:r>
              <w:rPr>
                <w:rFonts w:ascii="Arial" w:cs="Arial" w:eastAsia="Arial" w:hAnsi="Arial"/>
                <w:sz w:val="25"/>
                <w:szCs w:val="25"/>
                <w:color w:val="0000FF"/>
                <w:vertAlign w:val="subscript"/>
              </w:rPr>
              <w:t>0</w:t>
            </w:r>
            <w:r>
              <w:rPr>
                <w:rFonts w:ascii="Arial" w:cs="Arial" w:eastAsia="Arial" w:hAnsi="Arial"/>
                <w:sz w:val="11"/>
                <w:szCs w:val="11"/>
                <w:color w:val="008000"/>
              </w:rPr>
              <w:t>(1)</w:t>
            </w:r>
          </w:p>
        </w:tc>
        <w:tc>
          <w:tcPr>
            <w:tcW w:w="1080" w:type="dxa"/>
            <w:vAlign w:val="bottom"/>
          </w:tcPr>
          <w:p>
            <w:pPr>
              <w:jc w:val="right"/>
              <w:ind w:right="181"/>
              <w:spacing w:after="0"/>
              <w:rPr>
                <w:sz w:val="20"/>
                <w:szCs w:val="20"/>
                <w:color w:val="auto"/>
              </w:rPr>
            </w:pPr>
            <w:r>
              <w:rPr>
                <w:rFonts w:ascii="Arial" w:cs="Arial" w:eastAsia="Arial" w:hAnsi="Arial"/>
                <w:sz w:val="13"/>
                <w:szCs w:val="13"/>
                <w:color w:val="0000FF"/>
              </w:rPr>
              <w:t>09/06/2023</w:t>
            </w:r>
          </w:p>
        </w:tc>
        <w:tc>
          <w:tcPr>
            <w:tcW w:w="1060" w:type="dxa"/>
            <w:vAlign w:val="bottom"/>
          </w:tcPr>
          <w:p>
            <w:pPr>
              <w:spacing w:after="0"/>
              <w:rPr>
                <w:sz w:val="21"/>
                <w:szCs w:val="21"/>
                <w:color w:val="auto"/>
              </w:rPr>
            </w:pPr>
          </w:p>
        </w:tc>
        <w:tc>
          <w:tcPr>
            <w:tcW w:w="800" w:type="dxa"/>
            <w:vAlign w:val="bottom"/>
          </w:tcPr>
          <w:p>
            <w:pPr>
              <w:ind w:left="100"/>
              <w:spacing w:after="0" w:line="241" w:lineRule="exact"/>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(2)</w:t>
            </w:r>
          </w:p>
        </w:tc>
        <w:tc>
          <w:tcPr>
            <w:tcW w:w="620" w:type="dxa"/>
            <w:vAlign w:val="bottom"/>
          </w:tcPr>
          <w:p>
            <w:pPr>
              <w:ind w:left="80"/>
              <w:spacing w:after="0"/>
              <w:rPr>
                <w:sz w:val="20"/>
                <w:szCs w:val="20"/>
                <w:color w:val="auto"/>
              </w:rPr>
            </w:pPr>
            <w:r>
              <w:rPr>
                <w:rFonts w:ascii="Arial" w:cs="Arial" w:eastAsia="Arial" w:hAnsi="Arial"/>
                <w:sz w:val="13"/>
                <w:szCs w:val="13"/>
                <w:color w:val="0000FF"/>
              </w:rPr>
              <w:t>125,000</w:t>
            </w:r>
          </w:p>
        </w:tc>
        <w:tc>
          <w:tcPr>
            <w:tcW w:w="220" w:type="dxa"/>
            <w:vAlign w:val="bottom"/>
          </w:tcPr>
          <w:p>
            <w:pPr>
              <w:spacing w:after="0"/>
              <w:rPr>
                <w:sz w:val="21"/>
                <w:szCs w:val="21"/>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(1)(3)</w:t>
            </w:r>
          </w:p>
        </w:tc>
        <w:tc>
          <w:tcPr>
            <w:tcW w:w="700" w:type="dxa"/>
            <w:vAlign w:val="bottom"/>
          </w:tcPr>
          <w:p>
            <w:pPr>
              <w:jc w:val="right"/>
              <w:ind w:right="224"/>
              <w:spacing w:after="0"/>
              <w:rPr>
                <w:sz w:val="20"/>
                <w:szCs w:val="20"/>
                <w:color w:val="auto"/>
              </w:rPr>
            </w:pPr>
            <w:r>
              <w:rPr>
                <w:rFonts w:ascii="Arial" w:cs="Arial" w:eastAsia="Arial" w:hAnsi="Arial"/>
                <w:sz w:val="11"/>
                <w:szCs w:val="11"/>
                <w:color w:val="008000"/>
              </w:rPr>
              <w:t>(1)</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125,000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20" w:type="dxa"/>
            <w:vAlign w:val="bottom"/>
          </w:tcPr>
          <w:p>
            <w:pPr>
              <w:ind w:left="260"/>
              <w:spacing w:after="0"/>
              <w:rPr>
                <w:sz w:val="20"/>
                <w:szCs w:val="20"/>
                <w:color w:val="auto"/>
              </w:rPr>
            </w:pPr>
            <w:r>
              <w:rPr>
                <w:rFonts w:ascii="Arial" w:cs="Arial" w:eastAsia="Arial" w:hAnsi="Arial"/>
                <w:sz w:val="13"/>
                <w:szCs w:val="13"/>
                <w:color w:val="0000FF"/>
              </w:rPr>
              <w:t>572,484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Class B Stock may be converted at any time at the option of the holder into Common Stock on a share for share basis. See note 134 to SEC Release 34-288691.</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granted pursuant to the Oil-Dri Corporation of America 2006 Long Term Incentive Plan in a transaction exempt under rule 16b-3.</w:t>
      </w:r>
    </w:p>
    <w:p>
      <w:pPr>
        <w:spacing w:after="0" w:line="41" w:lineRule="exact"/>
        <w:rPr>
          <w:rFonts w:ascii="Arial" w:cs="Arial" w:eastAsia="Arial" w:hAnsi="Arial"/>
          <w:sz w:val="13"/>
          <w:szCs w:val="13"/>
          <w:color w:val="008000"/>
        </w:rPr>
      </w:pPr>
    </w:p>
    <w:p>
      <w:pPr>
        <w:ind w:left="40" w:right="220"/>
        <w:spacing w:after="0" w:line="306" w:lineRule="auto"/>
        <w:tabs>
          <w:tab w:leader="none" w:pos="167"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shall become non-forfeitable as follows on the anniversaries of October 19, 2023: (i) 16,000 shares on each of the first and second anniversaries; and (ii) 31,000 shares on each of the third, fourth and fifth anniversaries, subject to the Reporting Person's continued employment with Issuer (except in the case of termination due to death or disability, termination without cause, or his termination for good reason).</w:t>
      </w:r>
    </w:p>
    <w:p>
      <w:pPr>
        <w:sectPr>
          <w:pgSz w:w="11900" w:h="16838" w:orient="portrait"/>
          <w:cols w:equalWidth="0" w:num="1">
            <w:col w:w="110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4"/>
          <w:szCs w:val="14"/>
          <w:color w:val="0000FF"/>
        </w:rPr>
        <w:t>/s/ Laura G. Scheland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3366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spacing w:after="0" w:line="28"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487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3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320"/>
        <w:spacing w:after="0" w:line="328"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0000FF"/>
        </w:rPr>
        <w:t>09/08/2023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76"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7" w:lineRule="exact"/>
        <w:rPr>
          <w:sz w:val="24"/>
          <w:szCs w:val="24"/>
          <w:color w:val="auto"/>
        </w:rPr>
      </w:pPr>
    </w:p>
    <w:p>
      <w:pPr>
        <w:sectPr>
          <w:pgSz w:w="11900" w:h="16838" w:orient="portrait"/>
          <w:cols w:equalWidth="0" w:num="2">
            <w:col w:w="8700" w:space="10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4385"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2023-09-08T15:52:43Z</dcterms:created>
  <dcterms:modified xsi:type="dcterms:W3CDTF">2023-09-08T15:52:43Z</dcterms:modified>
</cp:coreProperties>
</file>