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7"/>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8"/>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FORM 10-Q</w:t>
            </w:r>
          </w:p>
        </w:tc>
      </w:tr>
      <w:tr>
        <w:trPr>
          <w:trHeight w:val="33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606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6"/>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r>
      <w:tr>
        <w:trPr>
          <w:trHeight w:val="234"/>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For the Quarterly Period Ended April 30, 2014</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3"/>
              </w:rPr>
              <w:t>or</w:t>
            </w:r>
          </w:p>
        </w:tc>
      </w:tr>
      <w:tr>
        <w:trPr>
          <w:trHeight w:val="468"/>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t>
            </w:r>
          </w:p>
        </w:tc>
        <w:tc>
          <w:tcPr>
            <w:tcW w:w="606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r>
      <w:tr>
        <w:trPr>
          <w:trHeight w:val="234"/>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36-2048898</w:t>
            </w:r>
          </w:p>
        </w:tc>
        <w:tc>
          <w:tcPr>
            <w:tcW w:w="220" w:type="dxa"/>
            <w:vAlign w:val="bottom"/>
          </w:tcPr>
          <w:p>
            <w:pPr>
              <w:spacing w:after="0"/>
              <w:rPr>
                <w:sz w:val="18"/>
                <w:szCs w:val="18"/>
                <w:color w:val="auto"/>
              </w:rPr>
            </w:pPr>
          </w:p>
        </w:tc>
      </w:tr>
      <w:tr>
        <w:trPr>
          <w:trHeight w:val="218"/>
        </w:trPr>
        <w:tc>
          <w:tcPr>
            <w:tcW w:w="65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70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Times New Roman" w:cs="Times New Roman" w:eastAsia="Times New Roman" w:hAnsi="Times New Roman"/>
                <w:sz w:val="18"/>
                <w:szCs w:val="18"/>
                <w:color w:val="auto"/>
                <w:w w:val="97"/>
              </w:rPr>
              <w:t>organization)</w:t>
            </w:r>
          </w:p>
        </w:tc>
        <w:tc>
          <w:tcPr>
            <w:tcW w:w="2700" w:type="dxa"/>
            <w:vAlign w:val="bottom"/>
            <w:gridSpan w:val="5"/>
          </w:tcPr>
          <w:p>
            <w:pPr>
              <w:jc w:val="center"/>
              <w:ind w:left="1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8"/>
              </w:rPr>
              <w:t>410 North Michigan Avenue, Suite 400</w:t>
            </w:r>
          </w:p>
        </w:tc>
        <w:tc>
          <w:tcPr>
            <w:tcW w:w="2480" w:type="dxa"/>
            <w:vAlign w:val="bottom"/>
            <w:gridSpan w:val="4"/>
          </w:tcPr>
          <w:p>
            <w:pPr>
              <w:jc w:val="center"/>
              <w:ind w:left="1490"/>
              <w:spacing w:after="0"/>
              <w:rPr>
                <w:sz w:val="20"/>
                <w:szCs w:val="20"/>
                <w:color w:val="auto"/>
              </w:rPr>
            </w:pPr>
            <w:r>
              <w:rPr>
                <w:rFonts w:ascii="Times New Roman" w:cs="Times New Roman" w:eastAsia="Times New Roman" w:hAnsi="Times New Roman"/>
                <w:sz w:val="18"/>
                <w:szCs w:val="18"/>
                <w:color w:val="auto"/>
                <w:w w:val="98"/>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98" w:lineRule="exact"/>
        <w:rPr>
          <w:sz w:val="24"/>
          <w:szCs w:val="24"/>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Yes x  No o</w:t>
      </w:r>
    </w:p>
    <w:p>
      <w:pPr>
        <w:spacing w:after="0" w:line="11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Yes x  No o</w:t>
      </w:r>
    </w:p>
    <w:p>
      <w:pPr>
        <w:spacing w:after="0" w:line="11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1" w:right="27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 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1" w:right="27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Yes o  No x</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April 30, 2014.</w:t>
      </w:r>
    </w:p>
    <w:p>
      <w:pPr>
        <w:sectPr>
          <w:pgSz w:w="11900" w:h="16838" w:orient="portrait"/>
          <w:cols w:equalWidth="0" w:num="1">
            <w:col w:w="11380"/>
          </w:cols>
          <w:pgMar w:left="240" w:top="1161" w:right="279" w:bottom="1440" w:gutter="0" w:footer="0" w:header="0"/>
          <w:type w:val="continuous"/>
        </w:sectPr>
      </w:pP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 4,999,984 Shares and Class B Stock – 2,069,994 Shares</w:t>
      </w:r>
    </w:p>
    <w:p>
      <w:pPr>
        <w:sectPr>
          <w:pgSz w:w="11900" w:h="16838" w:orient="portrait"/>
          <w:cols w:equalWidth="0" w:num="1">
            <w:col w:w="11380"/>
          </w:cols>
          <w:pgMar w:left="240" w:top="1161" w:right="2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
        </w:trPr>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1:</w:t>
            </w:r>
          </w:p>
        </w:tc>
        <w:tc>
          <w:tcPr>
            <w:tcW w:w="8280" w:type="dxa"/>
            <w:vAlign w:val="bottom"/>
            <w:gridSpan w:val="8"/>
            <w:shd w:val="clear" w:color="auto" w:fill="CCEEFF"/>
          </w:tcPr>
          <w:p>
            <w:pPr>
              <w:ind w:left="280"/>
              <w:spacing w:after="0" w:line="20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58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2:</w:t>
            </w:r>
          </w:p>
        </w:tc>
        <w:tc>
          <w:tcPr>
            <w:tcW w:w="8280" w:type="dxa"/>
            <w:vAlign w:val="bottom"/>
            <w:gridSpan w:val="8"/>
            <w:shd w:val="clear" w:color="auto" w:fill="CCEEFF"/>
          </w:tcPr>
          <w:p>
            <w:pPr>
              <w:ind w:left="280"/>
              <w:spacing w:after="0" w:line="202" w:lineRule="exact"/>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19</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580" w:type="dxa"/>
            <w:vAlign w:val="bottom"/>
            <w:tcBorders>
              <w:top w:val="single" w:sz="8" w:color="0000FF"/>
            </w:tcBorders>
          </w:tcPr>
          <w:p>
            <w:pPr>
              <w:spacing w:after="0"/>
              <w:rPr>
                <w:sz w:val="23"/>
                <w:szCs w:val="23"/>
                <w:color w:val="auto"/>
              </w:rPr>
            </w:pPr>
          </w:p>
        </w:tc>
        <w:tc>
          <w:tcPr>
            <w:tcW w:w="2140" w:type="dxa"/>
            <w:vAlign w:val="bottom"/>
            <w:tcBorders>
              <w:top w:val="single" w:sz="8" w:color="0000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3:</w:t>
            </w:r>
          </w:p>
        </w:tc>
        <w:tc>
          <w:tcPr>
            <w:tcW w:w="8280" w:type="dxa"/>
            <w:vAlign w:val="bottom"/>
            <w:gridSpan w:val="8"/>
            <w:shd w:val="clear" w:color="auto" w:fill="CCEEFF"/>
          </w:tcPr>
          <w:p>
            <w:pPr>
              <w:ind w:left="280"/>
              <w:spacing w:after="0" w:line="202"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Times New Roman" w:cs="Times New Roman" w:eastAsia="Times New Roman" w:hAnsi="Times New Roman"/>
                <w:sz w:val="18"/>
                <w:szCs w:val="18"/>
                <w:color w:val="0000FF"/>
                <w:w w:val="99"/>
              </w:rPr>
            </w:pPr>
            <w:hyperlink w:anchor="page26">
              <w:r>
                <w:rPr>
                  <w:rFonts w:ascii="Times New Roman" w:cs="Times New Roman" w:eastAsia="Times New Roman" w:hAnsi="Times New Roman"/>
                  <w:sz w:val="18"/>
                  <w:szCs w:val="18"/>
                  <w:color w:val="0000FF"/>
                  <w:w w:val="9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580" w:type="dxa"/>
            <w:vAlign w:val="bottom"/>
            <w:tcBorders>
              <w:top w:val="single" w:sz="8" w:color="0000EE"/>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4:</w:t>
            </w:r>
          </w:p>
        </w:tc>
        <w:tc>
          <w:tcPr>
            <w:tcW w:w="8280" w:type="dxa"/>
            <w:vAlign w:val="bottom"/>
            <w:gridSpan w:val="8"/>
            <w:shd w:val="clear" w:color="auto" w:fill="CCEEFF"/>
          </w:tcPr>
          <w:p>
            <w:pPr>
              <w:ind w:left="280"/>
              <w:spacing w:after="0" w:line="202" w:lineRule="exact"/>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Times New Roman" w:cs="Times New Roman" w:eastAsia="Times New Roman" w:hAnsi="Times New Roman"/>
                <w:sz w:val="18"/>
                <w:szCs w:val="18"/>
                <w:color w:val="0000FF"/>
                <w:w w:val="99"/>
              </w:rPr>
            </w:pPr>
            <w:hyperlink w:anchor="page27">
              <w:r>
                <w:rPr>
                  <w:rFonts w:ascii="Times New Roman" w:cs="Times New Roman" w:eastAsia="Times New Roman" w:hAnsi="Times New Roman"/>
                  <w:sz w:val="18"/>
                  <w:szCs w:val="18"/>
                  <w:color w:val="0000FF"/>
                  <w:w w:val="9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58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EFFE7"/>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2:</w:t>
            </w:r>
          </w:p>
        </w:tc>
        <w:tc>
          <w:tcPr>
            <w:tcW w:w="8280" w:type="dxa"/>
            <w:vAlign w:val="bottom"/>
            <w:gridSpan w:val="8"/>
            <w:shd w:val="clear" w:color="auto" w:fill="CEFFE7"/>
          </w:tcPr>
          <w:p>
            <w:pPr>
              <w:ind w:left="28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00" w:type="dxa"/>
            <w:vAlign w:val="bottom"/>
            <w:shd w:val="clear" w:color="auto" w:fill="CEFFE7"/>
          </w:tcPr>
          <w:p>
            <w:pPr>
              <w:spacing w:after="0"/>
              <w:rPr>
                <w:sz w:val="21"/>
                <w:szCs w:val="21"/>
                <w:color w:val="auto"/>
              </w:rPr>
            </w:pPr>
          </w:p>
        </w:tc>
        <w:tc>
          <w:tcPr>
            <w:tcW w:w="280" w:type="dxa"/>
            <w:vAlign w:val="bottom"/>
            <w:gridSpan w:val="5"/>
            <w:shd w:val="clear" w:color="auto" w:fill="CEFFE7"/>
          </w:tcPr>
          <w:p>
            <w:pPr>
              <w:jc w:val="center"/>
              <w:ind w:left="10"/>
              <w:spacing w:after="0" w:line="202" w:lineRule="exact"/>
              <w:rPr>
                <w:rFonts w:ascii="Times New Roman" w:cs="Times New Roman" w:eastAsia="Times New Roman" w:hAnsi="Times New Roman"/>
                <w:sz w:val="18"/>
                <w:szCs w:val="18"/>
                <w:color w:val="0000EE"/>
                <w:w w:val="99"/>
                <w:shd w:val="clear" w:color="auto" w:fill="CEFFE7"/>
              </w:rPr>
            </w:pPr>
            <w:hyperlink w:anchor="page29">
              <w:r>
                <w:rPr>
                  <w:rFonts w:ascii="Times New Roman" w:cs="Times New Roman" w:eastAsia="Times New Roman" w:hAnsi="Times New Roman"/>
                  <w:sz w:val="18"/>
                  <w:szCs w:val="18"/>
                  <w:color w:val="0000EE"/>
                  <w:w w:val="99"/>
                  <w:shd w:val="clear" w:color="auto" w:fill="CEFFE7"/>
                </w:rPr>
                <w:t>29</w:t>
              </w:r>
            </w:hyperlink>
          </w:p>
        </w:tc>
        <w:tc>
          <w:tcPr>
            <w:tcW w:w="20" w:type="dxa"/>
            <w:vAlign w:val="bottom"/>
            <w:shd w:val="clear" w:color="auto" w:fill="CEFFE7"/>
          </w:tcPr>
          <w:p>
            <w:pPr>
              <w:spacing w:after="0"/>
              <w:rPr>
                <w:sz w:val="21"/>
                <w:szCs w:val="21"/>
                <w:color w:val="auto"/>
              </w:rPr>
            </w:pPr>
          </w:p>
        </w:tc>
        <w:tc>
          <w:tcPr>
            <w:tcW w:w="8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r>
      <w:tr>
        <w:trPr>
          <w:trHeight w:val="297"/>
        </w:trPr>
        <w:tc>
          <w:tcPr>
            <w:tcW w:w="880" w:type="dxa"/>
            <w:vAlign w:val="bottom"/>
            <w:tcBorders>
              <w:top w:val="single" w:sz="8" w:color="CEFFE7"/>
            </w:tcBorders>
          </w:tcPr>
          <w:p>
            <w:pPr>
              <w:spacing w:after="0"/>
              <w:rPr>
                <w:sz w:val="24"/>
                <w:szCs w:val="24"/>
                <w:color w:val="auto"/>
              </w:rPr>
            </w:pPr>
          </w:p>
        </w:tc>
        <w:tc>
          <w:tcPr>
            <w:tcW w:w="280" w:type="dxa"/>
            <w:vAlign w:val="bottom"/>
            <w:tcBorders>
              <w:top w:val="single" w:sz="8" w:color="CEFFE7"/>
            </w:tcBorders>
          </w:tcPr>
          <w:p>
            <w:pPr>
              <w:spacing w:after="0"/>
              <w:rPr>
                <w:sz w:val="24"/>
                <w:szCs w:val="24"/>
                <w:color w:val="auto"/>
              </w:rPr>
            </w:pPr>
          </w:p>
        </w:tc>
        <w:tc>
          <w:tcPr>
            <w:tcW w:w="600" w:type="dxa"/>
            <w:vAlign w:val="bottom"/>
            <w:tcBorders>
              <w:top w:val="single" w:sz="8" w:color="CEFFE7"/>
            </w:tcBorders>
          </w:tcPr>
          <w:p>
            <w:pPr>
              <w:spacing w:after="0"/>
              <w:rPr>
                <w:sz w:val="24"/>
                <w:szCs w:val="24"/>
                <w:color w:val="auto"/>
              </w:rPr>
            </w:pPr>
          </w:p>
        </w:tc>
        <w:tc>
          <w:tcPr>
            <w:tcW w:w="160" w:type="dxa"/>
            <w:vAlign w:val="bottom"/>
            <w:tcBorders>
              <w:top w:val="single" w:sz="8" w:color="CEFFE7"/>
            </w:tcBorders>
          </w:tcPr>
          <w:p>
            <w:pPr>
              <w:spacing w:after="0"/>
              <w:rPr>
                <w:sz w:val="24"/>
                <w:szCs w:val="24"/>
                <w:color w:val="auto"/>
              </w:rPr>
            </w:pPr>
          </w:p>
        </w:tc>
        <w:tc>
          <w:tcPr>
            <w:tcW w:w="800" w:type="dxa"/>
            <w:vAlign w:val="bottom"/>
            <w:tcBorders>
              <w:top w:val="single" w:sz="8" w:color="CEFFE7"/>
            </w:tcBorders>
          </w:tcPr>
          <w:p>
            <w:pPr>
              <w:spacing w:after="0"/>
              <w:rPr>
                <w:sz w:val="24"/>
                <w:szCs w:val="24"/>
                <w:color w:val="auto"/>
              </w:rPr>
            </w:pPr>
          </w:p>
        </w:tc>
        <w:tc>
          <w:tcPr>
            <w:tcW w:w="220" w:type="dxa"/>
            <w:vAlign w:val="bottom"/>
            <w:tcBorders>
              <w:top w:val="single" w:sz="8" w:color="CEFFE7"/>
            </w:tcBorders>
          </w:tcPr>
          <w:p>
            <w:pPr>
              <w:spacing w:after="0"/>
              <w:rPr>
                <w:sz w:val="24"/>
                <w:szCs w:val="24"/>
                <w:color w:val="auto"/>
              </w:rPr>
            </w:pPr>
          </w:p>
        </w:tc>
        <w:tc>
          <w:tcPr>
            <w:tcW w:w="2580" w:type="dxa"/>
            <w:vAlign w:val="bottom"/>
            <w:tcBorders>
              <w:top w:val="single" w:sz="8" w:color="CEFFE7"/>
            </w:tcBorders>
          </w:tcPr>
          <w:p>
            <w:pPr>
              <w:spacing w:after="0"/>
              <w:rPr>
                <w:sz w:val="24"/>
                <w:szCs w:val="24"/>
                <w:color w:val="auto"/>
              </w:rPr>
            </w:pPr>
          </w:p>
        </w:tc>
        <w:tc>
          <w:tcPr>
            <w:tcW w:w="2140" w:type="dxa"/>
            <w:vAlign w:val="bottom"/>
            <w:tcBorders>
              <w:top w:val="single" w:sz="8" w:color="CEFFE7"/>
            </w:tcBorders>
          </w:tcPr>
          <w:p>
            <w:pPr>
              <w:spacing w:after="0"/>
              <w:rPr>
                <w:sz w:val="24"/>
                <w:szCs w:val="24"/>
                <w:color w:val="auto"/>
              </w:rPr>
            </w:pPr>
          </w:p>
        </w:tc>
        <w:tc>
          <w:tcPr>
            <w:tcW w:w="1500" w:type="dxa"/>
            <w:vAlign w:val="bottom"/>
            <w:tcBorders>
              <w:top w:val="single" w:sz="8" w:color="CEFFE7"/>
            </w:tcBorders>
          </w:tcPr>
          <w:p>
            <w:pPr>
              <w:spacing w:after="0"/>
              <w:rPr>
                <w:sz w:val="24"/>
                <w:szCs w:val="24"/>
                <w:color w:val="auto"/>
              </w:rPr>
            </w:pPr>
          </w:p>
        </w:tc>
        <w:tc>
          <w:tcPr>
            <w:tcW w:w="150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EFFE7"/>
            </w:tcBorders>
          </w:tcPr>
          <w:p>
            <w:pPr>
              <w:spacing w:after="0"/>
              <w:rPr>
                <w:sz w:val="24"/>
                <w:szCs w:val="24"/>
                <w:color w:val="auto"/>
              </w:rPr>
            </w:pPr>
          </w:p>
        </w:tc>
        <w:tc>
          <w:tcPr>
            <w:tcW w:w="80" w:type="dxa"/>
            <w:vAlign w:val="bottom"/>
            <w:tcBorders>
              <w:top w:val="single" w:sz="8" w:color="CEFFE7"/>
            </w:tcBorders>
          </w:tcPr>
          <w:p>
            <w:pPr>
              <w:spacing w:after="0"/>
              <w:rPr>
                <w:sz w:val="24"/>
                <w:szCs w:val="24"/>
                <w:color w:val="auto"/>
              </w:rPr>
            </w:pPr>
          </w:p>
        </w:tc>
        <w:tc>
          <w:tcPr>
            <w:tcW w:w="260" w:type="dxa"/>
            <w:vAlign w:val="bottom"/>
            <w:tcBorders>
              <w:top w:val="single" w:sz="8" w:color="CEFFE7"/>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4:</w:t>
            </w:r>
          </w:p>
        </w:tc>
        <w:tc>
          <w:tcPr>
            <w:tcW w:w="8280" w:type="dxa"/>
            <w:vAlign w:val="bottom"/>
            <w:gridSpan w:val="8"/>
            <w:shd w:val="clear" w:color="auto" w:fill="CCEEFF"/>
          </w:tcPr>
          <w:p>
            <w:pPr>
              <w:ind w:left="280"/>
              <w:spacing w:after="0" w:line="20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Times New Roman" w:cs="Times New Roman" w:eastAsia="Times New Roman" w:hAnsi="Times New Roman"/>
                <w:sz w:val="18"/>
                <w:szCs w:val="18"/>
                <w:color w:val="0000FF"/>
                <w:w w:val="99"/>
              </w:rPr>
            </w:pPr>
            <w:hyperlink w:anchor="page29">
              <w:r>
                <w:rPr>
                  <w:rFonts w:ascii="Times New Roman" w:cs="Times New Roman" w:eastAsia="Times New Roman" w:hAnsi="Times New Roman"/>
                  <w:sz w:val="18"/>
                  <w:szCs w:val="18"/>
                  <w:color w:val="0000FF"/>
                  <w:w w:val="9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58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6:</w:t>
            </w:r>
          </w:p>
        </w:tc>
        <w:tc>
          <w:tcPr>
            <w:tcW w:w="8280" w:type="dxa"/>
            <w:vAlign w:val="bottom"/>
            <w:gridSpan w:val="8"/>
            <w:shd w:val="clear" w:color="auto" w:fill="CCEEFF"/>
          </w:tcPr>
          <w:p>
            <w:pPr>
              <w:ind w:left="280"/>
              <w:spacing w:after="0" w:line="202" w:lineRule="exact"/>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Times New Roman" w:cs="Times New Roman" w:eastAsia="Times New Roman" w:hAnsi="Times New Roman"/>
                <w:sz w:val="18"/>
                <w:szCs w:val="18"/>
                <w:color w:val="0000FF"/>
                <w:w w:val="99"/>
              </w:rPr>
            </w:pPr>
            <w:hyperlink w:anchor="page29">
              <w:r>
                <w:rPr>
                  <w:rFonts w:ascii="Times New Roman" w:cs="Times New Roman" w:eastAsia="Times New Roman" w:hAnsi="Times New Roman"/>
                  <w:sz w:val="18"/>
                  <w:szCs w:val="18"/>
                  <w:color w:val="0000FF"/>
                  <w:w w:val="9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58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gridSpan w:val="8"/>
            <w:shd w:val="clear" w:color="auto" w:fill="CCEEFF"/>
          </w:tcPr>
          <w:p>
            <w:pPr>
              <w:ind w:left="280"/>
              <w:spacing w:after="0" w:line="202" w:lineRule="exact"/>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Times New Roman" w:cs="Times New Roman" w:eastAsia="Times New Roman" w:hAnsi="Times New Roman"/>
                <w:sz w:val="18"/>
                <w:szCs w:val="18"/>
                <w:color w:val="0000FF"/>
                <w:w w:val="99"/>
              </w:rPr>
            </w:pPr>
            <w:hyperlink w:anchor="page30">
              <w:r>
                <w:rPr>
                  <w:rFonts w:ascii="Times New Roman" w:cs="Times New Roman" w:eastAsia="Times New Roman" w:hAnsi="Times New Roman"/>
                  <w:sz w:val="18"/>
                  <w:szCs w:val="18"/>
                  <w:color w:val="0000FF"/>
                  <w:w w:val="99"/>
                </w:rPr>
                <w:t>31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220" w:type="dxa"/>
            <w:vAlign w:val="bottom"/>
            <w:tcBorders>
              <w:top w:val="single" w:sz="8" w:color="CCEEFF"/>
            </w:tcBorders>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those described in Item 1A, Risk Factors, of our Annual Report on Form 10-K for the fiscal year ended July 31, 2013.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Cat’s Pride, Fresh &amp; Light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16,436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less allowance of $674 and $641</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at April 30, 2014 and July 31, 2013,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31,148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3,986</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Prepaid repairs expense</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87,757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103,372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184,137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71,969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66,055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patents, net of accumulated amortization</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$415 and $427 at April 30, 2014 and July 31, 2013,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5"/>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Debt issuance costs, net of accumulated amortization</w:t>
            </w:r>
          </w:p>
        </w:tc>
        <w:tc>
          <w:tcPr>
            <w:tcW w:w="22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of $505 and $455 at April 30, 2014 and July 31 2013, respectively</w:t>
            </w: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Licensing agreements and non-compete agreements, net of accumulated amortization</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$1,099 and $1,861 at April 30, 2014 and July 31, 2013,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Customer list, net of accumulated amortization of $510 at April 30, 2014</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24,911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14,132</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184,637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88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wages and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Freight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29,794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31,447</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8,569</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46,851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76,645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88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par value $.10 per share, issued 7,917,393 shares at April 30, 2014</w:t>
            </w:r>
          </w:p>
        </w:tc>
        <w:tc>
          <w:tcPr>
            <w:tcW w:w="2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7,866,560 shares at July 31, 2013</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5"/>
        </w:trPr>
        <w:tc>
          <w:tcPr>
            <w:tcW w:w="8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Class B Stock, par value $.10 per share, issued 2,394,735 shares at April 30, 2014</w:t>
            </w:r>
          </w:p>
        </w:tc>
        <w:tc>
          <w:tcPr>
            <w:tcW w:w="200" w:type="dxa"/>
            <w:vAlign w:val="bottom"/>
          </w:tcPr>
          <w:p>
            <w:pPr>
              <w:spacing w:after="0"/>
              <w:rPr>
                <w:sz w:val="19"/>
                <w:szCs w:val="19"/>
                <w:color w:val="auto"/>
              </w:rPr>
            </w:pPr>
          </w:p>
        </w:tc>
        <w:tc>
          <w:tcPr>
            <w:tcW w:w="10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and 2,394,487 shares at July 31, 2013</w:t>
            </w: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31,317</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Restricted unearned stock compensation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132,750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8760" w:type="dxa"/>
            <w:vAlign w:val="bottom"/>
            <w:gridSpan w:val="4"/>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Less Treasury Stock, at cost (2,917,409 Common and 324,741 Class B shares at</w:t>
            </w: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30, 2014 and 2,914,567 Common and 324,741 Class B shares at July 31, 2013)</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107,992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102,938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184,637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183,559</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For the Nine Months Ended April</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186,691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(136,300)</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47,277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50,391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11,066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14,458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37"/>
        </w:trPr>
        <w:tc>
          <w:tcPr>
            <w:tcW w:w="85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122,901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and treasury stock issuances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136,901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129,248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4,974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4,899</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6,998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6,916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3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22860</wp:posOffset>
            </wp:positionV>
            <wp:extent cx="1475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34"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9,849</w:t>
            </w:r>
          </w:p>
        </w:tc>
      </w:tr>
      <w:tr>
        <w:trPr>
          <w:trHeight w:val="297"/>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r>
      <w:tr>
        <w:trPr>
          <w:trHeight w:val="243"/>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r>
      <w:tr>
        <w:trPr>
          <w:trHeight w:val="25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10,283</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320"/>
          </w:cols>
          <w:pgMar w:left="240" w:top="576" w:right="1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For the Three Months Ended April</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67,417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64,152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16,891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92"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For the Three Months Ended April</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w:t>
            </w:r>
          </w:p>
        </w:tc>
      </w:tr>
      <w:tr>
        <w:trPr>
          <w:trHeight w:val="297"/>
        </w:trPr>
        <w:tc>
          <w:tcPr>
            <w:tcW w:w="8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3,364</w:t>
            </w: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April 30,</w:t>
            </w:r>
          </w:p>
        </w:tc>
        <w:tc>
          <w:tcPr>
            <w:tcW w:w="0" w:type="dxa"/>
            <w:vAlign w:val="bottom"/>
          </w:tcPr>
          <w:p>
            <w:pPr>
              <w:spacing w:after="0"/>
              <w:rPr>
                <w:sz w:val="1"/>
                <w:szCs w:val="1"/>
                <w:color w:val="auto"/>
              </w:rPr>
            </w:pPr>
          </w:p>
        </w:tc>
      </w:tr>
      <w:tr>
        <w:trPr>
          <w:trHeight w:val="27"/>
        </w:trPr>
        <w:tc>
          <w:tcPr>
            <w:tcW w:w="83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3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9,849</w:t>
            </w:r>
          </w:p>
        </w:tc>
        <w:tc>
          <w:tcPr>
            <w:tcW w:w="0" w:type="dxa"/>
            <w:vAlign w:val="bottom"/>
          </w:tcPr>
          <w:p>
            <w:pPr>
              <w:spacing w:after="0"/>
              <w:rPr>
                <w:sz w:val="1"/>
                <w:szCs w:val="1"/>
                <w:color w:val="auto"/>
              </w:rPr>
            </w:pPr>
          </w:p>
        </w:tc>
      </w:tr>
      <w:tr>
        <w:trPr>
          <w:trHeight w:val="237"/>
        </w:trPr>
        <w:tc>
          <w:tcPr>
            <w:tcW w:w="83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Amortization of investment net discount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Excess tax benefits for share-based payments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Provision for bad debts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(Gain) on the sale of fixed assets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Capacity rationalization charges</w:t>
            </w:r>
          </w:p>
        </w:tc>
        <w:tc>
          <w:tcPr>
            <w:tcW w:w="1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Decrease in assets, net of acquisition: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Increase (Decrease) in liabilities, net of acquisition:</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19,274</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34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4360" w:type="dxa"/>
            <w:vAlign w:val="bottom"/>
            <w:tcBorders>
              <w:top w:val="single" w:sz="8" w:color="CCEEFF"/>
            </w:tcBorders>
            <w:gridSpan w:val="3"/>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(13,291)</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Acquisition of business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Dispositions of short-term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25,132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14,645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34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Proceeds from issuance of treasury stock</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Excess tax benefits for share-based payments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0" w:type="dxa"/>
            <w:vAlign w:val="bottom"/>
          </w:tcPr>
          <w:p>
            <w:pPr>
              <w:spacing w:after="0"/>
              <w:rPr>
                <w:sz w:val="1"/>
                <w:szCs w:val="1"/>
                <w:color w:val="auto"/>
              </w:rPr>
            </w:pPr>
          </w:p>
        </w:tc>
      </w:tr>
      <w:tr>
        <w:trPr>
          <w:trHeight w:val="237"/>
        </w:trPr>
        <w:tc>
          <w:tcPr>
            <w:tcW w:w="83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16,436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420"/>
          </w:cols>
          <w:pgMar w:left="240" w:top="576" w:right="239" w:bottom="981"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981"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STATEMENT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2013 included in our Annual Report on Form 10-K filed with the SEC.</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nine months ended April 30, 2014 are not necessarily an indication of the results that may be expected for the fiscal year ending July 31, 2014.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and assumptions are revised periodically. Actual results could differ from these estimates.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our sales agreements with customers, we recognize revenue when risk of loss and title are transferred. An invoice is generated upon shipment that sets the fixed and determinable price. Trade promotion reserves are provided for sales incentives made directly to consumers, such as coupons, and made to customers, such as slotting, discounts based on sales volume, cooperative marketing programs and other arrangements. Such trade promotion costs are netted against sales. Sales returns and allowances are not material.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allowance for doubtful accounts utilizing a combination of historical experience and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The pre-production overburden removal costs associated with opening a new mine are deferred as prepaid expense and amortized.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76" w:right="239" w:bottom="1440" w:gutter="0" w:footer="0" w:header="0"/>
        </w:sectPr>
      </w:pPr>
    </w:p>
    <w:bookmarkStart w:id="10" w:name="page11"/>
    <w:bookmarkEnd w:id="10"/>
    <w:p>
      <w:pPr>
        <w:ind w:right="7660" w:firstLine="8"/>
        <w:spacing w:after="0" w:line="503" w:lineRule="auto"/>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Recently Adopted Accounting Standards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the first quarter of fiscal 2014 we adopted new guidance from the Financial Accounting Standard Board (“FASB”) issued under Accounting Standard Codification (“ASC”) 220, </w:t>
      </w:r>
      <w:r>
        <w:rPr>
          <w:rFonts w:ascii="Times New Roman" w:cs="Times New Roman" w:eastAsia="Times New Roman" w:hAnsi="Times New Roman"/>
          <w:sz w:val="18"/>
          <w:szCs w:val="18"/>
          <w:i w:val="1"/>
          <w:iCs w:val="1"/>
          <w:color w:val="auto"/>
        </w:rPr>
        <w:t>Comprehensive Income-Reporting of Amounts Reclassified Out of Accumulated Other Comprehensive Income.</w:t>
      </w:r>
      <w:r>
        <w:rPr>
          <w:rFonts w:ascii="Times New Roman" w:cs="Times New Roman" w:eastAsia="Times New Roman" w:hAnsi="Times New Roman"/>
          <w:sz w:val="18"/>
          <w:szCs w:val="18"/>
          <w:color w:val="auto"/>
        </w:rPr>
        <w:t xml:space="preserve"> The guidance required presentation by the respective net income line items, either on the face of the statement where net income is presented or in the notes, of information about significant amounts required to be reclassified out of accumulated other comprehensive income (“AOCI”). We elected to present the reclassifications in the notes to the financial statements. See Note 8 for additional information regarding amounts reclassified from AOCI.</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fiscal 2014 we considered the FASB guidance issued under ASC 350, </w:t>
      </w:r>
      <w:r>
        <w:rPr>
          <w:rFonts w:ascii="Times New Roman" w:cs="Times New Roman" w:eastAsia="Times New Roman" w:hAnsi="Times New Roman"/>
          <w:sz w:val="18"/>
          <w:szCs w:val="18"/>
          <w:i w:val="1"/>
          <w:iCs w:val="1"/>
          <w:color w:val="auto"/>
        </w:rPr>
        <w:t>Testing Indefinite-Lived Intangible Assets for Impairment,</w:t>
      </w:r>
      <w:r>
        <w:rPr>
          <w:rFonts w:ascii="Times New Roman" w:cs="Times New Roman" w:eastAsia="Times New Roman" w:hAnsi="Times New Roman"/>
          <w:sz w:val="18"/>
          <w:szCs w:val="18"/>
          <w:color w:val="auto"/>
        </w:rPr>
        <w:t xml:space="preserve"> which provides the option to first assess qualitative factors to determine if the annual two-step test for impairment must be performed. We did not elect to perform a qualitative assessment and continued to perform a quantitative analysis to measure potential indefinite-lived intangible asset impairment. There was no impact on our condensed consolidated financial statements as a result of this new guidance.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Regulations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2013, the IRS released final tangible property regulations ("repair regulations") under Sections 162(a) and 263(a) of the Internal Revenue Code, regarding the deduction and capitalization of amounts paid to acquire, produce, or improve tangible property. The repair regulations provide guidance on the timing of deduction for tangible property and repairs. The final regulations replace temporary regulations that were issued in March 2011 and are effective for our tax year beginning August 1, 2014, with early adoption permitted for tax years beginning January 1, 2012. We are currently evaluating the impact of the final repair regulations on our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6"/>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38"/>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r>
      <w:tr>
        <w:trPr>
          <w:trHeight w:val="243"/>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r>
      <w:tr>
        <w:trPr>
          <w:trHeight w:val="257"/>
        </w:trPr>
        <w:tc>
          <w:tcPr>
            <w:tcW w:w="19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20,723</w:t>
            </w: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April 30, 2014 and July 31, 2013 were $348,000 and $364,000,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hierarchy are as follows:</w:t>
      </w:r>
    </w:p>
    <w:p>
      <w:pPr>
        <w:spacing w:after="0" w:line="122"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60" w:hanging="91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financial assets and liabilities that were measured at fair value by level within the fair value hierarchy: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Fair Value at April 30, 2014</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3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3"/>
              </w:rPr>
              <w:t>Level 2</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are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former key employees as of April 30, 2014. The cash surrender value of life insurance is included in other assets on the condensed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short-term investments on the condensed Consolidated Balance Sheets includes U.S. Treasury securities and certificates of deposit. We have the ability to hold our short-term investments to maturity and intend to do so; therefore, these investments were reported at amortized cost on the condensed Consolidated Balance Sheets, which approximated fair value as of April 30, 2014. These balances are excluded from the above table.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and accounts payable balances on the condensed Consolidated Balance Sheets approximated their fair values at April 30, 2014 due to the short maturity and nature of those balances; therefore, these balances are excluded from the above table.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Prepaid expenses and other assets on the condensed Consolidated Balance Sheets includes a receivable for the amount due to us upon the sale of the real property retained by MFM Industries Inc. ("MFM") per the acquisition agreement described in Note 9. The portion of the acquisition purchase cost assigned to this receivable of $500,000 is estimated based on the fair value of the real property. The fair value was determined using a market valuation approach and is classified as Level 3. This receivable will be carried at the allocated purchase cost and will be evaluated for impairment on an ongoing basis; therefore, this amount is excluded from the above table.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values of notes payable approximated their fair values at April 30, 2014 and are excluded from the above table. The estimated fair value of notes payable, including current maturities, was $23,639,000 as of April 30, 2014.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apply fair value techniques on a non-recurring basis associated with: (1) valuing potential impairment loss related to goodwill and indefinite-lived intangible assets and (2) valuing potential impairment loss related to long-lived assets. Our annual goodwill impairment analysis was performed in the first quarter of fiscal 2014 and did not indicate any impairment. In addition, various fair value techniques were used related to the acquisition of MFM, as discussed in Note 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PENSION AND OTHER POSTRETIREMENT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and postretirement health benefit costs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6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6280" w:type="dxa"/>
            <w:vAlign w:val="bottom"/>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r>
      <w:tr>
        <w:trPr>
          <w:trHeight w:val="214"/>
        </w:trPr>
        <w:tc>
          <w:tcPr>
            <w:tcW w:w="6280" w:type="dxa"/>
            <w:vAlign w:val="bottom"/>
          </w:tcPr>
          <w:p>
            <w:pPr>
              <w:spacing w:after="0"/>
              <w:rPr>
                <w:sz w:val="18"/>
                <w:szCs w:val="18"/>
                <w:color w:val="auto"/>
              </w:rPr>
            </w:pPr>
          </w:p>
        </w:tc>
        <w:tc>
          <w:tcPr>
            <w:tcW w:w="25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18"/>
                <w:szCs w:val="18"/>
                <w:color w:val="auto"/>
              </w:rPr>
            </w:pPr>
          </w:p>
        </w:tc>
        <w:tc>
          <w:tcPr>
            <w:tcW w:w="244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6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352</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w:t>
            </w:r>
          </w:p>
        </w:tc>
      </w:tr>
      <w:tr>
        <w:trPr>
          <w:trHeight w:val="27"/>
        </w:trPr>
        <w:tc>
          <w:tcPr>
            <w:tcW w:w="6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7"/>
        </w:trPr>
        <w:tc>
          <w:tcPr>
            <w:tcW w:w="6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service costs</w:t>
            </w:r>
          </w:p>
        </w:tc>
        <w:tc>
          <w:tcPr>
            <w:tcW w:w="8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r>
      <w:tr>
        <w:trPr>
          <w:trHeight w:val="25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1,362</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2,013</w:t>
            </w:r>
          </w:p>
        </w:tc>
      </w:tr>
      <w:tr>
        <w:trPr>
          <w:trHeight w:val="20"/>
        </w:trPr>
        <w:tc>
          <w:tcPr>
            <w:tcW w:w="6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68"/>
        </w:trPr>
        <w:tc>
          <w:tcPr>
            <w:tcW w:w="6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6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6280" w:type="dxa"/>
            <w:vAlign w:val="bottom"/>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r>
      <w:tr>
        <w:trPr>
          <w:trHeight w:val="214"/>
        </w:trPr>
        <w:tc>
          <w:tcPr>
            <w:tcW w:w="6280" w:type="dxa"/>
            <w:vAlign w:val="bottom"/>
          </w:tcPr>
          <w:p>
            <w:pPr>
              <w:spacing w:after="0"/>
              <w:rPr>
                <w:sz w:val="18"/>
                <w:szCs w:val="18"/>
                <w:color w:val="auto"/>
              </w:rPr>
            </w:pPr>
          </w:p>
        </w:tc>
        <w:tc>
          <w:tcPr>
            <w:tcW w:w="25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18"/>
                <w:szCs w:val="18"/>
                <w:color w:val="auto"/>
              </w:rPr>
            </w:pPr>
          </w:p>
        </w:tc>
        <w:tc>
          <w:tcPr>
            <w:tcW w:w="244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6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6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w:t>
            </w: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transition obligation</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service costs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6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plan covering postretirement health benefits is an unfunded plan. We have funded the pension plan based upon actuarially determined contributions that take into account the amount deductible for income tax purposes, the normal cost and the minimum and the maximum contribution requirements of various regulations. We contributed $375,000 to our pension plan during the third quarter ended April 30, 2014. We estimate contributions will be $230,000 for the remainder of fiscal 2014. See Item 3. "Quantitative and Qualitative Disclosures About Market Risk" for a discussion of the potential impact of financial market fluctuations on pension plan assets and future funding contributions.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Assumptions used in the previous calculations were as follows: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5860" w:type="dxa"/>
            <w:vAlign w:val="bottom"/>
          </w:tcPr>
          <w:p>
            <w:pPr>
              <w:spacing w:after="0"/>
              <w:rPr>
                <w:sz w:val="24"/>
                <w:szCs w:val="24"/>
                <w:color w:val="auto"/>
              </w:rPr>
            </w:pPr>
          </w:p>
        </w:tc>
        <w:tc>
          <w:tcPr>
            <w:tcW w:w="28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7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tc>
      </w:tr>
      <w:tr>
        <w:trPr>
          <w:trHeight w:val="27"/>
        </w:trPr>
        <w:tc>
          <w:tcPr>
            <w:tcW w:w="5860" w:type="dxa"/>
            <w:vAlign w:val="bottom"/>
          </w:tcPr>
          <w:p>
            <w:pPr>
              <w:spacing w:after="0"/>
              <w:rPr>
                <w:sz w:val="2"/>
                <w:szCs w:val="2"/>
                <w:color w:val="auto"/>
              </w:rPr>
            </w:pPr>
          </w:p>
        </w:tc>
        <w:tc>
          <w:tcPr>
            <w:tcW w:w="468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680" w:type="dxa"/>
            <w:vAlign w:val="bottom"/>
            <w:gridSpan w:val="7"/>
          </w:tcPr>
          <w:p>
            <w:pPr>
              <w:ind w:left="94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April 30,</w:t>
            </w:r>
          </w:p>
        </w:tc>
        <w:tc>
          <w:tcPr>
            <w:tcW w:w="8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5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 for net periodic benefit cost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1"/>
                <w:szCs w:val="21"/>
                <w:color w:val="auto"/>
              </w:rPr>
            </w:pPr>
          </w:p>
        </w:tc>
        <w:tc>
          <w:tcPr>
            <w:tcW w:w="18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expected rate of return on assets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medical cost trend assumption for postretirement health benefits was 8.0%. The graded trend rate is expected to decrease to an ultimate rate of 5.0% in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OPERATING 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two operating segments: (1) Retail and Wholesale Products and (2)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April 30, 2014</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31, 2013</w:t>
            </w: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to Business Products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54,869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53,721</w:t>
            </w: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 and Wholesale Products</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91,257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76,376</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38,511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53,462</w:t>
            </w:r>
          </w:p>
        </w:tc>
      </w:tr>
      <w:tr>
        <w:trPr>
          <w:trHeight w:val="257"/>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184,637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183,559</w:t>
            </w: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to Business Products</w:t>
            </w:r>
          </w:p>
        </w:tc>
        <w:tc>
          <w:tcPr>
            <w:tcW w:w="2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68,022</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22,581</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 and Wholesale Products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9,424</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200,268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2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Capacity Rationalization Charges</w:t>
            </w:r>
          </w:p>
        </w:tc>
        <w:tc>
          <w:tcPr>
            <w:tcW w:w="2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11,066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10,286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13,529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7,890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3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8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Income (Loss)</w:t>
            </w: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to Business Products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22,470</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24,525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5,336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7,957</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and Wholesale Products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44,947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67,417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64,152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Capacity Rationalization Charges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4,674</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4,441</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fair value of stock options and restricted stock issued under our long term incentive plans as of the grant date. We recognized the related compensation expense over the period from the date of grant to the date when the award is no longer contingent on the employee providing additional service to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Oil-Dri Corporation of America Outside Director Stock Plan provides for grants of stock options to directors. Stock options have been granted to our directors with a one year vesting period. There are no shares available for future grants under this plan. All shares of stock issued under this plan were from treasury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transactions as of April 30, 2014 is shown below:</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Intrinsic</w:t>
            </w:r>
          </w:p>
        </w:tc>
      </w:tr>
      <w:tr>
        <w:trPr>
          <w:trHeight w:val="238"/>
        </w:trPr>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0"/>
        </w:trPr>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July 31, 2013</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5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Forfeitures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97"/>
        </w:trPr>
        <w:tc>
          <w:tcPr>
            <w:tcW w:w="5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Options outstanding, April 30, 2014</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r>
      <w:tr>
        <w:trPr>
          <w:trHeight w:val="251"/>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exercisable, April 30, 2014</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r>
      <w:tr>
        <w:trPr>
          <w:trHeight w:val="20"/>
        </w:trPr>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stock options exercised during the third quarter of fiscal 2014. The amount of cash received from the exercise of stock options during the third quarter of fiscal 2013 was $34,000 and the related tax benefit was $16,000. The amount of cash received from the exercise of stock options during the first nine months of fiscal 2014 was $51,000 and the related tax benefit was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063" w:right="2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$24,000. The amount of cash received from the exercise of stock options during the first nine months of fiscal 2013 was $686,000 and the related tax benefit was $284,000.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options were granted in the first nine months of either fiscal 2014 or 2013.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non-vested restricted stock as of April 30, 2014 was issued under the 2006 Plan with vesting periods between two years and five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2006 Plan, 18,000 and 13,000 new restricted shares of Common Stock were granted in the third quarter fiscal 2014 and 2013,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our stock-based compensation expense in the third quarter of fiscal years 2014 and 2013 was $313,000 and $203,000, respectively, related to non-vested restricted stock. In the first nine months of fiscal years 2014 and 2013, the expense related to unvested restricted stock was $873,000 and $616,000,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under the plan is shown below:</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6"/>
        </w:trPr>
        <w:tc>
          <w:tcPr>
            <w:tcW w:w="1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38"/>
        </w:trPr>
        <w:tc>
          <w:tcPr>
            <w:tcW w:w="14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7"/>
        </w:trPr>
        <w:tc>
          <w:tcPr>
            <w:tcW w:w="140" w:type="dxa"/>
            <w:vAlign w:val="bottom"/>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outstanding at July 31, 2013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22.24</w:t>
            </w:r>
          </w:p>
        </w:tc>
      </w:tr>
      <w:tr>
        <w:trPr>
          <w:trHeight w:val="243"/>
        </w:trPr>
        <w:tc>
          <w:tcPr>
            <w:tcW w:w="14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21.50</w:t>
            </w:r>
          </w:p>
        </w:tc>
      </w:tr>
      <w:tr>
        <w:trPr>
          <w:trHeight w:val="27"/>
        </w:trPr>
        <w:tc>
          <w:tcPr>
            <w:tcW w:w="1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r>
      <w:tr>
        <w:trPr>
          <w:trHeight w:val="243"/>
        </w:trPr>
        <w:tc>
          <w:tcPr>
            <w:tcW w:w="14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21.80</w:t>
            </w:r>
          </w:p>
        </w:tc>
      </w:tr>
      <w:tr>
        <w:trPr>
          <w:trHeight w:val="27"/>
        </w:trPr>
        <w:tc>
          <w:tcPr>
            <w:tcW w:w="140" w:type="dxa"/>
            <w:vAlign w:val="bottom"/>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140" w:type="dxa"/>
            <w:vAlign w:val="bottom"/>
          </w:tcPr>
          <w:p>
            <w:pPr>
              <w:spacing w:after="0"/>
              <w:rPr>
                <w:sz w:val="22"/>
                <w:szCs w:val="22"/>
                <w:color w:val="auto"/>
              </w:rPr>
            </w:pPr>
          </w:p>
        </w:tc>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outstanding at April 30, 2014</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27.39</w:t>
            </w:r>
          </w:p>
        </w:tc>
      </w:tr>
      <w:tr>
        <w:trPr>
          <w:trHeight w:val="20"/>
        </w:trPr>
        <w:tc>
          <w:tcPr>
            <w:tcW w:w="1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by component as of April 30, 2014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 on</w:t>
            </w:r>
          </w:p>
        </w:tc>
        <w:tc>
          <w:tcPr>
            <w:tcW w:w="36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Pension and</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34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c>
          <w:tcPr>
            <w:tcW w:w="36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34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38"/>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36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Health Benefits</w:t>
            </w:r>
          </w:p>
        </w:tc>
        <w:tc>
          <w:tcPr>
            <w:tcW w:w="5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4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July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25"/>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61"/>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05"/>
        </w:trPr>
        <w:tc>
          <w:tcPr>
            <w:tcW w:w="40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 income, net</w:t>
            </w: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5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April 30,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1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net of tax expense of $108,000. Amounts are included in the components of net periodic benefit cost for the pension and postretirement health plans. See Note 5 for further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left="200" w:hanging="192"/>
        <w:spacing w:after="0"/>
        <w:tabs>
          <w:tab w:leader="none" w:pos="2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ACQUISITION</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 2013, we acquired certain assets of MFM, a company engaged in the manufacturing, marketing and distribution of primarily private label cat litter. MFM and its parent company, MFM Delaware, Inc., had filed for bankruptcy in May 2013. The purchase of MFM’s cat litter business assets was a strategic business decision intended to expand our private label cat litter business. We did not acquire any land or mineral rights nor did we operate the MFM plant. MFM’s customers’ orders were transitioned to our existing cat litter manufacturing plants which had available capacity and were producing similar cat litter products.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transaction qualifies as a business combination for accounting purposes, therefore the assets acquired were recorded at their respective estimated fair values at the date of acquisition. The excess of the purchase price over those fair values is recorded as goodwill. The following table summarizes the preliminary fair value of the assets acquired and liabilities assumed at the acquisition date. The fair values are subject to refinement within the measurement period as we finalize our valuations.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Estimated Fair Value as</w:t>
            </w:r>
          </w:p>
        </w:tc>
      </w:tr>
      <w:tr>
        <w:trPr>
          <w:trHeight w:val="234"/>
        </w:trPr>
        <w:tc>
          <w:tcPr>
            <w:tcW w:w="8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of November 1, 2013</w:t>
            </w:r>
          </w:p>
        </w:tc>
      </w:tr>
      <w:tr>
        <w:trPr>
          <w:trHeight w:val="270"/>
        </w:trPr>
        <w:tc>
          <w:tcPr>
            <w:tcW w:w="8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27"/>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12,505</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37"/>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1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13,005</w:t>
            </w:r>
          </w:p>
        </w:tc>
      </w:tr>
      <w:tr>
        <w:trPr>
          <w:trHeight w:val="27"/>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9"/>
        </w:trPr>
        <w:tc>
          <w:tcPr>
            <w:tcW w:w="8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and liabilities acquired:</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r>
      <w:tr>
        <w:trPr>
          <w:trHeight w:val="243"/>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taxes - current</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taxes -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list</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7,785</w:t>
            </w:r>
          </w:p>
        </w:tc>
      </w:tr>
      <w:tr>
        <w:trPr>
          <w:trHeight w:val="237"/>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identifiable net assets and liabilities</w:t>
            </w:r>
          </w:p>
        </w:tc>
        <w:tc>
          <w:tcPr>
            <w:tcW w:w="1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9,568</w:t>
            </w:r>
          </w:p>
        </w:tc>
      </w:tr>
      <w:tr>
        <w:trPr>
          <w:trHeight w:val="27"/>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9"/>
        </w:trPr>
        <w:tc>
          <w:tcPr>
            <w:tcW w:w="8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64"/>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3,437</w:t>
            </w:r>
          </w:p>
        </w:tc>
      </w:tr>
      <w:tr>
        <w:trPr>
          <w:trHeight w:val="20"/>
        </w:trPr>
        <w:tc>
          <w:tcPr>
            <w:tcW w:w="8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acquired included finished goods, packaging supplies and raw materials. The inventory fair value was determined using the comparative sales method approach.</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MFM purchase agreement provides that we will receive half of the proceeds upon the sale of the real property retained by MFM. The receivable was valued at $500,000 based upon the fair value of the real property, determined using a market valuation approach, which may not be the ultimate sale price of the property. We expect to receive these proceeds within a year since MFM is required to sell the real property in order to resolve its bankruptcy proceedings. This receivable is included in current assets on the condensed Consolidated Balance Sheets. Current assets also included a $130,000 prepaid asset for MFM deposits held by packaging suppliers to which we are entitled as of November 1, 2013. As of April 30, 2014, all deposits have been credited to Oil-Dri.</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machinery and equipment purchased was valued primarily using a market valuation approach; however, a cost approach was used for certain equipment for which appropriate market comparisons were not available.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deposited $500,000 in an escrow account to fund our maximum obligation for expenses incurred to prepare and sell the real property retained by MFM. We expect the full escrow amount to be spent within a year. As of April 30, 2014, the remaining balance in escrow was $191,000. The cash held in escrow is shown as restricted cash and the corresponding liability is included in current liabilities on the condensed Consolidated Balance Sheets.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acquired a customer list which was recorded as an intangible asset at fair value using an income valuation approach. The valuation process estimated the present value of the anticipated benefits in excess of the returns on the contributory assets required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90" w:right="2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to realize those benefits. The value of the customer list will be amortized over a period of 10 years with an accelerated amortization rate in the earlier years to reflect the expected pattern of decline in the related benefits over time. This customer list is related to the Retail and Wholesale Products Group segment.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recorded from the acquisition is primarily attributable to anticipated synergies of our product portfolios. All of the goodwill recognized is deductible for tax purposes. This goodwill is related to the Retail and Wholesale Products Group segment.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taxes reflects primarily the difference between the book basis and tax basis of the accrued expense for costs incurred to prepare and sell the real property retained by MFM.</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incurred $120,000 of acquisition-related costs, primarily in the first quarter of fiscal 2014, which are included in selling, general and administrative expenses on the condensed Consolidated Statements of Income and Retained Earnings.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summarized proforma financial information below presents the combined results of operations as if the acquisition of MFM had occurred as of August 1, 2012. MFM’s pre-acquisition results have been added to Oil-Dri’s historical results and include certain adjustments related to the acquisition, such as amortization of intangible assets and depreciation expense. These proforma results do not include any anticipated cost synergies and do not reflect the actual results of operations that would have been achieved, nor are they indicative of future results of operations. The following proforma results are presented for comparative purposes only (unaudited) (in thousands,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the Three Months Ended April</w:t>
            </w:r>
          </w:p>
        </w:tc>
        <w:tc>
          <w:tcPr>
            <w:tcW w:w="140" w:type="dxa"/>
            <w:vAlign w:val="bottom"/>
          </w:tcPr>
          <w:p>
            <w:pPr>
              <w:spacing w:after="0"/>
              <w:rPr>
                <w:sz w:val="18"/>
                <w:szCs w:val="18"/>
                <w:color w:val="auto"/>
              </w:rPr>
            </w:pPr>
          </w:p>
        </w:tc>
        <w:tc>
          <w:tcPr>
            <w:tcW w:w="25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For the Nine Months Ended April</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30,</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30,</w:t>
            </w:r>
          </w:p>
        </w:tc>
        <w:tc>
          <w:tcPr>
            <w:tcW w:w="10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4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4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2013</w:t>
            </w: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Proforma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67,417</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69,159</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205,234</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202,953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Proforma 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2,992</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Proforma net income per share - Basic Common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0.46</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Proforma net income per share - Basic Class 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0.35</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Proforma net income per share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0.43</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sales for MFM-related customers after the acquisition that are included in our condensed consolidated financial statements for the first nine months of fiscal 2014 were approximately $6,800,000. The amount of net income specifically attributed to these customers cannot be determined because MFM’s customers’ orders were fulfilled in our existing cat litter manufacturing plants and with our existing sales team and logistics processes.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2013.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6 of the notes to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APRIL 30, 2014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APRIL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net sales for the nine months ended April 30, 2014 were $200,268,000, an increase of 7% from net sales of $186,691,000 for the nine months ended April 30, 2013. Consolidated net income for the first nine months of of fiscal 2014 was $7,890,000, compared to $9,849,000 for the first nine months of fiscal 2013. Operating income declined for both our Retail and Wholesale Products Group and for our Business to Business Products Group. Diluted net income per share was $1.11 for the first nine months of fiscal 2014, compared to $1.40 for the first nine months of fiscal 2013.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first nine months of fiscal 2014 improved in both our operating segments. Our Retail and Wholesale Products Group benefited from higher volume of cat litter sales, including additional sales from the acquisition of MFM, and our Business to Business Products Group realized higher net selling prices and a favorable product sales mix (defined as a greater proportion of sales from higher priced products).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gross profit as a percentage of net sales for the first nine months of fiscal 2014 was 24%, which was lower than the 27% reported for the first nine months of fiscal 2013. Gross profit declined due primarily to the increased costs of packaging and freight, as described by operating segment below, and higher material costs per ton, which included a 30% increase in the cost of natural gas used to operate kilns that dry our clay. Material costs also included a 3% increase in non-fuel manufacturing cost per ton, attributed to more material purchases based on the mix of products produced, as well as higher costs for labor and increased mining and hauling activity. We continue to pursue operation efficiencies as we integrate the additional volume gained through the acquisition of MFM. Our mining and hauling operations have been impacted by the weather, the increased volume and by extraction of clay reserves that require more overburden removal. In addition, gross profit was impacted by increased sales of private label cat litter, which generally has a lower gross profit than branded cat litter.</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for the first nine months of fiscal 2014 were 18%, compared to 19% for the first nine months of fiscal 2013. The discussions of the segments' operating incomes below describe the change in the selling, general and administrative expenses that were allocated to the operating segments, particularly higher advertising costs in the Retail and Wholesale Products Group. The remaining unallocated corporate expenses in the first nine months of fiscal 2014 included a lower estimated annual incentive plan bonus accrual than the prior year. The incentive bonus expense was based on performance targets that were established for the fiscal year.</w:t>
      </w:r>
    </w:p>
    <w:p>
      <w:pPr>
        <w:spacing w:after="0" w:line="1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Interest expense was $188,000 lower for the first nine months of fiscal 2014 compared to the same period in fiscal 2013 due to a reduction of notes payable.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76" w:right="2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23% of pre-tax income in the first nine months of fiscal 2014, which was lower than the 27% rate for the first nine months of fiscal 2013. The lower effective tax rate was driven by many factors, including projected total taxable income for the year, the expected relative levels sources of taxable income (domestic and foreign) and estimated depletion.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first nine months of fiscal 2014 were $71,649,000, an increase of $3,627,000, or 5%, from net sales of $68,022,000 for the first nine months of fiscal 2013. Net sales of animal health and nutrition products increased approximately 17%, primarily in foreign markets, due to a favorable product sales mix and higher net selling prices. Net sales of fluid purification products were up approximately 13% due primarily to 7% more tons sold and higher net selling prices. Sales improved in both domestic and foreign markets as the result of global growth in edible oil production. Net sales of agricultural products decreased 12% primarily for agricultural chemical carriers sold to corn rootworm pesticide producers. Our co-packaged traditional coarse cat litter net sales were down slightly compared to the first nine months of the prior year.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first nine months of fiscal 2014 was $20,980,000, a decrease of $1,601,000, or 7%, from operating income of $22,581,000 in the first nine months of fiscal 2013. Operating income was positively impacted by the improved sales described above, but was negatively impacted by a combined approximate 10% increase in materials, freight and packaging costs per ton. Material costs rose due primarily to a higher price paid for natural gas used to operate kilns that dry our clay and increases in other non-fuel manufacturing costs. See further discussion of manufacturing costs in “Consolidated Results” above. The increase in freight costs was attributed primarily to more shipments to foreign countries and other cost increases in the freight industry. Packaging cost increases were driven primarily by supplier price increases and the mix of products sold.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Business to Business Products Group increased 20% compared to the first nine months of fiscal 2013 due primarily to start up costs for our new subsidiary in China, Amlan Trading (Shenzhen) Company, Ltd. and additional personnel.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first nine months of fiscal 2014 were $128,619,000, an increase of $9,950,000, or 8%, from net sales of $118,669,000 for the first nine months of fiscal 2013. Net sales for our cat litter products increased; however, sales declined for our foreign subsidiaries and were flat for our industrial absorbents. Our foreign subsidiaries are discussed under “Foreign Operations” below. Overall cat litter net sales were up approximately 12%. The benefit of higher sales volume was partially offset by higher trade spending (trade spending reduces net sales). Our branded cat litter net sales increase of approximately 11% was attributed to 30% more net sales of our Cat's Pride Fresh &amp; Light products, as well as improved sales of our other Cat's Pride scoopable and coarse litter products. Private label cat litter sales increased approximately 16% due in part to additional sales from the acquisition of MFM. (See Note 9 of the notes to the condensed consolidated financial statements for more information about the MFM acquisition.)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Retail and Wholesale Products Group's operating income for the first nine months of fiscal 2014 was $3,563,000, a decrease of $5,861,000, or 62%, from operating income of $9,424,000 for the first nine months of fiscal 2013. The benefit of higher sales discussed above was more than offset by an approximate combined 4% increase in packaging, freight, and materials cost per ton and by increased selling, general and administrative expenses, as discussed below. Packaging costs are up due to the mix of products produced and commodity price increases, particularly for resin. The increase in freight costs was attributed primarily to our service level enhancement efforts and cost increases in the freight industry. Material costs rose primarily due to a higher price paid for natural gas used to operate kilns that dry our clay and increases in other non-fuel manufacturing costs. See further discussion of manufacturing costs in “Consolidated Results”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Retail and Wholesale Products Group were 24% higher compared to the first nine months of fiscal 2013 due to increased advertising, amortization of intangible assets acquired in the MFM acquisition and higher sales commissions. We expect advertising and promotional expenditures for the full year of fiscal 2014 to be greater than in fiscal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by our foreign subsidiaries during the first nine months of fiscal 2014 were $8,119,000, a 9% decrease compared to net sales of $8,875,000 during the first nine months of fiscal 2013. The net sales decrease was attributed primarily to increased competition that resulted in lower cat litter sales by our Canadian subsidiary, which was partially offset by a favorable sales mix</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96" w:right="2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of fluids purification products sold by our United Kingdom subsidiary. Net sales by our foreign subsidiaries represented 4% and 5% of our consolidated net sales during the first nine months of fiscal years 2014 and 2013,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foreign subsidiaries reported a net loss of $374,000 for the first nine months of fiscal 2014 compared to a net loss of $319,000 for the first nine months of fiscal 2013. The increase in net loss was due primarily to lower sales described above, which was partially offset by our United Kingdom subsidiary's favorable product sales mix that included a greater proportion of higher margin products and by favorable currency exchange rates.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Identifiable assets of our foreign subsidiaries as of April 30, 2014 were $8,221,000, compared to $8,474,000 as of April 30, 2013. The decrease was due primarily to lower cash and cash equivalents, net fixed assets and prepaid expenses, which were partially offset by increased inventories, accounts receivable and deferred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2014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net sales for the three months ended April 30, 2014 were $67,417,000, an increase of 5% from net sales of $64,152,000 for the three months ended April 30, 2013. Consolidated net income for the third quarter of fiscal 2014 was $722,000, compared to $3,251,000 for the third quarter of fiscal 2013. Operating income declined for both our Retail and Wholesale Products Group and for our Business to Business Products Group. Diluted net income per share was $0.10 for the third quarter of fiscal 2014, compared to $0.46 for the third quarter of fiscal 2013.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net sales for the third quarter of fiscal 2014 improved due to higher sales volume for cat litter products in our Retail and Wholesale Products Group, which more than offset lower sales in our Business to Business Products Group.</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gross profit as a percentage of net sales for the third quarter of fiscal 2014 was 21%, which was lower than the 26% reported for the third quarter of fiscal 2013. Gross profit declined due primarily to the increased cost of packaging and freight, as described by operating segment below, and higher material costs per ton, which included a 25% increase in the cost of natural gas used to operate kilns that dry our clay. Material costs also included a 2% increase in non-fuel manufacturing cost per ton, attributed to more material purchases based on the mix of products produced, as well as higher costs for labor and increased mining and hauling activity. We continue to pursue operation efficiencies as we integrate the additional volume gained through the acquisition of MFM. Our mining and hauling operations have been impacted by the weather and by extraction of clay reserves that require more overburden removal. In addition, gross profit was impacted by increased sales of private label cat litter, which generally has a lower gross profit than branded cat litter.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for the third quarter of fiscal 2014 were 19%, the same as for the third quarter of fiscal 2013. The discussions of the segments' operating incomes below describe the change in the selling, general and administrative expenses that were allocated to the operating segments, particularly higher advertising costs in the Retail and Wholesale Products Group. The remaining unallocated corporate expenses in the third quarter of fiscal 2014 included a lower estimated annual incentive plan bonus accrual. The incentive bonus expense was based on performance targets that were established for the fiscal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$70,000 lower for the third quarter of fiscal 2014 compared to the same period in fiscal 2013 due to a reduction of notes payable.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16% of pre-tax income in the third quarter of fiscal 2014, which was lower than the 27% rate reported in the third quarter of fiscal 2013. Tax expense in the third quarter of fiscal 2014 included adjustments to the year-to-date effective tax rate based on the projected composition and estimated level of our taxable income for the full fiscal year, as well as a small true-up of the tax provision estimate upon filing of the fiscal 2013 tax returns.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third quarter of fiscal 2014 were $22,470,000, a decrease of $2,055,000, or 8%, from net sales of $24,525,000 for the third quarter of fiscal 2013. The net sales decline resulted from 12% fewer tons sold, which was partially offset by higher net selling prices. Net sales of agricultural products decreased 38%, primarily for agricultural chemical carriers sold to corn rootworm pesticide producers. Net sales of animal health and nutrition products decreased approximately 11% due to reduced sales in one foreign market. Partially offsetting these declines were approximately 5% higher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of fluid purification products. Sales improved in foreign markets as the result of global growth in edible oil production. Our co-packaged traditional coarse cat litter net sales were down slightly compare to the third quarter of the prior year.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third quarter of fiscal 2014 was $5,336,000, a decrease of $2,621,000, or 33%, from operating income of $7,957,000 in the third quarter of fiscal 2013. Operating income was negatively impacted by the reduced sales described above, and by increased packaging, materials and freight costs per ton. Packaging cost increases were driven primarily by supplier price increases and the mix of products sold. Material costs increased due primarily to a higher price paid for natural gas used to operate kilns that dry our clay and increases in other non-fuel manufacturing costs. See further discussion of manufacturing costs in “Consolidated Results” above. The increase in freight costs was attributed primarily to more shipments to foreign countries and other cost increases in the freight industry.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Business to Business Products Group increased 23% compared to the third quarter of fiscal 2013 due primarily to expenses incurred for start up costs for our new subsidiary in China, Amlan Trading (Shenzhen) Company, Ltd., and additional personnel.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third quarter of fiscal 2014 were $44,947,000, an increase of $5,320,000 from net sales of $39,627,000 for the third quarter of fiscal 2013. Net sales for our cat litter and industrial absorbent products increased; however, sales declined for our foreign subsidiaries. Our foreign subsidiaries are discussed under “Foreign Operations” below. Overall cat litter net sales increased approximately 18% due to higher sales volume and increased trade spending (trade spending is deducted from net sales). Our branded cat litter net sales increase of approximately 3% was attributed primarily to our Cat's Pride Fresh &amp; Light products and to introduction of a new product for pet specialty stores. Private label cat litter sales increased approximately 44% due primarily to additional sales from the acquisition of MFM. (See Note 9 of the notes to the condensed consolidated financial statements for more information about the MFM acquisition.) Net sales of industrial absorbents increased 5% compared to the third quarter of fiscal 2013.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Retail and Wholesale Products Group reported an operating loss of $694,000 for the third quarter of fiscal 2014, a decrease of $3,658,000 from operating income of $2,964,000 for the third quarter of fiscal 2013. The benefit of the increased sales discussed above was outweighed by higher selling, general and administrative expenses, as discussed below, and by higher packaging costs. Packaging costs are up due to the mix of products sold and commodity price increases, particularly for resin. We also sold more private label cat litter, which generally has a lower gross profit than branded cat litter.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Retail and Wholesale Products Group were 66% higher compared to the third quarter of fiscal 2013 due to increased advertising, amortization of intangible assets acquired in the MFM acquisition and higher sales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by our foreign subsidiaries during the third quarter of fiscal 2014 were $2,537,000, a 7% decrease compared to net sales of $2,722,000 during the third quarter of fiscal 2013. The net sales decrease was attributed to increased competition that resulted in lower sales of cat litter products in our Canadian subsidiary, which was partially offset by higher sales of fluids purification products by our United Kingdom subsidiary. Net sales by our foreign subsidiaries represented approximately 4% of our consolidated net sales during both the third quarter of fiscal years 2014 and 2013.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foreign subsidiaries reported a net loss of $132,000 for the third quarter of fiscal 2014 compared to a net loss of $173,000 for the third quarter of fiscal 2013. The net loss decreased due primarily to a reduction in selling, general and administrative costs at both our Canadian and United Kingdom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capital requirements include funding working capital needs, purchasing real estate, equipment and facilities, funding new product development and investing in infrastructure, repurchasing Common Stock, paying dividends and, from time to time, making acquisitions. During the first nine months of fiscal 2014, we principally used cash generated from operations and from previous debt issuances to fund these requirements. We also have the ability to borrow under our credit facilities; however, we have not borrowed under the credit agreement in recent years. Cash and cash equivalents decreased $7,599,000 during the first nine months of fiscal 2014 to $16,436,000 at April 30,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0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19,274</w:t>
            </w: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w:t>
            </w: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first nine months of fiscal years 2014 and 2013, were as follows: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Accounts receivable, less allowance for doubtful accounts, increased $1,706,000 in the first nine months of fiscal 2014 compared to a decrease of $441,000 in the first nine months of fiscal 2013. Sales in the third quarter of fiscal 2014 were higher than in the third quarter of fiscal 2013. The change in both periods is also subject to the timing of sales and collections and the payment terms provided to various customers.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increased $2,884,000 in the first nine months of fiscal 2014 compared to an increase of $1,676,000 in the same period in fiscal 2013. Finished goods inventory was up in the first nine months of fiscal 2014 due primarily to higher costs and increased tons in inventory to meet sales requirements. Packaging inventories were up due to higher costs and production projections. In the first nine months of fiscal 2013, finished goods inventories increased due to more in-transit shipments as of April 30, 2013 compared to the prior fiscal year-end, and packaging and additives inventories increased due to higher costs and the mix of products being produced.</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Prepaid expenses increased $1,276,000 in the first nine months of fiscal 2014 compared to a decrease of $855,000 in the first nine months of fiscal 2013. The change in the first nine months of fiscal 2014 was due to increases in prepaid income taxes, prepaid advertising costs and prepaid insurance. During the first nine months of fiscal 2013, a decrease in prepaid income taxes exceeded an increase in prepaid insurance. Prepaid insurance increased in both periods due the timing of insurance premium payments.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assets increased $444,000 in the first nine months of fiscal 2014 compared to an increase of $216,000 in the first nine months of fiscal 2013. The cash surrender value of life insurance on key employees increased in both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payable increased $415,000 in the first nine months of fiscal 2014 compared to an increase of $357,000 in the first nine months of fiscal 2013. Trade payables varied in both periods due to timing of payments, cost fluctuations for goods and services we purchased and production volume levels.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Accrued expenses decreased $1,981,000 in the first nine months of fiscal 2014 compared to an increase of $2,481,000 in the first nine months of fiscal 2013. Accrued salaries included the discretionary incentive bonus accrual, which in the first nine months of both fiscal 2014 and 2013 decreased by the payout of the prior fiscal year's discretionary incentive bonus accrual and increased by the current fiscal year's first nine months' discretionary incentive bonus accrual. The payout in the first nine months of fiscal 2014 was substantially higher than the current year's accrual, while the opposite occurred in the first nine months of fiscal 2013. Accrued trade promotions and advertising in the first nine months of both fiscal 2014 and 2013 varied due to the timing of marketing programs. Accrued freight changed in both years due to the timing of payments and shipments at quarter-end. Similar to accounts payable, accrued plant expenses fluctuated due to timing of payments, cost fluctuations for goods and services we purchased and our production levels.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compensation increased $568,000 in the first nine months of fiscal 2014 compared to an increase of $333,000 in the first nine months of fiscal 2013. Deferred compensation balances in both periods were reduced by scheduled payouts and were increased by employee deferrals and interest earned on accumulated deferred compensation balances.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liabilities increased $638,000 in the first nine months of fiscal 2014 compared to an increase of $949,000 in the first nine months of fiscal 2013. The liability increase for both periods was determined based on actuarial estimates using various assumptions. See Note 5 of the notes to condensed consolidated financial statements for further discussion of our postretirement benefit obligations.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Other liabilities increased $196,000 in the first nine months of fiscal 2014 compared to a decrease of $20,000 in the first nine months of fiscal 2013. A reclassification of the accrual for uncertain tax positions to long-term contributed to the increase for the first nine months of fiscal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was $10,984,000 in the first nine months of fiscal 2014 compared to net cash used in investing activities of $16,021,000 in the first nine months of fiscal 2013. In the first nine months of fiscal 2014, $12,814,000 of cash was used in the acquisition of MFM, plus an additional $191,000 was classified as restricted cash held in escrow as of April 30, 2014. See Note 9 of the notes to condensed consolidated financial statements for additional information about the MFM acquisition. Disposition of investment securities exceeded purchases by $15,221,000 in the first nine months of fiscal 2014. Purchases of investment securities exceeded dispositions by $8,278,000 in the first nine months of fiscal 2013. Purchases and dispositions of investment securities in both periods are subject to variations in the timing of investment maturities. Cash used for capital expenditures of $13,291,000 in the first nine months of fiscal 2014 was primarily for capacity expansion projects and mining equipment at our manufacturing facilities. Cash used for capital expenditures of $7,805,000 for the same period in fiscal 2013 was primarily for replacement of machinery at our manufacturing facilities.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$7,166,000 in the first nine months of fiscal 2014 compared to cash used in financing activities of $7,709,000 in the first nine months of fiscal 2013. Scheduled payments on long-term debt in the first nine months of fiscal 2014 were $3,500,000 compared to $3,800,000 in the first nine months of fiscal 2013. Dividend payments in the first nine months of fiscal 2014 were $3,719,000 compared to $4,630,000 paid during the same period of fiscal 2013 due to an acceleration of the fourth quarter dividend payments in fiscal 2013.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cash and investment balances held by our foreign subsidiaries of $1,387,000 as of April 30, 2014 were lower than the April 30, 2013 balances of $1,567,000 due to continued operating losses as discussed in “Foreign Operations” above.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$15,000,000 unsecured revolving credit agreement with BMO Harris Bank N.A. (“BMO Harris”) which will expire on December 31, 2014. While there can be no assurance regarding the terms, timing or consummation of any successor agreement, on or before the expiration of this agreement, we may enter into a successor credit agreement with BMO Harris or another financing source. The credit agreement with BMO Harris provides that we may select a variable rate based on either BMO Harris’ prime rate or a LIBOR-based rate, plus a margin which varies depending on our debt to earnings ratio, or a fixed rate as agreed between us and BMO Harris. The credit agreement also allows us to obtain foreign letters of credit when necessary. At April 30, 2014, the variable rates would have been 3.25% for BMO Harris’ prime-based rate or 1.55%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nine months ended April 30, 2014 and 2013, and we were in compliance with its covenants.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2014, we had remaining authority to repurchase 310,355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Capital expenditures in the first nine months of fiscal 2014 are higher than in the full year of fiscal 2013 due to projects at our manufacturing facilities, including capacity expansion projects for our fluids purification products and purchases of mining and hauling equipment. In addition, advertising and promotions spending in fiscal 2014 is expected to be greater than in fiscal 2013. We also used $12,814,000 of our existing cash and investment balances to acquire certain assets of MFM in the first nine months of fiscal 2014, as described in Note 9 of the notes to the condensed consolidated financial statements.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96" w:right="2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economic conditions and to financial, business and other factors. The timing and size of any new business ventures or acquisitions that we complete may also impact our cash requirements.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in the following subsection summarize our contractual obligations and commercial commitments (in thousands) as of April 30, 2014 for the time-frames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After 5 Years</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Liability</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34,300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contingent liability in the above table represents our maximum obligation under the MFM purchase agreement described in Note 9 of the condensed consolidated financial statements.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made total contributions to our defined benefit pension plan of $813,000 during the first nine months of fiscal 2014. We estimate contributions of approximately $230,000 will be made during the remainder of fiscal 2014.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4"/>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1 – 3 Years</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4 – 5 Years</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the first quarter of fiscal 2014 we adopted new guidance from the FASB issued under ASC 220, </w:t>
      </w:r>
      <w:r>
        <w:rPr>
          <w:rFonts w:ascii="Times New Roman" w:cs="Times New Roman" w:eastAsia="Times New Roman" w:hAnsi="Times New Roman"/>
          <w:sz w:val="18"/>
          <w:szCs w:val="18"/>
          <w:i w:val="1"/>
          <w:iCs w:val="1"/>
          <w:color w:val="auto"/>
        </w:rPr>
        <w:t>Comprehensive Income-Reporting of Amounts Reclassified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Out of Accumulated Other Comprehensive Income. </w:t>
      </w:r>
      <w:r>
        <w:rPr>
          <w:rFonts w:ascii="Times New Roman" w:cs="Times New Roman" w:eastAsia="Times New Roman" w:hAnsi="Times New Roman"/>
          <w:sz w:val="18"/>
          <w:szCs w:val="18"/>
          <w:color w:val="auto"/>
        </w:rPr>
        <w:t>The guidance required presentation by the respective net income line items, either on the face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where net income is presented or in the notes, of information about significant amounts required to be reclassified out of AOCI. We elected to present the reclassifications in the notes to the financial statements. See Note 8 of the notes to consolidated financial statements for additional information regarding amounts reclassified from AOCI.</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fiscal 2014 we considered the FASB guidance issued under ASC 350, </w:t>
      </w:r>
      <w:r>
        <w:rPr>
          <w:rFonts w:ascii="Times New Roman" w:cs="Times New Roman" w:eastAsia="Times New Roman" w:hAnsi="Times New Roman"/>
          <w:sz w:val="18"/>
          <w:szCs w:val="18"/>
          <w:i w:val="1"/>
          <w:iCs w:val="1"/>
          <w:color w:val="auto"/>
        </w:rPr>
        <w:t>Testing Indefinite-Lived Intangible Assets for Impairment,</w:t>
      </w:r>
      <w:r>
        <w:rPr>
          <w:rFonts w:ascii="Times New Roman" w:cs="Times New Roman" w:eastAsia="Times New Roman" w:hAnsi="Times New Roman"/>
          <w:sz w:val="18"/>
          <w:szCs w:val="18"/>
          <w:color w:val="auto"/>
        </w:rPr>
        <w:t xml:space="preserve"> which provides the option to first assess qualitative factors to determine if the annual two-step test for impairment must be performed. We did not elect to perform a qualitative assessment and continued to perform a quantitative analysis to measure potential indefinite-lived intangible asset impairment. There was no impact on our condensed consolidated financial statements as a result of this new guidance.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Regulations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2013, the IRS released final tangible property regulations ("repair regulations") under Sections 162(a) and 263(a) of the Internal Revenue Code, regarding the deduction and capitalization of amounts paid to acquire, produce, or improve tangible property. The repair regulations provide guidance on the timing of deduction for tangible property and repairs. The final regulations replace temporary regulations that were issued in March 2011 and are effective for our tax year beginning August 1, 2014, with early adoption permitted for tax years beginning January 1, 2012. We are currently evaluating the impact of the final repair regulations on our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fluctuation risk, primarily U.S. Dollar/British Pound, U.S. Dollar/Euro and U.S. Dollar/Canadian Dollar, as it relates to certain accounts receivables and to our foreign operations. We are also subject to translation exposure of our foreign subsidiaries’ financial statements. In recent years, our foreign subsidiaries have not generated a substantial portion of our consolidated sales or net income. In addition, a small portion of our consolidated accounts receivable are denominated in foreign currencies. In the first nine months of fiscal 2014 we did not enter into any hedge contracts in an attempt to offset any adverse effect of changes in currency exchange rates. We believe that the overall foreign currency fluctuation risk is not material to our consolidated financial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2014. We continue to purchase natural gas at spot rates on a month to month basis.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7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April 30, 2014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2014, we did not sell any securities which were not registered under the Securities Act of 1933. The following chart summarizes our Common Stock purchases during this period.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24"/>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that may yet be</w:t>
            </w:r>
          </w:p>
        </w:tc>
      </w:tr>
      <w:tr>
        <w:trPr>
          <w:trHeight w:val="216"/>
        </w:trPr>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Under Plans or</w:t>
            </w:r>
          </w:p>
        </w:tc>
      </w:tr>
      <w:tr>
        <w:trPr>
          <w:trHeight w:val="265"/>
        </w:trPr>
        <w:tc>
          <w:tcPr>
            <w:tcW w:w="1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Ended April 30, 2014</w:t>
            </w:r>
          </w:p>
        </w:tc>
        <w:tc>
          <w:tcPr>
            <w:tcW w:w="12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40" w:type="dxa"/>
            <w:vAlign w:val="bottom"/>
            <w:tcBorders>
              <w:bottom w:val="single" w:sz="8" w:color="CCEEFF"/>
            </w:tcBorders>
          </w:tcPr>
          <w:p>
            <w:pPr>
              <w:spacing w:after="0"/>
              <w:rPr>
                <w:sz w:val="23"/>
                <w:szCs w:val="23"/>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4"/>
              </w:rPr>
              <w:t>Programs</w:t>
            </w:r>
            <w:r>
              <w:rPr>
                <w:rFonts w:ascii="Times New Roman" w:cs="Times New Roman" w:eastAsia="Times New Roman" w:hAnsi="Times New Roman"/>
                <w:sz w:val="25"/>
                <w:szCs w:val="25"/>
                <w:b w:val="1"/>
                <w:bCs w:val="1"/>
                <w:color w:val="auto"/>
                <w:w w:val="94"/>
                <w:vertAlign w:val="superscript"/>
              </w:rPr>
              <w:t>2</w:t>
            </w:r>
          </w:p>
        </w:tc>
      </w:tr>
      <w:tr>
        <w:trPr>
          <w:trHeight w:val="218"/>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1, 2014 to</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41"/>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28, 2014</w:t>
            </w:r>
          </w:p>
        </w:tc>
        <w:tc>
          <w:tcPr>
            <w:tcW w:w="24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4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311,871</w:t>
            </w: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1, 2014 to March</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4"/>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31, 2014</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w:t>
            </w:r>
          </w:p>
        </w:tc>
        <w:tc>
          <w:tcPr>
            <w:tcW w:w="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$33.21</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310,355</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5"/>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2014 to April 30,</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4"/>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4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310,355</w:t>
            </w:r>
          </w:p>
        </w:tc>
      </w:tr>
      <w:tr>
        <w:trPr>
          <w:trHeight w:val="27"/>
        </w:trPr>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8"/>
        <w:spacing w:after="0" w:line="233" w:lineRule="auto"/>
        <w:tabs>
          <w:tab w:leader="none" w:pos="108"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consolidated financial statements included in our Annual Report on Form 10-K for the fiscal year ended July 31, 2013 filed with the SEC.</w:t>
      </w:r>
    </w:p>
    <w:p>
      <w:pPr>
        <w:spacing w:after="0" w:line="198" w:lineRule="exact"/>
        <w:rPr>
          <w:sz w:val="20"/>
          <w:szCs w:val="20"/>
          <w:color w:val="auto"/>
        </w:rPr>
      </w:pPr>
    </w:p>
    <w:p>
      <w:pPr>
        <w:jc w:val="both"/>
        <w:ind w:firstLine="8"/>
        <w:spacing w:after="0" w:line="233" w:lineRule="auto"/>
        <w:tabs>
          <w:tab w:leader="none" w:pos="112"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Board of Directors authorized repurchases of 250,000 shares on March 11, 2011 and authorized the repurchase of an additional 250,000 shares on June 14, 2012.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7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560" w:type="dxa"/>
            <w:vAlign w:val="bottom"/>
          </w:tcPr>
          <w:p>
            <w:pPr>
              <w:spacing w:after="0"/>
              <w:rPr>
                <w:sz w:val="20"/>
                <w:szCs w:val="20"/>
                <w:color w:val="auto"/>
              </w:rPr>
            </w:pPr>
          </w:p>
        </w:tc>
      </w:tr>
      <w:tr>
        <w:trPr>
          <w:trHeight w:val="576"/>
        </w:trPr>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Exhibit</w:t>
            </w: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4"/>
        </w:trPr>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No.</w:t>
            </w:r>
          </w:p>
        </w:tc>
        <w:tc>
          <w:tcPr>
            <w:tcW w:w="57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Description</w:t>
            </w:r>
          </w:p>
        </w:tc>
        <w:tc>
          <w:tcPr>
            <w:tcW w:w="45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 re: Computation of Earnings per Share.</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Certifications pursuant to Rule 13a–14(a).</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Certifications pursuant to Section 1350 of the Sarbanes-Oxley Act of 2002.</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101.INS</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Instance Document</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604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575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6, 2014</w:t>
      </w:r>
    </w:p>
    <w:p>
      <w:pPr>
        <w:spacing w:after="0" w:line="2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320"/>
          </w:cols>
          <w:pgMar w:left="580" w:top="580" w:right="99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68865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re: Computation of Earnings per Share.</w:t>
      </w:r>
    </w:p>
    <w:p>
      <w:pPr>
        <w:spacing w:after="0" w:line="333" w:lineRule="exact"/>
        <w:rPr>
          <w:rFonts w:ascii="Times New Roman" w:cs="Times New Roman" w:eastAsia="Times New Roman" w:hAnsi="Times New Roman"/>
          <w:sz w:val="18"/>
          <w:szCs w:val="18"/>
          <w:color w:val="auto"/>
        </w:rPr>
      </w:pPr>
    </w:p>
    <w:p>
      <w:pPr>
        <w:ind w:left="1620" w:hanging="522"/>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Rule 13a–14(a).</w:t>
      </w:r>
    </w:p>
    <w:p>
      <w:pPr>
        <w:spacing w:after="0" w:line="333" w:lineRule="exact"/>
        <w:rPr>
          <w:rFonts w:ascii="Times New Roman" w:cs="Times New Roman" w:eastAsia="Times New Roman" w:hAnsi="Times New Roman"/>
          <w:sz w:val="18"/>
          <w:szCs w:val="18"/>
          <w:color w:val="auto"/>
        </w:rPr>
      </w:pPr>
    </w:p>
    <w:p>
      <w:pPr>
        <w:ind w:left="1620" w:hanging="522"/>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101.SCH</w:t>
            </w: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101.CAL</w:t>
            </w: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101.LAB</w:t>
            </w: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76"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380"/>
        <w:spacing w:after="0"/>
        <w:rPr>
          <w:sz w:val="20"/>
          <w:szCs w:val="20"/>
          <w:color w:val="auto"/>
        </w:rPr>
      </w:pPr>
      <w:r>
        <w:rPr>
          <w:rFonts w:ascii="Times New Roman" w:cs="Times New Roman" w:eastAsia="Times New Roman" w:hAnsi="Times New Roman"/>
          <w:sz w:val="18"/>
          <w:szCs w:val="18"/>
          <w:b w:val="1"/>
          <w:bCs w:val="1"/>
          <w:color w:val="auto"/>
        </w:rPr>
        <w:t>OIL-DRI CORPORATION OF AMERICA AND SUBSIDIARIES</w:t>
      </w:r>
    </w:p>
    <w:p>
      <w:pPr>
        <w:spacing w:after="0" w:line="31" w:lineRule="exact"/>
        <w:rPr>
          <w:sz w:val="20"/>
          <w:szCs w:val="20"/>
          <w:color w:val="auto"/>
        </w:rPr>
      </w:pPr>
    </w:p>
    <w:p>
      <w:pPr>
        <w:jc w:val="right"/>
        <w:ind w:right="4320"/>
        <w:spacing w:after="0"/>
        <w:rPr>
          <w:sz w:val="20"/>
          <w:szCs w:val="20"/>
          <w:color w:val="auto"/>
        </w:rPr>
      </w:pPr>
      <w:r>
        <w:rPr>
          <w:rFonts w:ascii="Times New Roman" w:cs="Times New Roman" w:eastAsia="Times New Roman" w:hAnsi="Times New Roman"/>
          <w:sz w:val="18"/>
          <w:szCs w:val="18"/>
          <w:b w:val="1"/>
          <w:bCs w:val="1"/>
          <w:color w:val="auto"/>
        </w:rPr>
        <w:t>Computation of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80" w:type="dxa"/>
            <w:vAlign w:val="bottom"/>
          </w:tcPr>
          <w:p>
            <w:pPr>
              <w:spacing w:after="0"/>
              <w:rPr>
                <w:sz w:val="23"/>
                <w:szCs w:val="23"/>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80" w:type="dxa"/>
            <w:vAlign w:val="bottom"/>
          </w:tcPr>
          <w:p>
            <w:pPr>
              <w:spacing w:after="0"/>
              <w:rPr>
                <w:sz w:val="23"/>
                <w:szCs w:val="23"/>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stockholders</w:t>
            </w:r>
          </w:p>
        </w:tc>
        <w:tc>
          <w:tcPr>
            <w:tcW w:w="148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7,890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9,849</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non-vested stock</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available to common shareholders</w:t>
            </w:r>
          </w:p>
        </w:tc>
        <w:tc>
          <w:tcPr>
            <w:tcW w:w="14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7,771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Shares Calculation</w:t>
            </w: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gridSpan w:val="3"/>
            <w:vMerge w:val="continue"/>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shares outstanding - Basic Common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4,987</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4,974</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4,899</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Average shares outstanding - Basic Class B Common</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Potential Common Stock relating to stock options</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Average shares outstanding - Assuming dilution</w:t>
            </w:r>
          </w:p>
        </w:tc>
        <w:tc>
          <w:tcPr>
            <w:tcW w:w="1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7,013</w:t>
            </w:r>
          </w:p>
        </w:tc>
        <w:tc>
          <w:tcPr>
            <w:tcW w:w="3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6,938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6,998</w:t>
            </w:r>
          </w:p>
        </w:tc>
        <w:tc>
          <w:tcPr>
            <w:tcW w:w="3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6,916</w:t>
            </w:r>
          </w:p>
        </w:tc>
        <w:tc>
          <w:tcPr>
            <w:tcW w:w="0" w:type="dxa"/>
            <w:vAlign w:val="bottom"/>
          </w:tcPr>
          <w:p>
            <w:pPr>
              <w:spacing w:after="0"/>
              <w:rPr>
                <w:sz w:val="1"/>
                <w:szCs w:val="1"/>
                <w:color w:val="auto"/>
              </w:rPr>
            </w:pPr>
          </w:p>
        </w:tc>
      </w:tr>
      <w:tr>
        <w:trPr>
          <w:trHeight w:val="251"/>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Basic Common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Net Income Per Share: Basic Class B Common</w:t>
            </w:r>
          </w:p>
        </w:tc>
        <w:tc>
          <w:tcPr>
            <w:tcW w:w="1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0.08</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0.90</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1"/>
        </w:trPr>
        <w:tc>
          <w:tcPr>
            <w:tcW w:w="5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4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 -14(A)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960" w:hanging="331"/>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960" w:right="20" w:hanging="331"/>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960" w:hanging="331"/>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960" w:hanging="331"/>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960" w:hanging="331"/>
        <w:spacing w:after="0" w:line="282"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960" w:hanging="331"/>
        <w:spacing w:after="0" w:line="282"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6, 2014</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8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T. Smith,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960" w:hanging="331"/>
        <w:spacing w:after="0" w:line="266"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960" w:right="20" w:hanging="331"/>
        <w:spacing w:after="0" w:line="266"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960" w:hanging="331"/>
        <w:spacing w:after="0" w:line="266"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960" w:hanging="331"/>
        <w:spacing w:after="0" w:line="266"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960" w:hanging="331"/>
        <w:spacing w:after="0" w:line="282"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960" w:hanging="331"/>
        <w:spacing w:after="0" w:line="282"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6, 2014</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4"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April 30, 2014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2"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18"/>
          <w:szCs w:val="18"/>
          <w:color w:val="auto"/>
        </w:rPr>
        <w:t>Dated:</w:t>
        <w:tab/>
        <w:t>June 6, 2014</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44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April 30, 2014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2"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18"/>
          <w:szCs w:val="18"/>
          <w:color w:val="auto"/>
        </w:rPr>
        <w:t>Dated:</w:t>
        <w:tab/>
        <w:t>June 6, 2014</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44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Daniel T. Smith</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Vice President and Chief Financial Officer</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812"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2014.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107(a)</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 and</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110(b)</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Imminent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Value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Pending as of</w:t>
            </w: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Initiated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Substantial”</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104(b)</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Citations and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(2)Flagrant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Danger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Proposed MSHA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Last Day of</w:t>
            </w: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During</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During</w:t>
            </w:r>
          </w:p>
        </w:tc>
        <w:tc>
          <w:tcPr>
            <w:tcW w:w="0" w:type="dxa"/>
            <w:vAlign w:val="bottom"/>
          </w:tcPr>
          <w:p>
            <w:pPr>
              <w:spacing w:after="0"/>
              <w:rPr>
                <w:sz w:val="1"/>
                <w:szCs w:val="1"/>
                <w:color w:val="auto"/>
              </w:rPr>
            </w:pPr>
          </w:p>
        </w:tc>
      </w:tr>
      <w:tr>
        <w:trPr>
          <w:trHeight w:val="234"/>
        </w:trPr>
        <w:tc>
          <w:tcPr>
            <w:tcW w:w="1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Mine location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Orders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Orders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Orders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Assessments</w:t>
            </w:r>
          </w:p>
        </w:tc>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Period</w:t>
            </w: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Period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Mountain,</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1,631</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10,292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no mining-related fatalities at any of our facilities during the three months ended April 30, 2014.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2"/>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31"/>
    </w:lvl>
  </w:abstractNum>
  <w:abstractNum w:abstractNumId="8">
    <w:nsid w:val="12200854"/>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9">
    <w:nsid w:val="4DB127F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2020-01-27T17:35:22Z</dcterms:created>
  <dcterms:modified xsi:type="dcterms:W3CDTF">2020-01-27T17:35:22Z</dcterms:modified>
</cp:coreProperties>
</file>