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40"/>
              <w:spacing w:after="0"/>
              <w:rPr>
                <w:sz w:val="20"/>
                <w:szCs w:val="20"/>
                <w:color w:val="auto"/>
              </w:rPr>
            </w:pPr>
            <w:r>
              <w:rPr>
                <w:rFonts w:ascii="Arial" w:cs="Arial" w:eastAsia="Arial" w:hAnsi="Arial"/>
                <w:sz w:val="18"/>
                <w:szCs w:val="18"/>
                <w:color w:val="auto"/>
                <w:w w:val="90"/>
              </w:rPr>
              <w:t>October 10, 2017</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2017, Oil-Dri Corporation of America (the “Registrant”) issued a press release announcing its results of operations for its fourth quarter and fiscal year ended July 31, 2017.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October 10,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2017</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4"/>
          </w:tcPr>
          <w:p>
            <w:pPr>
              <w:ind w:left="346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Press Release of the Registrant dated October 10, 2017</w:t>
              </w:r>
            </w:hyperlink>
          </w:p>
        </w:tc>
        <w:tc>
          <w:tcPr>
            <w:tcW w:w="5700" w:type="dxa"/>
            <w:vAlign w:val="bottom"/>
            <w:gridSpan w:val="2"/>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Fourth Quarter and Fiscal Year 2017 Results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CHICAGO-(October 10, 2017)-Oil-Dri Corporation of America (NYSE: ODC) today announced net income of $10,792,000 or</w:t>
      </w:r>
    </w:p>
    <w:p>
      <w:pPr>
        <w:spacing w:after="0" w:line="5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$1.47 of earnings per diluted share for fiscal 2017, compared to net income of $13,613,000 or $1.87 of earnings per diluted share in the prior year. Net sales for the twelve-months were $262,307,000 compared to net sales of $262,313,000 in the same period of fiscal 2016.</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Net income for the fourth quarter of fiscal 2017 was $1,322,000 or $0.18 of earnings per diluted share, compared to net income of $5,261,000 or $0.72 per diluted share in the same period of the prior year. Net sales for the fourth quarter were $65,776,000 compared to net sales of $64,916,000 in the same period of fiscal 2016.</w:t>
      </w:r>
    </w:p>
    <w:p>
      <w:pPr>
        <w:spacing w:after="0" w:line="226" w:lineRule="exact"/>
        <w:rPr>
          <w:sz w:val="20"/>
          <w:szCs w:val="20"/>
          <w:color w:val="auto"/>
        </w:rPr>
      </w:pPr>
    </w:p>
    <w:p>
      <w:pPr>
        <w:ind w:right="340"/>
        <w:spacing w:after="0" w:line="302" w:lineRule="auto"/>
        <w:rPr>
          <w:sz w:val="20"/>
          <w:szCs w:val="20"/>
          <w:color w:val="auto"/>
        </w:rPr>
      </w:pPr>
      <w:r>
        <w:rPr>
          <w:rFonts w:ascii="Arial" w:cs="Arial" w:eastAsia="Arial" w:hAnsi="Arial"/>
          <w:sz w:val="19"/>
          <w:szCs w:val="19"/>
          <w:color w:val="auto"/>
        </w:rPr>
        <w:t>A higher, but more traditionally normal tax rate drove a lower net income in fiscal 2017 compared to fiscal 2016. The unusually low tax rate in fiscal 2016 resulted from the full release of the valuation allowance associated with the deferred tax asset for domestic AMT credits. Our Cash and Investment balances grew by approximately $3,900,000 over fiscal 2016. We now have approximately $20,000,000 more in cash and investments than we have in short and long term debt.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President and Chief Executive Officer, Daniel S. Jaffee said, “The positives of fiscal 2017 performance might be missed when performance is only compared with the prior year and fourth quarter results, which benefited from a tax rate that was about 25% of our historical average. Fiscal 2017 had the second highest pre-tax income in our company’s history, but the return to our historical average tax rate resulted in much of the overall per share earnings decline.</w:t>
      </w:r>
    </w:p>
    <w:p>
      <w:pPr>
        <w:spacing w:after="0" w:line="176"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We are confident in our strategy to concentrate on profitable lightweight cat litter and value-added Business to Business products. We have plans in place to respond to the approximate 8% per ton increase in manufacturing costs that negatively impacted an otherwise improving gross profit. Manufacturing increases were driven by increased labor, employee benefits and depreciation costs, many of which should be positively impacted by the production efficiency initiatives that will be implemented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937" w:right="239" w:bottom="1440" w:gutter="0" w:footer="0" w:header="0"/>
        </w:sectPr>
      </w:pPr>
    </w:p>
    <w:bookmarkStart w:id="5" w:name="page6"/>
    <w:bookmarkEnd w:id="5"/>
    <w:p>
      <w:pPr>
        <w:ind w:right="40"/>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The private label lightweight segment of the cat litter market continued to grow during the year. Sales of our private label lightweight litter increased significantly during fiscal 2017. This increase is the result of additional distribution and increased sales velocity as our retail partners line priced the lightweight items with their heavy scoopable items.</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Sales increased over the prior year for the Business to Business Products Group. Our Amlan International business benefited from increased sales by its subsidiary in China and increased sales of Varium, our natural growth promotion product for poultry. Sales of Pure-Flo bleaching earths in the EMEA region (Europe, the Middle East and Africa) increased for the quarter and positively impacted sales in 2017.”</w:t>
      </w:r>
    </w:p>
    <w:p>
      <w:pPr>
        <w:spacing w:after="0" w:line="223"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100"/>
              <w:spacing w:after="0"/>
              <w:rPr>
                <w:sz w:val="20"/>
                <w:szCs w:val="20"/>
                <w:color w:val="auto"/>
              </w:rPr>
            </w:pPr>
            <w:r>
              <w:rPr>
                <w:rFonts w:ascii="Arial" w:cs="Arial" w:eastAsia="Arial" w:hAnsi="Arial"/>
                <w:sz w:val="19"/>
                <w:szCs w:val="19"/>
                <w:b w:val="1"/>
                <w:bCs w:val="1"/>
                <w:color w:val="auto"/>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40" w:type="dxa"/>
            <w:vAlign w:val="bottom"/>
            <w:gridSpan w:val="3"/>
          </w:tcPr>
          <w:p>
            <w:pPr>
              <w:jc w:val="right"/>
              <w:spacing w:after="0"/>
              <w:rPr>
                <w:sz w:val="20"/>
                <w:szCs w:val="20"/>
                <w:color w:val="auto"/>
              </w:rPr>
            </w:pPr>
            <w:r>
              <w:rPr>
                <w:rFonts w:ascii="Arial" w:cs="Arial" w:eastAsia="Arial" w:hAnsi="Arial"/>
                <w:sz w:val="19"/>
                <w:szCs w:val="19"/>
                <w:b w:val="1"/>
                <w:bCs w:val="1"/>
                <w:color w:val="auto"/>
              </w:rPr>
              <w:t>May 1 - July 31</w:t>
            </w: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5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92"/>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25,526,000</w:t>
            </w:r>
          </w:p>
        </w:tc>
        <w:tc>
          <w:tcPr>
            <w:tcW w:w="300" w:type="dxa"/>
            <w:vAlign w:val="bottom"/>
          </w:tcPr>
          <w:p>
            <w:pPr>
              <w:spacing w:after="0"/>
              <w:rPr>
                <w:sz w:val="20"/>
                <w:szCs w:val="20"/>
                <w:color w:val="auto"/>
              </w:rPr>
            </w:pPr>
          </w:p>
        </w:tc>
        <w:tc>
          <w:tcPr>
            <w:tcW w:w="560" w:type="dxa"/>
            <w:vAlign w:val="bottom"/>
            <w:tcBorders>
              <w:top w:val="single" w:sz="8" w:color="auto"/>
            </w:tcBorders>
          </w:tcPr>
          <w:p>
            <w:pPr>
              <w:jc w:val="right"/>
              <w:ind w:right="345"/>
              <w:spacing w:after="0"/>
              <w:rPr>
                <w:sz w:val="20"/>
                <w:szCs w:val="20"/>
                <w:color w:val="auto"/>
              </w:rPr>
            </w:pPr>
            <w:r>
              <w:rPr>
                <w:rFonts w:ascii="Arial" w:cs="Arial" w:eastAsia="Arial" w:hAnsi="Arial"/>
                <w:sz w:val="19"/>
                <w:szCs w:val="19"/>
                <w:color w:val="auto"/>
                <w:w w:val="94"/>
              </w:rPr>
              <w:t>$</w:t>
            </w:r>
          </w:p>
        </w:tc>
        <w:tc>
          <w:tcPr>
            <w:tcW w:w="15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25,525,000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7"/>
              </w:rPr>
              <w:t>N/M</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8,310,000</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9"/>
                <w:szCs w:val="19"/>
                <w:color w:val="auto"/>
                <w:w w:val="94"/>
              </w:rPr>
              <w:t>$</w:t>
            </w:r>
          </w:p>
        </w:tc>
        <w:tc>
          <w:tcPr>
            <w:tcW w:w="15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9,415,000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-12%</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060"/>
              <w:spacing w:after="0"/>
              <w:rPr>
                <w:sz w:val="20"/>
                <w:szCs w:val="20"/>
                <w:color w:val="auto"/>
              </w:rPr>
            </w:pPr>
            <w:r>
              <w:rPr>
                <w:rFonts w:ascii="Arial" w:cs="Arial" w:eastAsia="Arial" w:hAnsi="Arial"/>
                <w:sz w:val="19"/>
                <w:szCs w:val="19"/>
                <w:b w:val="1"/>
                <w:bCs w:val="1"/>
                <w:color w:val="auto"/>
              </w:rPr>
              <w:t>Twelve-Month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80" w:type="dxa"/>
            <w:vAlign w:val="bottom"/>
            <w:gridSpan w:val="3"/>
          </w:tcPr>
          <w:p>
            <w:pPr>
              <w:jc w:val="right"/>
              <w:spacing w:after="0"/>
              <w:rPr>
                <w:sz w:val="20"/>
                <w:szCs w:val="20"/>
                <w:color w:val="auto"/>
              </w:rPr>
            </w:pPr>
            <w:r>
              <w:rPr>
                <w:rFonts w:ascii="Arial" w:cs="Arial" w:eastAsia="Arial" w:hAnsi="Arial"/>
                <w:sz w:val="19"/>
                <w:szCs w:val="19"/>
                <w:b w:val="1"/>
                <w:bCs w:val="1"/>
                <w:color w:val="auto"/>
              </w:rPr>
              <w:t>August 1 - July 31</w:t>
            </w: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88"/>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100,419,000</w:t>
            </w:r>
          </w:p>
        </w:tc>
        <w:tc>
          <w:tcPr>
            <w:tcW w:w="300" w:type="dxa"/>
            <w:vAlign w:val="bottom"/>
          </w:tcPr>
          <w:p>
            <w:pPr>
              <w:spacing w:after="0"/>
              <w:rPr>
                <w:sz w:val="20"/>
                <w:szCs w:val="20"/>
                <w:color w:val="auto"/>
              </w:rPr>
            </w:pP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96,444,000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33,343,000</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33,464,000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7"/>
              </w:rPr>
              <w:t>N/M</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Year-Over-Year:</w:t>
      </w:r>
    </w:p>
    <w:p>
      <w:pPr>
        <w:spacing w:after="0" w:line="22" w:lineRule="exact"/>
        <w:rPr>
          <w:sz w:val="20"/>
          <w:szCs w:val="20"/>
          <w:color w:val="auto"/>
        </w:rPr>
      </w:pPr>
    </w:p>
    <w:p>
      <w:pPr>
        <w:ind w:left="740" w:hanging="327"/>
        <w:spacing w:after="0"/>
        <w:tabs>
          <w:tab w:leader="none" w:pos="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sales of Amlan International animal health products were up approximately 14% worldwide.</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sales of our fluids purification products increased approximately 4%.</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sales of our agricultural carrier products were approximately 2% higher.</w:t>
      </w:r>
    </w:p>
    <w:p>
      <w:pPr>
        <w:spacing w:after="0" w:line="3" w:lineRule="exact"/>
        <w:rPr>
          <w:rFonts w:ascii="Arial" w:cs="Arial" w:eastAsia="Arial" w:hAnsi="Arial"/>
          <w:sz w:val="22"/>
          <w:szCs w:val="22"/>
          <w:color w:val="auto"/>
        </w:rPr>
      </w:pPr>
    </w:p>
    <w:p>
      <w:pPr>
        <w:ind w:left="740" w:right="760" w:hanging="327"/>
        <w:spacing w:after="0" w:line="246" w:lineRule="auto"/>
        <w:tabs>
          <w:tab w:leader="none" w:pos="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Selling, general and administrative expenses decreased approximately 2% due to reduced costs for promotion and development of our animal health products.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340"/>
          </w:cols>
          <w:pgMar w:left="240" w:top="1415" w:right="319" w:bottom="1440" w:gutter="0" w:footer="0" w:header="0"/>
        </w:sectPr>
      </w:pPr>
    </w:p>
    <w:bookmarkStart w:id="6" w:name="page7"/>
    <w:bookmarkEnd w:id="6"/>
    <w:p>
      <w:pPr>
        <w:ind w:left="4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100"/>
              <w:spacing w:after="0"/>
              <w:rPr>
                <w:sz w:val="20"/>
                <w:szCs w:val="20"/>
                <w:color w:val="auto"/>
              </w:rPr>
            </w:pPr>
            <w:r>
              <w:rPr>
                <w:rFonts w:ascii="Arial" w:cs="Arial" w:eastAsia="Arial" w:hAnsi="Arial"/>
                <w:sz w:val="19"/>
                <w:szCs w:val="19"/>
                <w:b w:val="1"/>
                <w:bCs w:val="1"/>
                <w:color w:val="auto"/>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40" w:type="dxa"/>
            <w:vAlign w:val="bottom"/>
            <w:gridSpan w:val="3"/>
          </w:tcPr>
          <w:p>
            <w:pPr>
              <w:jc w:val="right"/>
              <w:spacing w:after="0"/>
              <w:rPr>
                <w:sz w:val="20"/>
                <w:szCs w:val="20"/>
                <w:color w:val="auto"/>
              </w:rPr>
            </w:pPr>
            <w:r>
              <w:rPr>
                <w:rFonts w:ascii="Arial" w:cs="Arial" w:eastAsia="Arial" w:hAnsi="Arial"/>
                <w:sz w:val="19"/>
                <w:szCs w:val="19"/>
                <w:b w:val="1"/>
                <w:bCs w:val="1"/>
                <w:color w:val="auto"/>
              </w:rPr>
              <w:t>May 1 - July 31</w:t>
            </w: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5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92"/>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40,250,000</w:t>
            </w:r>
          </w:p>
        </w:tc>
        <w:tc>
          <w:tcPr>
            <w:tcW w:w="300" w:type="dxa"/>
            <w:vAlign w:val="bottom"/>
          </w:tcPr>
          <w:p>
            <w:pPr>
              <w:spacing w:after="0"/>
              <w:rPr>
                <w:sz w:val="20"/>
                <w:szCs w:val="20"/>
                <w:color w:val="auto"/>
              </w:rPr>
            </w:pPr>
          </w:p>
        </w:tc>
        <w:tc>
          <w:tcPr>
            <w:tcW w:w="560" w:type="dxa"/>
            <w:vAlign w:val="bottom"/>
            <w:tcBorders>
              <w:top w:val="single" w:sz="8" w:color="auto"/>
            </w:tcBorders>
          </w:tcPr>
          <w:p>
            <w:pPr>
              <w:jc w:val="right"/>
              <w:ind w:right="345"/>
              <w:spacing w:after="0"/>
              <w:rPr>
                <w:sz w:val="20"/>
                <w:szCs w:val="20"/>
                <w:color w:val="auto"/>
              </w:rPr>
            </w:pPr>
            <w:r>
              <w:rPr>
                <w:rFonts w:ascii="Arial" w:cs="Arial" w:eastAsia="Arial" w:hAnsi="Arial"/>
                <w:sz w:val="19"/>
                <w:szCs w:val="19"/>
                <w:color w:val="auto"/>
                <w:w w:val="94"/>
              </w:rPr>
              <w:t>$</w:t>
            </w:r>
          </w:p>
        </w:tc>
        <w:tc>
          <w:tcPr>
            <w:tcW w:w="15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39,391,000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 (Loss)</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779,000</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9"/>
                <w:szCs w:val="19"/>
                <w:color w:val="auto"/>
                <w:w w:val="94"/>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(673,000)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7"/>
              </w:rPr>
              <w:t>N/M</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060"/>
              <w:spacing w:after="0"/>
              <w:rPr>
                <w:sz w:val="20"/>
                <w:szCs w:val="20"/>
                <w:color w:val="auto"/>
              </w:rPr>
            </w:pPr>
            <w:r>
              <w:rPr>
                <w:rFonts w:ascii="Arial" w:cs="Arial" w:eastAsia="Arial" w:hAnsi="Arial"/>
                <w:sz w:val="19"/>
                <w:szCs w:val="19"/>
                <w:b w:val="1"/>
                <w:bCs w:val="1"/>
                <w:color w:val="auto"/>
              </w:rPr>
              <w:t>Twelve-Month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80" w:type="dxa"/>
            <w:vAlign w:val="bottom"/>
            <w:gridSpan w:val="3"/>
          </w:tcPr>
          <w:p>
            <w:pPr>
              <w:jc w:val="right"/>
              <w:spacing w:after="0"/>
              <w:rPr>
                <w:sz w:val="20"/>
                <w:szCs w:val="20"/>
                <w:color w:val="auto"/>
              </w:rPr>
            </w:pPr>
            <w:r>
              <w:rPr>
                <w:rFonts w:ascii="Arial" w:cs="Arial" w:eastAsia="Arial" w:hAnsi="Arial"/>
                <w:sz w:val="19"/>
                <w:szCs w:val="19"/>
                <w:b w:val="1"/>
                <w:bCs w:val="1"/>
                <w:color w:val="auto"/>
              </w:rPr>
              <w:t>August 1 - July 31</w:t>
            </w: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88"/>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161,888,000</w:t>
            </w:r>
          </w:p>
        </w:tc>
        <w:tc>
          <w:tcPr>
            <w:tcW w:w="300" w:type="dxa"/>
            <w:vAlign w:val="bottom"/>
          </w:tcPr>
          <w:p>
            <w:pPr>
              <w:spacing w:after="0"/>
              <w:rPr>
                <w:sz w:val="20"/>
                <w:szCs w:val="20"/>
                <w:color w:val="auto"/>
              </w:rPr>
            </w:pP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165,869,000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-2%</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6,775,000</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5,009,000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35%</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Year-Over-Year:</w:t>
      </w:r>
    </w:p>
    <w:p>
      <w:pPr>
        <w:spacing w:after="0" w:line="22" w:lineRule="exact"/>
        <w:rPr>
          <w:sz w:val="20"/>
          <w:szCs w:val="20"/>
          <w:color w:val="auto"/>
        </w:rPr>
      </w:pPr>
    </w:p>
    <w:p>
      <w:pPr>
        <w:ind w:left="740" w:hanging="327"/>
        <w:spacing w:after="0" w:line="281" w:lineRule="auto"/>
        <w:tabs>
          <w:tab w:leader="none" w:pos="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Net sales of our branded and private label coarse non-clumping litter were down approximately 7%. The decline was partially a result of our decision not to pursue continued business with two major low margin customers.</w:t>
      </w:r>
    </w:p>
    <w:p>
      <w:pPr>
        <w:spacing w:after="0" w:line="1" w:lineRule="exact"/>
        <w:rPr>
          <w:rFonts w:ascii="Arial" w:cs="Arial" w:eastAsia="Arial" w:hAnsi="Arial"/>
          <w:sz w:val="19"/>
          <w:szCs w:val="19"/>
          <w:color w:val="auto"/>
        </w:rPr>
      </w:pPr>
    </w:p>
    <w:p>
      <w:pPr>
        <w:ind w:left="740" w:hanging="327"/>
        <w:spacing w:after="0"/>
        <w:tabs>
          <w:tab w:leader="none" w:pos="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Net sales decreased for heavyweight scoopable litters due to competition from new competitive products.</w:t>
      </w:r>
    </w:p>
    <w:p>
      <w:pPr>
        <w:spacing w:after="0" w:line="15" w:lineRule="exact"/>
        <w:rPr>
          <w:rFonts w:ascii="Arial" w:cs="Arial" w:eastAsia="Arial" w:hAnsi="Arial"/>
          <w:sz w:val="21"/>
          <w:szCs w:val="21"/>
          <w:color w:val="auto"/>
        </w:rPr>
      </w:pPr>
    </w:p>
    <w:p>
      <w:pPr>
        <w:ind w:left="740" w:hanging="327"/>
        <w:spacing w:after="0"/>
        <w:tabs>
          <w:tab w:leader="none" w:pos="7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Selling, general and administrative expenses decreased approximately 17%.</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Segment income increased due to a $4,300,000 reduction in advertising costs and the benefit of higher selling prices.</w:t>
      </w:r>
    </w:p>
    <w:p>
      <w:pPr>
        <w:spacing w:after="0" w:line="200" w:lineRule="exact"/>
        <w:rPr>
          <w:sz w:val="20"/>
          <w:szCs w:val="20"/>
          <w:color w:val="auto"/>
        </w:rPr>
      </w:pPr>
    </w:p>
    <w:p>
      <w:pPr>
        <w:spacing w:after="0" w:line="318"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7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7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0840"/>
          </w:cols>
          <w:pgMar w:left="240" w:top="1409" w:right="8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FINANCIAL REVIEW</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(Fiscal Year 2017 Ended July 31)</w:t>
      </w:r>
    </w:p>
    <w:p>
      <w:pPr>
        <w:spacing w:after="0" w:line="260"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At July 31, 2017, cash, cash equivalents, and short-term investments totaled $32,671,000, a 13% increase compared to $28,813,000 one year ago.</w:t>
      </w:r>
    </w:p>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Cash provided by operating activities was $26,949,000, which was $1,778,000 higher than the $25,171,000 for the same period last year. The change in deferred income taxes contributed to the increase. Deferred income tax changes were driven by accruals for postretirement benefits and trade promotions. Increased accounts payable and lower inventory levels also improved cash from operating activities. Higher accounts receivable and prepaid expenses partially offset these cash increases.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Capital expenditures for the period totaled $14,763,000, which was $1,991,000 more than depreciation and amortization of</w:t>
      </w:r>
    </w:p>
    <w:p>
      <w:pPr>
        <w:spacing w:after="0" w:line="33"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$12,772,000. Capital expenditures included spending for the new enterprise resource planning system implementation and related infrastructure improvements, as well as equipment replacement at our manufacturing facilities. By comparison, capital expenditures totaled $10,684,000 one year ago.</w:t>
      </w:r>
    </w:p>
    <w:p>
      <w:pPr>
        <w:spacing w:after="0" w:line="234"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On June 14, 2017, Oil-Dri’s Board of Directors declared quarterly cash dividends of $0.23 per share of outstanding Common Stock and $0.173 per share of outstanding Class B Stock. The dividends were paid on September 1, 2017, to stockholders of record at the close of business on August 18, 2017. The Company has paid cash dividends continuously since 1974 and has increased dividends annually for each of the last fourteen years. At the end of the fourth quarter, the annualized dividend yield on the Company’s Common Stock was 2.2%, based on the closing stock price on July 31, 2017 of $41.36 per share and the latest quarterly cash dividend of $0.23 per share.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1409"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LOOKING FORWARD</w:t>
      </w:r>
    </w:p>
    <w:p>
      <w:pPr>
        <w:spacing w:after="0" w:line="32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President and Chief Executive Officer, Daniel Jaffee continued, “We are focused on long-term growth and supporting our most profitable products. We have started fiscal 2018 with a strong cash position and know that it will be an exciting year as we continue investing in our future. We will be launching a new integrated marketing campaign in support of our lightweight litters and expect advertising expense in fiscal 2018 to be at similar levels as fiscal 2017. Also in 2018, we will continue promoting our value-added Business to Business products as they gain market share, implement a new enterprise resource planning system and improve overall production efficiencies</w:t>
      </w:r>
      <w:r>
        <w:rPr>
          <w:rFonts w:ascii="Arial" w:cs="Arial" w:eastAsia="Arial" w:hAnsi="Arial"/>
          <w:sz w:val="18"/>
          <w:szCs w:val="18"/>
          <w:color w:val="auto"/>
        </w:rPr>
        <w:t>.</w:t>
      </w:r>
    </w:p>
    <w:p>
      <w:pPr>
        <w:spacing w:after="0" w:line="261"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color w:val="auto"/>
        </w:rPr>
        <w:t>In an effort to engage more dynamically with our investor community, we have decided to focus our energies on quarterly teleconferences. This news release is the last scheduled earnings-focused news release. Our financial results will continue to be available in our quarterly 10-Q and annual 10-K filings and will be discussed on our investor teleconferences. Please sign-up for notifications on our new website (http://investors.oildri.com/email-notification) and receive regular communications, including quarterly filings and teleconference details. Join us for our next call on Wednesday, October 11, 2017 from 10:00 am to 10:30 am, Central Time. Teleconference details are now available on our website (http://investors.oildri.com/events).”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1409" w:right="239" w:bottom="1440" w:gutter="0" w:footer="0" w:header="0"/>
        </w:sectPr>
      </w:pPr>
    </w:p>
    <w:bookmarkStart w:id="9" w:name="page10"/>
    <w:bookmarkEnd w:id="9"/>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2"/>
          <w:szCs w:val="22"/>
          <w:b w:val="1"/>
          <w:bCs w:val="1"/>
          <w:color w:val="auto"/>
        </w:rPr>
        <w:t>FIVE-YEAR SUMMARY</w:t>
      </w:r>
    </w:p>
    <w:p>
      <w:pPr>
        <w:spacing w:after="0" w:line="28" w:lineRule="exact"/>
        <w:rPr>
          <w:sz w:val="20"/>
          <w:szCs w:val="20"/>
          <w:color w:val="auto"/>
        </w:rPr>
      </w:pPr>
    </w:p>
    <w:p>
      <w:pPr>
        <w:ind w:left="4520"/>
        <w:spacing w:after="0"/>
        <w:rPr>
          <w:sz w:val="20"/>
          <w:szCs w:val="20"/>
          <w:color w:val="auto"/>
        </w:rPr>
      </w:pPr>
      <w:r>
        <w:rPr>
          <w:rFonts w:ascii="Arial" w:cs="Arial" w:eastAsia="Arial" w:hAnsi="Arial"/>
          <w:sz w:val="22"/>
          <w:szCs w:val="22"/>
          <w:b w:val="1"/>
          <w:bCs w:val="1"/>
          <w:i w:val="1"/>
          <w:iCs w:val="1"/>
          <w:color w:val="auto"/>
        </w:rPr>
        <w:t>(Key Metrics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2017</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2016</w:t>
            </w:r>
          </w:p>
        </w:tc>
        <w:tc>
          <w:tcPr>
            <w:tcW w:w="34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2015</w:t>
            </w: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2014</w:t>
            </w:r>
          </w:p>
        </w:tc>
        <w:tc>
          <w:tcPr>
            <w:tcW w:w="36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 2013</w:t>
            </w:r>
          </w:p>
        </w:tc>
      </w:tr>
      <w:tr>
        <w:trPr>
          <w:trHeight w:val="33"/>
        </w:trPr>
        <w:tc>
          <w:tcPr>
            <w:tcW w:w="2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short-term investments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32,671,000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28,813,000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22,328,000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18,999,000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42,494,000</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26,949,000</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25,171,000</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26,976,000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16,296,000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23,366,000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short-term investments less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 (1)</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20,427,000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13,515,000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3,574,000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(3,158,000)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16,903,000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10,792,000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13,613,000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11,368,000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8,356,000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14,586,000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diluted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1.47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2.07</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Return on average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15.5%</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14,763,000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10,684,000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15,859,000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18,566,000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9,795,000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Dividends paid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5,926,000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5,600,000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5,247,000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4,965,000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4,630,000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paid per</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0.72</w:t>
            </w:r>
          </w:p>
        </w:tc>
      </w:tr>
      <w:tr>
        <w:trPr>
          <w:trHeight w:val="33"/>
        </w:trPr>
        <w:tc>
          <w:tcPr>
            <w:tcW w:w="2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ind w:left="40" w:right="420" w:hanging="5"/>
        <w:spacing w:after="0" w:line="293" w:lineRule="auto"/>
        <w:tabs>
          <w:tab w:leader="none" w:pos="26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debt issuance costs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835, Simplifying the Presentation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While granular clay floor absorbents were Oil-Dri’s founding product, it has since diversified its portfolio to include both consumer and business to business product offerings that supply pet care, animal health, fluids purification, agricultural ingredient, sports field, industrial and automotive markets. In 2016, Oil-Dri celebrated its seventy-fifth year of business and looks forward to the next milestone.</w:t>
      </w:r>
    </w:p>
    <w:p>
      <w:pPr>
        <w:spacing w:after="0" w:line="177"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 xml:space="preserve">The Company will host its fourth quarter earnings teleconference on </w:t>
      </w:r>
      <w:r>
        <w:rPr>
          <w:rFonts w:ascii="Arial" w:cs="Arial" w:eastAsia="Arial" w:hAnsi="Arial"/>
          <w:sz w:val="18"/>
          <w:szCs w:val="18"/>
          <w:b w:val="1"/>
          <w:bCs w:val="1"/>
          <w:color w:val="auto"/>
        </w:rPr>
        <w:t>Wednesday, October 11, 2017</w:t>
      </w:r>
      <w:r>
        <w:rPr>
          <w:rFonts w:ascii="Arial" w:cs="Arial" w:eastAsia="Arial" w:hAnsi="Arial"/>
          <w:sz w:val="18"/>
          <w:szCs w:val="18"/>
          <w:color w:val="auto"/>
        </w:rPr>
        <w:t xml:space="preserve"> and its first quarter fiscal 2018 earnings teleconference on </w:t>
      </w:r>
      <w:r>
        <w:rPr>
          <w:rFonts w:ascii="Arial" w:cs="Arial" w:eastAsia="Arial" w:hAnsi="Arial"/>
          <w:sz w:val="18"/>
          <w:szCs w:val="18"/>
          <w:b w:val="1"/>
          <w:bCs w:val="1"/>
          <w:color w:val="auto"/>
        </w:rPr>
        <w:t>Monday, December 11, 2017</w:t>
      </w:r>
      <w:r>
        <w:rPr>
          <w:rFonts w:ascii="Arial" w:cs="Arial" w:eastAsia="Arial" w:hAnsi="Arial"/>
          <w:sz w:val="18"/>
          <w:szCs w:val="18"/>
          <w:color w:val="auto"/>
        </w:rPr>
        <w:t>. Both conferences will commence at 10:00 am, Central Time. Teleconference details will be communicated via web alert approximately one week prior to the call.</w:t>
      </w:r>
    </w:p>
    <w:p>
      <w:pPr>
        <w:spacing w:after="0" w:line="230"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color w:val="auto"/>
        </w:rPr>
        <w:t xml:space="preserve">Oil-Dri will host its Annual Meeting of Stockholders on </w:t>
      </w:r>
      <w:r>
        <w:rPr>
          <w:rFonts w:ascii="Arial" w:cs="Arial" w:eastAsia="Arial" w:hAnsi="Arial"/>
          <w:sz w:val="16"/>
          <w:szCs w:val="16"/>
          <w:b w:val="1"/>
          <w:bCs w:val="1"/>
          <w:color w:val="auto"/>
        </w:rPr>
        <w:t>Tuesday, December 12, 2017</w:t>
      </w:r>
      <w:r>
        <w:rPr>
          <w:rFonts w:ascii="Arial" w:cs="Arial" w:eastAsia="Arial" w:hAnsi="Arial"/>
          <w:sz w:val="16"/>
          <w:szCs w:val="16"/>
          <w:color w:val="auto"/>
        </w:rPr>
        <w:t xml:space="preserve"> starting at 9:30 am, Central Time. The meeting will be held at The Standard Club, 320 South Plymouth Court, Chicago, Illinois 60604. The record date for voting eligibility at the Annual Meeting is October 16, 2017.</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“Pure-Flo” and “Amlan” are registered trademarks of Oil-Dri Corporation of America. “Varium” is a trademark of Oil-Dri Corporation of America.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1440" w:right="23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00"/>
          </w:cols>
          <w:pgMar w:left="240" w:top="1413" w:right="25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60"/>
              <w:spacing w:after="0"/>
              <w:rPr>
                <w:sz w:val="20"/>
                <w:szCs w:val="20"/>
                <w:color w:val="auto"/>
              </w:rPr>
            </w:pPr>
            <w:r>
              <w:rPr>
                <w:rFonts w:ascii="Arial" w:cs="Arial" w:eastAsia="Arial" w:hAnsi="Arial"/>
                <w:sz w:val="18"/>
                <w:szCs w:val="18"/>
                <w:b w:val="1"/>
                <w:bCs w:val="1"/>
                <w:color w:val="auto"/>
              </w:rPr>
              <w:t>Fourth Quarter Ended July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65,776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64,916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(49,695)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(46,050)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(13,230)</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(15,394)</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2,981</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5,261</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5,024</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4,999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7,179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7,122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62"/>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80"/>
              <w:spacing w:after="0"/>
              <w:rPr>
                <w:sz w:val="20"/>
                <w:szCs w:val="20"/>
                <w:color w:val="auto"/>
              </w:rPr>
            </w:pPr>
            <w:r>
              <w:rPr>
                <w:rFonts w:ascii="Arial" w:cs="Arial" w:eastAsia="Arial" w:hAnsi="Arial"/>
                <w:sz w:val="18"/>
                <w:szCs w:val="18"/>
                <w:b w:val="1"/>
                <w:bCs w:val="1"/>
                <w:color w:val="auto"/>
              </w:rPr>
              <w:t>Twelve Months Ended July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262,307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262,313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(188,595)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(185,164)</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73,712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77,149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(58,482)</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(61,736)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14,545</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14,357</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10,792</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4,986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7,158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7,094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200"/>
          </w:cols>
          <w:pgMar w:left="240" w:top="1440" w:right="45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18,629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23,576</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10,184</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32,750</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30,386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22,615</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23,251</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8,981</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8,723</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97,017</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91,173</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84,033</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80,711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 (1)</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31,525</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32,931</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212,575</w:t>
            </w:r>
          </w:p>
        </w:tc>
        <w:tc>
          <w:tcPr>
            <w:tcW w:w="34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9,594</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6,635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18,724</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19,545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32,954</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 (1)</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44,423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46,309</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53,584</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126,037</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115,551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212,575</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204,815</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4,345</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3,632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3,201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ind w:right="440" w:firstLine="8"/>
        <w:spacing w:after="0" w:line="275" w:lineRule="auto"/>
        <w:tabs>
          <w:tab w:leader="none" w:pos="22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debt issuance costs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835, Simplifying the Presentation of Debt Issuance Cost.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1440" w:right="239" w:bottom="1440" w:gutter="0" w:footer="0" w:header="0"/>
        </w:sectPr>
      </w:pPr>
    </w:p>
    <w:bookmarkStart w:id="13" w:name="page14"/>
    <w:bookmarkEnd w:id="1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10,792</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13,613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Receivable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4,171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16,157</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11,558</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26,949</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25,171</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(14,763)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(10,684)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Purchase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(13,345)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(28,044)</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(18,407)</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(8,550)</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18,629</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2020-01-18T12:53:18Z</dcterms:created>
  <dcterms:modified xsi:type="dcterms:W3CDTF">2020-01-18T12:53:18Z</dcterms:modified>
</cp:coreProperties>
</file>