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5"/>
          <w:szCs w:val="25"/>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For the fiscal year ended July 31, 2019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41"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For the Transition Period from _____ to _____</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001-12622</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36-2048898</w:t>
            </w:r>
          </w:p>
        </w:tc>
      </w:tr>
      <w:tr>
        <w:trPr>
          <w:trHeight w:val="270"/>
        </w:trPr>
        <w:tc>
          <w:tcPr>
            <w:tcW w:w="616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050"/>
              <w:spacing w:after="0"/>
              <w:rPr>
                <w:sz w:val="20"/>
                <w:szCs w:val="20"/>
                <w:color w:val="auto"/>
              </w:rPr>
            </w:pPr>
            <w:r>
              <w:rPr>
                <w:rFonts w:ascii="Arial" w:cs="Arial" w:eastAsia="Arial" w:hAnsi="Arial"/>
                <w:sz w:val="18"/>
                <w:szCs w:val="18"/>
                <w:color w:val="auto"/>
                <w:w w:val="95"/>
              </w:rPr>
              <w:t>(IRS. Employer Identification No.)</w:t>
            </w:r>
          </w:p>
        </w:tc>
      </w:tr>
      <w:tr>
        <w:trPr>
          <w:trHeight w:val="270"/>
        </w:trPr>
        <w:tc>
          <w:tcPr>
            <w:tcW w:w="61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410 North Michigan Avenue, Suite 400, Chicago, Illinois</w:t>
            </w:r>
          </w:p>
        </w:tc>
        <w:tc>
          <w:tcPr>
            <w:tcW w:w="3680" w:type="dxa"/>
            <w:vAlign w:val="bottom"/>
          </w:tcPr>
          <w:p>
            <w:pPr>
              <w:jc w:val="right"/>
              <w:ind w:right="730"/>
              <w:spacing w:after="0"/>
              <w:rPr>
                <w:sz w:val="20"/>
                <w:szCs w:val="20"/>
                <w:color w:val="auto"/>
              </w:rPr>
            </w:pPr>
            <w:r>
              <w:rPr>
                <w:rFonts w:ascii="Arial" w:cs="Arial" w:eastAsia="Arial" w:hAnsi="Arial"/>
                <w:sz w:val="18"/>
                <w:szCs w:val="18"/>
                <w:b w:val="1"/>
                <w:bCs w:val="1"/>
                <w:color w:val="auto"/>
              </w:rPr>
              <w:t>60611-4213</w:t>
            </w:r>
          </w:p>
        </w:tc>
      </w:tr>
      <w:tr>
        <w:trPr>
          <w:trHeight w:val="270"/>
        </w:trPr>
        <w:tc>
          <w:tcPr>
            <w:tcW w:w="6160" w:type="dxa"/>
            <w:vAlign w:val="bottom"/>
          </w:tcPr>
          <w:p>
            <w:pPr>
              <w:jc w:val="center"/>
              <w:ind w:right="3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tc>
        <w:tc>
          <w:tcPr>
            <w:tcW w:w="3680" w:type="dxa"/>
            <w:vAlign w:val="bottom"/>
          </w:tcPr>
          <w:p>
            <w:pPr>
              <w:spacing w:after="0"/>
              <w:rPr>
                <w:sz w:val="21"/>
                <w:szCs w:val="21"/>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jc w:val="center"/>
              <w:ind w:right="350"/>
              <w:spacing w:after="0"/>
              <w:rPr>
                <w:sz w:val="20"/>
                <w:szCs w:val="20"/>
                <w:color w:val="auto"/>
              </w:rPr>
            </w:pPr>
            <w:r>
              <w:rPr>
                <w:rFonts w:ascii="Arial" w:cs="Arial" w:eastAsia="Arial" w:hAnsi="Arial"/>
                <w:sz w:val="18"/>
                <w:szCs w:val="18"/>
                <w:color w:val="auto"/>
                <w:w w:val="91"/>
              </w:rPr>
              <w:t>Title of Each Class</w:t>
            </w:r>
          </w:p>
        </w:tc>
        <w:tc>
          <w:tcPr>
            <w:tcW w:w="2820" w:type="dxa"/>
            <w:vAlign w:val="bottom"/>
          </w:tcPr>
          <w:p>
            <w:pPr>
              <w:jc w:val="center"/>
              <w:spacing w:after="0"/>
              <w:rPr>
                <w:sz w:val="20"/>
                <w:szCs w:val="20"/>
                <w:color w:val="auto"/>
              </w:rPr>
            </w:pPr>
            <w:r>
              <w:rPr>
                <w:rFonts w:ascii="Arial" w:cs="Arial" w:eastAsia="Arial" w:hAnsi="Arial"/>
                <w:sz w:val="18"/>
                <w:szCs w:val="18"/>
                <w:color w:val="auto"/>
                <w:w w:val="92"/>
              </w:rPr>
              <w:t>Trading Symbol(s)</w:t>
            </w:r>
          </w:p>
        </w:tc>
        <w:tc>
          <w:tcPr>
            <w:tcW w:w="4260" w:type="dxa"/>
            <w:vAlign w:val="bottom"/>
          </w:tcPr>
          <w:p>
            <w:pPr>
              <w:jc w:val="center"/>
              <w:ind w:left="410"/>
              <w:spacing w:after="0"/>
              <w:rPr>
                <w:sz w:val="20"/>
                <w:szCs w:val="20"/>
                <w:color w:val="auto"/>
              </w:rPr>
            </w:pPr>
            <w:r>
              <w:rPr>
                <w:rFonts w:ascii="Arial" w:cs="Arial" w:eastAsia="Arial" w:hAnsi="Arial"/>
                <w:sz w:val="18"/>
                <w:szCs w:val="18"/>
                <w:color w:val="auto"/>
                <w:w w:val="90"/>
              </w:rPr>
              <w:t>Name of Each Exchange on Which Registered</w:t>
            </w:r>
          </w:p>
        </w:tc>
      </w:tr>
      <w:tr>
        <w:trPr>
          <w:trHeight w:val="27"/>
        </w:trPr>
        <w:tc>
          <w:tcPr>
            <w:tcW w:w="43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Common Stock, par value $0.10 per share</w:t>
            </w: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9"/>
              </w:rPr>
              <w:t>ODC</w:t>
            </w:r>
          </w:p>
        </w:tc>
        <w:tc>
          <w:tcPr>
            <w:tcW w:w="426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530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6"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34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3660" w:space="720"/>
            <w:col w:w="2720" w:space="720"/>
            <w:col w:w="1960" w:space="580"/>
            <w:col w:w="1060"/>
          </w:cols>
          <w:pgMar w:left="240" w:top="225"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ind w:right="256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3660" w:space="720"/>
            <w:col w:w="2720" w:space="720"/>
            <w:col w:w="1960" w:space="580"/>
            <w:col w:w="1060"/>
          </w:cols>
          <w:pgMar w:left="240" w:top="2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2">
            <w:col w:w="3660" w:space="720"/>
            <w:col w:w="7040"/>
          </w:cols>
          <w:pgMar w:left="240" w:top="225" w:right="239" w:bottom="1440" w:gutter="0" w:footer="0" w:header="0"/>
          <w:type w:val="continuous"/>
        </w:sect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25" w:right="239" w:bottom="1440" w:gutter="0" w:footer="0" w:header="0"/>
          <w:type w:val="continuous"/>
        </w:sectPr>
      </w:pPr>
    </w:p>
    <w:bookmarkStart w:id="1" w:name="page2"/>
    <w:bookmarkEnd w:id="1"/>
    <w:p>
      <w:pPr>
        <w:jc w:val="both"/>
        <w:ind w:firstLine="4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52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2019 was $135,930,000.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2019:</w:t>
      </w:r>
    </w:p>
    <w:p>
      <w:pPr>
        <w:spacing w:after="0" w:line="23" w:lineRule="exact"/>
        <w:rPr>
          <w:sz w:val="20"/>
          <w:szCs w:val="20"/>
          <w:color w:val="auto"/>
        </w:rPr>
      </w:pPr>
    </w:p>
    <w:p>
      <w:pPr>
        <w:spacing w:after="0"/>
        <w:tabs>
          <w:tab w:leader="none" w:pos="2860" w:val="left"/>
          <w:tab w:leader="none" w:pos="5640" w:val="left"/>
        </w:tabs>
        <w:rPr>
          <w:sz w:val="20"/>
          <w:szCs w:val="20"/>
          <w:color w:val="auto"/>
        </w:rPr>
      </w:pPr>
      <w:r>
        <w:rPr>
          <w:rFonts w:ascii="Arial" w:cs="Arial" w:eastAsia="Arial" w:hAnsi="Arial"/>
          <w:sz w:val="18"/>
          <w:szCs w:val="18"/>
          <w:color w:val="auto"/>
        </w:rPr>
        <w:t>Common Stock – 5,356,902 shares</w:t>
      </w:r>
      <w:r>
        <w:rPr>
          <w:sz w:val="20"/>
          <w:szCs w:val="20"/>
          <w:color w:val="auto"/>
        </w:rPr>
        <w:tab/>
      </w:r>
      <w:r>
        <w:rPr>
          <w:rFonts w:ascii="Arial" w:cs="Arial" w:eastAsia="Arial" w:hAnsi="Arial"/>
          <w:sz w:val="18"/>
          <w:szCs w:val="18"/>
          <w:color w:val="auto"/>
        </w:rPr>
        <w:t>Class B Stock – 2,251,738 shares</w:t>
      </w:r>
      <w:r>
        <w:rPr>
          <w:sz w:val="20"/>
          <w:szCs w:val="20"/>
          <w:color w:val="auto"/>
        </w:rPr>
        <w:tab/>
      </w:r>
      <w:r>
        <w:rPr>
          <w:rFonts w:ascii="Arial" w:cs="Arial" w:eastAsia="Arial" w:hAnsi="Arial"/>
          <w:sz w:val="16"/>
          <w:szCs w:val="16"/>
          <w:color w:val="auto"/>
        </w:rPr>
        <w:t>Class A Common Stock – 0 shares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Oil-Dri’s Proxy Statement for its 2019 Annual Meeting of Stockholders (“Proxy Statement”), which will be filed with the Securities and Exchange Commission (“SEC”) not later than November 28, 2019 (120 days after the end of Oil-Dri’s fiscal year ended July 31, 2019), are incorporated into Part III of this Annual Report on Form 10-K, as indicated herein.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520" w:type="dxa"/>
            <w:vAlign w:val="bottom"/>
          </w:tcPr>
          <w:p>
            <w:pPr>
              <w:jc w:val="center"/>
              <w:ind w:left="1651"/>
              <w:spacing w:after="0"/>
              <w:rPr>
                <w:sz w:val="20"/>
                <w:szCs w:val="20"/>
                <w:color w:val="auto"/>
              </w:rPr>
            </w:pPr>
            <w:r>
              <w:rPr>
                <w:rFonts w:ascii="Arial" w:cs="Arial" w:eastAsia="Arial" w:hAnsi="Arial"/>
                <w:sz w:val="18"/>
                <w:szCs w:val="18"/>
                <w:b w:val="1"/>
                <w:bCs w:val="1"/>
                <w:color w:val="auto"/>
                <w:w w:val="98"/>
              </w:rPr>
              <w:t>CONTENTS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1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Page</w:t>
            </w: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10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Unresolved Staff Comments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0000FF"/>
              </w:rPr>
              <w:t>Mine Safety Disclosure</w:t>
            </w:r>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Equity Securities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Management's Report on Internal Control Over Financial Reporting</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Changes in and Disagreements with Accountants on Accounting and Financial Disclosure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71"/>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Directors, Executive Officers and Corporate Governance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64">
              <w:r>
                <w:rPr>
                  <w:rFonts w:ascii="Arial" w:cs="Arial" w:eastAsia="Arial" w:hAnsi="Arial"/>
                  <w:sz w:val="18"/>
                  <w:szCs w:val="18"/>
                  <w:color w:val="0000EE"/>
                </w:rPr>
                <w:t>Security Ownership of Certain Beneficial Owners and Management and Related Stockholder</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64">
              <w:r>
                <w:rPr>
                  <w:rFonts w:ascii="Arial" w:cs="Arial" w:eastAsia="Arial" w:hAnsi="Arial"/>
                  <w:sz w:val="18"/>
                  <w:szCs w:val="18"/>
                  <w:color w:val="0000EE"/>
                </w:rPr>
                <w:t>Matters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Certain Relationships and Related Transactions, and Director Independence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Principal Accountant Fees and Services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c>
          <w:tcPr>
            <w:tcW w:w="40" w:type="dxa"/>
            <w:vAlign w:val="bottom"/>
            <w:shd w:val="clear" w:color="auto" w:fill="CCEEFF"/>
          </w:tcPr>
          <w:p>
            <w:pPr>
              <w:spacing w:after="0"/>
              <w:rPr>
                <w:sz w:val="17"/>
                <w:szCs w:val="17"/>
                <w:color w:val="auto"/>
              </w:rPr>
            </w:pPr>
          </w:p>
        </w:tc>
      </w:tr>
      <w:tr>
        <w:trPr>
          <w:trHeight w:val="48"/>
        </w:trPr>
        <w:tc>
          <w:tcPr>
            <w:tcW w:w="320" w:type="dxa"/>
            <w:vAlign w:val="bottom"/>
            <w:tcBorders>
              <w:top w:val="single" w:sz="8" w:color="CCEEFF"/>
            </w:tcBorders>
            <w:shd w:val="clear" w:color="auto" w:fill="CCEEFF"/>
          </w:tcPr>
          <w:p>
            <w:pPr>
              <w:spacing w:after="0"/>
              <w:rPr>
                <w:sz w:val="4"/>
                <w:szCs w:val="4"/>
                <w:color w:val="auto"/>
              </w:rPr>
            </w:pPr>
          </w:p>
        </w:tc>
        <w:tc>
          <w:tcPr>
            <w:tcW w:w="85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94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CONTENTS (CONTINUED)</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Item</w:t>
            </w: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jc w:val="center"/>
              <w:ind w:left="2090"/>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IV</w:t>
              </w:r>
            </w:hyperlink>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Schedule II - Valuation and Qualifying Accounts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Exhibit Index</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c>
          <w:tcPr>
            <w:tcW w:w="4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7940" w:type="dxa"/>
            <w:vAlign w:val="bottom"/>
            <w:tcBorders>
              <w:top w:val="single" w:sz="8" w:color="CCEEFF"/>
            </w:tcBorders>
          </w:tcPr>
          <w:p>
            <w:pPr>
              <w:jc w:val="center"/>
              <w:ind w:left="2090"/>
              <w:spacing w:after="0"/>
              <w:rPr>
                <w:sz w:val="20"/>
                <w:szCs w:val="20"/>
                <w:color w:val="auto"/>
              </w:rPr>
            </w:pPr>
            <w:r>
              <w:rPr>
                <w:rFonts w:ascii="Arial" w:cs="Arial" w:eastAsia="Arial" w:hAnsi="Arial"/>
                <w:sz w:val="18"/>
                <w:szCs w:val="18"/>
                <w:b w:val="1"/>
                <w:bCs w:val="1"/>
                <w:color w:val="auto"/>
              </w:rPr>
              <w:t>FORWARD-LOOKING STATEMENTS</w:t>
            </w: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Agsorb, Amlan, Calibrin, Cat’s Pride, ConditionAde, Flo-Fre, Fresh &amp; Light, Jonny Cat, KatKit, MD-09, Oil-Dri, Pel-Unite, Perform, Pro Mound, Pro's Choice Sports Field Products, Pure-Flo, Rapid Dry, Select, Terra-Green, Ultra-Clear, Varium and Verge are all U.S. registered trademarks of Oil-Dri Corporation of America or of its subsidiaries. Saular is a Canadian registered trademark of Oil-Dri Corporation of America. Fresh Step is a registered trademark of The Clorox Company (“Clorox”).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or our “minerals.”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Pure-Flo, Perform and Select bleaching clay products, which act as a filtration media for edible oils, fats and tallows. Also, our Ultra-Clear product serves as a purification aid for petroleum-based oils and by-products. We also sell nonclay-based products, such as our Oil-Dri synthetic sorbents used for industrial cleanup and plastic cat litter box liners. Our principal products are described in more detail below.</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on recent business developments, see “Management’s Discussion and Analysis of Financial Condition and Results of Operations,” in Part II, Item 7,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produce a wide range of granules and powders used to enhance agricultural and horticultural products. Our mineral-based absorbent products serve as chemical carriers, drying agents, and growing media. Our brands include: Agsorb, an agricultural and horticultural chemical carrier and drying agent; Verge, an engineered granule chemical carrier; Flo-Fre, a highly absorbent microgranule flowability aid; and Terra-Green, a growing media supplement.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Agsorb and Verge carriers are used in products that are alternatives to chemical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to absorb moisture and improve flowability. Agsorb is also used as a flowability aid for fertilizers and chemicals in the lawn and garden market. Flo-Fre microgranules are used by grain processors and other large handlers of bulk products to soak up excess moisture, which prevents caking. These products are sold primarily in the United States by our technical sales force.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or use contract processors to produce, Amlan brand name and private label products that manage the health and improve productivity of species in livestock industries. For example, our products provide a number of solutions to health challenges of swine, poultry and dairy cattle. Our Calibrin and ConditionAde products are used in animal feed to help animals defend against a broad spectrum of biotoxins. Our Varium product promotes intestinal health in poultry. Our MD-09 moisture manager product is another feed additive for the reduction of wet droppings in poultry. In addition, our Pel-Unite and Pel-Unite Plus products are specialized animal feed pellet binders.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animal health and nutrition products are sold primarily through a network of distributors to livestock producers, feed mill operators, nutritionists and veterinarians in the United States, Latin America, Africa, the Middle East and Asia. The sales force for our subsidiary located in Shenzhen, China also sells these products, as further described in Foreign Operations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produce an array of products for bleaching, purification and filtration applications that are used around the world by edible oil processors, as well as by refiners of jet fuel and other petroleum-based products.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also be used to prepare oil prior to the creation of biodiesel fuel.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produce two types of mineral-based cat litter products, scoopable and traditional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superior performance with the added convenience of being lighter to carry and pour.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Branded products</w:t>
      </w:r>
      <w:r>
        <w:rPr>
          <w:rFonts w:ascii="Arial" w:cs="Arial" w:eastAsia="Arial" w:hAnsi="Arial"/>
          <w:sz w:val="18"/>
          <w:szCs w:val="18"/>
          <w:color w:val="auto"/>
        </w:rPr>
        <w:t>. Our scoopable and non-clumping litters are sold under our Cat’s Pride and Jonny Cat brand names. Our Cat's Pride Fresh &amp; Light</w:t>
      </w:r>
      <w:r>
        <w:rPr>
          <w:rFonts w:ascii="Arial" w:cs="Arial" w:eastAsia="Arial" w:hAnsi="Arial"/>
          <w:sz w:val="18"/>
          <w:szCs w:val="18"/>
          <w:i w:val="1"/>
          <w:iCs w:val="1"/>
          <w:color w:val="auto"/>
        </w:rPr>
        <w:t xml:space="preserve"> </w:t>
      </w:r>
      <w:r>
        <w:rPr>
          <w:rFonts w:ascii="Arial" w:cs="Arial" w:eastAsia="Arial" w:hAnsi="Arial"/>
          <w:sz w:val="18"/>
          <w:szCs w:val="18"/>
          <w:color w:val="auto"/>
        </w:rPr>
        <w:t>litters created the lightweight segment of the scoopable litter market. In addition, we offer our non-clumping litter in a pre-packaged, disposable tray under the Cat’s Pride KatKit and Jonny Cat brands.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produce private label scoopable and non-clumping cat litters. Our lightweight scoopable litters lead our private label cat</w:t>
      </w:r>
      <w:r>
        <w:rPr>
          <w:rFonts w:ascii="Arial" w:cs="Arial" w:eastAsia="Arial" w:hAnsi="Arial"/>
          <w:sz w:val="18"/>
          <w:szCs w:val="18"/>
          <w:i w:val="1"/>
          <w:iCs w:val="1"/>
          <w:color w:val="auto"/>
        </w:rPr>
        <w:t xml:space="preserve"> </w:t>
      </w:r>
      <w:r>
        <w:rPr>
          <w:rFonts w:ascii="Arial" w:cs="Arial" w:eastAsia="Arial" w:hAnsi="Arial"/>
          <w:sz w:val="18"/>
          <w:szCs w:val="18"/>
          <w:color w:val="auto"/>
        </w:rPr>
        <w:t>litter offerings.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non-clumping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manufacture and/or sell products made from clay, polypropylene and recycled cotton materials that absorb oil, acid, paint, ink, water and other liquids. These products have industrial, automotive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manufacture and sell both branded and private label sports products. Pro’s Choice Sports Field Products are used on baseball, softball, football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a network of distributors specializing in sports turf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direct customers through e-commerce,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2 of the Notes to the Consolidated Financial Statements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operations are located in Canada and the United Kingdom, which are included in the Retail and Wholesale Products Group, and China, Switzerland, Mexico and Indonesia, which are included in the Business to Business Products Group.</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own a 52% interest in a distributor in Mexico. This distributor sells, among other products, our animal health and nutrition products. In December 2018, a new wholly-owned subsidiary in Indonesia started operations to distribute our animal health and nutrition products. Neither of these subsidiaries meet the definition of a significant subsidiary.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2 of the Notes to the Consolidated Financial Statements, which contains certain financial information about our foreign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Sales to Wal-Mart Stores, Inc. (“Walmart”) and its affiliates accounted for approximately 20% and 18% of our total net sales for fiscal years 2019 and 2018,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 5% of total net sales for both fiscal years 2019 and 2018. The degree of margin contribution of our significant customers in the Business to Business Products Group varies, with certain customers having a greater effect on our operating results</w:t>
      </w:r>
      <w:r>
        <w:rPr>
          <w:rFonts w:ascii="Arial" w:cs="Arial" w:eastAsia="Arial" w:hAnsi="Arial"/>
          <w:sz w:val="13"/>
          <w:szCs w:val="13"/>
          <w:color w:val="auto"/>
        </w:rPr>
        <w:t>.</w:t>
      </w:r>
      <w:r>
        <w:rPr>
          <w:rFonts w:ascii="Arial" w:cs="Arial" w:eastAsia="Arial" w:hAnsi="Arial"/>
          <w:sz w:val="17"/>
          <w:szCs w:val="17"/>
          <w:color w:val="auto"/>
        </w:rPr>
        <w:t xml:space="preserve"> The loss of any customer other than those described in this paragraph would not be expected to have a material adverse effect on our business.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four principal competitors in our Retail and Wholesale Products Group, including one which is also our customer. The overall cat litter market has been relatively stable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market share for scoopable cat litter has been growing, while the coarse non-clumping litter share has remained stable.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provide our customers with product innovation, a nation-wide distribution network and strong customer service. Our exceptional sales and research and development teams give us a further advantage over smaller and regional manufacturers.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six principal competitors in our Business to Business Products Group.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U.S. patents are currently granted for a term of 20 years from the date the patent application is filed. We have obtained or applied for patents for certain of our processes and products sold to customers in both the Retail and Wholesale Products Group and the Business to Business Products Group. Our patents are highly important to our business and we vigorously protect them from apparent infringement, although no single patent is considered material to the business as a whole. See Item 3 </w:t>
      </w:r>
      <w:r>
        <w:rPr>
          <w:rFonts w:ascii="Arial" w:cs="Arial" w:eastAsia="Arial" w:hAnsi="Arial"/>
          <w:sz w:val="17"/>
          <w:szCs w:val="17"/>
          <w:i w:val="1"/>
          <w:iCs w:val="1"/>
          <w:color w:val="auto"/>
        </w:rPr>
        <w:t>“</w:t>
      </w:r>
      <w:r>
        <w:rPr>
          <w:rFonts w:ascii="Arial" w:cs="Arial" w:eastAsia="Arial" w:hAnsi="Arial"/>
          <w:sz w:val="17"/>
          <w:szCs w:val="17"/>
          <w:color w:val="auto"/>
        </w:rPr>
        <w:t>Legal Proceedings</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about specific legal matters related to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July 31, 2019 and 2018, the value of our backlog of orders were approximately $11,680,000 and $10,338,000, respectively. This value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for further discussion of these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as of July 31, 2019 were approximately 102,220,000 tons in aggregate and our probable reserves were approximately 171,441,000 tons in aggregate, for a total of 273,661,000 tons of mineral reserves. Based on our rate of consumption during fiscal year 2019,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are reflected at cost on our balance sheet.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2019, we utilized these reserves to produce substantially all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as of July 31, 2019 (in thousands):</w:t>
      </w:r>
    </w:p>
    <w:p>
      <w:pPr>
        <w:spacing w:after="0" w:line="11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Land &amp; Mineral</w:t>
            </w: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Equipment</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8,873</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31,241</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14,013</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10,323</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5,263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fiscal year 2019, we had approximately 801 employees, who we refer to as our teammates, 43 of whom were employed by our foreign subsidiaries. We believe our corporate offices, research and development center and manufacturing facilities are adequately staffed and no material labor shortages are anticipated. Approximately 52 of our teammates in the U.S. and approximately 18 of our teammates in Canada are represented by labor unions, with whom we have entered into separate collective bargaining agreements. We consider our employee relations to be satisfactory.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primarily used natural gas in the processing kilns to dry our clay products during fiscal year 2019. We monitor gas market trends and we may contract for a portion of our anticipated fuel needs using forward purchase contracts to mitigate the volatility of our kiln fuel prices. All such contracts are related to the normal course of business and no contracts are entered into for speculative purposes; therefore, they do not qualify as hedges for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develop new products and applications and improve existing products at our research and development center in Vernon Hills, Illinois. The facility includes a pilot plant that simulates the production processes of our customers and our manufacturing plants. We expanded our microbiology lab dedicated to development of our animal health products in fiscal year 2019. Our staff (and various consultants they engage from time to time) have experience in disciplines such as biology, microbiology, chemistry, physics, mathematics, geological and earth science, material science, geochemistry, physical catalysis, animal nutrition, animal science, oncological nutrition and transitional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significant portion of our net sales comes from the sale of products in mature categories, some of which have had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and regulatory judgments and charges, settlements, or other litigation and regulatory-related costs;</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commodity and transportation costs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commodity and transportation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volatility in the price and availability of natural gas, as well as other sources of energy. From time to time, we may use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prices of other commodities such as paper, plastic resins, synthetic rubber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As a result, increases in the prices of commodities and transportation may increase our cost of sales and present the same types of risks as described above.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 or the costs incurred to avoid these disruptions.</w:t>
      </w:r>
    </w:p>
    <w:p>
      <w:pPr>
        <w:spacing w:after="0" w:line="170"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Supply, capacity, information technology and logistics disruptions (which may be caused by a variety of factors, including weather conditions, governmental controls, tariffs, national emergencies, natural disasters or other force majeure events)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In addition, an increase in truck or ocean freight costs may reduce our profitability, and a decrease in transportation availability may affect our ability to deliver our products to our customers and consequently decrease customer satisfaction and future orders.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or cyber security breaches could have an adverse effect on the Company's business and operations.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rely on information technology systems to process, transmit, store, and protect electronic information. For example, a significant portion of the communications between the Company's personnel, customers, and suppliers depends on information technology and we rely on access to such information systems for our operations. We cannot guarantee that the security measures in place will prevent disruptions, failures, cyber-attacks or privacy breaches in the information technology or phone systems of the Company, our customers or third parties, which could adversely affect our communications and business operations. We may not have the resources or technical sophistication to anticipate, prevent or detect rapidly-evolving types of cyber-attacks. Attacks may be targeted at us, our customers and suppliers, or others who have entrusted us with information. While the Company has policies and procedures in place, including system monitoring and data back-up processes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reputation, subject the Company to legal claims and proceedings,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and reputation.</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fiscal year 2019 we implemented a new enterprise resource planning system (“ERP”). The ERP is designed to accurately maintain our books and records and provide information important to the operation of our business. Any potential disruptions with the ERP could affect our ability to process orders, ship product and send invoices. These difficulties could, in turn, negatively impact our financial results including sales, earnings and cash flow. Further development and maintenance of the ERP will continue to require investment of human and financial resources, which may cause increased costs and other difficulties.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changed inventory levels as part of managing their working capital requirements. Any change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maintain a level of corporate social responsibility could damage our reputation and could adversely affect our business, financial condition or results of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power outages,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 See Item 3 “Legal Proceedings” for more information about specific legal matters related to our patents.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to our domestic and international sales and business operations due to economic, political, regulatory and other conditions.</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Unstable economic, political, regulatory and other conditions could adversely affect demand for our products or disrupt our operations in the United States and in international markets. International sales and operations are subject to currency exchange fluctuations, fund transfer and trade restrictions and import/export duties. In some cases, we may have difficulty enforcing agreements and collecting accounts receivable through a foreign country’s legal system. We derived approximately 21% of our consolidated net sales from sales outside of the United States in fiscal year 2019.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the U.S. political climate have introduced greater uncertainty with respect to tax policies, trade relations, tariffs and government regulations affecting trade between the U.S. and other countries. These developments, as well as the risks outlined above, could have a material adverse effect on the Company’s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merit, and the defense of these actions may divert the attention of our management and other resources that would otherwise be engaged in managing our business and our reputation could suffer, any of which could harm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2019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Chief Executive Officer and Chairman of the Board of Directors)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147"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 and</w:t>
      </w:r>
    </w:p>
    <w:p>
      <w:pPr>
        <w:ind w:left="500" w:hanging="168"/>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Common Stock could fluctuate substantially in the future in response to a number of factors, including the following:</w:t>
      </w:r>
    </w:p>
    <w:p>
      <w:pPr>
        <w:spacing w:after="0" w:line="237" w:lineRule="exact"/>
        <w:rPr>
          <w:sz w:val="20"/>
          <w:szCs w:val="20"/>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suppliers or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stock market may experience extreme price and volume fluctuations that have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Furthermore, i</w:t>
      </w:r>
      <w:r>
        <w:rPr>
          <w:rFonts w:ascii="Arial" w:cs="Arial" w:eastAsia="Arial" w:hAnsi="Arial"/>
          <w:sz w:val="17"/>
          <w:szCs w:val="17"/>
          <w:color w:val="010101"/>
        </w:rPr>
        <w:t>n response to recent public focus on dual class capital structures, certain stock index providers are implementing limitations on the</w:t>
      </w:r>
      <w:r>
        <w:rPr>
          <w:rFonts w:ascii="Arial" w:cs="Arial" w:eastAsia="Arial" w:hAnsi="Arial"/>
          <w:sz w:val="17"/>
          <w:szCs w:val="17"/>
          <w:color w:val="auto"/>
        </w:rPr>
        <w:t xml:space="preserve"> </w:t>
      </w:r>
      <w:r>
        <w:rPr>
          <w:rFonts w:ascii="Arial" w:cs="Arial" w:eastAsia="Arial" w:hAnsi="Arial"/>
          <w:sz w:val="17"/>
          <w:szCs w:val="17"/>
          <w:color w:val="010101"/>
        </w:rPr>
        <w:t>inclusion of dual class share structures in their indices. If these restrictions increase, they may impact who buys and holds our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ind w:left="400"/>
              <w:spacing w:after="0"/>
              <w:rPr>
                <w:sz w:val="20"/>
                <w:szCs w:val="20"/>
                <w:color w:val="auto"/>
              </w:rPr>
            </w:pPr>
            <w:r>
              <w:rPr>
                <w:rFonts w:ascii="Arial" w:cs="Arial" w:eastAsia="Arial" w:hAnsi="Arial"/>
                <w:sz w:val="18"/>
                <w:szCs w:val="18"/>
                <w:b w:val="1"/>
                <w:bCs w:val="1"/>
                <w:color w:val="auto"/>
              </w:rPr>
              <w:t>Real Property Holdings and Mineral Reserves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4"/>
          </w:tcPr>
          <w:p>
            <w:pPr>
              <w:ind w:left="1120"/>
              <w:spacing w:after="0"/>
              <w:rPr>
                <w:sz w:val="20"/>
                <w:szCs w:val="20"/>
                <w:color w:val="auto"/>
              </w:rPr>
            </w:pPr>
            <w:r>
              <w:rPr>
                <w:rFonts w:ascii="Arial" w:cs="Arial" w:eastAsia="Arial" w:hAnsi="Arial"/>
                <w:sz w:val="18"/>
                <w:szCs w:val="18"/>
                <w:b w:val="1"/>
                <w:bCs w:val="1"/>
                <w:color w:val="auto"/>
                <w:w w:val="90"/>
              </w:rPr>
              <w:t>(thousands of tons)</w:t>
            </w:r>
          </w:p>
        </w:tc>
        <w:tc>
          <w:tcPr>
            <w:tcW w:w="100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California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15,032</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Georgia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5,298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33,062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22,640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55,702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4,247</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Mississippi</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36,385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129,978</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166,363</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26,292</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Oregon</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20" w:type="dxa"/>
            <w:vAlign w:val="bottom"/>
          </w:tcPr>
          <w:p>
            <w:pPr>
              <w:spacing w:after="0"/>
              <w:rPr>
                <w:sz w:val="23"/>
                <w:szCs w:val="23"/>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37"/>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8,023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12,007</w:t>
            </w: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102,220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171,441</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273,661</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calcium bentonite, attapulgite and diatomaceous shale. We use geologists and mineral specialists who prepared the estimated reserves of these minerals in the table above. See also Item 1 “Business” above for further information about our reserves. The properties in Mississippi, Georgia, California and Illinois are currently in active production and collectively produced approximately 756,000 tons and 727,000 tons of finished product in fiscal years 2019 and 2018, respectively. Parcels of such land are also sites of manufacturing facilities operated by us. We own approximately one acre of land in Laval, Quebec, Canada, which is the site of the processing, packaging and distribution facility for our Canadian subsidiary</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Oil-Dri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17145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460" w:type="dxa"/>
            <w:vAlign w:val="bottom"/>
          </w:tcPr>
          <w:p>
            <w:pPr>
              <w:ind w:left="960"/>
              <w:spacing w:after="0"/>
              <w:rPr>
                <w:sz w:val="20"/>
                <w:szCs w:val="20"/>
                <w:color w:val="auto"/>
              </w:rPr>
            </w:pPr>
            <w:r>
              <w:rPr>
                <w:rFonts w:ascii="Arial" w:cs="Arial" w:eastAsia="Arial" w:hAnsi="Arial"/>
                <w:sz w:val="18"/>
                <w:szCs w:val="18"/>
                <w:b w:val="1"/>
                <w:bCs w:val="1"/>
                <w:color w:val="auto"/>
              </w:rPr>
              <w:t>Location</w:t>
            </w:r>
          </w:p>
        </w:tc>
        <w:tc>
          <w:tcPr>
            <w:tcW w:w="18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Owned/Leased</w:t>
            </w:r>
          </w:p>
        </w:tc>
        <w:tc>
          <w:tcPr>
            <w:tcW w:w="6040" w:type="dxa"/>
            <w:vAlign w:val="bottom"/>
          </w:tcPr>
          <w:p>
            <w:pPr>
              <w:ind w:left="274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ind w:left="20"/>
              <w:spacing w:after="0"/>
              <w:rPr>
                <w:sz w:val="20"/>
                <w:szCs w:val="20"/>
                <w:color w:val="auto"/>
              </w:rPr>
            </w:pPr>
            <w:r>
              <w:rPr>
                <w:rFonts w:ascii="Arial" w:cs="Arial" w:eastAsia="Arial" w:hAnsi="Arial"/>
                <w:sz w:val="18"/>
                <w:szCs w:val="18"/>
                <w:color w:val="auto"/>
              </w:rPr>
              <w:t>Alpharetta, Georgia</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6040" w:type="dxa"/>
            <w:vAlign w:val="bottom"/>
          </w:tcPr>
          <w:p>
            <w:pPr>
              <w:ind w:left="16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18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Chicago, Illinois</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6040" w:type="dxa"/>
            <w:vAlign w:val="bottom"/>
          </w:tcPr>
          <w:p>
            <w:pPr>
              <w:ind w:left="160"/>
              <w:spacing w:after="0"/>
              <w:rPr>
                <w:sz w:val="20"/>
                <w:szCs w:val="20"/>
                <w:color w:val="auto"/>
              </w:rPr>
            </w:pPr>
            <w:r>
              <w:rPr>
                <w:rFonts w:ascii="Arial" w:cs="Arial" w:eastAsia="Arial" w:hAnsi="Arial"/>
                <w:sz w:val="18"/>
                <w:szCs w:val="18"/>
                <w:color w:val="auto"/>
              </w:rPr>
              <w:t>Principal executive office</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Coppet, Switzerland</w:t>
            </w:r>
          </w:p>
        </w:tc>
        <w:tc>
          <w:tcPr>
            <w:tcW w:w="18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service office</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Laval, Quebec, Canada</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Pr>
          <w:p>
            <w:pPr>
              <w:ind w:left="16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8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18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Shenzhen, China</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6040" w:type="dxa"/>
            <w:vAlign w:val="bottom"/>
          </w:tcPr>
          <w:p>
            <w:pPr>
              <w:ind w:left="160"/>
              <w:spacing w:after="0"/>
              <w:rPr>
                <w:sz w:val="20"/>
                <w:szCs w:val="20"/>
                <w:color w:val="auto"/>
              </w:rPr>
            </w:pPr>
            <w:r>
              <w:rPr>
                <w:rFonts w:ascii="Arial" w:cs="Arial" w:eastAsia="Arial" w:hAnsi="Arial"/>
                <w:sz w:val="18"/>
                <w:szCs w:val="18"/>
                <w:color w:val="auto"/>
              </w:rPr>
              <w:t>Sales office, customer service</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8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6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Vernon Hills, Illinois</w:t>
            </w:r>
          </w:p>
        </w:tc>
        <w:tc>
          <w:tcPr>
            <w:tcW w:w="1880" w:type="dxa"/>
            <w:vAlign w:val="bottom"/>
          </w:tcPr>
          <w:p>
            <w:pPr>
              <w:jc w:val="center"/>
              <w:ind w:left="190"/>
              <w:spacing w:after="0"/>
              <w:rPr>
                <w:sz w:val="20"/>
                <w:szCs w:val="20"/>
                <w:color w:val="auto"/>
              </w:rPr>
            </w:pPr>
            <w:r>
              <w:rPr>
                <w:rFonts w:ascii="Arial" w:cs="Arial" w:eastAsia="Arial" w:hAnsi="Arial"/>
                <w:sz w:val="18"/>
                <w:szCs w:val="18"/>
                <w:color w:val="auto"/>
                <w:w w:val="89"/>
              </w:rPr>
              <w:t>Owned &amp; Leased</w:t>
            </w:r>
          </w:p>
        </w:tc>
        <w:tc>
          <w:tcPr>
            <w:tcW w:w="60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r>
      <w:tr>
        <w:trPr>
          <w:trHeight w:val="27"/>
        </w:trPr>
        <w:tc>
          <w:tcPr>
            <w:tcW w:w="2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29"/>
        </w:trPr>
        <w:tc>
          <w:tcPr>
            <w:tcW w:w="24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Non-clay manufacturing and clay and non-clay packaging, sales, customer</w:t>
            </w: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Wisbech, United Kingdom</w:t>
            </w:r>
          </w:p>
        </w:tc>
        <w:tc>
          <w:tcPr>
            <w:tcW w:w="18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r>
      <w:tr>
        <w:trPr>
          <w:trHeight w:val="27"/>
        </w:trPr>
        <w:tc>
          <w:tcPr>
            <w:tcW w:w="24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leases for the locations listed above expire as follows: Shenzhen, China and Alpharetta, Georgia both in 2020; Vernon Hills, Illinois in 2026; Wisbech, United Kingdom in 2032 and Chicago, Illinois in 2033. The lease for the Coppet, Switzerland office is on a year-to-year basis. We consider that our properties are generally in good condition, well maintained and suitable and adequate to carry on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Inter Partes Review (“IPR”) discussed immediately below; the stay was lifted in March 2017, and fact discovery and expert discovery completed. The Court provided the parties with a claim construction decision on September 5, 2018.</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February 14, 2015, Nestlé filed a petition for the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On June 11, 2018, the Federal Circuit remanded the case back to the Board based on the agreement of the parties to consider an expanded record, as well as for the Board to consider the previously non-instituted grounds set forth in Nestle’s IPR Petition.</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case was tried before a jury in the United States District Court for the Northern District of Illinois, Eastern Division in March 2019. The jury returned a verdict in our favor on March 26, 2019 and the parties subsequently came to agreement on the resolution of all post-trial motions including the IPR</w:t>
      </w: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2019 were 676 and 27, respectively, as reported by our transfer agent. In the last three years, we have not sold any securities which were not registered under the Securities Act of 1933.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determines the timing and amount of any dividends. Our Board of Directors may change its dividend practice at 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July 31, 2019, we did not sell any securities which were not registered under the Securities Act of 1933. The following chart summarizes our Common Stock purchases during this period.</w:t>
      </w:r>
    </w:p>
    <w:p>
      <w:pPr>
        <w:spacing w:after="0" w:line="32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86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Total Number of Shares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as Part of</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 Announced Plans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Ended July 31, 2019</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 2019 to May 31,</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1,046,090</w:t>
            </w:r>
          </w:p>
        </w:tc>
      </w:tr>
      <w:tr>
        <w:trPr>
          <w:trHeight w:val="229"/>
        </w:trPr>
        <w:tc>
          <w:tcPr>
            <w:tcW w:w="2060" w:type="dxa"/>
            <w:vAlign w:val="bottom"/>
            <w:gridSpan w:val="2"/>
          </w:tcPr>
          <w:p>
            <w:pPr>
              <w:ind w:left="40"/>
              <w:spacing w:after="0"/>
              <w:rPr>
                <w:sz w:val="20"/>
                <w:szCs w:val="20"/>
                <w:color w:val="auto"/>
              </w:rPr>
            </w:pPr>
            <w:r>
              <w:rPr>
                <w:rFonts w:ascii="Arial" w:cs="Arial" w:eastAsia="Arial" w:hAnsi="Arial"/>
                <w:sz w:val="18"/>
                <w:szCs w:val="18"/>
                <w:color w:val="auto"/>
              </w:rPr>
              <w:t>June 1, 2019 to June 30,</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30"/>
        </w:trPr>
        <w:tc>
          <w:tcPr>
            <w:tcW w:w="194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1,046,090</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July 1, 2019 to July 31,</w:t>
            </w: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r>
      <w:tr>
        <w:trPr>
          <w:trHeight w:val="230"/>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173</w:t>
            </w:r>
          </w:p>
        </w:tc>
        <w:tc>
          <w:tcPr>
            <w:tcW w:w="240" w:type="dxa"/>
            <w:vAlign w:val="bottom"/>
            <w:shd w:val="clear" w:color="auto" w:fill="CCEEFF"/>
          </w:tcPr>
          <w:p>
            <w:pPr>
              <w:spacing w:after="0"/>
              <w:rPr>
                <w:sz w:val="20"/>
                <w:szCs w:val="20"/>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$35.43</w:t>
            </w: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1,045,917</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68" w:lineRule="auto"/>
        <w:tabs>
          <w:tab w:leader="none" w:pos="143"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as of July 31, 2019, and the authorized Class B Stock is not included in the table above. No shares of our Class A Common Stock are currently outstanding. Descriptions of our Common Stock, Class B Stock and Class A Common Stock are contained in Exhibit 4.1 of this Annual Report on Form 10-K for the fiscal year ended July 31, 2019.</w:t>
      </w:r>
    </w:p>
    <w:p>
      <w:pPr>
        <w:spacing w:after="0" w:line="182" w:lineRule="exact"/>
        <w:rPr>
          <w:sz w:val="20"/>
          <w:szCs w:val="20"/>
          <w:color w:val="auto"/>
        </w:rPr>
      </w:pPr>
    </w:p>
    <w:p>
      <w:pPr>
        <w:jc w:val="both"/>
        <w:ind w:firstLine="8"/>
        <w:spacing w:after="0" w:line="268" w:lineRule="auto"/>
        <w:tabs>
          <w:tab w:leader="none" w:pos="115"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Our Board of Directors authorized repurchase of 250,000 shares of Common Stock on March 11, 2011, an additional 250,000 shares on June 14, 2012 and an additional 750,000 shares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Consolidated net income was $12,611,000, or $1.67 per diluted share, for the fiscal year ended July 31, 2019, a 53% increase from net income of $8,240,000, or $1.11 per diluted share, for the fiscal year ended July 31, 2018. Net income in fiscal year 2019 included net proceeds received upon resolution of legal proceedings. Net income in fiscal year 2018 was significantly impacted by a $3,996,000 increase in tax expense to record the impact of the 2017 Tax Cuts and Jobs Act (the “2017 Act”) on deferred income tax assets, which effectively reduced diluted net income per share by $0.54 per share.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Consolidated net sales were up about 4% in fiscal year 2019 compared to fiscal year 2018; however, income from operations declined 34% due to higher cost of sales. Lower selling, general and administrative expenses partially offset the higher cost of sales.</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Consolidated Balance Sheets as of July 31, 2019 and our Consolidated Statements of Cash Flows for fiscal year 2019 show an increase in total cash, cash equivalents and short-term investments from fiscal year-end 2018, even while we continue to invest in capital, repay debt and pay dividends.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2019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2019 were $277,025,000, an increase of $11,025,000 from net sales of $266,000,000 in fiscal year 2018. Net sales in our Retail and Wholesale Products Group increased for our cat litter products, as well as for our subsidiaries in Canada and the United Kingdom. Net sales in our Business to Business Products Group also increased, particularly for products used in agricultural and fluids purification applications. Sales fluctuations by operating segment are further discussed below.</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Consolidated gross profit in fiscal year 2019 was $65,660,000, a decrease of $6,262,000 from gross profit of $71,922,000 in the prior year. Our gross margin (defined as gross profit as a percentage of net sales) in fiscal year 2019 decreased to 24% from 27% in fiscal year 2018. Gross profit decreased due primarily to higher freight, packaging and manufacturing costs. Freight costs per ton increased approximately 10% compared to the prior fiscal year. A shortage of truck drivers that reduced truck availability and further phase-in of government regulations in the trucking industry continued to result in higher freight costs in the first three quarters of fiscal year 2019. Truck availability significantly improved in the fourth quarter of fiscal year 2019 and resulted in lower costs that partially offset the increases earlier in the fiscal year. In addition, freight costs for the year were negatively impacted by a greater number of product transfers between our plants and warehouses to support customer service during the implementation of our new ERP system on August 1, 2018, and by disruptions due to Hurricane Michael in the first quarter of fiscal year 2019. Our overall freight costs also vary depending on the mix of products sold and the geographic distribution of our customers. Packaging costs per ton were approximately 10% higher compared to the prior fiscal year. Many of our contracts for packaging purchases are subject to periodic price adjustments, which trail changes in underlying commodity prices. Costs in fiscal year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for both our resin and paper-based packaging reflected higher prices in their respective commodity prices compared to the prior year. In addition, during this period of higher costs in fiscal year 2019, we purchased more packaging in anticipation of increased sales and for safety stock during the ERP implementation. Recent declines in commodity prices positively impacted packaging costs for the fourth quarter of fiscal year 2019. In addition, non-fuel manufacturing costs per ton were up approximately 7%. An increase in the number of tons produced contributed to higher costs for labor and mining-related costs. Repairs expense also increased for routine and preventative equipment maintenance. Early in fiscal 2019, our plants incurred additional costs due to processing interruptions during the ERP implementation and the hurricane mentioned above. Finally, the cost per manufactured ton of natural gas used to operate kilns that dry our clay was approximately 5% higher; however, lower prices in the fourth quarter moderated the year over year increase.</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Total selling, general and administrative expenses were 1% lower in fiscal year 2019 compared to fiscal year 2018. The discussions of each segment's operating income below describe the changes in selling, general and administrative expenses that were allocated to that segment, particularly lower advertising expense in the Retail and Wholesale Products Group. The remaining unallocated corporate expenses in fiscal year 2019 included a lower estimated annual incentive bonus accrual for fiscal year-end 2019 compared to fiscal year-end 2018. The incentive bonus accrual was based on actual financial results achieved for the fiscal year and discretion by our Chief Executive Officer, in accordance with the incentive plan's provisions. The lower bonus expense was partially offset by higher costs related to the new ERP system implementation and costs associated with executive personnel changes.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of $4,723,000 in fiscal year 2019 included net proceeds upon resolution of legal proceedings. The amount received under a confidential agreement resolving these legal proceedings was material to our financial results for the period.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Tax expense for fiscal year 2019 was $1,933,000 compared to $6,644,000 in fiscal year 2018. Excluding the $3,996,000 tax adjustment discussed in the “Overview” above, the effective tax rate for fiscal year 2018 would have been 17.8%. The effective tax rate for fiscal 2019 was lower at 13.3%, due primarily to the lower U.S. federal corporate tax rate under the 2017 Tax Act. See Note 5 of the Notes to the Consolidated Financial Statements for additional information about our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sales of the Business to Business Products Group for fiscal year 2019 were $105,877,000, an increase of $834,000, or 1%, from net sales of $105,043,000 in fiscal year 2018. Net sales increased for our products used in fluids purification and agricultural applications, as well as for our co-packaged cat litter; however, sales declined for our animal health products.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of our fluids purification products increased approximately 4%. Sales to domestic edible oil processors increased due to the characteristics of recent crops that required higher usage of our purification products. In contrast, the strength of the U.S. Dollar created price competition in some foreign markets, which resulted in a loss of sales to local suppliers. Sales of our agricultural and horticultural products were approximately 2% higher compared to the prior year, due primarily to improved sales for our engineered granules. Sales of our co-packaged cat litter also increased approximately 3% due primarily to higher volume. Net sales of animal health and nutrition products decreased approximately 12%. A swine virus outbreak that started in China in August 2018 has spread to other countries in Asia. The virus resulted in a significant reduction in the number of swine raised in these markets and has hurt sales of our animal health products targeted to pig producers, including sales by our subsidiary in China discussed in “Foreign Operations” below. A delay in product registration further negatively impacted sales of animal health and nutrition products to customers in Africa.</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Business to Business Products Group’s selling, general and administrative expenses in fiscal year 2019 were approximately 4% lower compared to fiscal year 2018, including lower net compensation-related costs associated with employee turnover and lower marketing costs.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Business to Business Products Group’s operating income in fiscal year 2019 was $31,388,000, a decrease of $3,732,000 from operating income of $35,120,000 in fiscal year 2018. Higher freight, packaging and manufacturing costs, as discussed in “Consolidated Results” above, outweighed the higher sales and lower selling general and administrative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of the Retail and Wholesale Products Group for fiscal year 2019 were $171,148,000, an increase of $10,191,000, or 6%, from net sales of $160,957,000 in fiscal year 2018. Net sales improved for our cat litter products and for our subsidiaries in Canada and the United Kingdom. Our foreign subsidiaries' results are discussed further in “Foreign Operations” below. Partially offsetting these increased sales were moderately lower sales of our industrial absorbent and sweeping compound products.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648"/>
        <w:spacing w:after="0" w:line="259" w:lineRule="auto"/>
        <w:rPr>
          <w:sz w:val="20"/>
          <w:szCs w:val="20"/>
          <w:color w:val="auto"/>
        </w:rPr>
      </w:pPr>
      <w:r>
        <w:rPr>
          <w:rFonts w:ascii="Arial" w:cs="Arial" w:eastAsia="Arial" w:hAnsi="Arial"/>
          <w:sz w:val="18"/>
          <w:szCs w:val="18"/>
          <w:color w:val="auto"/>
        </w:rPr>
        <w:t>Total cat litter net sales were approximately 9% higher compared to the prior year due primarily to increased volume and higher prices. Private label cat litter drove the sales growth, which included higher sales to customers who expanded their selection of our private label scoopable products and ran store-sponsored promotions. Private label coarse litter sales to our largest customer increased and new customers were added during fiscal year 2019. Branded litter sales, including our branded scoopable litter, were up also up slightly.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19% lower compared to fiscal year 2018. The decrease was driven by approximately $3,600,000 lower advertising expense due primarily to a focus on targeted regional markets and increased use of digital media.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Retail and Wholesale Products Group’s segment operating income for fiscal year 2019 was $8,683,000, an increase of $1,708,000, from operating income of $6,975,000 in fiscal year 2018. The higher sales and reduction in advertising costs were offset to a great extent by higher freight, packaging and manufacturing costs, as discussed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subsidiaries in China, Mexico and Indonesia, which are included in the Business to Business Products Group. Net sales by our foreign subsidiaries during fiscal year 2019 were $12,549,000, an increase of $707,000, or 6%, from net sales of $11,842,000 during fiscal year 2018. Sales for our Canada subsidiary increased due to a new private label cat litter customer. In addition, sales by our subsidiary in the United Kingdom increased for fluids purification products sold to new and existing customers. Our subsidiary in Mexico was acquired by the Company in the fourth quarter of fiscal year 2018 and provided incremental sales for the full year of fiscal 2019. These sales increases were partially offset by approximately a 24% decrease in sales by our subsidiary in China. The swine virus outbreak that started in China in August 2018 reduced the number of swine raised in this market and hurt sales of our animal health products targeted to pig producers. Net sales by our foreign subsidiaries represented 5% and 4% of our consolidated net sales during fiscal years 2019 and 2018, respectively.</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fiscal year 2019, our foreign subsidiaries reported net income of $155,000, compared to a net loss of $9,000 in fiscal year 2018. Net income increased due to the higher sales discussed above, which was partially offset by the currency exchange rate impact of the British Pound to the U.S. Dollar.</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2019 were $10,195,000 compared to $9,321,000 as of July 31, 2018. The increase was due primarily to higher cash and inventory balances.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capital requirements include: funding working capital needs; purchasing and upgrading equipment, facilities, information systems, and real estate; supporting new product development; investing in infrastructure; paying dividends; making pension contributions and business acquisitions. During fiscal year 2019, we primarily used cash generated from operations to fund these requirements. During fiscal year 2018, we borrowed under our revolving credit agreement with BMO Harris to make a voluntary contribution to our pension plan. This borrowing is described under “Other” below and the pension plan is discussed in Note 8 of the Notes to the Consolidated Financial Statements. Cash and cash equivalents totaled $21,862,000 and $12,757,000 as of July 31, 2019 and 2018, respectively. We had no short term investments as of July 31, 2019 and held $7,124,000 as of July 31, 2018.</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26,743</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10,612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(9,886)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9,105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3960"/>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fiscal years 2019 and 2018 were as follows: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Non-cash stock compensation expense was $807,000 higher for fiscal 2019 compared to fiscal 2018 due to additional grants of restricted stock. See Note 7 of the Notes to the Consolidated Financial Statements for further information about stock-based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taxes were $406,000 higher at fiscal year-end 2019 compared to fiscal year-end 2018, and were $7,270,000 lower at fiscal year-end 2018 compared to fiscal year-end 2017. During fiscal year 2018, an adjustment to reflect the lower U.S. federal corporate tax rate under the 2017 Tax Act reduced deferred taxes, particularly related to depreciation, deferred compensation and postretirement benefits. See Note 5 of the Notes to the Consolidated Financial Statements for further information about income taxes.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less allowance for doubtful accounts and cash discounts, were $1,908,000 higher at fiscal year-end 2019 compared to fiscal year-end 2018 due primarily to higher sales in the fourth quarter of fiscal year 2019 compared to the same period in fiscal year 2018. The same measure of accounts receivable was $270,000 higher at fiscal year-end 2018 compared to fiscal year-end 2017. Fluctuations in accounts receivable balances were impacted in all periods by the timing of both sales and collections, as well as the payment terms provided to various customers.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Inventories were $1,693,000 higher at fiscal year-end 2019 compared to fiscal year-end 2018 due primarily to more on-hand quantities of packaging and other materials purchased at higher costs. A lower reserve for discontinued, slow moving and unsaleable inventory also contributed to the higher inventory value at fiscal year-end 2019. A higher reserve for unsalable inventory drove a $225,000 decrease in inventory at fiscal year-end 2018 compared to fiscal year-end 2017. Furthermore, finished goods and purchased materials inventories vary from year to year due to anticipated sales requirements and the mix of products expected to be produced.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Accounts payable, including income taxes payable, were $590,000 higher at fiscal year-end 2019 compared to fiscal year-end 2018. Accounts payable were $2,436,000 lower at fiscal year-end 2018 compared to fiscal year-end 2017. Changes in trade accounts payable in all periods are subject to normal fluctuations in the timing of payments, the cost of goods and services we purchased, production volume levels and vendor payment terms.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Accrued expenses were $589,000 lower at fiscal year-end 2019 compared to fiscal year-end 2018 due primarily to a lower accrued annual discretionary bonus, which was partially offset by higher accruals for trade promotions, advertising and freight. Accrued expenses were $771,000 higher at fiscal year-end 2018 compared to fiscal year-end 2017 due primarily to a higher accrual for the annual bonus, which was partially offset by lower accruals for trade promotions and advertising. Changes in other accrued expenses in all periods are subject to normal fluctuations in the timing of payments.</w:t>
      </w:r>
    </w:p>
    <w:p>
      <w:pPr>
        <w:spacing w:after="0" w:line="15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Deferred compensation balances at fiscal year-end 2019 were slightly lower compared to fiscal year-end 2018. A significant payout under the terms of the deferred compensation plan in fiscal year 2018 contributed to $5,437,000 lower balances at fiscal year-end 2018 compared to fiscal year-end 2017.</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$3,307,000 higher at fiscal year-end 2019 compared to fiscal year-end 2018 due primarily to continued accumulation of employee benefits and a lower discount rate applied to the actuarial liability calculation. These liabilities were $11,048,000 lower at fiscal year-end 2018 compared to fiscal year-end 2017 due primarily to an $11,500,000 voluntary contribution to our pension plan in excess of the minimum amount required. See Note 8 of the Notes to the Consolidated Financial Statements for more information regarding our postretirement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investing activities was $7,888,000 in fiscal year 2019 and cash provided by investing activities was $2,572,000 in fiscal year 2018. During fiscal years 2019, dispositions of short-term investments provided cash in excess of purchases by $7,134,000. No short-term investments were held at fiscal year-end 2019. In fiscal year 2018, dispositions of short-term investments exceeded purchases by $16,581,000. The excess cash was used in part to fund the voluntary contribution to our pension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Capital expenditures of $15,029,000 in fiscal year 2019 were comparable to $15,074,000 in fiscal year 2018. Expenditures in both periods included equipment additions and replacement at our manufacturing facilities. Expenditures in fiscal year 2018 also included significant spending for the ERP system implementation and related infrastructure improvements.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cash proceeds of $1,747,000 were received in fiscal year 2018 from the closing of a life insurance policy on a former key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financing activities was $9,886,000 in fiscal year 2019 and $9,339,000 in fiscal year 2018. The primary uses of cash in all periods were for long-term debt and dividend payments.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as of July 31, 2019 and 2018 were $2,136,000, $1,849,000, respectively. See further discussion in the “Foreign Operations” section above.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 which expires on January 31, 2024. The new agreement provides for a $45,000,000 unsecured revolving credit agreement, including a maximum of $10,000,000 for foreign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As of July 31, 2019, the variable rates would have been 5.75% for the BMO Harris’ prime-based rate or 3.52%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2019 and 2018, we were in compliance with its covenants.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July 31, 2019 and 2018, there were no outstanding borrowings under this credit agreement; however, there was a total of $5,973,000 allocated for guarantees required by one of our insurance policies and state environmental regulations. During the third quarter of fiscal year 2018 we borrowed $6,000,000 at a weighted average interest rate of 2.96% under the credit agreement to fund a voluntary contribution to our pension plan. The amount borrowed was repaid in the fourth quarter of fiscal year 2018. There were no other borrowings during either fiscal year 2019 or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3 of the Notes to the Consolidated Financial Statements for information about our outstanding notes payable.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balances and our ability to obtain other financing, if necessary, will provide adequate cash funds for foreseeable working capital needs, capital expenditures at existing facilities, dividend payments and debt service obligations for at least the next 12 months. We spent approximately $3,600,000 less for advertising in fiscal year 2019 compared to fiscal year 2018 to promote our cat litter. We expect advertising expense in fiscal year 2020 to be higher than in fiscal year 2019. We also anticipate that our capital expenditures in fiscal year 2020 will be higher than in fiscal year 2019 due primarily to planned spending at our manufacturing facilities. We do not anticipate that these increased expenditures will dramatically impact our cash position; however,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2019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U.S. GAAP requires management to make estimates and assumptions that affect the reported amounts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7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on earnings was based on expected income, statutory tax rates and tax planning opportunities available to us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Significant judgment was required in determining our effective tax rate and in evaluating our tax positions.</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recorded valuation allowances of $732,000 and $789,000 for the amount of the deferred tax benefit related to our foreign net operating loss carryforwards as of July 31, 2019 and 2018, respectively, because we believe it is unlikely we will realize the benefit of these tax attributes in the future.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2019 or 2018. See Note 5 of the Notes to the Consolidated Financial Statements for further discussion.</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$1,449,000 and $1,024,000 for trade promotions as of July 31, 2019 and 2018,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2019 and 2018 was the FTSE Pension Discount Curve (formally called the Citi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17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Trade Receivables. </w:t>
      </w:r>
      <w:r>
        <w:rPr>
          <w:rFonts w:ascii="Arial" w:cs="Arial" w:eastAsia="Arial" w:hAnsi="Arial"/>
          <w:sz w:val="16"/>
          <w:szCs w:val="16"/>
          <w:color w:val="auto"/>
        </w:rPr>
        <w:t>We recognize trade receivables when the risk of loss and title pass to the customer. We record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$644,000 and $817,000 as of July 31, 2019 and 2018, respectively.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performance obligations under the terms of the contracts with customers are satisfied. Our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and allowances are not material.</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We value inventories at the lower of cost (first-in, first-out) or market. Inventory costs include the cost of raw materials, packaging</w:t>
      </w:r>
      <w:r>
        <w:rPr>
          <w:rFonts w:ascii="Arial" w:cs="Arial" w:eastAsia="Arial" w:hAnsi="Arial"/>
          <w:sz w:val="16"/>
          <w:szCs w:val="16"/>
          <w:b w:val="1"/>
          <w:bCs w:val="1"/>
          <w:color w:val="auto"/>
        </w:rPr>
        <w:t xml:space="preserve"> </w:t>
      </w:r>
      <w:r>
        <w:rPr>
          <w:rFonts w:ascii="Arial" w:cs="Arial" w:eastAsia="Arial" w:hAnsi="Arial"/>
          <w:sz w:val="16"/>
          <w:szCs w:val="16"/>
          <w:color w:val="auto"/>
        </w:rPr>
        <w:t>supplies, labor and other overhead costs. We perform a detailed review of our inventory to determine if 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2019 and 2018 were $704,000 and $1,136,000, respectively.</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2019 and 2018, we have recorded an estimated net reclamation asset of $975,000 and $718,000, respectively, and a corresponding estimated reclamation liability of $2,410,000 as of July 31, 2019 and $2,000,000 as of July 31, 2018.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Impairment of goodwill, trademarks and other intangible assets. </w:t>
      </w:r>
      <w:r>
        <w:rPr>
          <w:rFonts w:ascii="Arial" w:cs="Arial" w:eastAsia="Arial" w:hAnsi="Arial"/>
          <w:sz w:val="16"/>
          <w:szCs w:val="16"/>
          <w:color w:val="auto"/>
        </w:rPr>
        <w:t>We review carrying values of goodwill, trademarks and other indefinite-lived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intangible assets periodically for possible impairment in accordance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Our impairment analysis performed in the fourth quarters of both fiscal years 2019 and 2018 did not indicate any impairment. We continue to monitor events, circumstances or changes in the business that might imply a reduction in value which could lead to an impairment.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guidance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subsequently issued several amendments to further clarify the principles for recognizing revenue. This guidance establishes a single comprehensive revenue recognition model for all contracts with customers and will supersede most existing revenue guidance. The core principle of ASC 606 is that entities should recognize revenue to depict the transfer of promised goods or services to customers in an amount that reflects the consideration to which the entity expects to be entitled to receive in exchange.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Oil-Dri adopted the new guidance on a modified retrospective basis effective August 1, 2018. We applied the practical expedient available under ASC 606 to disregard determining significant financing components if the good is transferred and payment is received within one year. We also adopted the policy election to exclude from the transaction price all amounts collected from customers for sales and other taxes. There was no material impact on our Consolidated Financial Statements from the adoption of this guidance. Results for periods beginning on or after August 1, 2018 are recognized and presented in accordance with ASC 606, while prior period amounts have not been adjusted and continue to be reported in accordance with the prior account guidance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which requires presenting the service cost component of net periodic benefit cost in the same income statement line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We adopted this new guidance in the first quarter of fiscal 2019 and accordingly recorded the non-service cost components of net periodic benefit cost in Other Income (Expense) in the line item Other, net on the Consolidated Statements of Operations. As such, the adoption did not have a material impact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 right-of-use (“ROU”) asset. Other requirements describe expense recognition, as well as financial statement presentation and disclosure. In July 2018, the FASB issued further guidance which provided alternative transition methods. The Company will adopt this guidance for our first quarter of fiscal year 2020 on a modified retrospective transition approach, and will not restate prior comparative periods presented in our financial statements. We expect to elect certain practical expedients, including the package of practical expedients to not reassess prior conclusions related to contracts containing leases, lease classification and initial direct costs. We have substantially completed our plan for the adoption of this new standard, including implementing software to meet the reporting and disclosure requirements of this standard. We anticipate the adoption of this new standard will result in the recognition of additional ROU assets of approximately $9,222,000 and liabilities of approximately $10,784,000 with the difference largely due to deferred rent that will be reclassified.</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summary of all recently adopted and issued accounting standards is contained in Note 1 of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21,862</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Accounts receivable, less allowance of $644 and $817</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35,459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20"/>
              <w:spacing w:after="0"/>
              <w:rPr>
                <w:sz w:val="20"/>
                <w:szCs w:val="20"/>
                <w:color w:val="auto"/>
              </w:rPr>
            </w:pPr>
            <w:r>
              <w:rPr>
                <w:rFonts w:ascii="Arial" w:cs="Arial" w:eastAsia="Arial" w:hAnsi="Arial"/>
                <w:sz w:val="18"/>
                <w:szCs w:val="18"/>
                <w:color w:val="auto"/>
              </w:rPr>
              <w:t>in 2019 and 2018, respectively</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 net</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24,163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Prepaid repairs expense</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4,708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3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3,084</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37"/>
        </w:trPr>
        <w:tc>
          <w:tcPr>
            <w:tcW w:w="506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89,276</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83,014</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Buildings and leasehold improvements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38,852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38,534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145,402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141,530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20,569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Vehicles</w:t>
            </w:r>
          </w:p>
        </w:tc>
        <w:tc>
          <w:tcPr>
            <w:tcW w:w="3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15,375</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8"/>
                <w:szCs w:val="18"/>
                <w:color w:val="auto"/>
              </w:rPr>
              <w:t>Gross depreciable assets</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220,198</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205,304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(159,036)</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37"/>
        </w:trPr>
        <w:tc>
          <w:tcPr>
            <w:tcW w:w="5060" w:type="dxa"/>
            <w:vAlign w:val="bottom"/>
          </w:tcPr>
          <w:p>
            <w:pPr>
              <w:ind w:left="600"/>
              <w:spacing w:after="0"/>
              <w:rPr>
                <w:sz w:val="20"/>
                <w:szCs w:val="20"/>
                <w:color w:val="auto"/>
              </w:rPr>
            </w:pPr>
            <w:r>
              <w:rPr>
                <w:rFonts w:ascii="Arial" w:cs="Arial" w:eastAsia="Arial" w:hAnsi="Arial"/>
                <w:sz w:val="18"/>
                <w:szCs w:val="18"/>
                <w:color w:val="auto"/>
              </w:rPr>
              <w:t>Net depreciable assets</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61,162</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55,919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12,519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Land and mineral rights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17,117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16,802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3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90,798</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20"/>
              <w:spacing w:after="0"/>
              <w:rPr>
                <w:sz w:val="20"/>
                <w:szCs w:val="20"/>
                <w:color w:val="auto"/>
              </w:rPr>
            </w:pPr>
            <w:r>
              <w:rPr>
                <w:rFonts w:ascii="Arial" w:cs="Arial" w:eastAsia="Arial" w:hAnsi="Arial"/>
                <w:sz w:val="18"/>
                <w:szCs w:val="18"/>
                <w:color w:val="auto"/>
              </w:rPr>
              <w:t>of $299 and $267 in 2019 and 2018, respectively</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56"/>
        </w:trPr>
        <w:tc>
          <w:tcPr>
            <w:tcW w:w="5060" w:type="dxa"/>
            <w:vAlign w:val="bottom"/>
          </w:tcPr>
          <w:p>
            <w:pPr>
              <w:ind w:left="380"/>
              <w:spacing w:after="0"/>
              <w:rPr>
                <w:sz w:val="20"/>
                <w:szCs w:val="20"/>
                <w:color w:val="auto"/>
              </w:rPr>
            </w:pPr>
            <w:r>
              <w:rPr>
                <w:rFonts w:ascii="Arial" w:cs="Arial" w:eastAsia="Arial" w:hAnsi="Arial"/>
                <w:sz w:val="18"/>
                <w:szCs w:val="18"/>
                <w:color w:val="auto"/>
              </w:rPr>
              <w:t>Customer list, net of accumulated amortization</w:t>
            </w:r>
          </w:p>
        </w:tc>
        <w:tc>
          <w:tcPr>
            <w:tcW w:w="3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1,488</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of $6,297 and $5,540 in 2019 and 2018, respectively</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70"/>
        </w:trPr>
        <w:tc>
          <w:tcPr>
            <w:tcW w:w="50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7,755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37"/>
        </w:trPr>
        <w:tc>
          <w:tcPr>
            <w:tcW w:w="5060" w:type="dxa"/>
            <w:vAlign w:val="bottom"/>
          </w:tcPr>
          <w:p>
            <w:pPr>
              <w:ind w:left="1140"/>
              <w:spacing w:after="0"/>
              <w:rPr>
                <w:sz w:val="20"/>
                <w:szCs w:val="20"/>
                <w:color w:val="auto"/>
              </w:rPr>
            </w:pPr>
            <w:r>
              <w:rPr>
                <w:rFonts w:ascii="Arial" w:cs="Arial" w:eastAsia="Arial" w:hAnsi="Arial"/>
                <w:sz w:val="18"/>
                <w:szCs w:val="18"/>
                <w:color w:val="auto"/>
              </w:rPr>
              <w:t>Total Other Assets</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25,153</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205,227</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8,092</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1,761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6,740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2,635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8,707</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32,606</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30,949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9"/>
              </w:rPr>
              <w:t>Notes payable, net of unamortized debt issuance costs of $31 and $60 in 2019 and 2018, respectively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3,052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6,014</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23,721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4,288</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37,075</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69,681</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62,797</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5"/>
              </w:rPr>
              <w:t>Common Stock, par value $.10 per share, issued 8,284,199 shares in 2019 and 8,086,849 shares in 2018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828</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Class B Stock, convertible, par value $.10 per share, issued 2,576,479 shares in 2019 and 2,468,979 shares in</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41,300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38,473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164,756</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158,935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(14,891)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7"/>
        </w:trPr>
        <w:tc>
          <w:tcPr>
            <w:tcW w:w="8460" w:type="dxa"/>
            <w:vAlign w:val="bottom"/>
          </w:tcPr>
          <w:p>
            <w:pPr>
              <w:ind w:left="1260"/>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(15,039)</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Less treasury stock, at cost (2,926,547 Common and 324,741 Class B shares in 2019 and 2,914,092 Common</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(56,543)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324,741 Class B shares in 2018)</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(55,946)</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135,546</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131,885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205,227</w:t>
            </w:r>
          </w:p>
        </w:tc>
        <w:tc>
          <w:tcPr>
            <w:tcW w:w="44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460" w:type="dxa"/>
            <w:vAlign w:val="bottom"/>
          </w:tcPr>
          <w:p>
            <w:pPr>
              <w:ind w:left="562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July 31,</w:t>
            </w:r>
          </w:p>
        </w:tc>
      </w:tr>
      <w:tr>
        <w:trPr>
          <w:trHeight w:val="27"/>
        </w:trPr>
        <w:tc>
          <w:tcPr>
            <w:tcW w:w="6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6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(in thousands, except for per share</w:t>
            </w:r>
          </w:p>
        </w:tc>
      </w:t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data)</w:t>
            </w:r>
          </w:p>
        </w:tc>
        <w:tc>
          <w:tcPr>
            <w:tcW w:w="1080" w:type="dxa"/>
            <w:vAlign w:val="bottom"/>
          </w:tcPr>
          <w:p>
            <w:pPr>
              <w:spacing w:after="0"/>
              <w:rPr>
                <w:sz w:val="20"/>
                <w:szCs w:val="20"/>
                <w:color w:val="auto"/>
              </w:rPr>
            </w:pPr>
          </w:p>
        </w:tc>
      </w:tr>
      <w:tr>
        <w:trPr>
          <w:trHeight w:val="216"/>
        </w:trPr>
        <w:tc>
          <w:tcPr>
            <w:tcW w:w="6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277,025</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266,000</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(211,365)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(194,078)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65,660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71,922</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(55,248)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(56,045)</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10,412</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15,877</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loss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20" w:type="dxa"/>
            <w:vAlign w:val="bottom"/>
          </w:tcPr>
          <w:p>
            <w:pPr>
              <w:ind w:left="380"/>
              <w:spacing w:after="0"/>
              <w:rPr>
                <w:sz w:val="20"/>
                <w:szCs w:val="20"/>
                <w:color w:val="auto"/>
              </w:rPr>
            </w:pPr>
            <w:r>
              <w:rPr>
                <w:rFonts w:ascii="Arial" w:cs="Arial" w:eastAsia="Arial" w:hAnsi="Arial"/>
                <w:sz w:val="18"/>
                <w:szCs w:val="18"/>
                <w:color w:val="auto"/>
              </w:rPr>
              <w:t>Other, net (1) (2)</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4,723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4,136</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14,548</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14,866</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(1,933)</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12,615</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69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12,611</w:t>
            </w:r>
          </w:p>
        </w:tc>
        <w:tc>
          <w:tcPr>
            <w:tcW w:w="1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8,240</w:t>
            </w:r>
          </w:p>
        </w:tc>
      </w:tr>
      <w:tr>
        <w:trPr>
          <w:trHeight w:val="365"/>
        </w:trPr>
        <w:tc>
          <w:tcPr>
            <w:tcW w:w="6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1"/>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51"/>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Common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65"/>
        </w:trPr>
        <w:tc>
          <w:tcPr>
            <w:tcW w:w="6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6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5,112</w:t>
            </w: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5,036</w:t>
            </w:r>
          </w:p>
        </w:tc>
      </w:tr>
      <w:tr>
        <w:trPr>
          <w:trHeight w:val="251"/>
        </w:trPr>
        <w:tc>
          <w:tcPr>
            <w:tcW w:w="6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2,068</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6920" w:type="dxa"/>
            <w:vAlign w:val="bottom"/>
          </w:tcPr>
          <w:p>
            <w:pPr>
              <w:ind w:left="380"/>
              <w:spacing w:after="0"/>
              <w:rPr>
                <w:sz w:val="20"/>
                <w:szCs w:val="20"/>
                <w:color w:val="auto"/>
              </w:rPr>
            </w:pPr>
            <w:r>
              <w:rPr>
                <w:rFonts w:ascii="Arial" w:cs="Arial" w:eastAsia="Arial" w:hAnsi="Arial"/>
                <w:sz w:val="18"/>
                <w:szCs w:val="18"/>
                <w:color w:val="auto"/>
              </w:rPr>
              <w:t>Diluted Common</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7,251</w:t>
            </w: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7,222</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64" w:lineRule="auto"/>
        <w:tabs>
          <w:tab w:leader="none" w:pos="27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Prior year amounts have been retrospectively adjusted to conform to the current year presentation of the non-service cost components of net periodic benefit cost required by new guidance under ASC 715,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See Note 1 of the Notes to the Consolidated Financial Statements for details.</w:t>
      </w:r>
    </w:p>
    <w:p>
      <w:pPr>
        <w:spacing w:after="0" w:line="289"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2 of the Notes to the Consolidated Financial Statements for further information about amounts included in this line item.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jc w:val="center"/>
        <w:ind w:right="-7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9"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Year Ended July 31,</w:t>
            </w:r>
          </w:p>
        </w:tc>
      </w:tr>
      <w:tr>
        <w:trPr>
          <w:trHeight w:val="27"/>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r>
      <w:tr>
        <w:trPr>
          <w:trHeight w:val="216"/>
        </w:trPr>
        <w:tc>
          <w:tcPr>
            <w:tcW w:w="6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12,611</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8,240</w:t>
            </w:r>
          </w:p>
        </w:tc>
      </w:tr>
      <w:tr>
        <w:trPr>
          <w:trHeight w:val="324"/>
        </w:trPr>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(4,507)</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7"/>
        </w:trPr>
        <w:tc>
          <w:tcPr>
            <w:tcW w:w="692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(4,424)</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1,941</w:t>
            </w:r>
          </w:p>
        </w:tc>
      </w:tr>
      <w:tr>
        <w:trPr>
          <w:trHeight w:val="27"/>
        </w:trPr>
        <w:tc>
          <w:tcPr>
            <w:tcW w:w="6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8,187</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10,181</w:t>
            </w: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60"/>
          </w:cols>
          <w:pgMar w:left="240" w:top="364" w:right="999" w:bottom="1440" w:gutter="0" w:footer="0" w:header="0"/>
        </w:sectPr>
      </w:pPr>
    </w:p>
    <w:bookmarkStart w:id="35" w:name="page36"/>
    <w:bookmarkEnd w:id="35"/>
    <w:p>
      <w:pPr>
        <w:jc w:val="center"/>
        <w:ind w:right="-45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2020" w:type="dxa"/>
            <w:vAlign w:val="bottom"/>
            <w:gridSpan w:val="4"/>
          </w:tcPr>
          <w:p>
            <w:pPr>
              <w:ind w:left="40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980" w:type="dxa"/>
            <w:vAlign w:val="bottom"/>
          </w:tcPr>
          <w:p>
            <w:pPr>
              <w:spacing w:after="0"/>
              <w:rPr>
                <w:sz w:val="13"/>
                <w:szCs w:val="13"/>
                <w:color w:val="auto"/>
              </w:rPr>
            </w:pPr>
          </w:p>
        </w:tc>
        <w:tc>
          <w:tcPr>
            <w:tcW w:w="10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Common</w:t>
            </w: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00" w:type="dxa"/>
            <w:vAlign w:val="bottom"/>
            <w:gridSpan w:val="2"/>
            <w:vMerge w:val="continue"/>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9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2017</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10,528,678</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(3,232,111)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36,242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154,735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(10,292)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126,037</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8,240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8,222</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upon adoption</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80" w:type="dxa"/>
            <w:vAlign w:val="bottom"/>
          </w:tcPr>
          <w:p>
            <w:pPr>
              <w:jc w:val="right"/>
              <w:ind w:right="228"/>
              <w:spacing w:after="0"/>
              <w:rPr>
                <w:sz w:val="20"/>
                <w:szCs w:val="20"/>
                <w:color w:val="auto"/>
              </w:rPr>
            </w:pPr>
            <w:r>
              <w:rPr>
                <w:rFonts w:ascii="Arial" w:cs="Arial" w:eastAsia="Arial" w:hAnsi="Arial"/>
                <w:sz w:val="14"/>
                <w:szCs w:val="14"/>
                <w:color w:val="auto"/>
              </w:rPr>
              <w:t>of accounting standard</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Purchases of treasury stock</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issuance of stock under</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long-term incentive plans</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27,150</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270"/>
        </w:trPr>
        <w:tc>
          <w:tcPr>
            <w:tcW w:w="1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2018</w:t>
            </w: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10,555,828</w:t>
            </w:r>
          </w:p>
        </w:tc>
        <w:tc>
          <w:tcPr>
            <w:tcW w:w="1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(3,238,833)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38,473</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158,935</w:t>
            </w: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(55,946)</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(10,615)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131,885</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12,611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12,615</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0" w:type="dxa"/>
            <w:vAlign w:val="bottom"/>
          </w:tcPr>
          <w:p>
            <w:pPr>
              <w:spacing w:after="0"/>
              <w:rPr>
                <w:sz w:val="1"/>
                <w:szCs w:val="1"/>
                <w:color w:val="auto"/>
              </w:rPr>
            </w:pPr>
          </w:p>
        </w:tc>
      </w:tr>
      <w:tr>
        <w:trPr>
          <w:trHeight w:val="264"/>
        </w:trPr>
        <w:tc>
          <w:tcPr>
            <w:tcW w:w="19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76"/>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57"/>
        </w:trPr>
        <w:tc>
          <w:tcPr>
            <w:tcW w:w="198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80" w:type="dxa"/>
            <w:vAlign w:val="bottom"/>
          </w:tcPr>
          <w:p>
            <w:pPr>
              <w:jc w:val="right"/>
              <w:ind w:right="248"/>
              <w:spacing w:after="0"/>
              <w:rPr>
                <w:sz w:val="20"/>
                <w:szCs w:val="20"/>
                <w:color w:val="auto"/>
              </w:rPr>
            </w:pPr>
            <w:r>
              <w:rPr>
                <w:rFonts w:ascii="Arial" w:cs="Arial" w:eastAsia="Arial" w:hAnsi="Arial"/>
                <w:sz w:val="14"/>
                <w:szCs w:val="14"/>
                <w:color w:val="auto"/>
              </w:rPr>
              <w:t>long-term incentive plans</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304,850</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restricted stock</w:t>
            </w: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256"/>
        </w:trPr>
        <w:tc>
          <w:tcPr>
            <w:tcW w:w="1980" w:type="dxa"/>
            <w:vAlign w:val="bottom"/>
          </w:tcPr>
          <w:p>
            <w:pPr>
              <w:ind w:left="40"/>
              <w:spacing w:after="0"/>
              <w:rPr>
                <w:sz w:val="20"/>
                <w:szCs w:val="20"/>
                <w:color w:val="auto"/>
              </w:rPr>
            </w:pPr>
            <w:r>
              <w:rPr>
                <w:rFonts w:ascii="Arial" w:cs="Arial" w:eastAsia="Arial" w:hAnsi="Arial"/>
                <w:sz w:val="14"/>
                <w:szCs w:val="14"/>
                <w:b w:val="1"/>
                <w:bCs w:val="1"/>
                <w:color w:val="auto"/>
              </w:rPr>
              <w:t>Balance, July 31, 2019</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10,860,678</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(3,251,288)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1,086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41,300</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164,756</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(56,543)</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135,546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240" w:top="364" w:right="6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Year-Ended July 31,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gridSpan w:val="4"/>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12,615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13,330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0" w:type="dxa"/>
            <w:vAlign w:val="bottom"/>
          </w:tcPr>
          <w:p>
            <w:pPr>
              <w:spacing w:after="0"/>
              <w:rPr>
                <w:sz w:val="1"/>
                <w:szCs w:val="1"/>
                <w:color w:val="auto"/>
              </w:rPr>
            </w:pPr>
          </w:p>
        </w:tc>
      </w:tr>
      <w:tr>
        <w:trPr>
          <w:trHeight w:val="243"/>
        </w:trPr>
        <w:tc>
          <w:tcPr>
            <w:tcW w:w="7520" w:type="dxa"/>
            <w:vAlign w:val="bottom"/>
          </w:tcPr>
          <w:p>
            <w:pPr>
              <w:ind w:left="600"/>
              <w:spacing w:after="0"/>
              <w:rPr>
                <w:sz w:val="20"/>
                <w:szCs w:val="20"/>
                <w:color w:val="auto"/>
              </w:rPr>
            </w:pPr>
            <w:r>
              <w:rPr>
                <w:rFonts w:ascii="Arial" w:cs="Arial" w:eastAsia="Arial" w:hAnsi="Arial"/>
                <w:sz w:val="18"/>
                <w:szCs w:val="18"/>
                <w:color w:val="auto"/>
              </w:rPr>
              <w:t>Amortization of investment discounts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Non-cash stock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Provision for bad debts and cash discounts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Loss on the sale of property, plant and equipment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Life insurance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(Increase) decrease in:</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Increase (decrease) in: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Pension and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(11,048)</w:t>
            </w:r>
          </w:p>
        </w:tc>
        <w:tc>
          <w:tcPr>
            <w:tcW w:w="0" w:type="dxa"/>
            <w:vAlign w:val="bottom"/>
          </w:tcPr>
          <w:p>
            <w:pPr>
              <w:spacing w:after="0"/>
              <w:rPr>
                <w:sz w:val="1"/>
                <w:szCs w:val="1"/>
                <w:color w:val="auto"/>
              </w:rPr>
            </w:pPr>
          </w:p>
        </w:tc>
      </w:tr>
      <w:tr>
        <w:trPr>
          <w:trHeight w:val="243"/>
        </w:trPr>
        <w:tc>
          <w:tcPr>
            <w:tcW w:w="7520" w:type="dxa"/>
            <w:vAlign w:val="bottom"/>
          </w:tcPr>
          <w:p>
            <w:pPr>
              <w:ind w:left="90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14,128</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37"/>
        </w:trPr>
        <w:tc>
          <w:tcPr>
            <w:tcW w:w="752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26,743</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(15,029)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(15,074)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7520" w:type="dxa"/>
            <w:vAlign w:val="bottom"/>
          </w:tcPr>
          <w:p>
            <w:pPr>
              <w:ind w:left="600"/>
              <w:spacing w:after="0"/>
              <w:rPr>
                <w:sz w:val="20"/>
                <w:szCs w:val="20"/>
                <w:color w:val="auto"/>
              </w:rPr>
            </w:pPr>
            <w:r>
              <w:rPr>
                <w:rFonts w:ascii="Arial" w:cs="Arial" w:eastAsia="Arial" w:hAnsi="Arial"/>
                <w:sz w:val="18"/>
                <w:szCs w:val="18"/>
                <w:color w:val="auto"/>
              </w:rPr>
              <w:t>Acquisition of business</w:t>
            </w:r>
          </w:p>
        </w:tc>
        <w:tc>
          <w:tcPr>
            <w:tcW w:w="26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(4,678)</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(35,911)</w:t>
            </w: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Dispositions of short-term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11,812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52,492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Proceeds from life insurance</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7"/>
        </w:trPr>
        <w:tc>
          <w:tcPr>
            <w:tcW w:w="7520" w:type="dxa"/>
            <w:vAlign w:val="bottom"/>
          </w:tcPr>
          <w:p>
            <w:pPr>
              <w:ind w:left="146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(7,888)</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Principal payments on notes payable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(3,083)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43"/>
        </w:trPr>
        <w:tc>
          <w:tcPr>
            <w:tcW w:w="7520" w:type="dxa"/>
            <w:vAlign w:val="bottom"/>
          </w:tcPr>
          <w:p>
            <w:pPr>
              <w:ind w:left="5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(9,886)</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237"/>
        </w:trPr>
        <w:tc>
          <w:tcPr>
            <w:tcW w:w="75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12,757</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21,862</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494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364" w:right="919" w:bottom="1440" w:gutter="0" w:footer="0" w:header="0"/>
        </w:sectPr>
      </w:pPr>
    </w:p>
    <w:bookmarkStart w:id="37" w:name="page38"/>
    <w:bookmarkEnd w:id="37"/>
    <w:p>
      <w:pPr>
        <w:spacing w:after="0" w:line="1"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7740" w:type="dxa"/>
            <w:vAlign w:val="bottom"/>
            <w:gridSpan w:val="3"/>
          </w:tcPr>
          <w:p>
            <w:pPr>
              <w:ind w:left="2220"/>
              <w:spacing w:after="0"/>
              <w:rPr>
                <w:sz w:val="20"/>
                <w:szCs w:val="20"/>
                <w:color w:val="auto"/>
              </w:rPr>
            </w:pPr>
            <w:r>
              <w:rPr>
                <w:rFonts w:ascii="Arial" w:cs="Arial" w:eastAsia="Arial" w:hAnsi="Arial"/>
                <w:sz w:val="18"/>
                <w:szCs w:val="18"/>
                <w:b w:val="1"/>
                <w:bCs w:val="1"/>
                <w:color w:val="auto"/>
                <w:w w:val="99"/>
              </w:rPr>
              <w:t>CONSOLIDATED STATEMENTS OF CASH FLOWS - CONTINUED</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0"/>
        </w:trPr>
        <w:tc>
          <w:tcPr>
            <w:tcW w:w="7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8"/>
              </w:rPr>
              <w:t>Year-Ended July 31,</w:t>
            </w:r>
          </w:p>
        </w:tc>
      </w:tr>
      <w:tr>
        <w:trPr>
          <w:trHeight w:val="27"/>
        </w:trPr>
        <w:tc>
          <w:tcPr>
            <w:tcW w:w="7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b w:val="1"/>
                <w:bCs w:val="1"/>
                <w:color w:val="auto"/>
                <w:w w:val="94"/>
              </w:rPr>
              <w:t>2019</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7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3"/>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cash flows: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480"/>
              <w:spacing w:after="0"/>
              <w:rPr>
                <w:sz w:val="20"/>
                <w:szCs w:val="20"/>
                <w:color w:val="auto"/>
              </w:rPr>
            </w:pPr>
            <w:r>
              <w:rPr>
                <w:rFonts w:ascii="Arial" w:cs="Arial" w:eastAsia="Arial" w:hAnsi="Arial"/>
                <w:sz w:val="18"/>
                <w:szCs w:val="18"/>
                <w:color w:val="auto"/>
              </w:rPr>
              <w:t>Interest payments,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305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282</w:t>
            </w: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Income tax (refund) payments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1,994</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Capital expenditures accrued, but not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2,263</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43"/>
        </w:trPr>
        <w:tc>
          <w:tcPr>
            <w:tcW w:w="7400" w:type="dxa"/>
            <w:vAlign w:val="bottom"/>
            <w:gridSpan w:val="2"/>
          </w:tcPr>
          <w:p>
            <w:pPr>
              <w:ind w:left="480"/>
              <w:spacing w:after="0"/>
              <w:rPr>
                <w:sz w:val="20"/>
                <w:szCs w:val="20"/>
                <w:color w:val="auto"/>
              </w:rPr>
            </w:pPr>
            <w:r>
              <w:rPr>
                <w:rFonts w:ascii="Arial" w:cs="Arial" w:eastAsia="Arial" w:hAnsi="Arial"/>
                <w:sz w:val="18"/>
                <w:szCs w:val="18"/>
                <w:color w:val="auto"/>
              </w:rPr>
              <w:t>Cash dividends declared and accrued, but not paid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1,761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80"/>
          </w:cols>
          <w:pgMar w:left="240" w:top="580" w:right="9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Oil-Dri Corporation of America and its subsidiaries. All significant intercompany balances and transactions have been eliminated from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Our estimates and assumptions are revised periodically. Actual results could differ from these estimates. For more information see Critical Accounting Policies and Estimates in Item 7 </w:t>
      </w:r>
      <w:r>
        <w:rPr>
          <w:rFonts w:ascii="Arial" w:cs="Arial" w:eastAsia="Arial" w:hAnsi="Arial"/>
          <w:sz w:val="18"/>
          <w:szCs w:val="18"/>
          <w:i w:val="1"/>
          <w:iCs w:val="1"/>
          <w:color w:val="auto"/>
        </w:rPr>
        <w:t>“</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No short-term investments were held as of July 31, 2019 due to the low returns available on these investments. The table below shows the composition of short-term investments as of July 31, 2018 (in thousands):</w:t>
      </w:r>
    </w:p>
    <w:p>
      <w:pPr>
        <w:spacing w:after="0" w:line="116"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7"/>
        </w:trPr>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r>
      <w:tr>
        <w:trPr>
          <w:trHeight w:val="20"/>
        </w:trPr>
        <w:tc>
          <w:tcPr>
            <w:tcW w:w="3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have maturities of one year or less. We intend and have the ability to hold these investments to maturity; therefore, these investments are reported at amortized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6120" w:type="dxa"/>
            <w:vAlign w:val="bottom"/>
            <w:gridSpan w:val="2"/>
          </w:tcPr>
          <w:p>
            <w:pPr>
              <w:spacing w:after="0"/>
              <w:rPr>
                <w:sz w:val="20"/>
                <w:szCs w:val="20"/>
                <w:color w:val="auto"/>
              </w:rPr>
            </w:pPr>
            <w:r>
              <w:rPr>
                <w:rFonts w:ascii="Arial" w:cs="Arial" w:eastAsia="Arial" w:hAnsi="Arial"/>
                <w:sz w:val="18"/>
                <w:szCs w:val="18"/>
                <w:color w:val="auto"/>
              </w:rPr>
              <w:t>The composition of inventories was as follows as of July 31 (in thousands):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3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30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4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13,957</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14,223</w:t>
            </w:r>
          </w:p>
        </w:tc>
      </w:tr>
      <w:tr>
        <w:trPr>
          <w:trHeight w:val="27"/>
        </w:trPr>
        <w:tc>
          <w:tcPr>
            <w:tcW w:w="30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4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r>
      <w:tr>
        <w:trPr>
          <w:trHeight w:val="243"/>
        </w:trPr>
        <w:tc>
          <w:tcPr>
            <w:tcW w:w="304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2,949</w:t>
            </w:r>
          </w:p>
        </w:tc>
      </w:tr>
      <w:tr>
        <w:trPr>
          <w:trHeight w:val="27"/>
        </w:trPr>
        <w:tc>
          <w:tcPr>
            <w:tcW w:w="304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40" w:type="dxa"/>
            <w:vAlign w:val="bottom"/>
          </w:tcPr>
          <w:p>
            <w:pPr>
              <w:spacing w:after="0"/>
              <w:rPr>
                <w:sz w:val="22"/>
                <w:szCs w:val="22"/>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24,163</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22,521</w:t>
            </w:r>
          </w:p>
        </w:tc>
      </w:tr>
      <w:tr>
        <w:trPr>
          <w:trHeight w:val="20"/>
        </w:trPr>
        <w:tc>
          <w:tcPr>
            <w:tcW w:w="3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We recorded inventory obsolescence reserves of approximately $704,000 and $1,136,000 as of July 31, 2019 and 2018, respectively. The reserve decreased due to lower levels of discontinued, slow moving and unsaleable finished goods inventory. Other inventories increased due to the lower obsolescence reserve and increased levels of purchased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amortize most of our intangibles on a straight-line basis over periods ranging from 10 to 20 years. Our customer list intangible asset is amortized at an accelerated amortization rate in the earlier years to reflect the expected pattern of decline in the related benefits over time. Intangible amortization was $862,000 in fiscal year 2019 and $1,017,000 in fiscal year 2018. Some intangible assets were determined to have indefinite lives and are not amortized, specifically one acquired trademark recorded at $376,000.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2020</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2021</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9"/>
              </w:rPr>
              <w:t>2022</w:t>
            </w: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2023</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2024</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0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15.2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1.1</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6.5</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most recent impairment analysis we estimated the goodwill allocation and assigned $5,415,000 to the Retail and Wholesale Products Group and $3,847,000 to the Business to Business Products Group.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performed our annual impairment testing in the fourth quarter of fiscal years 2019 and 2018.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There was no impairment required based on our analysis for fiscal years 2019 or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surface mine sorbent minerals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$2,430,000 and $2,849,000 for fiscal years 2019 and 2018, respectively. We defer and amortize the pre-production overburden removal costs associated with opening a new mine. No pre-production overburden removal costs were deferred in the last two fiscal years.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$13,638,000 and $2,165,000, respectively, as of July 31, 2019, and were $13,615,000 and $2,165,000, respectively, as of July 31, 2018. Pre-production development costs on new mines and any prepaid royalties that may be offset against future royalties due upon extraction of the mineral are also capitalized. No material capitalized pre-production development costs were recorded in fiscal years 2019 and 2018. Prepaid royalties included in current prepaid expenses and in non-current other assets on the Consolidated Balance Sheets were approximately $1,184,000 and $1,167,000 as of July 31, 2019 and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Depreciation expense was $12,468,000 and $11,739,000 in fiscal years 2019 and 2018,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There was no capitalized interest in fiscal year 2019 and $176,000 in fiscal year and 2018.</w:t>
      </w:r>
    </w:p>
    <w:p>
      <w:pPr>
        <w:spacing w:after="0" w:line="130"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Buildings and leasehold improvements</w:t>
            </w:r>
          </w:p>
        </w:tc>
        <w:tc>
          <w:tcPr>
            <w:tcW w:w="174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22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286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7"/>
        </w:trPr>
        <w:tc>
          <w:tcPr>
            <w:tcW w:w="2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22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15</w:t>
            </w:r>
          </w:p>
        </w:tc>
      </w:tr>
      <w:tr>
        <w:trPr>
          <w:trHeight w:val="27"/>
        </w:trPr>
        <w:tc>
          <w:tcPr>
            <w:tcW w:w="2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2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459"/>
        </w:trPr>
        <w:tc>
          <w:tcPr>
            <w:tcW w:w="2860" w:type="dxa"/>
            <w:vAlign w:val="bottom"/>
          </w:tcPr>
          <w:p>
            <w:pPr>
              <w:spacing w:after="0"/>
              <w:rPr>
                <w:sz w:val="24"/>
                <w:szCs w:val="24"/>
                <w:color w:val="auto"/>
              </w:rPr>
            </w:pPr>
          </w:p>
        </w:tc>
        <w:tc>
          <w:tcPr>
            <w:tcW w:w="1740" w:type="dxa"/>
            <w:vAlign w:val="bottom"/>
          </w:tcPr>
          <w:p>
            <w:pPr>
              <w:jc w:val="right"/>
              <w:ind w:right="1450"/>
              <w:spacing w:after="0"/>
              <w:rPr>
                <w:sz w:val="20"/>
                <w:szCs w:val="20"/>
                <w:color w:val="auto"/>
              </w:rPr>
            </w:pPr>
            <w:r>
              <w:rPr>
                <w:rFonts w:ascii="Arial" w:cs="Arial" w:eastAsia="Arial" w:hAnsi="Arial"/>
                <w:sz w:val="18"/>
                <w:szCs w:val="18"/>
                <w:color w:val="auto"/>
                <w:w w:val="89"/>
              </w:rPr>
              <w:t>41</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No impairment was recorded in either fiscal year 2019 or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$6,909,000 and $10,551,000 in fiscal years 2019 and 2018,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Non-derivative financial instruments included in the Consolidated Balance Sheets are cash and cash equivalents, short-term investments and notes payable. These instruments, except for notes payable, were carried at amounts approximating fair value as of July 31, 2019 and 2018. Short-term investments were certificates of deposits and treasury securities. We intend and have the ability to hold our short-term investments to maturity; therefore, these investments were reported at amortized cost on the Consolidated Balance Sheets, which approximated fair value. See Note 4 of the Notes to the Consolidated Financial Statements for additional information regarding the fair value of our financial instruments, including notes payable.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recognize revenue when performance obligations under the terms of the contracts with customers are satisfied. Our performance 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and allowances are not material.</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$259,000 and $96,000 as of July 31, 2019 and July 31, 2018, respectively. This liability is reported in Other Accrued Expenses on the Consolidated Balance Sheets. Revenue recognized during fiscal year 2019 that was included in the liability for advance payments at the beginning of the year was $96,000.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$47,717,000 and $42,542,000 for fiscal years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$3,202,000 and $3,430,000 were charged to expense as incurred for fiscal years 2019 and 2018, respectively, and are recorded in selling, general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8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7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May 2014, the FASB issued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subsequently issued several amendments to further clarify the principles for recognizing revenue. This guidance establishes a single comprehensive revenue recognition model for all contracts with customers and will supersede most existing revenue guidance. The core principle of ASC 606 is that entities should recognize revenue to depict the transfer of promised goods or services to customers in an amount that reflects the consideration to which the entity expects to be entitled to receive in exchange.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Oil-Dri adopted the new guidance on a modified retrospective basis effective August 1, 2018. We applied the practical expedient available under ASC 606 to disregard determining significant financing components if the good is transferred and payment is received within one year. We also adopted the policy election to exclude from the transaction price all amounts collected from customers for sales and other taxes. There was no material impact on our Consolidated Financial Statements from the adoption of this guidance. Results for periods beginning on or after August 1, 2018 are recognized and presented in accordance with ASC 606, while prior period amounts have not been adjusted and continue to be reported in accordance with the prior account guidance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January 2016, the FASB issued guidance under ASC 825,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This guidance addresses certain aspects of recognition, measurement, presentation and disclosure of financial instruments. This guidance was effective for our first quarter of fiscal year 2019. The provisions relevant to us relate to fair value disclosures for our notes payable, which are measured at amortized cost on the balance sheet. These provisions require the use of the exit price notion when measuring the fair value of financial instruments for disclosure purposes, as well as eliminate the requirement to disclose the method and significant assumptions used to estimate the fair value in such disclosure. This guidance impacted our disclosures only on a prospective basis and did not have a material impact on our Consolidated Financial Statements.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which requires presenting the service cost component of net periodic benefit cost in the same income statement line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We adopted this new guidance in the first quarter of fiscal 2019 and accordingly recorded the non-service cost components of net periodic benefit cost in Other Income (Expense) in the line item Other, net on the Consolidated Statements of Operations. As such, the adoption did not have a material impact on our Consolidated Financial Statements.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2019 the FASB updated the ASC to reflect the SEC's final rule to simplify certain disclosure requirements, </w:t>
      </w:r>
      <w:r>
        <w:rPr>
          <w:rFonts w:ascii="Arial" w:cs="Arial" w:eastAsia="Arial" w:hAnsi="Arial"/>
          <w:sz w:val="18"/>
          <w:szCs w:val="18"/>
          <w:i w:val="1"/>
          <w:iCs w:val="1"/>
          <w:color w:val="auto"/>
        </w:rPr>
        <w:t>Disclosure Update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Simplification, </w:t>
      </w:r>
      <w:r>
        <w:rPr>
          <w:rFonts w:ascii="Arial" w:cs="Arial" w:eastAsia="Arial" w:hAnsi="Arial"/>
          <w:sz w:val="18"/>
          <w:szCs w:val="18"/>
          <w:color w:val="auto"/>
        </w:rPr>
        <w:t>which removed or modified certain disclosure requirements that require substantially similar information in other SEC disclosure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or under U.S. GAAP, as well as information that has become outdated over time. The amendments generally eliminate disclosures, but also include one expanded disclosure related to interim-period changes in stockholders' equity, which we complied with accordingly in our Form 10-Q for the third quarter of fiscal year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 ROU asset. Other requirements describe expense recognition, as well as financial statement presentation and disclosure. In July 2018, the FASB issued further guidance which provided alternative transition methods. The Company will adopt this guidance for our first quarter of fiscal year 2020 on a modified retrospective transition approach, and will not restate prior comparative periods presented in our financial statements. We expect to elect certain practical expedients, including the package of practical expedients to not reassess prior conclusions related to contracts containing leases, lease classification and initial direct costs. We have substantially completed our plan for the adoption of this new standard, including implementing software to meet the reporting and disclosure requirements of this standard. We anticipate the adoption of this new standard will result in the recognition of additional ROU assets of approximately $9,222,000 and liabilities of approximately $10,784,000 with the difference largely due to deferred rent that will be reclassified.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7"/>
          <w:szCs w:val="17"/>
          <w:color w:val="auto"/>
        </w:rPr>
        <w:t>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ind w:left="60"/>
              <w:spacing w:after="0"/>
              <w:rPr>
                <w:sz w:val="20"/>
                <w:szCs w:val="20"/>
                <w:color w:val="auto"/>
              </w:rPr>
            </w:pPr>
            <w:r>
              <w:rPr>
                <w:rFonts w:ascii="Arial" w:cs="Arial" w:eastAsia="Arial" w:hAnsi="Arial"/>
                <w:sz w:val="18"/>
                <w:szCs w:val="18"/>
                <w:b w:val="1"/>
                <w:bCs w:val="1"/>
                <w:color w:val="auto"/>
                <w:w w:val="96"/>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July 31,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13,764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135,489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124,635</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33,341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34,224</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24,311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51,905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2,318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2,098</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15,897</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105,877</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105,043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171,148</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160,957</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and operating income for each segment are provided below. The accounting policies of the segments are the same as those described in the Note 1 of the Notes to the Consolidated Financial Statements.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corporate expenses line in the table below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 Other income in fiscal year 2019 included net proceeds upon resolution of legal proceedings. The amount received under a confidential agreement resolving these legal proceedings was material to our financial results for the period.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1" w:right="2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 w:right="1440"/>
        <w:spacing w:after="0" w:line="362" w:lineRule="auto"/>
        <w:rPr>
          <w:sz w:val="20"/>
          <w:szCs w:val="20"/>
          <w:color w:val="auto"/>
        </w:rPr>
      </w:pPr>
      <w:r>
        <w:rPr>
          <w:rFonts w:ascii="Arial" w:cs="Arial" w:eastAsia="Arial" w:hAnsi="Arial"/>
          <w:sz w:val="16"/>
          <w:szCs w:val="16"/>
          <w:color w:val="auto"/>
        </w:rPr>
        <w:t>Business to Business Products Retail and Wholesale Products Unallocated assets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40" w:right="1440"/>
        <w:spacing w:after="0" w:line="358" w:lineRule="auto"/>
        <w:rPr>
          <w:sz w:val="20"/>
          <w:szCs w:val="20"/>
          <w:color w:val="auto"/>
        </w:rPr>
      </w:pPr>
      <w:r>
        <w:rPr>
          <w:rFonts w:ascii="Arial" w:cs="Arial" w:eastAsia="Arial" w:hAnsi="Arial"/>
          <w:sz w:val="16"/>
          <w:szCs w:val="16"/>
          <w:color w:val="auto"/>
        </w:rPr>
        <w:t>Business to Business Products Retail and Wholesale Products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Expenses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Other Income (Expense), Net</w:t>
      </w:r>
    </w:p>
    <w:p>
      <w:pPr>
        <w:spacing w:after="0" w:line="96" w:lineRule="exact"/>
        <w:rPr>
          <w:sz w:val="20"/>
          <w:szCs w:val="20"/>
          <w:color w:val="auto"/>
        </w:rPr>
      </w:pPr>
    </w:p>
    <w:p>
      <w:pPr>
        <w:jc w:val="both"/>
        <w:ind w:left="40" w:right="1440"/>
        <w:spacing w:after="0" w:line="361" w:lineRule="auto"/>
        <w:rPr>
          <w:sz w:val="20"/>
          <w:szCs w:val="20"/>
          <w:color w:val="auto"/>
        </w:rPr>
      </w:pPr>
      <w:r>
        <w:rPr>
          <w:rFonts w:ascii="Arial" w:cs="Arial" w:eastAsia="Arial" w:hAnsi="Arial"/>
          <w:sz w:val="16"/>
          <w:szCs w:val="16"/>
          <w:b w:val="1"/>
          <w:bCs w:val="1"/>
          <w:color w:val="auto"/>
        </w:rPr>
        <w:t>Income Before Income Taxes Income Tax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0"/>
              </w:rPr>
              <w:t>July 31,</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1"/>
              </w:rPr>
              <w:t>Assets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65,282</w:t>
            </w: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65,143</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94,809</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89,623</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45,136</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205,227</w:t>
            </w:r>
          </w:p>
        </w:tc>
        <w:tc>
          <w:tcPr>
            <w:tcW w:w="2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00" w:type="dxa"/>
            <w:vAlign w:val="bottom"/>
            <w:gridSpan w:val="5"/>
          </w:tcPr>
          <w:p>
            <w:pPr>
              <w:ind w:left="260"/>
              <w:spacing w:after="0"/>
              <w:rPr>
                <w:sz w:val="20"/>
                <w:szCs w:val="20"/>
                <w:color w:val="auto"/>
              </w:rPr>
            </w:pPr>
            <w:r>
              <w:rPr>
                <w:rFonts w:ascii="Arial" w:cs="Arial" w:eastAsia="Arial" w:hAnsi="Arial"/>
                <w:sz w:val="18"/>
                <w:szCs w:val="18"/>
                <w:b w:val="1"/>
                <w:bCs w:val="1"/>
                <w:color w:val="auto"/>
              </w:rPr>
              <w:t>Year Ended July 31,</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3"/>
          </w:tcPr>
          <w:p>
            <w:pPr>
              <w:ind w:left="50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105,877</w:t>
            </w:r>
          </w:p>
        </w:tc>
        <w:tc>
          <w:tcPr>
            <w:tcW w:w="2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105,043</w:t>
            </w:r>
          </w:p>
        </w:tc>
        <w:tc>
          <w:tcPr>
            <w:tcW w:w="22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31,388</w:t>
            </w:r>
          </w:p>
        </w:tc>
        <w:tc>
          <w:tcPr>
            <w:tcW w:w="2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35,120</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171,148</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160,957</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8,683</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277,025</w:t>
            </w:r>
          </w:p>
        </w:tc>
        <w:tc>
          <w:tcPr>
            <w:tcW w:w="2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40"/>
              <w:spacing w:after="0"/>
              <w:rPr>
                <w:sz w:val="20"/>
                <w:szCs w:val="20"/>
                <w:color w:val="auto"/>
              </w:rPr>
            </w:pPr>
            <w:r>
              <w:rPr>
                <w:rFonts w:ascii="Arial" w:cs="Arial" w:eastAsia="Arial" w:hAnsi="Arial"/>
                <w:sz w:val="18"/>
                <w:szCs w:val="18"/>
                <w:color w:val="auto"/>
              </w:rPr>
              <w:t>266,000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(29,659)</w:t>
            </w: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(26,218)</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10,412</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15,877</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4,136</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14,548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14,866</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(1,933)</w:t>
            </w: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-2932430</wp:posOffset>
            </wp:positionV>
            <wp:extent cx="663765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-2589530</wp:posOffset>
            </wp:positionV>
            <wp:extent cx="663765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-1208405</wp:posOffset>
            </wp:positionV>
            <wp:extent cx="663765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-857250</wp:posOffset>
            </wp:positionV>
            <wp:extent cx="663765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-505460</wp:posOffset>
            </wp:positionV>
            <wp:extent cx="663765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65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-153670</wp:posOffset>
            </wp:positionV>
            <wp:extent cx="663765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655" cy="18034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680" w:space="720"/>
            <w:col w:w="6060"/>
          </w:cols>
          <w:pgMar w:left="240" w:top="526" w:right="1199" w:bottom="1440" w:gutter="0" w:footer="0" w:header="0"/>
        </w:sect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12,615</w:t>
            </w:r>
          </w:p>
        </w:tc>
        <w:tc>
          <w:tcPr>
            <w:tcW w:w="2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12,611</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8,240</w:t>
            </w:r>
          </w:p>
        </w:tc>
      </w:tr>
      <w:tr>
        <w:trPr>
          <w:trHeight w:val="20"/>
        </w:trPr>
        <w:tc>
          <w:tcPr>
            <w:tcW w:w="7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264,476</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254,158</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12,549</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5,097</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14,280</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14,742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Net Income (Loss) attributable to Oil-Dri:</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12,456</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195,032</w:t>
            </w:r>
          </w:p>
        </w:tc>
        <w:tc>
          <w:tcPr>
            <w:tcW w:w="4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185,361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10,195</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891"/>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240" w:top="526" w:right="1199" w:bottom="1440" w:gutter="0" w:footer="0" w:header="0"/>
          <w:type w:val="continuous"/>
        </w:sectPr>
      </w:pPr>
    </w:p>
    <w:bookmarkStart w:id="46" w:name="page47"/>
    <w:bookmarkEnd w:id="46"/>
    <w:p>
      <w:pPr>
        <w:jc w:val="both"/>
        <w:ind w:firstLine="648"/>
        <w:spacing w:after="0" w:line="277" w:lineRule="auto"/>
        <w:rPr>
          <w:sz w:val="20"/>
          <w:szCs w:val="20"/>
          <w:color w:val="auto"/>
        </w:rPr>
      </w:pPr>
      <w:r>
        <w:rPr>
          <w:rFonts w:ascii="Arial" w:cs="Arial" w:eastAsia="Arial" w:hAnsi="Arial"/>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2018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60" w:type="dxa"/>
            <w:vAlign w:val="bottom"/>
          </w:tcPr>
          <w:p>
            <w:pPr>
              <w:spacing w:after="0"/>
              <w:rPr>
                <w:sz w:val="21"/>
                <w:szCs w:val="21"/>
                <w:color w:val="auto"/>
              </w:rPr>
            </w:pPr>
          </w:p>
        </w:tc>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88"/>
              </w:rPr>
              <w:t>18%</w:t>
            </w:r>
          </w:p>
        </w:tc>
        <w:tc>
          <w:tcPr>
            <w:tcW w:w="280" w:type="dxa"/>
            <w:vAlign w:val="bottom"/>
            <w:tcBorders>
              <w:bottom w:val="single" w:sz="8" w:color="CCEEFF"/>
            </w:tcBorders>
            <w:shd w:val="clear" w:color="auto" w:fill="CCEEFF"/>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accounts receivable as of July 31</w:t>
            </w: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spacing w:after="0"/>
              <w:rPr>
                <w:sz w:val="21"/>
                <w:szCs w:val="21"/>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26%</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040" w:type="dxa"/>
            <w:vAlign w:val="bottom"/>
            <w:gridSpan w:val="3"/>
          </w:tcPr>
          <w:p>
            <w:pPr>
              <w:ind w:left="660"/>
              <w:spacing w:after="0"/>
              <w:rPr>
                <w:sz w:val="20"/>
                <w:szCs w:val="20"/>
                <w:color w:val="auto"/>
              </w:rPr>
            </w:pPr>
            <w:r>
              <w:rPr>
                <w:rFonts w:ascii="Arial" w:cs="Arial" w:eastAsia="Arial" w:hAnsi="Arial"/>
                <w:sz w:val="18"/>
                <w:szCs w:val="18"/>
                <w:color w:val="auto"/>
                <w:w w:val="91"/>
              </w:rPr>
              <w:t>There are no other customers with sales equal to or greater than 10% of our total sales.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NOTE 3 – DEBT</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3"/>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gridSpan w:val="5"/>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1"/>
              </w:rPr>
              <w:t>Senior notes payable in annual principal installments on August 1: $3,083 in each fiscal year 2020 through 2021.</w:t>
            </w:r>
          </w:p>
        </w:tc>
        <w:tc>
          <w:tcPr>
            <w:tcW w:w="80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is payable semiannually at an annual rate of 3.96%</w:t>
            </w: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43"/>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Less current maturities of notes payable</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704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7040" w:type="dxa"/>
            <w:vAlign w:val="bottom"/>
            <w:gridSpan w:val="3"/>
          </w:tcPr>
          <w:p>
            <w:pPr>
              <w:ind w:left="40"/>
              <w:spacing w:after="0"/>
              <w:rPr>
                <w:sz w:val="20"/>
                <w:szCs w:val="20"/>
                <w:color w:val="auto"/>
              </w:rPr>
            </w:pPr>
            <w:r>
              <w:rPr>
                <w:rFonts w:ascii="Arial" w:cs="Arial" w:eastAsia="Arial" w:hAnsi="Arial"/>
                <w:sz w:val="18"/>
                <w:szCs w:val="18"/>
                <w:color w:val="auto"/>
              </w:rPr>
              <w:t>Noncurrent notes payable</w:t>
            </w: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3,052</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senior promissory notes in November 2010 for $18,500,000. The note agreement provides that the proceeds could be used to fund future principal payments on debt, acquisitions, stock repurchases, capital expenditures and working capital purposes. The note agreement contains restrictions against certain activities, among other things and under various conditions, as well as financial covenants, including a minimum fixed charges coverage ratio and a minimum consolidated debt ratio.</w:t>
      </w:r>
    </w:p>
    <w:p>
      <w:pPr>
        <w:spacing w:after="0" w:line="2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a credit agreement with BMO Harris that expires on January 31, 2024. The agreement provides for a $45,000,000 unsecured revolving credit agreement, including a maximum of $10,000,000 for foreign letters of credit. Under the agreement we may select a variable rate based on either BMO Harris’ prime rate or a LIBOR-based rate, plus a margin which varies depending on our debt to earnings ratio, or a fixed rate as agreed between us and BMO Harris. As of July 31, 2019, the variable rates would have been 5.75% for the BMO Harris’ prime-based rate or 3.52% for the LIBOR-based rate.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borrowed $6,000,000 at a weighted average interest rate of 2.96% under the credit agreement during the third quarter of fiscal year 2018. The amount borrowed was repaid in the fourth quarter of fiscal year 2018. The proceeds from the borrowing were used to make a voluntary contribution to our pension plan. As of July 31, 2019 and 2018, there were no outstanding borrowings under this credit agreement; however, there was a total of $5,973,000 allocated for guarantees required by one of our insurance policies and state environmental regulations.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 We were in compliance with all restrictive covenants and limitations as of July 31,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principal maturities of notes payable as of July 31, 2019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980" w:type="dxa"/>
            <w:vAlign w:val="bottom"/>
          </w:tcPr>
          <w:p>
            <w:pPr>
              <w:ind w:left="20"/>
              <w:spacing w:after="0"/>
              <w:rPr>
                <w:sz w:val="20"/>
                <w:szCs w:val="20"/>
                <w:color w:val="auto"/>
              </w:rPr>
            </w:pPr>
            <w:r>
              <w:rPr>
                <w:rFonts w:ascii="Arial" w:cs="Arial" w:eastAsia="Arial" w:hAnsi="Arial"/>
                <w:sz w:val="18"/>
                <w:szCs w:val="18"/>
                <w:color w:val="auto"/>
              </w:rPr>
              <w:t>2021</w:t>
            </w: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
        </w:trPr>
        <w:tc>
          <w:tcPr>
            <w:tcW w:w="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12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960" w:right="20" w:hanging="931"/>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equivalents are classified as Level 1 of the fair value hierarchy because they were valued using quoted market prices in active markets. Cash equivalents were $26,000 and $9,920,000 as of July 31, 2019 and 2018, respectively. These cash instruments are primarily money market funds and are included in cash and cash equivalents on the Consolidated Balance Sheets.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Short-term investments on the Consolidated Balance Sheets include certificates of deposit and treasury securities. We had no short-term investments as of July 31, 2019 due to the low returns available on these investments. Short-term investment held as of July 31, 2018 were reported at amortized cost on the Consolidated Balance Sheets, which approximated fair value, given our intent and ability to hold them until maturity.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as of July 31, 2019 and 2018 due to the short maturity and nature of those balances.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The estimated fair value of notes payable was approximately $6,357,000 as of July 31, 2019 and $9,553,000 as of July 31, 2018.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 however, we require letters of credit for some foreign customers or we purchase insurance to reduce our risk.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by fiscal year consists of the following (in thousands):</w:t>
      </w:r>
    </w:p>
    <w:p>
      <w:pPr>
        <w:spacing w:after="0" w:line="16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360" w:type="dxa"/>
            <w:vAlign w:val="bottom"/>
            <w:vMerge w:val="restart"/>
          </w:tcPr>
          <w:p>
            <w:pPr>
              <w:ind w:left="20"/>
              <w:spacing w:after="0"/>
              <w:rPr>
                <w:sz w:val="20"/>
                <w:szCs w:val="20"/>
                <w:color w:val="auto"/>
              </w:rPr>
            </w:pPr>
            <w:r>
              <w:rPr>
                <w:rFonts w:ascii="Arial" w:cs="Arial" w:eastAsia="Arial" w:hAnsi="Arial"/>
                <w:sz w:val="18"/>
                <w:szCs w:val="18"/>
                <w:color w:val="auto"/>
              </w:rPr>
              <w:t>Current</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4360" w:type="dxa"/>
            <w:vAlign w:val="bottom"/>
          </w:tcPr>
          <w:p>
            <w:pPr>
              <w:ind w:left="480"/>
              <w:spacing w:after="0"/>
              <w:rPr>
                <w:sz w:val="20"/>
                <w:szCs w:val="20"/>
                <w:color w:val="auto"/>
              </w:rPr>
            </w:pPr>
            <w:r>
              <w:rPr>
                <w:rFonts w:ascii="Arial" w:cs="Arial" w:eastAsia="Arial" w:hAnsi="Arial"/>
                <w:sz w:val="18"/>
                <w:szCs w:val="18"/>
                <w:color w:val="auto"/>
              </w:rPr>
              <w:t>Current Income Tax Total</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882</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1,344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Income Tax Total</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1,051</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 Income Tax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1,933</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22, 2017, the U.S. government enacted the 2017 Tax Act. The 2017 Tax Act included a number of changes to existing U.S. tax laws that impact us, most notably a reduction of the U.S. corporate income tax rate and acceleration of depreciation for certain assets placed in service after September 27, 2017, as well as prospective changes, including repeal of the domestic manufacturing deduction and capitalization of research and development expenditures. The 2017 Tax Act reduced the U.S. federal corporate tax rate from 35.0% to 21.0% for all corporations effective January 1, 2018. For fiscal year companies, the change in law requires the application of a blended rate for each quarter of the fiscal year of enactment. We applied a blended tax rate of 26.9% for fiscal year 2018. For fiscal year 2019 and thereafter, the applicable statutory rate is 21.0%. In addition, during fiscal year 2018 the change in the U.S. corporate income tax rate caused us to adjust our U.S. net deferred tax assets to the reduced U.S. federal corporate tax rate and to record a provisional charge as a discrete item in the provision for income taxes. This transitional impact resulted in a provisional net charge of approximately $3,996,000 in fiscal year 2018. Our analysis of the 2017 Tax Act impact was finalized in fiscal 2019 and there were no adjustments to these provisional amounts.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Depletion deductions allowed for mining</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(8.2)</w:t>
            </w:r>
          </w:p>
        </w:tc>
        <w:tc>
          <w:tcPr>
            <w:tcW w:w="2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expense</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Difference in effective tax rate of foreign subsidiaries</w:t>
            </w: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income taxes</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Change in federal tax rate applied to deferred tax assets and liabilities</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 for domestic production activities</w:t>
            </w:r>
          </w:p>
        </w:tc>
        <w:tc>
          <w:tcPr>
            <w:tcW w:w="13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(0.3)</w:t>
            </w:r>
          </w:p>
        </w:tc>
        <w:tc>
          <w:tcPr>
            <w:tcW w:w="2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380"/>
              <w:spacing w:after="0"/>
              <w:rPr>
                <w:sz w:val="20"/>
                <w:szCs w:val="20"/>
                <w:color w:val="auto"/>
              </w:rPr>
            </w:pPr>
            <w:r>
              <w:rPr>
                <w:rFonts w:ascii="Arial" w:cs="Arial" w:eastAsia="Arial" w:hAnsi="Arial"/>
                <w:sz w:val="18"/>
                <w:szCs w:val="18"/>
                <w:color w:val="auto"/>
              </w:rPr>
              <w:t>49</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2019</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Liabilities</w:t>
            </w: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3,995</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(732)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12,249</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4,494</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adjustment to reflect the reduced U.S. federal corporate tax rate under the 2017 Tax Act impacted the deferred tax amounts for fiscal 2018 in the table above, particularly deferred taxes for depreciation, deferred compensation and postretirement benefits. Deferred taxes for postretirement benefits were also affected by a voluntary contribution that significantly reduced our pension liability. See Note 8 of the Notes to the Consolidated Financial Statements for further information about our postretirement benefits.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recorded a valuation allowance of $732,000 and $789,000 as of July 31, 2019 and July 31, 2018, respectively, for the amount of the deferred tax benefit related to our foreign net operating loss carryforwards since we believe it is unlikely we will realize the benefit of these tax attributes in the future. As of July 31, 2019, we have total net operating loss carryforwards from state jurisdictions of approximately $4,000,000. No valuation allowance has been established for these carryforwards since we expect our future profitability will allow us to fully realize these tax benefits.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subsidiaries in the United Kingdom and China have not generated any untaxed foreign income, therefore we have not provided for any related income taxes.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material liability for unrecognized tax benefits based on tax positions related to the current and prior fiscal years as of July 31, 2019 and 2018; correspondingly, no related interest and penalties were recognized as income tax expense and there were no accruals for such items in either of these fiscal years.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We have no income tax returns under examination as of July 31, 2019 and federal tax returns for fiscal years 2017 and 2018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6 – 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Pension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Health Benefits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1,310</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1,044</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w w:val="92"/>
              </w:rPr>
              <w:t>Net current-period other comprehensive income (loss), net</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2,207</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1,941</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Reclassification to retained earnings upon adoption of</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standard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rPr>
              <w:t>Balance as of July 31, 2018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(10,615)</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(5,089) a)</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current-period other comprehensive (loss) income, net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w:t>
            </w: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Balance as of July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(14,891)</w:t>
            </w:r>
          </w:p>
        </w:tc>
        <w:tc>
          <w:tcPr>
            <w:tcW w:w="5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(15,039)</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Amounts are net of taxes of $1,607,000 and $413,000 in fiscal years 2019 and 2018, respectively, and are included in Other Comprehensive Loss.</w:t>
      </w:r>
    </w:p>
    <w:p>
      <w:pPr>
        <w:spacing w:after="0" w:line="34"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net of taxes of $185,000 and $373,000 in fiscal years 2019 and 2018, respectively. Amounts are included in the components of net periodic benefit cost for the pension and postretirement health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of the Notes to the Consolidated Financial Statements for further information about pension and postretirement health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As of July 31, 2019, there were 74,263 shares available for future grants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non-vested restricted stock as of July 31, 2019 was issued under the 2006 Plan with vesting periods generally from two to five years. The fair value of restricted stock was determined by the closing market price of our Common Stock on the date of grant multiplied by the number of shares granted.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30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30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2017</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30.96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42.59</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29.88</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35.90</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2018</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32.74</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321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32.89</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31.90</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30.85</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2019</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33.09</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4.5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10,474</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Stock-based compensation for restricted stock of $1,834,000 and $1,349,000, net of related tax effect, was recognized in fiscal years 2019 and 2018, respectively. The total restricted stock compensation related tax benefit was $579,000 and $426,000 in fiscal years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postretirement health benefits plan is also provided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401(k) savings plan is maintained under which we match a portion of employee contributions. This plan is available to essentially all domestic employees following a specific number of days of employment. Our contributions to this plan, and to similar plans maintained by our foreign subsidiaries, were $764,000 and $782,000 for fiscal years 2019 and 2018,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 fair values and funded status by fiscal year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54,267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53,742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2,667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2,925</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2,114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61,553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40,971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27,457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40,725</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40,971</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“Cash Flows” below for further information about employer contributions and benefits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accumulated benefit obligation for the Pension Plan was $54,696,000 and $48,358,000 as of July 31, 2019 and July 31, 2018,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Accumulated other comprehensive loss – net of tax:</w:t>
            </w: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14,731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702"/>
        </w:trPr>
        <w:tc>
          <w:tcPr>
            <w:tcW w:w="4700" w:type="dxa"/>
            <w:vAlign w:val="bottom"/>
          </w:tcPr>
          <w:p>
            <w:pPr>
              <w:spacing w:after="0"/>
              <w:rPr>
                <w:sz w:val="24"/>
                <w:szCs w:val="24"/>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5"/>
              </w:rPr>
              <w:t>Postretirement Health</w:t>
            </w:r>
          </w:p>
        </w:tc>
      </w:tr>
      <w:tr>
        <w:trPr>
          <w:trHeight w:val="234"/>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20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Benefit Cost</w:t>
            </w:r>
          </w:p>
        </w:tc>
      </w:tr>
      <w:tr>
        <w:trPr>
          <w:trHeight w:val="27"/>
        </w:trPr>
        <w:tc>
          <w:tcPr>
            <w:tcW w:w="4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costs (income)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Other actuarial loss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2,853</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Amortization of actuarial (loss) gain</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recognized in other comprehensive loss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year 2020 in accumulated other comprehensive income (in thousands):</w:t>
      </w:r>
    </w:p>
    <w:p>
      <w:pPr>
        <w:spacing w:after="0" w:line="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61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Prior service income</w:t>
            </w:r>
          </w:p>
        </w:tc>
        <w:tc>
          <w:tcPr>
            <w:tcW w:w="140" w:type="dxa"/>
            <w:vAlign w:val="bottom"/>
          </w:tcPr>
          <w:p>
            <w:pPr>
              <w:spacing w:after="0"/>
              <w:rPr>
                <w:sz w:val="21"/>
                <w:szCs w:val="21"/>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During fiscal 2018, we made an $11,500,000 voluntary contribution in excess of the minimum required amount. This contribution was made within eight and one-half months after the end of our fiscal year 2017 and therefore was deductible for our 2017 tax year. We received a greater tax benefit for this deduction in our 2017 tax year compared to the the benefit we would have received if the contribution was attributed to our 2018 tax year. See Note 5 of the Notes to the Consolidated Financial Statements for further discussion of the tax rates and other changes enacted by the 2017 Tax Act. This voluntary contribution also improved our funded status and contributed to a lower net periodic benefit expense.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do not expect to make a contribution to the Pension Plan in fiscal year 2020. The postretirement health plan is an unfunded plan. Our policy is to pay health insurance premiums and claims from our assets.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Pension</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1,763</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1,902</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2025-29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13,969</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1,412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2019</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3.81%</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3.26%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3.35%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4.04%</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2.93%</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3.81%</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FTSE Pension Discount Curve to determine separately for the Pension Plan and the postretirement health plan, the single equivalent rate that would yield the same present value as the specific plan’s expected cash flows.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2019, the medical cost trend assumption used for the postretirement health benefit cost was 7.5%. The graded trend rate is expected to decrease to an ultimate rate of 4.5% in fiscal year 2038.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in fiscal year 2019 of a one-percentage point change in the assumed health care cost trend (in thousands):</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32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$(22)</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3200" w:type="dxa"/>
            <w:vAlign w:val="bottom"/>
            <w:gridSpan w:val="2"/>
          </w:tcPr>
          <w:p>
            <w:pPr>
              <w:jc w:val="right"/>
              <w:ind w:right="87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21"/>
                <w:szCs w:val="21"/>
                <w:color w:val="auto"/>
              </w:rPr>
            </w:pP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$(267)</w:t>
            </w:r>
          </w:p>
        </w:tc>
      </w:tr>
      <w:tr>
        <w:trPr>
          <w:trHeight w:val="702"/>
        </w:trPr>
        <w:tc>
          <w:tcPr>
            <w:tcW w:w="444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2020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120"/>
              <w:spacing w:after="0"/>
              <w:rPr>
                <w:sz w:val="20"/>
                <w:szCs w:val="20"/>
                <w:color w:val="auto"/>
              </w:rPr>
            </w:pPr>
            <w:r>
              <w:rPr>
                <w:rFonts w:ascii="Arial" w:cs="Arial" w:eastAsia="Arial" w:hAnsi="Arial"/>
                <w:sz w:val="18"/>
                <w:szCs w:val="18"/>
                <w:b w:val="1"/>
                <w:bCs w:val="1"/>
                <w:color w:val="auto"/>
              </w:rPr>
              <w:t>Asset Allocation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42%</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36%</w:t>
            </w: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w:t>
            </w:r>
          </w:p>
        </w:tc>
      </w:tr>
      <w:tr>
        <w:trPr>
          <w:trHeight w:val="27"/>
        </w:trPr>
        <w:tc>
          <w:tcPr>
            <w:tcW w:w="3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2019</w:t>
            </w:r>
          </w:p>
        </w:tc>
        <w:tc>
          <w:tcPr>
            <w:tcW w:w="12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13,775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9,628</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5,275</w:t>
            </w: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1,141</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637</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3,273</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Debt securities</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8,103</w:t>
            </w: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(g)</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(h)</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813</w:t>
            </w:r>
          </w:p>
        </w:tc>
      </w:tr>
      <w:tr>
        <w:trPr>
          <w:trHeight w:val="270"/>
        </w:trPr>
        <w:tc>
          <w:tcPr>
            <w:tcW w:w="67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(i)</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2,389</w:t>
            </w: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33,903</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Debt securities(f)</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(i)</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40,971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mutual funds seek to track the performance of a benchmark index that measures the investment return of stock issued by companies located in emerging market countries.</w:t>
      </w: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investments seek attractive total return by investing primarily in a diversified portfolio of commodity futures contracts and fixed income investments.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class includes bonds and loans of U.S. and non-U.S. corporate issuers from diverse industries and bonds of domestic and foreign municipalities.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$377,000 in our portfolio as of July 31, 2019 and $443,000 as of July 31, 2018.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includes funds that use a number of other strategies, including arbitrage, to obtain long-term positive returns. The portfolio of instruments may include equities, debt securities, real estate properties, warrants, options, swaps, future contracts, forwards or other types of derivative instruments.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26"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$418,000 and $578,000 into these plans in fiscal years 2019 and 2018, respectively. We recorded $204,000 and $371,000 of interest expense associated with these plans in fiscal years 2019 and 2018, respectively. Payments to participants were $1,144,000 and $6,010,000 in fiscal years 2019 and 2018, respectively, and the total liability recorded for deferred compensation was $3,560,000 and $4,218,000 as of July 31, 2019 and 2018, respectively.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$513,000 and $609,000 were awarded to certain executives for fiscal years 2019 and 2018, respectively. These awards will vest and accrue interest over a three-year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8 of the Notes to the Consolidated Financial Statements. The SERP liability was $2,708,000 and $2,169,000 as of July 31, 2019 and July 31, 2018, respectively. We recorded expense related to the SERP of $539,000 and $87,000 in fiscal years 2019 and 2018, respectively. The SERP is unfunded and benefits will be funded when payments are made.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financial condition, results of operations or cash flows. See Item 3 </w:t>
      </w:r>
      <w:r>
        <w:rPr>
          <w:rFonts w:ascii="Arial" w:cs="Arial" w:eastAsia="Arial" w:hAnsi="Arial"/>
          <w:sz w:val="18"/>
          <w:szCs w:val="18"/>
          <w:i w:val="1"/>
          <w:iCs w:val="1"/>
          <w:color w:val="auto"/>
        </w:rPr>
        <w:t>“</w:t>
      </w:r>
      <w:r>
        <w:rPr>
          <w:rFonts w:ascii="Arial" w:cs="Arial" w:eastAsia="Arial" w:hAnsi="Arial"/>
          <w:sz w:val="18"/>
          <w:szCs w:val="18"/>
          <w:color w:val="auto"/>
        </w:rPr>
        <w:t>Legal Proceedings</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about specific legal matters related to our patents.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property we lease or own. These leases generally provide us with the right to mine as long as we continue to pay a minimum monthly rental, which is typically applied against the per ton royalty when the property is mined. We also lease certain offices and production facilities. In addition, we may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by fiscal year of future minimum rent requirements under operating leases that have initial or remaining non-cancelable lease terms in excess of one year as of July 31, 2019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2021</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2023</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2024</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7,422</w:t>
            </w:r>
          </w:p>
        </w:tc>
      </w:tr>
      <w:tr>
        <w:trPr>
          <w:trHeight w:val="702"/>
        </w:trPr>
        <w:tc>
          <w:tcPr>
            <w:tcW w:w="1360" w:type="dxa"/>
            <w:vAlign w:val="bottom"/>
          </w:tcPr>
          <w:p>
            <w:pPr>
              <w:spacing w:after="0"/>
              <w:rPr>
                <w:sz w:val="24"/>
                <w:szCs w:val="24"/>
                <w:color w:val="auto"/>
              </w:rPr>
            </w:pPr>
          </w:p>
        </w:tc>
        <w:tc>
          <w:tcPr>
            <w:tcW w:w="1400" w:type="dxa"/>
            <w:vAlign w:val="bottom"/>
          </w:tcPr>
          <w:p>
            <w:pPr>
              <w:jc w:val="right"/>
              <w:ind w:right="830"/>
              <w:spacing w:after="0"/>
              <w:rPr>
                <w:sz w:val="20"/>
                <w:szCs w:val="20"/>
                <w:color w:val="auto"/>
              </w:rPr>
            </w:pPr>
            <w:r>
              <w:rPr>
                <w:rFonts w:ascii="Arial" w:cs="Arial" w:eastAsia="Arial" w:hAnsi="Arial"/>
                <w:sz w:val="18"/>
                <w:szCs w:val="18"/>
                <w:color w:val="auto"/>
              </w:rPr>
              <w:t>58</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8" w:name="page59"/>
    <w:bookmarkEnd w:id="58"/>
    <w:p>
      <w:pPr>
        <w:jc w:val="both"/>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 expense by fiscal year for all operating leases, including those with terms of one month or less which were not renewed (in thousands):</w:t>
      </w:r>
    </w:p>
    <w:p>
      <w:pPr>
        <w:spacing w:after="0" w:line="11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43"/>
        </w:trPr>
        <w:tc>
          <w:tcPr>
            <w:tcW w:w="470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Contingent (1)</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470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ind w:left="1300"/>
        <w:spacing w:after="0"/>
        <w:rPr>
          <w:sz w:val="20"/>
          <w:szCs w:val="20"/>
          <w:color w:val="auto"/>
        </w:rPr>
      </w:pPr>
      <w:r>
        <w:rPr>
          <w:rFonts w:ascii="Arial" w:cs="Arial" w:eastAsia="Arial" w:hAnsi="Arial"/>
          <w:sz w:val="18"/>
          <w:szCs w:val="18"/>
          <w:color w:val="auto"/>
        </w:rPr>
        <w:t>(1) Contingent mining royalty payments are determined based on the tons of raw clay mined.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256"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member of our Board of Directors is currently the President and Chief Executive Officer of a customer of ours. Total net sales to that customer, including sales to subsidiaries of that customer, were $462,000 and $388,000 for fiscal years 2019 and 2018, respectively. There were $10,000 and $14,000 outstanding accounts receivable due from that customer, and its subsidiaries, as of July 31, 2019 and July 31, 2018, respectively.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member of our Board of Directors is currently the President and Chief Executive Officer of a vendor of ours. Total payments to this vendor for fees and cost reimbursements were $271,000 and $229,000 for fiscal years 2019 and 2018, respectively. There were no outstanding amounts due to that vendor as of July 31, 2019 or July 31, 2018.</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issued by the Committee Sponsoring Organizations of the Treadway Commission (COSO).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2019.</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2019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Oil-Dri Corporation of America (a Delaware corporation) and subsidiaries (the “Company”) as of July 31, 2019 and 2018, and the related consolidated statements of comprehensive income, changes in shareholders’ equity, and cash flows for each of the two years in the period ended July 31, 2019, and the related notes and financial statement schedule included under Item 15(a) (collectively referred to as the “financial statements”). We also have audited the Company’s internal control over financial reporting as of July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w:t>
      </w:r>
    </w:p>
    <w:p>
      <w:pPr>
        <w:spacing w:after="0" w:line="221"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July 31, 2019 and 2018, and the results of its operations and its cash flows for each of the two years in the period ended July 31, 2019 in conformity with accounting principles generally accepted in the United States of America. Also in our opinion, the Company maintained, in all material respects, effective internal control over financial reporting as of July 31, 2019,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584" w:right="1440"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is engaged in a multi-year implementation of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of the new ERP in these circumstances has not materially changed the effectiveness of its internal control over financial reporting.</w:t>
      </w:r>
    </w:p>
    <w:p>
      <w:pPr>
        <w:spacing w:after="0" w:line="185"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There were no changes, other than those described herein, in our internal control over financial reporting that occurred during our most recently completed fiscal quarter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2019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2019 annual meeting of stockholders under the captions “Executive Compensation,” “Director Compensation” and “Compensation Committee” and is incorporated herein by reference.</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7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 xml:space="preserve">Except as set forth herein, </w:t>
      </w:r>
      <w:r>
        <w:rPr>
          <w:rFonts w:ascii="Arial" w:cs="Arial" w:eastAsia="Arial" w:hAnsi="Arial"/>
          <w:sz w:val="21"/>
          <w:szCs w:val="21"/>
          <w:color w:val="auto"/>
        </w:rPr>
        <w:t>t</w:t>
      </w:r>
      <w:r>
        <w:rPr>
          <w:rFonts w:ascii="Arial" w:cs="Arial" w:eastAsia="Arial" w:hAnsi="Arial"/>
          <w:sz w:val="18"/>
          <w:szCs w:val="18"/>
          <w:color w:val="auto"/>
        </w:rPr>
        <w:t>he information required by this Item is contained in Oil-Dri’s Proxy Statement for its 2019 annual meeting of stockholders under the captions “Principal Stockholders” and “Security Ownership of Management” and is incorporated herein by reference.</w:t>
      </w:r>
    </w:p>
    <w:p>
      <w:pPr>
        <w:spacing w:after="0" w:line="12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There are no outstanding stock options as of July 31, 2019. See Note 7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July 31, 2019</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 under</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outstanding options (in</w:t>
            </w:r>
          </w:p>
        </w:tc>
        <w:tc>
          <w:tcPr>
            <w:tcW w:w="1880" w:type="dxa"/>
            <w:vAlign w:val="bottom"/>
            <w:gridSpan w:val="2"/>
            <w:vMerge w:val="continue"/>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thousands)</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 of outstanding options</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number of securities remaining in column (c) above includes, in accordance with the terms of the plan, shares that were: 1) not vested or exercised in full due to expiration or termination, or 2) tendered or withheld for payment of the exercise price or to satisfy tax withholding amounts.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2019 annual meeting of stockholders under the captions “Certain Relationships and Related Party Transactions” and “Director Independence”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2019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2019 and July 31, 2018.</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2019 and July 31, 2018.</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Comprehensive Income for the fiscal years ended July 31, 2019 and July 31, 2018.</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Stockholders’ Equity for the fiscal years ended July 31, 2019 and July 31, 2018.</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2019 and July 31, 2018.</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the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2019 and July 31, 2018.</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color w:val="auto"/>
        </w:rPr>
        <w:t>The following documents are exhibits to this Report:</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773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42"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Incorporated by reference to Exhibit 4.1 to Oil-Dri’s Registration</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Statement on Form S-8 (Registration No. 333-57625), filed on June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24, 1998.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600" w:space="720"/>
            <w:col w:w="5080"/>
          </w:cols>
          <w:pgMar w:left="240" w:top="580" w:right="259" w:bottom="1440" w:gutter="0" w:footer="0" w:header="0"/>
          <w:type w:val="continuous"/>
        </w:sectPr>
      </w:pPr>
    </w:p>
    <w:p>
      <w:pPr>
        <w:spacing w:after="0" w:line="89" w:lineRule="exact"/>
        <w:rPr>
          <w:rFonts w:ascii="Arial" w:cs="Arial" w:eastAsia="Arial" w:hAnsi="Arial"/>
          <w:sz w:val="18"/>
          <w:szCs w:val="18"/>
          <w:u w:val="single" w:color="auto"/>
          <w:color w:val="0000FF"/>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12, 2017.</w:t>
      </w:r>
    </w:p>
    <w:p>
      <w:pPr>
        <w:spacing w:after="0" w:line="306" w:lineRule="exact"/>
        <w:rPr>
          <w:rFonts w:ascii="Arial" w:cs="Arial" w:eastAsia="Arial" w:hAnsi="Arial"/>
          <w:sz w:val="18"/>
          <w:szCs w:val="18"/>
          <w:u w:val="single" w:color="auto"/>
          <w:color w:val="0000FF"/>
        </w:rPr>
      </w:pPr>
    </w:p>
    <w:p>
      <w:pPr>
        <w:ind w:left="3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Description of Capital Stock</w:t>
      </w:r>
    </w:p>
    <w:p>
      <w:pPr>
        <w:spacing w:after="0" w:line="360" w:lineRule="exact"/>
        <w:rPr>
          <w:rFonts w:ascii="Arial" w:cs="Arial" w:eastAsia="Arial" w:hAnsi="Arial"/>
          <w:sz w:val="18"/>
          <w:szCs w:val="18"/>
          <w:u w:val="single" w:color="auto"/>
          <w:color w:val="0000FF"/>
        </w:rPr>
      </w:pPr>
    </w:p>
    <w:p>
      <w:pPr>
        <w:jc w:val="both"/>
        <w:ind w:left="1300" w:hanging="994"/>
        <w:spacing w:after="0" w:line="275"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w:t>
      </w:r>
      <w:r>
        <w:rPr>
          <w:rFonts w:ascii="Arial" w:cs="Arial" w:eastAsia="Arial" w:hAnsi="Arial"/>
          <w:sz w:val="18"/>
          <w:szCs w:val="18"/>
          <w:color w:val="auto"/>
        </w:rPr>
        <w:t>®</w:t>
      </w:r>
      <w:r>
        <w:rPr>
          <w:rFonts w:ascii="Arial" w:cs="Arial" w:eastAsia="Arial" w:hAnsi="Arial"/>
          <w:sz w:val="17"/>
          <w:szCs w:val="17"/>
          <w:color w:val="auto"/>
        </w:rPr>
        <w:t xml:space="preserve"> dated as of March 12, 2001 between A&amp;M Products Manufacturing Company and Oil-Dri (confidential treatment of certain portions of this exhibit has been granted).</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9" w:lineRule="exact"/>
        <w:rPr>
          <w:rFonts w:ascii="Arial" w:cs="Arial" w:eastAsia="Arial" w:hAnsi="Arial"/>
          <w:sz w:val="18"/>
          <w:szCs w:val="18"/>
          <w:u w:val="single" w:color="auto"/>
          <w:color w:val="0000FF"/>
        </w:rPr>
      </w:pPr>
    </w:p>
    <w:p>
      <w:pPr>
        <w:ind w:right="20"/>
        <w:spacing w:after="0" w:line="277"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Incorporated by reference to Exhibit 3 to Oil-Dri’s (file No. 001-</w:t>
        </w:r>
      </w:hyperlink>
      <w:hyperlink r:id="rId19">
        <w:r>
          <w:rPr>
            <w:rFonts w:ascii="Arial" w:cs="Arial" w:eastAsia="Arial" w:hAnsi="Arial"/>
            <w:sz w:val="18"/>
            <w:szCs w:val="18"/>
            <w:u w:val="single" w:color="auto"/>
            <w:color w:val="0000FF"/>
          </w:rPr>
          <w:t>12622) Quarterly Report on Form 10-Q filed on March 9, 2018.</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Filed herewith</w:t>
      </w:r>
    </w:p>
    <w:p>
      <w:pPr>
        <w:spacing w:after="0" w:line="360" w:lineRule="exact"/>
        <w:rPr>
          <w:sz w:val="20"/>
          <w:szCs w:val="20"/>
          <w:color w:val="auto"/>
        </w:rPr>
      </w:pPr>
    </w:p>
    <w:p>
      <w:pPr>
        <w:spacing w:after="0" w:line="277" w:lineRule="auto"/>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Incorporated by reference to Exhibit 10(s) to Oil-Dri’s (File No. 001-</w:t>
        </w:r>
      </w:hyperlink>
      <w:hyperlink r:id="rId20">
        <w:r>
          <w:rPr>
            <w:rFonts w:ascii="Arial" w:cs="Arial" w:eastAsia="Arial" w:hAnsi="Arial"/>
            <w:sz w:val="18"/>
            <w:szCs w:val="18"/>
            <w:u w:val="single" w:color="auto"/>
            <w:color w:val="0000FF"/>
          </w:rPr>
          <w:t>12622) Current Report on Form 8-K filed on May 1, 2001.</w:t>
        </w:r>
      </w:hyperlink>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580" w:right="2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18"/>
                <w:szCs w:val="18"/>
                <w:color w:val="auto"/>
              </w:rPr>
            </w:pPr>
          </w:p>
        </w:tc>
      </w:t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First  Amendment,  dated  as  of  December  13,  2002,  to</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Memorandum of Agreement #1450 “Fresh Step”</w:t>
            </w:r>
            <w:r>
              <w:rPr>
                <w:rFonts w:ascii="Arial" w:cs="Arial" w:eastAsia="Arial" w:hAnsi="Arial"/>
                <w:sz w:val="19"/>
                <w:szCs w:val="19"/>
                <w:color w:val="auto"/>
                <w:w w:val="94"/>
              </w:rPr>
              <w:t>®</w:t>
            </w:r>
            <w:r>
              <w:rPr>
                <w:rFonts w:ascii="Arial" w:cs="Arial" w:eastAsia="Arial" w:hAnsi="Arial"/>
                <w:sz w:val="18"/>
                <w:szCs w:val="18"/>
                <w:color w:val="auto"/>
                <w:w w:val="94"/>
              </w:rPr>
              <w:t xml:space="preserve"> dated as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March 12, 2001.</w:t>
            </w:r>
          </w:p>
        </w:tc>
      </w:tr>
      <w:tr>
        <w:trPr>
          <w:trHeight w:val="5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Second  Amendment,  dated  as  of  October  15,  2007,  to</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Memorandum of Agreement #1450 “Fresh Step”</w:t>
            </w:r>
            <w:r>
              <w:rPr>
                <w:rFonts w:ascii="Arial" w:cs="Arial" w:eastAsia="Arial" w:hAnsi="Arial"/>
                <w:sz w:val="19"/>
                <w:szCs w:val="19"/>
                <w:color w:val="auto"/>
                <w:w w:val="94"/>
              </w:rPr>
              <w:t>®</w:t>
            </w:r>
            <w:r>
              <w:rPr>
                <w:rFonts w:ascii="Arial" w:cs="Arial" w:eastAsia="Arial" w:hAnsi="Arial"/>
                <w:sz w:val="18"/>
                <w:szCs w:val="18"/>
                <w:color w:val="auto"/>
                <w:w w:val="94"/>
              </w:rPr>
              <w:t xml:space="preserve"> dated as of</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March 12, 2001 (confidential treatment of certain portions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this exhibit has been granted).</w:t>
            </w:r>
          </w:p>
        </w:tc>
      </w:tr>
      <w:tr>
        <w:trPr>
          <w:trHeight w:val="5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Third Amendment, dated as of May 27, 2016, to Memorandum</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2001 (confidential treatment of certain portions of this exhibit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have been requested).</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Exclusive Supply Agreement dated May 19, 1999 between</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Church &amp; Dwight Co., Inc. and Oil-Dri (confidential treatment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certain portions of this exhibit has been granted).</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Credit  Agreement,  dated  January  27,  2006  among  the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Company, certain subsidiaries of the Company and Harris N.A.</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dated as of December 19, 2008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Second Amendment, dated as of December 21, 2011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Third  Amendment,  dated  as  of  June  21,  2012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9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Fourth Amendment, dated as of December 4, 2014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bl>
    <w:p>
      <w:pPr>
        <w:spacing w:after="0" w:line="200" w:lineRule="exact"/>
        <w:rPr>
          <w:sz w:val="20"/>
          <w:szCs w:val="20"/>
          <w:color w:val="auto"/>
        </w:rPr>
      </w:pPr>
    </w:p>
    <w:p>
      <w:pPr>
        <w:spacing w:after="0" w:line="380" w:lineRule="exact"/>
        <w:rPr>
          <w:sz w:val="20"/>
          <w:szCs w:val="20"/>
          <w:color w:val="auto"/>
        </w:rPr>
      </w:pPr>
    </w:p>
    <w:p>
      <w:pPr>
        <w:jc w:val="both"/>
        <w:ind w:left="1300" w:right="40" w:hanging="1036"/>
        <w:spacing w:after="0" w:line="277" w:lineRule="auto"/>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Fifth Amendment, dated as of January 31, 2019 to Credit Agreement dated as of January 27, 2006.</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10.12</w:t>
            </w:r>
          </w:p>
        </w:tc>
        <w:tc>
          <w:tcPr>
            <w:tcW w:w="4940" w:type="dxa"/>
            <w:vAlign w:val="bottom"/>
          </w:tcPr>
          <w:p>
            <w:pPr>
              <w:ind w:left="320"/>
              <w:spacing w:after="0"/>
              <w:rPr>
                <w:sz w:val="20"/>
                <w:szCs w:val="20"/>
                <w:color w:val="auto"/>
              </w:rPr>
            </w:pPr>
            <w:r>
              <w:rPr>
                <w:rFonts w:ascii="Arial" w:cs="Arial" w:eastAsia="Arial" w:hAnsi="Arial"/>
                <w:sz w:val="18"/>
                <w:szCs w:val="18"/>
                <w:color w:val="auto"/>
                <w:w w:val="91"/>
              </w:rPr>
              <w:t>Annex A to the Fifth Amendment to Credit Agreement dated as</w:t>
            </w: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of January 27, 2006.</w:t>
            </w:r>
          </w:p>
        </w:tc>
      </w:tr>
    </w:tbl>
    <w:p>
      <w:pPr>
        <w:spacing w:after="0" w:line="364" w:lineRule="exact"/>
        <w:rPr>
          <w:sz w:val="20"/>
          <w:szCs w:val="20"/>
          <w:color w:val="auto"/>
        </w:rPr>
      </w:pPr>
    </w:p>
    <w:p>
      <w:pPr>
        <w:jc w:val="both"/>
        <w:ind w:left="1300" w:right="40" w:hanging="1039"/>
        <w:spacing w:after="0" w:line="273" w:lineRule="auto"/>
        <w:tabs>
          <w:tab w:leader="none" w:pos="12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Incorporated by reference to Exhibit 10.2 to Oil-Dri’s (File No. 001-</w:t>
        </w:r>
      </w:hyperlink>
      <w:hyperlink r:id="rId2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31, 2007.</w:t>
        </w:r>
      </w:hyperlink>
    </w:p>
    <w:p>
      <w:pPr>
        <w:spacing w:after="0" w:line="330"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Incorporated by reference to Exhibit 10.1 to Oil-Dri’s (File No. 001-</w:t>
        </w:r>
      </w:hyperlink>
      <w:hyperlink r:id="rId23">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31, 2007.</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Incorporated by reference to Exhibit 10.4 to Oil-Dri’s (File No. 001-</w:t>
        </w:r>
      </w:hyperlink>
      <w:hyperlink r:id="rId24">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31, 2016.</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Incorporated by reference to Exhibit (10)(r) to Oil-Dri’s (File No.</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001-12622) Annual Report on Form 10-K for the fiscal year ended</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July 31, 1999.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6">
        <w:r>
          <w:rPr>
            <w:rFonts w:ascii="Arial" w:cs="Arial" w:eastAsia="Arial" w:hAnsi="Arial"/>
            <w:sz w:val="17"/>
            <w:szCs w:val="17"/>
            <w:u w:val="single" w:color="auto"/>
            <w:color w:val="0000FF"/>
          </w:rPr>
          <w:t>Incorporated by reference to Exhibit 10.1 to Oil-Dri’s (File No. 001-</w:t>
        </w:r>
      </w:hyperlink>
      <w:hyperlink r:id="rId26">
        <w:r>
          <w:rPr>
            <w:rFonts w:ascii="Arial" w:cs="Arial" w:eastAsia="Arial" w:hAnsi="Arial"/>
            <w:sz w:val="17"/>
            <w:szCs w:val="17"/>
            <w:u w:val="single" w:color="auto"/>
            <w:color w:val="0000FF"/>
          </w:rPr>
          <w:t>12622) Current Report on Form 8-K filed on February 1, 2006.</w:t>
        </w:r>
      </w:hyperlink>
    </w:p>
    <w:p>
      <w:pPr>
        <w:spacing w:after="0" w:line="255"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Incorporated by reference to Exhibit 10.1 to Oil-Dri’s (File No. 001-</w:t>
        </w:r>
      </w:hyperlink>
      <w:hyperlink r:id="rId27">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31, 2009.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8">
        <w:r>
          <w:rPr>
            <w:rFonts w:ascii="Arial" w:cs="Arial" w:eastAsia="Arial" w:hAnsi="Arial"/>
            <w:sz w:val="17"/>
            <w:szCs w:val="17"/>
            <w:u w:val="single" w:color="auto"/>
            <w:color w:val="0000FF"/>
          </w:rPr>
          <w:t>Incorporated by reference to Exhibit 10 to Oil-Dri’s (File No. 001-</w:t>
        </w:r>
      </w:hyperlink>
      <w:hyperlink r:id="rId28">
        <w:r>
          <w:rPr>
            <w:rFonts w:ascii="Arial" w:cs="Arial" w:eastAsia="Arial" w:hAnsi="Arial"/>
            <w:sz w:val="17"/>
            <w:szCs w:val="17"/>
            <w:u w:val="single" w:color="auto"/>
            <w:color w:val="0000FF"/>
          </w:rPr>
          <w:t>12622) Current Report on Form 8-K filed on December 28, 2011.</w:t>
        </w:r>
      </w:hyperlink>
    </w:p>
    <w:p>
      <w:pPr>
        <w:spacing w:after="0" w:line="309"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Incorporated by reference to Exhibit 10.12 to Oil-Dri’s (File No. 001-</w:t>
        </w:r>
      </w:hyperlink>
      <w:hyperlink r:id="rId29">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31, 2012.</w:t>
        </w:r>
      </w:hyperlink>
    </w:p>
    <w:p>
      <w:pPr>
        <w:spacing w:after="0" w:line="343"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Incorporated by reference to Exhibit 10.1 to Oil-Dri’s (File No. 001-</w:t>
        </w:r>
      </w:hyperlink>
      <w:hyperlink r:id="rId30">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31, 2014.</w:t>
        </w:r>
      </w:hyperlink>
    </w:p>
    <w:p>
      <w:pPr>
        <w:spacing w:after="0" w:line="343"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31">
        <w:r>
          <w:rPr>
            <w:rFonts w:ascii="Arial" w:cs="Arial" w:eastAsia="Arial" w:hAnsi="Arial"/>
            <w:sz w:val="17"/>
            <w:szCs w:val="17"/>
            <w:u w:val="single" w:color="auto"/>
            <w:color w:val="0000FF"/>
          </w:rPr>
          <w:t>Incorporated by reference to Exhibit 10.1 to Oil-Dri’s (File No. 001-</w:t>
        </w:r>
      </w:hyperlink>
      <w:hyperlink r:id="rId31">
        <w:r>
          <w:rPr>
            <w:rFonts w:ascii="Arial" w:cs="Arial" w:eastAsia="Arial" w:hAnsi="Arial"/>
            <w:sz w:val="17"/>
            <w:szCs w:val="17"/>
            <w:u w:val="single" w:color="auto"/>
            <w:color w:val="0000FF"/>
          </w:rPr>
          <w:t>12622) Current Report on Form 8-K filed on January 31, 2019.</w:t>
        </w:r>
      </w:hyperlink>
    </w:p>
    <w:p>
      <w:pPr>
        <w:spacing w:after="0" w:line="309"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Incorporated by reference to Exhibit 10.2 to Oil-Dri’s (File No. 001-</w:t>
        </w:r>
      </w:hyperlink>
      <w:hyperlink r:id="rId32">
        <w:r>
          <w:rPr>
            <w:rFonts w:ascii="Arial" w:cs="Arial" w:eastAsia="Arial" w:hAnsi="Arial"/>
            <w:sz w:val="17"/>
            <w:szCs w:val="17"/>
            <w:u w:val="single" w:color="auto"/>
            <w:color w:val="0000FF"/>
          </w:rPr>
          <w:t>12622) Current Report on Form 8-K filed on January 31, 2019.</w:t>
        </w:r>
      </w:hyperlink>
    </w:p>
    <w:p>
      <w:pPr>
        <w:spacing w:after="0" w:line="309"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3">
        <w:r>
          <w:rPr>
            <w:rFonts w:ascii="Arial" w:cs="Arial" w:eastAsia="Arial" w:hAnsi="Arial"/>
            <w:sz w:val="17"/>
            <w:szCs w:val="17"/>
            <w:u w:val="single" w:color="auto"/>
            <w:color w:val="0000FF"/>
          </w:rPr>
          <w:t>Incorporated by reference to Exhibit 10.1 to Oil-Dri’s (File No. 001-</w:t>
        </w:r>
      </w:hyperlink>
      <w:hyperlink r:id="rId33">
        <w:r>
          <w:rPr>
            <w:rFonts w:ascii="Arial" w:cs="Arial" w:eastAsia="Arial" w:hAnsi="Arial"/>
            <w:sz w:val="17"/>
            <w:szCs w:val="17"/>
            <w:u w:val="single" w:color="auto"/>
            <w:color w:val="0000FF"/>
          </w:rPr>
          <w:t>12622) Current Report on Form 8-K filed on November 16, 2010.</w:t>
        </w:r>
      </w:hyperlink>
    </w:p>
    <w:p>
      <w:pPr>
        <w:sectPr>
          <w:pgSz w:w="11900" w:h="16838" w:orient="portrait"/>
          <w:cols w:equalWidth="0" w:num="2">
            <w:col w:w="5960" w:space="360"/>
            <w:col w:w="5080"/>
          </w:cols>
          <w:pgMar w:left="240" w:top="530"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18"/>
                <w:szCs w:val="18"/>
                <w:color w:val="auto"/>
              </w:rPr>
            </w:pPr>
          </w:p>
        </w:tc>
      </w:t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Description  of  1987  Executive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Program.*</w:t>
            </w:r>
          </w:p>
        </w:tc>
      </w:tr>
      <w:tr>
        <w:trPr>
          <w:trHeight w:val="79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Deferred Compensation Plan,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r>
      <w:tr>
        <w:trPr>
          <w:trHeight w:val="79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4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r>
        <w:trPr>
          <w:trHeight w:val="9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2005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Plan (as amended and restated effective January 1, 2008)*</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2006 Long 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July 28, 2006)*</w:t>
            </w:r>
          </w:p>
        </w:tc>
      </w:tr>
      <w:tr>
        <w:trPr>
          <w:trHeight w:val="79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Corporation of America 2006 Long Term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July 28, 2006)*</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Second Amendment, effective as of October 15, 2015, to Oil-</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Dri Corporation of America 2006 Long Term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previously amended and restated effective July 28, 2006)*</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  Employee  Stock  Option  Agreement  for</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B</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43"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35">
        <w:r>
          <w:rPr>
            <w:rFonts w:ascii="Arial" w:cs="Arial" w:eastAsia="Arial" w:hAnsi="Arial"/>
            <w:sz w:val="18"/>
            <w:szCs w:val="18"/>
            <w:u w:val="single" w:color="auto"/>
            <w:color w:val="0000FF"/>
          </w:rPr>
          <w:t>Incorporated by reference to Exhibit (10)(j)(1) to Oil-Dri’s (File No.</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April 30, 2003.</w:t>
        </w:r>
      </w:hyperlink>
    </w:p>
    <w:p>
      <w:pPr>
        <w:spacing w:after="0" w:line="343"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Incorporated by reference to Exhibit 10.1 to Oil-Dri’s (File No. 001-</w:t>
        </w:r>
      </w:hyperlink>
      <w:hyperlink r:id="rId36">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31, 2008.</w:t>
        </w:r>
      </w:hyperlink>
    </w:p>
    <w:p>
      <w:pPr>
        <w:spacing w:after="0" w:line="343"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Incorporated by reference to Exhibit 10.2 to Oil-Dri’s (File No. 001-</w:t>
        </w:r>
      </w:hyperlink>
      <w:hyperlink r:id="rId37">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Incorporated by reference to Exhibit (10)(1) to Oil-Dri’s (File No.</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April 30, 2003.</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Incorporated by reference to Exhibit 10.4 to Oil-Dri’s (File No. 001-</w:t>
        </w:r>
      </w:hyperlink>
      <w:hyperlink r:id="rId39">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Incorporated by reference to Exhibit 10.3 to Oil-Dri’s (File No. 001-</w:t>
        </w:r>
      </w:hyperlink>
      <w:hyperlink r:id="rId40">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Incorporated by reference to Appendix A to Oil-Dri’s (File No. 001-</w:t>
        </w:r>
      </w:hyperlink>
      <w:hyperlink r:id="rId41">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November 3, 2006.</w:t>
        </w:r>
      </w:hyperlink>
    </w:p>
    <w:p>
      <w:pPr>
        <w:spacing w:after="0" w:line="343"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Incorporated by reference to Exhibit 10.5 to Oil-Dri’s (File No. 001-</w:t>
        </w:r>
      </w:hyperlink>
      <w:hyperlink r:id="rId42">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31, 2008.</w:t>
        </w:r>
      </w:hyperlink>
    </w:p>
    <w:p>
      <w:pPr>
        <w:spacing w:after="0" w:line="343"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Incorporated by reference to Appendix A to Oil-Dri’s (File No. 001-</w:t>
        </w:r>
      </w:hyperlink>
      <w:hyperlink r:id="rId43">
        <w:r>
          <w:rPr>
            <w:rFonts w:ascii="Arial" w:cs="Arial" w:eastAsia="Arial" w:hAnsi="Arial"/>
            <w:sz w:val="18"/>
            <w:szCs w:val="18"/>
            <w:u w:val="single" w:color="auto"/>
            <w:color w:val="0000FF"/>
          </w:rPr>
          <w:t>12622) Definitive Proxy Statement on Schedule 14A filed on October</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28, 2015.</w:t>
        </w:r>
      </w:hyperlink>
    </w:p>
    <w:p>
      <w:pPr>
        <w:spacing w:after="0" w:line="343"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44">
        <w:r>
          <w:rPr>
            <w:rFonts w:ascii="Arial" w:cs="Arial" w:eastAsia="Arial" w:hAnsi="Arial"/>
            <w:sz w:val="17"/>
            <w:szCs w:val="17"/>
            <w:u w:val="single" w:color="auto"/>
            <w:color w:val="0000FF"/>
          </w:rPr>
          <w:t>Incorporated by reference to Exhibit 10.2 to Oil-Dri’s (file No. 001-</w:t>
        </w:r>
      </w:hyperlink>
      <w:hyperlink r:id="rId44">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325"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45">
        <w:r>
          <w:rPr>
            <w:rFonts w:ascii="Arial" w:cs="Arial" w:eastAsia="Arial" w:hAnsi="Arial"/>
            <w:sz w:val="17"/>
            <w:szCs w:val="17"/>
            <w:u w:val="single" w:color="auto"/>
            <w:color w:val="0000FF"/>
          </w:rPr>
          <w:t>Incorporated by reference to Exhibit 10.3 to Oil-Dri’s (file No. 001-</w:t>
        </w:r>
      </w:hyperlink>
      <w:hyperlink r:id="rId45">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325"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46">
        <w:r>
          <w:rPr>
            <w:rFonts w:ascii="Arial" w:cs="Arial" w:eastAsia="Arial" w:hAnsi="Arial"/>
            <w:sz w:val="17"/>
            <w:szCs w:val="17"/>
            <w:u w:val="single" w:color="auto"/>
            <w:color w:val="0000FF"/>
          </w:rPr>
          <w:t>Incorporated by reference to Exhibit 10.4 to Oil-Dri’s (file No. 001-</w:t>
        </w:r>
      </w:hyperlink>
      <w:hyperlink r:id="rId46">
        <w:r>
          <w:rPr>
            <w:rFonts w:ascii="Arial" w:cs="Arial" w:eastAsia="Arial" w:hAnsi="Arial"/>
            <w:sz w:val="17"/>
            <w:szCs w:val="17"/>
            <w:u w:val="single" w:color="auto"/>
            <w:color w:val="0000FF"/>
          </w:rPr>
          <w:t>12622) Current Report on Form 8-K filed on December 11, 2006.</w:t>
        </w:r>
      </w:hyperlink>
    </w:p>
    <w:p>
      <w:pPr>
        <w:spacing w:after="0" w:line="360"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530" w:right="25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18"/>
                <w:szCs w:val="18"/>
                <w:color w:val="auto"/>
              </w:rPr>
            </w:pPr>
          </w:p>
        </w:tc>
      </w:t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Incentive Plan Director Stock Option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Incentive  Plan  Restricted  Stock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Incentive  Plan  Restricted  Stock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Incentive Plan Restricted Stock Agreement for Class B Stock.*</w:t>
            </w:r>
          </w:p>
        </w:tc>
      </w:tr>
      <w:tr>
        <w:trPr>
          <w:trHeight w:val="58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Form of 2018 Restricted Stock Agreement for Class B Stock</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under the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w:t>
            </w:r>
          </w:p>
        </w:tc>
      </w:tr>
      <w:tr>
        <w:trPr>
          <w:trHeight w:val="594"/>
        </w:trPr>
        <w:tc>
          <w:tcPr>
            <w:tcW w:w="9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9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line="308" w:lineRule="auto"/>
        <w:rPr>
          <w:rFonts w:ascii="Arial" w:cs="Arial" w:eastAsia="Arial" w:hAnsi="Arial"/>
          <w:sz w:val="17"/>
          <w:szCs w:val="17"/>
          <w:u w:val="single" w:color="auto"/>
          <w:color w:val="0000FF"/>
        </w:rPr>
      </w:pPr>
      <w:hyperlink r:id="rId48">
        <w:r>
          <w:rPr>
            <w:rFonts w:ascii="Arial" w:cs="Arial" w:eastAsia="Arial" w:hAnsi="Arial"/>
            <w:sz w:val="17"/>
            <w:szCs w:val="17"/>
            <w:u w:val="single" w:color="auto"/>
            <w:color w:val="0000FF"/>
          </w:rPr>
          <w:t>Incorporated by reference to Exhibit 10.5 to Oil-Dri’s (file No. 001-</w:t>
        </w:r>
      </w:hyperlink>
      <w:hyperlink r:id="rId48">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98" w:lineRule="exact"/>
        <w:rPr>
          <w:sz w:val="20"/>
          <w:szCs w:val="20"/>
          <w:color w:val="auto"/>
        </w:rPr>
      </w:pPr>
    </w:p>
    <w:p>
      <w:pPr>
        <w:spacing w:after="0" w:line="308" w:lineRule="auto"/>
        <w:rPr>
          <w:rFonts w:ascii="Arial" w:cs="Arial" w:eastAsia="Arial" w:hAnsi="Arial"/>
          <w:sz w:val="17"/>
          <w:szCs w:val="17"/>
          <w:u w:val="single" w:color="auto"/>
          <w:color w:val="0000FF"/>
        </w:rPr>
      </w:pPr>
      <w:hyperlink r:id="rId49">
        <w:r>
          <w:rPr>
            <w:rFonts w:ascii="Arial" w:cs="Arial" w:eastAsia="Arial" w:hAnsi="Arial"/>
            <w:sz w:val="17"/>
            <w:szCs w:val="17"/>
            <w:u w:val="single" w:color="auto"/>
            <w:color w:val="0000FF"/>
          </w:rPr>
          <w:t>Incorporated by reference to Exhibit 10.6 to Oil-Dri’s (file No. 001-</w:t>
        </w:r>
      </w:hyperlink>
      <w:hyperlink r:id="rId49">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325" w:lineRule="exact"/>
        <w:rPr>
          <w:sz w:val="20"/>
          <w:szCs w:val="20"/>
          <w:color w:val="auto"/>
        </w:rPr>
      </w:pPr>
    </w:p>
    <w:p>
      <w:pPr>
        <w:spacing w:after="0" w:line="308" w:lineRule="auto"/>
        <w:rPr>
          <w:rFonts w:ascii="Arial" w:cs="Arial" w:eastAsia="Arial" w:hAnsi="Arial"/>
          <w:sz w:val="17"/>
          <w:szCs w:val="17"/>
          <w:u w:val="single" w:color="auto"/>
          <w:color w:val="0000FF"/>
        </w:rPr>
      </w:pPr>
      <w:hyperlink r:id="rId50">
        <w:r>
          <w:rPr>
            <w:rFonts w:ascii="Arial" w:cs="Arial" w:eastAsia="Arial" w:hAnsi="Arial"/>
            <w:sz w:val="17"/>
            <w:szCs w:val="17"/>
            <w:u w:val="single" w:color="auto"/>
            <w:color w:val="0000FF"/>
          </w:rPr>
          <w:t>Incorporated by reference to Exhibit 10.7 to Oil-Dri’s (file No. 001-</w:t>
        </w:r>
      </w:hyperlink>
      <w:hyperlink r:id="rId50">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spacing w:after="0" w:line="308" w:lineRule="auto"/>
        <w:rPr>
          <w:rFonts w:ascii="Arial" w:cs="Arial" w:eastAsia="Arial" w:hAnsi="Arial"/>
          <w:sz w:val="17"/>
          <w:szCs w:val="17"/>
          <w:u w:val="single" w:color="auto"/>
          <w:color w:val="0000FF"/>
        </w:rPr>
      </w:pPr>
      <w:hyperlink r:id="rId51">
        <w:r>
          <w:rPr>
            <w:rFonts w:ascii="Arial" w:cs="Arial" w:eastAsia="Arial" w:hAnsi="Arial"/>
            <w:sz w:val="17"/>
            <w:szCs w:val="17"/>
            <w:u w:val="single" w:color="auto"/>
            <w:color w:val="0000FF"/>
          </w:rPr>
          <w:t>Incorporated by reference to Exhibit 10.8 to Oil-Dri’s (file No. 001-</w:t>
        </w:r>
      </w:hyperlink>
      <w:hyperlink r:id="rId51">
        <w:r>
          <w:rPr>
            <w:rFonts w:ascii="Arial" w:cs="Arial" w:eastAsia="Arial" w:hAnsi="Arial"/>
            <w:sz w:val="17"/>
            <w:szCs w:val="17"/>
            <w:u w:val="single" w:color="auto"/>
            <w:color w:val="0000FF"/>
          </w:rPr>
          <w:t>12622) Current Report on Form 8-K filed on December 11, 2006.</w:t>
        </w:r>
      </w:hyperlink>
    </w:p>
    <w:p>
      <w:pPr>
        <w:spacing w:after="0" w:line="309" w:lineRule="exact"/>
        <w:rPr>
          <w:sz w:val="20"/>
          <w:szCs w:val="20"/>
          <w:color w:val="auto"/>
        </w:rPr>
      </w:pPr>
    </w:p>
    <w:p>
      <w:pPr>
        <w:ind w:right="120"/>
        <w:spacing w:after="0" w:line="264" w:lineRule="auto"/>
        <w:rPr>
          <w:rFonts w:ascii="Arial" w:cs="Arial" w:eastAsia="Arial" w:hAnsi="Arial"/>
          <w:sz w:val="18"/>
          <w:szCs w:val="18"/>
          <w:color w:val="0000FF"/>
        </w:rPr>
      </w:pPr>
      <w:hyperlink r:id="rId52">
        <w:r>
          <w:rPr>
            <w:rFonts w:ascii="Arial" w:cs="Arial" w:eastAsia="Arial" w:hAnsi="Arial"/>
            <w:sz w:val="18"/>
            <w:szCs w:val="18"/>
            <w:u w:val="single" w:color="auto"/>
            <w:color w:val="0000FF"/>
          </w:rPr>
          <w:t>Incorporated by reference to Exhibit 10.29 to Oil-Dri's (file No. 001-</w:t>
        </w:r>
      </w:hyperlink>
      <w:hyperlink r:id="rId5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31, 2018</w:t>
        </w:r>
        <w:r>
          <w:rPr>
            <w:rFonts w:ascii="Arial" w:cs="Arial" w:eastAsia="Arial" w:hAnsi="Arial"/>
            <w:sz w:val="18"/>
            <w:szCs w:val="18"/>
            <w:color w:val="000000"/>
          </w:rPr>
          <w:t>.</w:t>
        </w:r>
      </w:hyperlink>
    </w:p>
    <w:p>
      <w:pPr>
        <w:spacing w:after="0" w:line="34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u w:val="single" w:color="auto"/>
          <w:color w:val="0000FF"/>
        </w:rPr>
        <w:t>Filed herewith.</w:t>
      </w:r>
    </w:p>
    <w:p>
      <w:pPr>
        <w:spacing w:after="0" w:line="387" w:lineRule="exact"/>
        <w:rPr>
          <w:rFonts w:ascii="Arial" w:cs="Arial" w:eastAsia="Arial" w:hAnsi="Arial"/>
          <w:sz w:val="18"/>
          <w:szCs w:val="18"/>
          <w:u w:val="single" w:color="auto"/>
          <w:color w:val="0000FF"/>
        </w:rPr>
      </w:pPr>
    </w:p>
    <w:p>
      <w:pPr>
        <w:jc w:val="both"/>
        <w:spacing w:after="0" w:line="259"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960" w:space="360"/>
            <w:col w:w="5080"/>
          </w:cols>
          <w:pgMar w:left="240" w:top="530" w:right="259" w:bottom="1440" w:gutter="0" w:footer="0" w:header="0"/>
        </w:sectPr>
      </w:pPr>
    </w:p>
    <w:p>
      <w:pPr>
        <w:spacing w:after="0" w:line="132" w:lineRule="exact"/>
        <w:rPr>
          <w:rFonts w:ascii="Arial" w:cs="Arial" w:eastAsia="Arial" w:hAnsi="Arial"/>
          <w:sz w:val="18"/>
          <w:szCs w:val="18"/>
          <w:u w:val="single" w:color="auto"/>
          <w:color w:val="0000FF"/>
        </w:rPr>
      </w:pPr>
    </w:p>
    <w:tbl>
      <w:tblPr>
        <w:tblLayout w:type="fixed"/>
        <w:tblInd w:w="12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21.1</w:t>
            </w:r>
          </w:p>
        </w:tc>
        <w:tc>
          <w:tcPr>
            <w:tcW w:w="5260" w:type="dxa"/>
            <w:vAlign w:val="bottom"/>
          </w:tcPr>
          <w:p>
            <w:pPr>
              <w:ind w:left="240"/>
              <w:spacing w:after="0"/>
              <w:rPr>
                <w:sz w:val="20"/>
                <w:szCs w:val="20"/>
                <w:color w:val="auto"/>
              </w:rPr>
            </w:pPr>
            <w:r>
              <w:rPr>
                <w:rFonts w:ascii="Arial" w:cs="Arial" w:eastAsia="Arial" w:hAnsi="Arial"/>
                <w:sz w:val="18"/>
                <w:szCs w:val="18"/>
                <w:color w:val="auto"/>
              </w:rPr>
              <w:t>Subsidiaries of Oil-Dri Corporation of America</w:t>
            </w:r>
          </w:p>
        </w:tc>
        <w:tc>
          <w:tcPr>
            <w:tcW w:w="1440" w:type="dxa"/>
            <w:vAlign w:val="bottom"/>
            <w:gridSpan w:val="2"/>
          </w:tcPr>
          <w:p>
            <w:pPr>
              <w:spacing w:after="0"/>
              <w:rPr>
                <w:sz w:val="20"/>
                <w:szCs w:val="20"/>
                <w:color w:val="auto"/>
              </w:rPr>
            </w:pPr>
            <w:r>
              <w:rPr>
                <w:rFonts w:ascii="Arial" w:cs="Arial" w:eastAsia="Arial" w:hAnsi="Arial"/>
                <w:sz w:val="18"/>
                <w:szCs w:val="18"/>
                <w:color w:val="0000FF"/>
              </w:rPr>
              <w:t>Filed herewith.</w:t>
            </w:r>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23.1</w:t>
            </w:r>
          </w:p>
        </w:tc>
        <w:tc>
          <w:tcPr>
            <w:tcW w:w="526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c>
          <w:tcPr>
            <w:tcW w:w="1440" w:type="dxa"/>
            <w:vAlign w:val="bottom"/>
            <w:gridSpan w:val="2"/>
          </w:tcPr>
          <w:p>
            <w:pPr>
              <w:spacing w:after="0"/>
              <w:rPr>
                <w:sz w:val="20"/>
                <w:szCs w:val="20"/>
                <w:color w:val="auto"/>
              </w:rPr>
            </w:pPr>
            <w:r>
              <w:rPr>
                <w:rFonts w:ascii="Arial" w:cs="Arial" w:eastAsia="Arial" w:hAnsi="Arial"/>
                <w:sz w:val="18"/>
                <w:szCs w:val="18"/>
                <w:color w:val="0000FF"/>
              </w:rPr>
              <w:t>Filed herewith.</w:t>
            </w:r>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31.1</w:t>
            </w:r>
          </w:p>
        </w:tc>
        <w:tc>
          <w:tcPr>
            <w:tcW w:w="5260" w:type="dxa"/>
            <w:vAlign w:val="bottom"/>
          </w:tcPr>
          <w:p>
            <w:pPr>
              <w:ind w:left="240"/>
              <w:spacing w:after="0"/>
              <w:rPr>
                <w:sz w:val="20"/>
                <w:szCs w:val="20"/>
                <w:color w:val="auto"/>
              </w:rPr>
            </w:pPr>
            <w:r>
              <w:rPr>
                <w:rFonts w:ascii="Arial" w:cs="Arial" w:eastAsia="Arial" w:hAnsi="Arial"/>
                <w:sz w:val="18"/>
                <w:szCs w:val="18"/>
                <w:color w:val="auto"/>
              </w:rPr>
              <w:t>Certifications pursuant to Rule 13a – 14(a).</w:t>
            </w:r>
          </w:p>
        </w:tc>
        <w:tc>
          <w:tcPr>
            <w:tcW w:w="1440" w:type="dxa"/>
            <w:vAlign w:val="bottom"/>
            <w:gridSpan w:val="2"/>
          </w:tcPr>
          <w:p>
            <w:pPr>
              <w:spacing w:after="0"/>
              <w:rPr>
                <w:sz w:val="20"/>
                <w:szCs w:val="20"/>
                <w:color w:val="auto"/>
              </w:rPr>
            </w:pPr>
            <w:r>
              <w:rPr>
                <w:rFonts w:ascii="Arial" w:cs="Arial" w:eastAsia="Arial" w:hAnsi="Arial"/>
                <w:sz w:val="18"/>
                <w:szCs w:val="18"/>
                <w:color w:val="0000FF"/>
              </w:rPr>
              <w:t>Filed herewith.</w:t>
            </w:r>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1"/>
              </w:rPr>
              <w:t>32.1</w:t>
            </w:r>
          </w:p>
        </w:tc>
        <w:tc>
          <w:tcPr>
            <w:tcW w:w="5260" w:type="dxa"/>
            <w:vAlign w:val="bottom"/>
          </w:tcPr>
          <w:p>
            <w:pPr>
              <w:ind w:left="240"/>
              <w:spacing w:after="0"/>
              <w:rPr>
                <w:sz w:val="20"/>
                <w:szCs w:val="20"/>
                <w:color w:val="auto"/>
              </w:rPr>
            </w:pPr>
            <w:r>
              <w:rPr>
                <w:rFonts w:ascii="Arial" w:cs="Arial" w:eastAsia="Arial" w:hAnsi="Arial"/>
                <w:sz w:val="18"/>
                <w:szCs w:val="18"/>
                <w:color w:val="auto"/>
              </w:rPr>
              <w:t>Certifications pursuant to Section 1350 of the Sarbanes-Oxley</w:t>
            </w:r>
          </w:p>
        </w:tc>
        <w:tc>
          <w:tcPr>
            <w:tcW w:w="1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Furnished herewith.</w:t>
            </w:r>
          </w:p>
        </w:tc>
      </w:tr>
      <w:tr>
        <w:trPr>
          <w:trHeight w:val="237"/>
        </w:trPr>
        <w:tc>
          <w:tcPr>
            <w:tcW w:w="940" w:type="dxa"/>
            <w:vAlign w:val="bottom"/>
          </w:tcPr>
          <w:p>
            <w:pPr>
              <w:spacing w:after="0"/>
              <w:rPr>
                <w:sz w:val="20"/>
                <w:szCs w:val="20"/>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rPr>
              <w:t>Act of 2002.</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54"/>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89"/>
              </w:rPr>
              <w:t>95</w:t>
            </w:r>
          </w:p>
        </w:tc>
        <w:tc>
          <w:tcPr>
            <w:tcW w:w="5260" w:type="dxa"/>
            <w:vAlign w:val="bottom"/>
          </w:tcPr>
          <w:p>
            <w:pPr>
              <w:ind w:left="240"/>
              <w:spacing w:after="0"/>
              <w:rPr>
                <w:sz w:val="20"/>
                <w:szCs w:val="20"/>
                <w:color w:val="auto"/>
              </w:rPr>
            </w:pPr>
            <w:r>
              <w:rPr>
                <w:rFonts w:ascii="Arial" w:cs="Arial" w:eastAsia="Arial" w:hAnsi="Arial"/>
                <w:sz w:val="18"/>
                <w:szCs w:val="18"/>
                <w:color w:val="auto"/>
              </w:rPr>
              <w:t>Mine Safety Disclosure</w:t>
            </w:r>
          </w:p>
        </w:tc>
        <w:tc>
          <w:tcPr>
            <w:tcW w:w="1440" w:type="dxa"/>
            <w:vAlign w:val="bottom"/>
            <w:gridSpan w:val="2"/>
          </w:tcPr>
          <w:p>
            <w:pPr>
              <w:spacing w:after="0"/>
              <w:rPr>
                <w:sz w:val="20"/>
                <w:szCs w:val="20"/>
                <w:color w:val="auto"/>
              </w:rPr>
            </w:pPr>
            <w:r>
              <w:rPr>
                <w:rFonts w:ascii="Arial" w:cs="Arial" w:eastAsia="Arial" w:hAnsi="Arial"/>
                <w:sz w:val="18"/>
                <w:szCs w:val="18"/>
                <w:color w:val="0000FF"/>
              </w:rPr>
              <w:t>Filed herewith.</w:t>
            </w:r>
          </w:p>
        </w:tc>
      </w:tr>
      <w:tr>
        <w:trPr>
          <w:trHeight w:val="20"/>
        </w:trPr>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15"/>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Instance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94"/>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94"/>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r>
        <w:trPr>
          <w:trHeight w:val="594"/>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52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1440" w:type="dxa"/>
            <w:vAlign w:val="bottom"/>
            <w:gridSpan w:val="2"/>
          </w:tcPr>
          <w:p>
            <w:pPr>
              <w:spacing w:after="0"/>
              <w:rPr>
                <w:sz w:val="20"/>
                <w:szCs w:val="20"/>
                <w:color w:val="auto"/>
              </w:rPr>
            </w:pPr>
            <w:r>
              <w:rPr>
                <w:rFonts w:ascii="Arial" w:cs="Arial" w:eastAsia="Arial" w:hAnsi="Arial"/>
                <w:sz w:val="18"/>
                <w:szCs w:val="18"/>
                <w:color w:val="auto"/>
                <w:w w:val="89"/>
              </w:rPr>
              <w:t>Furnished herewith.</w:t>
            </w:r>
          </w:p>
        </w:tc>
      </w:tr>
    </w:tbl>
    <w:p>
      <w:pPr>
        <w:spacing w:after="0" w:line="200" w:lineRule="exact"/>
        <w:rPr>
          <w:rFonts w:ascii="Arial" w:cs="Arial" w:eastAsia="Arial" w:hAnsi="Arial"/>
          <w:sz w:val="18"/>
          <w:szCs w:val="18"/>
          <w:u w:val="single" w:color="auto"/>
          <w:color w:val="0000FF"/>
        </w:rPr>
      </w:pPr>
    </w:p>
    <w:p>
      <w:pPr>
        <w:sectPr>
          <w:pgSz w:w="11900" w:h="16838" w:orient="portrait"/>
          <w:cols w:equalWidth="0" w:num="1">
            <w:col w:w="11400"/>
          </w:cols>
          <w:pgMar w:left="240" w:top="530" w:right="259" w:bottom="1440" w:gutter="0" w:footer="0" w:header="0"/>
          <w:type w:val="continuous"/>
        </w:sectPr>
      </w:pPr>
    </w:p>
    <w:p>
      <w:pPr>
        <w:spacing w:after="0" w:line="38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530" w:right="25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5000" w:type="dxa"/>
            <w:vAlign w:val="bottom"/>
            <w:gridSpan w:val="2"/>
          </w:tcPr>
          <w:p>
            <w:pPr>
              <w:ind w:left="1920"/>
              <w:spacing w:after="0"/>
              <w:rPr>
                <w:sz w:val="20"/>
                <w:szCs w:val="20"/>
                <w:color w:val="auto"/>
              </w:rPr>
            </w:pPr>
            <w:r>
              <w:rPr>
                <w:rFonts w:ascii="Arial" w:cs="Arial" w:eastAsia="Arial" w:hAnsi="Arial"/>
                <w:sz w:val="18"/>
                <w:szCs w:val="18"/>
                <w:color w:val="auto"/>
              </w:rPr>
              <w:t>Description</w:t>
            </w:r>
          </w:p>
        </w:tc>
        <w:tc>
          <w:tcPr>
            <w:tcW w:w="5140" w:type="dxa"/>
            <w:vAlign w:val="bottom"/>
          </w:tcPr>
          <w:p>
            <w:pPr>
              <w:ind w:left="1620"/>
              <w:spacing w:after="0"/>
              <w:rPr>
                <w:sz w:val="20"/>
                <w:szCs w:val="20"/>
                <w:color w:val="auto"/>
              </w:rPr>
            </w:pPr>
            <w:r>
              <w:rPr>
                <w:rFonts w:ascii="Arial" w:cs="Arial" w:eastAsia="Arial" w:hAnsi="Arial"/>
                <w:sz w:val="18"/>
                <w:szCs w:val="18"/>
                <w:color w:val="auto"/>
              </w:rPr>
              <w:t>SEC Document Reference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r>
      <w:tr>
        <w:trPr>
          <w:trHeight w:val="594"/>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101.PRE</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5140" w:type="dxa"/>
            <w:vAlign w:val="bottom"/>
          </w:tcPr>
          <w:p>
            <w:pPr>
              <w:ind w:left="40"/>
              <w:spacing w:after="0"/>
              <w:rPr>
                <w:sz w:val="20"/>
                <w:szCs w:val="20"/>
                <w:color w:val="auto"/>
              </w:rPr>
            </w:pPr>
            <w:r>
              <w:rPr>
                <w:rFonts w:ascii="Arial" w:cs="Arial" w:eastAsia="Arial" w:hAnsi="Arial"/>
                <w:sz w:val="18"/>
                <w:szCs w:val="18"/>
                <w:color w:val="auto"/>
              </w:rPr>
              <w:t>Furnished herewith.</w:t>
            </w:r>
          </w:p>
        </w:tc>
      </w:tr>
    </w:tbl>
    <w:p>
      <w:pPr>
        <w:spacing w:after="0" w:line="40" w:lineRule="exact"/>
        <w:rPr>
          <w:sz w:val="20"/>
          <w:szCs w:val="20"/>
          <w:color w:val="auto"/>
        </w:rPr>
      </w:pPr>
    </w:p>
    <w:p>
      <w:pPr>
        <w:ind w:left="5620" w:right="5620" w:hanging="4811"/>
        <w:spacing w:after="0" w:line="976" w:lineRule="auto"/>
        <w:tabs>
          <w:tab w:leader="none" w:pos="13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70</w:t>
      </w:r>
    </w:p>
    <w:p>
      <w:pPr>
        <w:sectPr>
          <w:pgSz w:w="11900" w:h="16838" w:orient="portrait"/>
          <w:cols w:equalWidth="0" w:num="1">
            <w:col w:w="11420"/>
          </w:cols>
          <w:pgMar w:left="240" w:top="53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2019</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480" w:type="dxa"/>
            <w:vAlign w:val="bottom"/>
          </w:tcPr>
          <w:p>
            <w:pPr>
              <w:ind w:left="160"/>
              <w:spacing w:after="0"/>
              <w:rPr>
                <w:sz w:val="20"/>
                <w:szCs w:val="20"/>
                <w:color w:val="auto"/>
              </w:rPr>
            </w:pPr>
            <w:r>
              <w:rPr>
                <w:rFonts w:ascii="Arial" w:cs="Arial" w:eastAsia="Arial" w:hAnsi="Arial"/>
                <w:sz w:val="18"/>
                <w:szCs w:val="18"/>
                <w:color w:val="auto"/>
              </w:rPr>
              <w:t>/s/ Daniel S. Jaffee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600" w:type="dxa"/>
            <w:vAlign w:val="bottom"/>
          </w:tcPr>
          <w:p>
            <w:pPr>
              <w:spacing w:after="0"/>
              <w:rPr>
                <w:sz w:val="20"/>
                <w:szCs w:val="20"/>
                <w:color w:val="auto"/>
              </w:rPr>
            </w:pPr>
          </w:p>
        </w:tc>
      </w:tr>
      <w:tr>
        <w:trPr>
          <w:trHeight w:val="256"/>
        </w:trPr>
        <w:tc>
          <w:tcPr>
            <w:tcW w:w="548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1600" w:type="dxa"/>
            <w:vAlign w:val="bottom"/>
          </w:tcPr>
          <w:p>
            <w:pPr>
              <w:spacing w:after="0"/>
              <w:rPr>
                <w:sz w:val="22"/>
                <w:szCs w:val="22"/>
                <w:color w:val="auto"/>
              </w:rPr>
            </w:pPr>
          </w:p>
        </w:tc>
      </w:tr>
      <w:tr>
        <w:trPr>
          <w:trHeight w:val="230"/>
        </w:trPr>
        <w:tc>
          <w:tcPr>
            <w:tcW w:w="5480" w:type="dxa"/>
            <w:vAlign w:val="bottom"/>
          </w:tcPr>
          <w:p>
            <w:pPr>
              <w:ind w:left="1480"/>
              <w:spacing w:after="0"/>
              <w:rPr>
                <w:sz w:val="20"/>
                <w:szCs w:val="20"/>
                <w:color w:val="auto"/>
              </w:rPr>
            </w:pPr>
            <w:r>
              <w:rPr>
                <w:rFonts w:ascii="Arial" w:cs="Arial" w:eastAsia="Arial" w:hAnsi="Arial"/>
                <w:sz w:val="18"/>
                <w:szCs w:val="18"/>
                <w:color w:val="auto"/>
              </w:rPr>
              <w:t>Chairman of the Board of Directors</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600" w:type="dxa"/>
            <w:vAlign w:val="bottom"/>
          </w:tcPr>
          <w:p>
            <w:pPr>
              <w:spacing w:after="0"/>
              <w:rPr>
                <w:sz w:val="23"/>
                <w:szCs w:val="23"/>
                <w:color w:val="auto"/>
              </w:rPr>
            </w:pPr>
          </w:p>
        </w:tc>
      </w:tr>
      <w:tr>
        <w:trPr>
          <w:trHeight w:val="540"/>
        </w:trPr>
        <w:tc>
          <w:tcPr>
            <w:tcW w:w="5480" w:type="dxa"/>
            <w:vAlign w:val="bottom"/>
          </w:tcPr>
          <w:p>
            <w:pPr>
              <w:ind w:left="160"/>
              <w:spacing w:after="0"/>
              <w:rPr>
                <w:sz w:val="20"/>
                <w:szCs w:val="20"/>
                <w:color w:val="auto"/>
              </w:rPr>
            </w:pPr>
            <w:r>
              <w:rPr>
                <w:rFonts w:ascii="Arial" w:cs="Arial" w:eastAsia="Arial" w:hAnsi="Arial"/>
                <w:sz w:val="18"/>
                <w:szCs w:val="18"/>
                <w:color w:val="auto"/>
              </w:rPr>
              <w:t>/s/ Susan M. Kreh</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0"/>
              </w:rPr>
              <w:t>Susan M. Kreh</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600" w:type="dxa"/>
            <w:vAlign w:val="bottom"/>
          </w:tcPr>
          <w:p>
            <w:pPr>
              <w:spacing w:after="0"/>
              <w:rPr>
                <w:sz w:val="23"/>
                <w:szCs w:val="23"/>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600" w:type="dxa"/>
            <w:vAlign w:val="bottom"/>
          </w:tcPr>
          <w:p>
            <w:pPr>
              <w:spacing w:after="0"/>
              <w:rPr>
                <w:sz w:val="23"/>
                <w:szCs w:val="23"/>
                <w:color w:val="auto"/>
              </w:rPr>
            </w:pPr>
          </w:p>
        </w:tc>
      </w:tr>
      <w:tr>
        <w:trPr>
          <w:trHeight w:val="594"/>
        </w:trPr>
        <w:tc>
          <w:tcPr>
            <w:tcW w:w="5480" w:type="dxa"/>
            <w:vAlign w:val="bottom"/>
          </w:tcPr>
          <w:p>
            <w:pPr>
              <w:ind w:left="160"/>
              <w:spacing w:after="0"/>
              <w:rPr>
                <w:sz w:val="20"/>
                <w:szCs w:val="20"/>
                <w:color w:val="auto"/>
              </w:rPr>
            </w:pPr>
            <w:r>
              <w:rPr>
                <w:rFonts w:ascii="Arial" w:cs="Arial" w:eastAsia="Arial" w:hAnsi="Arial"/>
                <w:sz w:val="18"/>
                <w:szCs w:val="18"/>
                <w:color w:val="auto"/>
              </w:rPr>
              <w:t>/s/ Paula J. Krystopolski</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0"/>
              </w:rPr>
              <w:t>Paula J. Krystopolski</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w:t>
            </w:r>
          </w:p>
        </w:tc>
        <w:tc>
          <w:tcPr>
            <w:tcW w:w="1600" w:type="dxa"/>
            <w:vAlign w:val="bottom"/>
          </w:tcPr>
          <w:p>
            <w:pPr>
              <w:spacing w:after="0"/>
              <w:rPr>
                <w:sz w:val="23"/>
                <w:szCs w:val="23"/>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600" w:type="dxa"/>
            <w:vAlign w:val="bottom"/>
          </w:tcPr>
          <w:p>
            <w:pPr>
              <w:spacing w:after="0"/>
              <w:rPr>
                <w:sz w:val="23"/>
                <w:szCs w:val="23"/>
                <w:color w:val="auto"/>
              </w:rPr>
            </w:pPr>
          </w:p>
        </w:tc>
      </w:tr>
      <w:tr>
        <w:trPr>
          <w:trHeight w:val="594"/>
        </w:trPr>
        <w:tc>
          <w:tcPr>
            <w:tcW w:w="5480" w:type="dxa"/>
            <w:vAlign w:val="bottom"/>
          </w:tcPr>
          <w:p>
            <w:pPr>
              <w:ind w:left="40"/>
              <w:spacing w:after="0"/>
              <w:rPr>
                <w:sz w:val="20"/>
                <w:szCs w:val="20"/>
                <w:color w:val="auto"/>
              </w:rPr>
            </w:pPr>
            <w:r>
              <w:rPr>
                <w:rFonts w:ascii="Arial" w:cs="Arial" w:eastAsia="Arial" w:hAnsi="Arial"/>
                <w:sz w:val="18"/>
                <w:szCs w:val="18"/>
                <w:color w:val="auto"/>
              </w:rPr>
              <w:t>/s/ Ellen-Blair Chube</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4"/>
              </w:rPr>
              <w:t>Ellen-Blair Chube</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94"/>
        </w:trPr>
        <w:tc>
          <w:tcPr>
            <w:tcW w:w="5480" w:type="dxa"/>
            <w:vAlign w:val="bottom"/>
          </w:tcPr>
          <w:p>
            <w:pPr>
              <w:ind w:left="160"/>
              <w:spacing w:after="0"/>
              <w:rPr>
                <w:sz w:val="20"/>
                <w:szCs w:val="20"/>
                <w:color w:val="auto"/>
              </w:rPr>
            </w:pPr>
            <w:r>
              <w:rPr>
                <w:rFonts w:ascii="Arial" w:cs="Arial" w:eastAsia="Arial" w:hAnsi="Arial"/>
                <w:sz w:val="18"/>
                <w:szCs w:val="18"/>
                <w:color w:val="auto"/>
              </w:rPr>
              <w:t>/s/ Paul M. Hindsley</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4"/>
              </w:rPr>
              <w:t>Paul M. Hindsley</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spacing w:after="0"/>
              <w:rPr>
                <w:sz w:val="23"/>
                <w:szCs w:val="23"/>
                <w:color w:val="auto"/>
              </w:rPr>
            </w:pPr>
          </w:p>
        </w:tc>
      </w:tr>
      <w:tr>
        <w:trPr>
          <w:trHeight w:val="540"/>
        </w:trPr>
        <w:tc>
          <w:tcPr>
            <w:tcW w:w="5480" w:type="dxa"/>
            <w:vAlign w:val="bottom"/>
          </w:tcPr>
          <w:p>
            <w:pPr>
              <w:ind w:left="160"/>
              <w:spacing w:after="0"/>
              <w:rPr>
                <w:sz w:val="20"/>
                <w:szCs w:val="20"/>
                <w:color w:val="auto"/>
              </w:rPr>
            </w:pPr>
            <w:r>
              <w:rPr>
                <w:rFonts w:ascii="Arial" w:cs="Arial" w:eastAsia="Arial" w:hAnsi="Arial"/>
                <w:sz w:val="18"/>
                <w:szCs w:val="18"/>
                <w:color w:val="auto"/>
              </w:rPr>
              <w:t>/s/ Joseph C. Miller</w:t>
            </w:r>
          </w:p>
        </w:tc>
        <w:tc>
          <w:tcPr>
            <w:tcW w:w="1600" w:type="dxa"/>
            <w:vAlign w:val="bottom"/>
          </w:tcPr>
          <w:p>
            <w:pPr>
              <w:ind w:left="340"/>
              <w:spacing w:after="0"/>
              <w:rPr>
                <w:sz w:val="20"/>
                <w:szCs w:val="20"/>
                <w:color w:val="auto"/>
              </w:rPr>
            </w:pPr>
            <w:r>
              <w:rPr>
                <w:rFonts w:ascii="Arial" w:cs="Arial" w:eastAsia="Arial" w:hAnsi="Arial"/>
                <w:sz w:val="18"/>
                <w:szCs w:val="18"/>
                <w:color w:val="auto"/>
                <w:w w:val="89"/>
              </w:rPr>
              <w:t>October 10, 2019</w:t>
            </w:r>
          </w:p>
        </w:tc>
      </w:tr>
      <w:tr>
        <w:trPr>
          <w:trHeight w:val="27"/>
        </w:trPr>
        <w:tc>
          <w:tcPr>
            <w:tcW w:w="5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480" w:type="dxa"/>
            <w:vAlign w:val="bottom"/>
          </w:tcPr>
          <w:p>
            <w:pPr>
              <w:jc w:val="center"/>
              <w:spacing w:after="0"/>
              <w:rPr>
                <w:sz w:val="20"/>
                <w:szCs w:val="20"/>
                <w:color w:val="auto"/>
              </w:rPr>
            </w:pPr>
            <w:r>
              <w:rPr>
                <w:rFonts w:ascii="Arial" w:cs="Arial" w:eastAsia="Arial" w:hAnsi="Arial"/>
                <w:sz w:val="18"/>
                <w:szCs w:val="18"/>
                <w:color w:val="auto"/>
                <w:w w:val="92"/>
              </w:rPr>
              <w:t>Joseph C. Miller</w:t>
            </w:r>
          </w:p>
        </w:tc>
        <w:tc>
          <w:tcPr>
            <w:tcW w:w="1600" w:type="dxa"/>
            <w:vAlign w:val="bottom"/>
          </w:tcPr>
          <w:p>
            <w:pPr>
              <w:spacing w:after="0"/>
              <w:rPr>
                <w:sz w:val="20"/>
                <w:szCs w:val="20"/>
                <w:color w:val="auto"/>
              </w:rPr>
            </w:pPr>
          </w:p>
        </w:tc>
      </w:tr>
      <w:tr>
        <w:trPr>
          <w:trHeight w:val="270"/>
        </w:trPr>
        <w:tc>
          <w:tcPr>
            <w:tcW w:w="548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600" w:type="dxa"/>
            <w:vAlign w:val="bottom"/>
          </w:tcPr>
          <w:p>
            <w:pPr>
              <w:spacing w:after="0"/>
              <w:rPr>
                <w:sz w:val="23"/>
                <w:szCs w:val="23"/>
                <w:color w:val="auto"/>
              </w:rPr>
            </w:pPr>
          </w:p>
        </w:tc>
      </w:tr>
      <w:tr>
        <w:trPr>
          <w:trHeight w:val="702"/>
        </w:trPr>
        <w:tc>
          <w:tcPr>
            <w:tcW w:w="548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20"/>
          </w:cols>
          <w:pgMar w:left="240" w:top="36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2019</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George C. Roeth</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2019</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88"/>
              </w:rPr>
              <w:t>George C. Roeth</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2019</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2019</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2019</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240" w:type="dxa"/>
            <w:vAlign w:val="bottom"/>
            <w:gridSpan w:val="2"/>
          </w:tcPr>
          <w:p>
            <w:pPr>
              <w:jc w:val="right"/>
              <w:ind w:right="135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0219"/>
          </w:cols>
          <w:pgMar w:left="240" w:top="800"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Year Ended July 31,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and cash discounts: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 Addition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Net recovery (write off)</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reserve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36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60"/>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73" w:name="page74"/>
    <w:bookmarkEnd w:id="73"/>
    <w:p>
      <w:pPr>
        <w:jc w:val="center"/>
        <w:ind w:right="60"/>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20"/>
        <w:spacing w:after="0"/>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0000FF"/>
        </w:rPr>
        <w:t>Description of Capital Stock</w:t>
      </w:r>
    </w:p>
    <w:p>
      <w:pPr>
        <w:spacing w:after="0" w:line="63"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0000FF"/>
        </w:rPr>
        <w:t>Statement Re: Computation of Net Income Per Share</w:t>
      </w:r>
    </w:p>
    <w:p>
      <w:pPr>
        <w:spacing w:after="0" w:line="333"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FF"/>
        </w:rPr>
        <w:t>Subsidiaries of Oil-Dri Corporation of America</w:t>
      </w:r>
    </w:p>
    <w:p>
      <w:pPr>
        <w:spacing w:after="0" w:line="333"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Independent Registered Public Accounting Firm</w:t>
      </w:r>
    </w:p>
    <w:p>
      <w:pPr>
        <w:spacing w:after="0" w:line="333" w:lineRule="exact"/>
        <w:rPr>
          <w:sz w:val="20"/>
          <w:szCs w:val="20"/>
          <w:color w:val="auto"/>
        </w:rPr>
      </w:pPr>
    </w:p>
    <w:p>
      <w:pPr>
        <w:ind w:left="1080" w:hanging="811"/>
        <w:spacing w:after="0" w:line="277" w:lineRule="auto"/>
        <w:tabs>
          <w:tab w:leader="none" w:pos="10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Certifications by Daniel S. Jaffee, President and Chief Executive Officer and Susan M. Kreh, Chief Financial Officer, required by Rule 13a-14(a)</w:t>
      </w:r>
    </w:p>
    <w:p>
      <w:pPr>
        <w:spacing w:after="0" w:line="279" w:lineRule="exact"/>
        <w:rPr>
          <w:sz w:val="20"/>
          <w:szCs w:val="20"/>
          <w:color w:val="auto"/>
        </w:rPr>
      </w:pPr>
    </w:p>
    <w:p>
      <w:pPr>
        <w:ind w:left="280"/>
        <w:spacing w:after="0"/>
        <w:tabs>
          <w:tab w:leader="none" w:pos="10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FF"/>
        </w:rPr>
        <w:t>Certifications pursuant to Section 1350 of the Sarbanes-Oxley Act of 2002</w:t>
      </w:r>
    </w:p>
    <w:p>
      <w:pPr>
        <w:spacing w:after="0" w:line="333" w:lineRule="exact"/>
        <w:rPr>
          <w:sz w:val="20"/>
          <w:szCs w:val="20"/>
          <w:color w:val="auto"/>
        </w:rPr>
      </w:pPr>
    </w:p>
    <w:p>
      <w:pPr>
        <w:ind w:left="1080" w:hanging="74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Mine Safety Disclosure</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101.INS</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4"/>
              </w:rPr>
              <w:t>101.CAL</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101.LAB</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1"/>
              </w:rPr>
              <w:t>101.PRE</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2"/>
              </w:rPr>
              <w:t>Note:</w:t>
            </w:r>
          </w:p>
        </w:tc>
        <w:tc>
          <w:tcPr>
            <w:tcW w:w="10360" w:type="dxa"/>
            <w:vAlign w:val="bottom"/>
          </w:tcPr>
          <w:p>
            <w:pPr>
              <w:ind w:left="16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820" w:type="dxa"/>
            <w:vAlign w:val="bottom"/>
          </w:tcPr>
          <w:p>
            <w:pPr>
              <w:spacing w:after="0"/>
              <w:rPr>
                <w:sz w:val="20"/>
                <w:szCs w:val="20"/>
                <w:color w:val="auto"/>
              </w:rPr>
            </w:pPr>
          </w:p>
        </w:tc>
        <w:tc>
          <w:tcPr>
            <w:tcW w:w="10360" w:type="dxa"/>
            <w:vAlign w:val="bottom"/>
          </w:tcPr>
          <w:p>
            <w:pPr>
              <w:ind w:left="16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820" w:type="dxa"/>
            <w:vAlign w:val="bottom"/>
          </w:tcPr>
          <w:p>
            <w:pPr>
              <w:spacing w:after="0"/>
              <w:rPr>
                <w:sz w:val="24"/>
                <w:szCs w:val="24"/>
                <w:color w:val="auto"/>
              </w:rPr>
            </w:pPr>
          </w:p>
        </w:tc>
        <w:tc>
          <w:tcPr>
            <w:tcW w:w="10360" w:type="dxa"/>
            <w:vAlign w:val="bottom"/>
          </w:tcPr>
          <w:p>
            <w:pPr>
              <w:ind w:left="460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280"/>
          </w:cols>
          <w:pgMar w:left="340" w:top="580"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description of our Common Stock is a summary and does not purport to be complete and is subject to and qualified in its entirety by reference to both the Certificate of Incorporation of Oil-Dri, as amended (the "Certificate of Incorporation"), and the By-Laws of Oil-Dri Corporation of America, as Amended and Restated (the "By-laws"). The Certificate of Incorporation and the By-laws are each incorporated by reference as an exhibit to the Annual Report on Form 10-K of which this Exhibit 4.1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as of July 31, 2019 and 2018 consisted of 15,000,000 shares of Common Stock, 7,000,000 shares of Class B Stock and 30,000,000 shares of Class A Common Stock, each with a par value of $.10 per share. There are no Class A Common Stock shares currently outstanding.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 is entitled to one vote per share and Class B Stock is entitled to ten votes per share, while Class A Common Stock has no voting rights except in accordance with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as described above)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Stock and Class A Common Stock have no conversion rights. Class B Stock is convertible on a share-by-share basis into Common Stock at any time and is subject to mandatory conversion under certain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of Class Rights and Powers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any time when the shares of Class B Stock cease to account for at least 20% of the total of both shares of Common Stock and Class B Stock outstanding, or for a period of one year do not account for at least 10% of the the total shares of Common Stock, Class B Stock and Class A Common Stock outstanding, then any shares of Class B Stock outstanding shall, without any action by the Board of Directors, automatically convert to shares of Common Stock. In addition, and the provisions for different voting or cash dividend rights for Common Stock and Class B Stock shall thence forth not be in effect.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any liquidation, dissolution or winding up of the Company, the holders of all classes of stock are entitled to share ratably as a single class in the remaining net assets of the Company. A merger or consolidation of the Company or a sale or conveyance of all or any part of the Company's assets will not be deemed a liquidation, dissolution or winding up.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Sale and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B Stock is subject to restrictions that permit the sale or transfer of these shares only to certain permitted transferees.</w:t>
      </w:r>
    </w:p>
    <w:p>
      <w:pPr>
        <w:sectPr>
          <w:pgSz w:w="11900" w:h="16838" w:orient="portrait"/>
          <w:cols w:equalWidth="0" w:num="1">
            <w:col w:w="11420"/>
          </w:cols>
          <w:pgMar w:left="240" w:top="5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 Redemption or Preemptive Rights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have no preemptive, redemption or subscription rights.</w:t>
      </w:r>
    </w:p>
    <w:p>
      <w:pPr>
        <w:sectPr>
          <w:pgSz w:w="11900" w:h="16838" w:orient="portrait"/>
          <w:cols w:equalWidth="0" w:num="1">
            <w:col w:w="10219"/>
          </w:cols>
          <w:pgMar w:left="240" w:top="580"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6"/>
              </w:rPr>
              <w:t>Year Ended July 31,</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r>
      <w:tr>
        <w:trPr>
          <w:trHeight w:val="24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06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Calculation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68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r>
      <w:tr>
        <w:trPr>
          <w:trHeight w:val="250"/>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r>
      <w:tr>
        <w:trPr>
          <w:trHeight w:val="243"/>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 and non-vested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97"/>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7,222</w:t>
            </w:r>
          </w:p>
        </w:tc>
      </w:tr>
      <w:tr>
        <w:trPr>
          <w:trHeight w:val="257"/>
        </w:trPr>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6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304"/>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Common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51"/>
        </w:trPr>
        <w:tc>
          <w:tcPr>
            <w:tcW w:w="8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8060" w:type="dxa"/>
            <w:vAlign w:val="bottom"/>
            <w:gridSpan w:val="3"/>
          </w:tcPr>
          <w:p>
            <w:pPr>
              <w:ind w:left="20"/>
              <w:spacing w:after="0"/>
              <w:rPr>
                <w:sz w:val="20"/>
                <w:szCs w:val="20"/>
                <w:color w:val="auto"/>
              </w:rPr>
            </w:pPr>
            <w:r>
              <w:rPr>
                <w:rFonts w:ascii="Arial" w:cs="Arial" w:eastAsia="Arial" w:hAnsi="Arial"/>
                <w:sz w:val="18"/>
                <w:szCs w:val="18"/>
                <w:color w:val="auto"/>
              </w:rPr>
              <w:t>Net Income Per Share: Diluted Common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20"/>
          </w:cols>
          <w:pgMar w:left="240" w:top="121" w:right="8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120" w:type="dxa"/>
            <w:vAlign w:val="bottom"/>
          </w:tcPr>
          <w:p>
            <w:pPr>
              <w:ind w:left="46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China</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Blue Mountain Production Company</w:t>
            </w:r>
          </w:p>
        </w:tc>
        <w:tc>
          <w:tcPr>
            <w:tcW w:w="4120" w:type="dxa"/>
            <w:vAlign w:val="bottom"/>
          </w:tcPr>
          <w:p>
            <w:pPr>
              <w:ind w:left="460"/>
              <w:spacing w:after="0"/>
              <w:rPr>
                <w:sz w:val="20"/>
                <w:szCs w:val="20"/>
                <w:color w:val="auto"/>
              </w:rPr>
            </w:pPr>
            <w:r>
              <w:rPr>
                <w:rFonts w:ascii="Arial" w:cs="Arial" w:eastAsia="Arial" w:hAnsi="Arial"/>
                <w:sz w:val="18"/>
                <w:szCs w:val="18"/>
                <w:color w:val="auto"/>
              </w:rPr>
              <w:t>Mississippi</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Delaware</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Mounds Production Company, LLC</w:t>
            </w:r>
          </w:p>
        </w:tc>
        <w:tc>
          <w:tcPr>
            <w:tcW w:w="4120" w:type="dxa"/>
            <w:vAlign w:val="bottom"/>
          </w:tcPr>
          <w:p>
            <w:pPr>
              <w:ind w:left="460"/>
              <w:spacing w:after="0"/>
              <w:rPr>
                <w:sz w:val="20"/>
                <w:szCs w:val="20"/>
                <w:color w:val="auto"/>
              </w:rPr>
            </w:pPr>
            <w:r>
              <w:rPr>
                <w:rFonts w:ascii="Arial" w:cs="Arial" w:eastAsia="Arial" w:hAnsi="Arial"/>
                <w:sz w:val="18"/>
                <w:szCs w:val="18"/>
                <w:color w:val="auto"/>
              </w:rPr>
              <w:t>Illinois</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Illinois</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Oil-Dri Canada ULC</w:t>
            </w:r>
          </w:p>
        </w:tc>
        <w:tc>
          <w:tcPr>
            <w:tcW w:w="4120" w:type="dxa"/>
            <w:vAlign w:val="bottom"/>
          </w:tcPr>
          <w:p>
            <w:pPr>
              <w:ind w:left="460"/>
              <w:spacing w:after="0"/>
              <w:rPr>
                <w:sz w:val="20"/>
                <w:szCs w:val="20"/>
                <w:color w:val="auto"/>
              </w:rPr>
            </w:pPr>
            <w:r>
              <w:rPr>
                <w:rFonts w:ascii="Arial" w:cs="Arial" w:eastAsia="Arial" w:hAnsi="Arial"/>
                <w:sz w:val="18"/>
                <w:szCs w:val="18"/>
                <w:color w:val="auto"/>
              </w:rPr>
              <w:t>Canada</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Georgia</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Amlan International</w:t>
            </w:r>
          </w:p>
        </w:tc>
        <w:tc>
          <w:tcPr>
            <w:tcW w:w="4120" w:type="dxa"/>
            <w:vAlign w:val="bottom"/>
          </w:tcPr>
          <w:p>
            <w:pPr>
              <w:ind w:left="460"/>
              <w:spacing w:after="0"/>
              <w:rPr>
                <w:sz w:val="20"/>
                <w:szCs w:val="20"/>
                <w:color w:val="auto"/>
              </w:rPr>
            </w:pPr>
            <w:r>
              <w:rPr>
                <w:rFonts w:ascii="Arial" w:cs="Arial" w:eastAsia="Arial" w:hAnsi="Arial"/>
                <w:sz w:val="18"/>
                <w:szCs w:val="18"/>
                <w:color w:val="auto"/>
              </w:rPr>
              <w:t>Nevada</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Mississippi</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Oil-Dri SARL</w:t>
            </w:r>
          </w:p>
        </w:tc>
        <w:tc>
          <w:tcPr>
            <w:tcW w:w="4120" w:type="dxa"/>
            <w:vAlign w:val="bottom"/>
          </w:tcPr>
          <w:p>
            <w:pPr>
              <w:ind w:left="460"/>
              <w:spacing w:after="0"/>
              <w:rPr>
                <w:sz w:val="20"/>
                <w:szCs w:val="20"/>
                <w:color w:val="auto"/>
              </w:rPr>
            </w:pPr>
            <w:r>
              <w:rPr>
                <w:rFonts w:ascii="Arial" w:cs="Arial" w:eastAsia="Arial" w:hAnsi="Arial"/>
                <w:sz w:val="18"/>
                <w:szCs w:val="18"/>
                <w:color w:val="auto"/>
              </w:rPr>
              <w:t>Switzerland</w:t>
            </w:r>
          </w:p>
        </w:tc>
      </w:tr>
      <w:tr>
        <w:trPr>
          <w:trHeight w:val="27"/>
        </w:trPr>
        <w:tc>
          <w:tcPr>
            <w:tcW w:w="3580" w:type="dxa"/>
            <w:vAlign w:val="bottom"/>
          </w:tcPr>
          <w:p>
            <w:pPr>
              <w:spacing w:after="0"/>
              <w:rPr>
                <w:sz w:val="2"/>
                <w:szCs w:val="2"/>
                <w:color w:val="auto"/>
              </w:rPr>
            </w:pPr>
          </w:p>
        </w:tc>
        <w:tc>
          <w:tcPr>
            <w:tcW w:w="41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4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Kingdom</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Taft Production Company</w:t>
            </w:r>
          </w:p>
        </w:tc>
        <w:tc>
          <w:tcPr>
            <w:tcW w:w="4120" w:type="dxa"/>
            <w:vAlign w:val="bottom"/>
          </w:tcPr>
          <w:p>
            <w:pPr>
              <w:ind w:left="4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121"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issued our report dated October 10, 2019, with respect to the consolidated financial statements and internal control over financial reporting included in the Annual Report of Oil-Dri Corporation of America on Form 10-K for the year ended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July 31, 2019. We consent to the incorporation by reference of said report in the Registration Statements of Oil-Dri Corporation of America on Form S-8 (File No. 333-139550).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2019</w:t>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10, 2019</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6"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Susan M. Kreh, certify that:</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October 10, 2019</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Susan M. Kreh</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18"/>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Susan M. Kreh</w:t>
            </w:r>
          </w:p>
        </w:tc>
      </w:tr>
      <w:tr>
        <w:trPr>
          <w:trHeight w:val="297"/>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5"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10,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10,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55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2019.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0" w:type="dxa"/>
            <w:vAlign w:val="bottom"/>
            <w:gridSpan w:val="2"/>
          </w:tcPr>
          <w:p>
            <w:pPr>
              <w:ind w:left="106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107(a)</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Total Dollar</w:t>
            </w: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Citations and</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4"/>
              </w:rPr>
              <w:t>Last Day of</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8"/>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20"/>
              <w:spacing w:after="0"/>
              <w:rPr>
                <w:sz w:val="20"/>
                <w:szCs w:val="20"/>
                <w:color w:val="auto"/>
              </w:rPr>
            </w:pPr>
            <w:r>
              <w:rPr>
                <w:rFonts w:ascii="Arial" w:cs="Arial" w:eastAsia="Arial" w:hAnsi="Arial"/>
                <w:sz w:val="18"/>
                <w:szCs w:val="18"/>
                <w:color w:val="auto"/>
              </w:rPr>
              <w:t>Period</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2"/>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0"/>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3,448</w:t>
            </w: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944</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2,552</w:t>
            </w:r>
          </w:p>
        </w:tc>
        <w:tc>
          <w:tcPr>
            <w:tcW w:w="12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8"/>
              </w:rPr>
              <w:t>3,051</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3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54,258</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2019.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95"/>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34" Type="http://schemas.openxmlformats.org/officeDocument/2006/relationships/image" Target="media/image12.png"/><Relationship Id="rId47"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18" Type="http://schemas.openxmlformats.org/officeDocument/2006/relationships/hyperlink" Target="http://www.sec.gov/Archives/edgar/data/74046/0000074046-98-000008.txt" TargetMode="External"/><Relationship Id="rId19" Type="http://schemas.openxmlformats.org/officeDocument/2006/relationships/hyperlink" Target="http://www.sec.gov/Archives/edgar/data/74046/000007404618000007/odcex301312018.htm" TargetMode="External"/><Relationship Id="rId20" Type="http://schemas.openxmlformats.org/officeDocument/2006/relationships/hyperlink" Target="http://www.sec.gov/Archives/edgar/data/74046/000007404601500009/fs_1.txt" TargetMode="External"/><Relationship Id="rId22" Type="http://schemas.openxmlformats.org/officeDocument/2006/relationships/hyperlink" Target="http://www.sec.gov/Archives/edgar/data/74046/000120677407002369/exhibit10-2.htm" TargetMode="External"/><Relationship Id="rId23" Type="http://schemas.openxmlformats.org/officeDocument/2006/relationships/hyperlink" Target="http://www.sec.gov/Archives/edgar/data/74046/000114420407066302/v096599_ex10-1.htm" TargetMode="External"/><Relationship Id="rId24" Type="http://schemas.openxmlformats.org/officeDocument/2006/relationships/hyperlink" Target="http://www.sec.gov/Archives/edgar/data/74046/000007404616000094/odcex10407312016.htm" TargetMode="External"/><Relationship Id="rId25" Type="http://schemas.openxmlformats.org/officeDocument/2006/relationships/hyperlink" Target="http://www.sec.gov/Archives/edgar/data/74046/000095013799003743/0000950137-99-003743.txt" TargetMode="External"/><Relationship Id="rId26" Type="http://schemas.openxmlformats.org/officeDocument/2006/relationships/hyperlink" Target="http://www.sec.gov/Archives/edgar/data/74046/000101381606000051/form8k_020106ex101.txt" TargetMode="External"/><Relationship Id="rId27" Type="http://schemas.openxmlformats.org/officeDocument/2006/relationships/hyperlink" Target="http://www.sec.gov/Archives/edgar/data/74046/000114420409013035/v142330_ex10-1.htm" TargetMode="External"/><Relationship Id="rId28" Type="http://schemas.openxmlformats.org/officeDocument/2006/relationships/hyperlink" Target="http://www.sec.gov/Archives/edgar/data/74046/000114420411071922/v244230_ex10.htm" TargetMode="External"/><Relationship Id="rId29" Type="http://schemas.openxmlformats.org/officeDocument/2006/relationships/hyperlink" Target="http://www.sec.gov/Archives/edgar/data/74046/000007404612000012/odcex101207312012.htm" TargetMode="External"/><Relationship Id="rId30" Type="http://schemas.openxmlformats.org/officeDocument/2006/relationships/hyperlink" Target="http://www.sec.gov/Archives/edgar/data/74046/000007404614000017/odcex10110312014.htm" TargetMode="External"/><Relationship Id="rId31" Type="http://schemas.openxmlformats.org/officeDocument/2006/relationships/hyperlink" Target="http://www.sec.gov/Archives/edgar/data/74046/000007404619000008/fifthamendmenttocreditagre.htm" TargetMode="External"/><Relationship Id="rId32" Type="http://schemas.openxmlformats.org/officeDocument/2006/relationships/hyperlink" Target="http://www.sec.gov/Archives/edgar/data/74046/000007404619000008/annexa-final.htm" TargetMode="External"/><Relationship Id="rId33" Type="http://schemas.openxmlformats.org/officeDocument/2006/relationships/hyperlink" Target="http://www.sec.gov/Archives/edgar/data/74046/000114420410061518/v202918_ex10-1.htm" TargetMode="External"/><Relationship Id="rId35" Type="http://schemas.openxmlformats.org/officeDocument/2006/relationships/hyperlink" Target="http://www.sec.gov/Archives/edgar/data/74046/000007404603000021/q3f03x10.txt" TargetMode="External"/><Relationship Id="rId36" Type="http://schemas.openxmlformats.org/officeDocument/2006/relationships/hyperlink" Target="http://www.sec.gov/Archives/edgar/data/74046/000114420408014071/v105960_ex10-1.htm" TargetMode="External"/><Relationship Id="rId37" Type="http://schemas.openxmlformats.org/officeDocument/2006/relationships/hyperlink" Target="http://www.sec.gov/Archives/edgar/data/74046/000114420408014071/v105960_ex10-2.htm" TargetMode="External"/><Relationship Id="rId38" Type="http://schemas.openxmlformats.org/officeDocument/2006/relationships/hyperlink" Target="http://www.sec.gov/Archives/edgar/data/74046/000007404603000021/q3f03exl.txt" TargetMode="External"/><Relationship Id="rId39" Type="http://schemas.openxmlformats.org/officeDocument/2006/relationships/hyperlink" Target="http://www.sec.gov/Archives/edgar/data/74046/000114420408014071/v105960_ex10-4.htm" TargetMode="External"/><Relationship Id="rId40" Type="http://schemas.openxmlformats.org/officeDocument/2006/relationships/hyperlink" Target="http://www.sec.gov/Archives/edgar/data/74046/000114420408014071/v105960_ex10-3.htm" TargetMode="External"/><Relationship Id="rId41" Type="http://schemas.openxmlformats.org/officeDocument/2006/relationships/hyperlink" Target="http://www.sec.gov/Archives/edgar/data/74046/000120677406002257/oildri_nps.htm" TargetMode="External"/><Relationship Id="rId42" Type="http://schemas.openxmlformats.org/officeDocument/2006/relationships/hyperlink" Target="http://www.sec.gov/Archives/edgar/data/74046/000114420408014071/v105960_ex10-5.htm" TargetMode="External"/><Relationship Id="rId43" Type="http://schemas.openxmlformats.org/officeDocument/2006/relationships/hyperlink" Target="http://www.sec.gov/Archives/edgar/data/74046/000007404615000050/odcproxy07312015.htm#s249522831a274fd3a1b004bb0d87f4df" TargetMode="External"/><Relationship Id="rId44" Type="http://schemas.openxmlformats.org/officeDocument/2006/relationships/hyperlink" Target="http://www.sec.gov/Archives/edgar/data/74046/000127528706006429/od8243ex102.htm" TargetMode="External"/><Relationship Id="rId45" Type="http://schemas.openxmlformats.org/officeDocument/2006/relationships/hyperlink" Target="http://www.sec.gov/Archives/edgar/data/74046/000127528706006429/od8243ex103.htm" TargetMode="External"/><Relationship Id="rId46" Type="http://schemas.openxmlformats.org/officeDocument/2006/relationships/hyperlink" Target="http://www.sec.gov/Archives/edgar/data/74046/000127528706006429/od8243ex104.htm" TargetMode="External"/><Relationship Id="rId48" Type="http://schemas.openxmlformats.org/officeDocument/2006/relationships/hyperlink" Target="http://www.sec.gov/Archives/edgar/data/74046/000127528706006429/od8243ex105.htm" TargetMode="External"/><Relationship Id="rId49" Type="http://schemas.openxmlformats.org/officeDocument/2006/relationships/hyperlink" Target="http://www.sec.gov/Archives/edgar/data/74046/000127528706006429/od8243ex106.htm" TargetMode="External"/><Relationship Id="rId50" Type="http://schemas.openxmlformats.org/officeDocument/2006/relationships/hyperlink" Target="http://www.sec.gov/Archives/edgar/data/74046/000127528706006429/od8243ex107.htm" TargetMode="External"/><Relationship Id="rId51" Type="http://schemas.openxmlformats.org/officeDocument/2006/relationships/hyperlink" Target="http://www.sec.gov/Archives/edgar/data/74046/000127528706006429/od8243ex108.htm" TargetMode="External"/><Relationship Id="rId52" Type="http://schemas.openxmlformats.org/officeDocument/2006/relationships/hyperlink" Target="http://www.sec.gov/Archives/edgar/data/74046/000007404618000046/odcex10290731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2020-01-09T02:48:00Z</dcterms:created>
  <dcterms:modified xsi:type="dcterms:W3CDTF">2020-01-09T02:48:00Z</dcterms:modified>
</cp:coreProperties>
</file>