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80"/>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16"/>
        </w:trPr>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16"/>
        </w:trPr>
        <w:tc>
          <w:tcPr>
            <w:tcW w:w="2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2014</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2014.</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4,978,567 Shares and Class B Stock – 2,074,927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580" w:type="dxa"/>
            <w:vAlign w:val="bottom"/>
            <w:tcBorders>
              <w:top w:val="single" w:sz="8" w:color="0000FF"/>
            </w:tcBorders>
          </w:tcPr>
          <w:p>
            <w:pPr>
              <w:spacing w:after="0"/>
              <w:rPr>
                <w:sz w:val="23"/>
                <w:szCs w:val="23"/>
                <w:color w:val="auto"/>
              </w:rPr>
            </w:pPr>
          </w:p>
        </w:tc>
        <w:tc>
          <w:tcPr>
            <w:tcW w:w="2140" w:type="dxa"/>
            <w:vAlign w:val="bottom"/>
            <w:tcBorders>
              <w:top w:val="single" w:sz="8" w:color="0000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580" w:type="dxa"/>
            <w:vAlign w:val="bottom"/>
            <w:tcBorders>
              <w:top w:val="single" w:sz="8" w:color="0000EE"/>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gridSpan w:val="8"/>
            <w:shd w:val="clear" w:color="auto" w:fill="CCEEFF"/>
          </w:tcPr>
          <w:p>
            <w:pPr>
              <w:ind w:left="2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58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580" w:type="dxa"/>
            <w:vAlign w:val="bottom"/>
            <w:tcBorders>
              <w:top w:val="single" w:sz="8" w:color="CCEEFF"/>
            </w:tcBorders>
          </w:tcPr>
          <w:p>
            <w:pPr>
              <w:spacing w:after="0"/>
              <w:rPr>
                <w:sz w:val="23"/>
                <w:szCs w:val="23"/>
                <w:color w:val="auto"/>
              </w:rPr>
            </w:pPr>
          </w:p>
        </w:tc>
        <w:tc>
          <w:tcPr>
            <w:tcW w:w="214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gridSpan w:val="8"/>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220" w:type="dxa"/>
            <w:vAlign w:val="bottom"/>
            <w:tcBorders>
              <w:top w:val="single" w:sz="8" w:color="CCEEFF"/>
            </w:tcBorders>
            <w:gridSpan w:val="3"/>
          </w:tcPr>
          <w:p>
            <w:pPr>
              <w:ind w:left="154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2013.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12,082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$683 and $641</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January 31, 2014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89,353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184,137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(119,956)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68,959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8,553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$439 and $427 at January 31, 2014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$488 and $455 at January 31, 2014 and July 31 2013,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$1,986 and $1,861 at January 31, 2014 and July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 of $255 at January 31, 2014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183,860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31,447</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16,778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46,675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75,802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80,621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7,894,460 shares at January 31, 2014</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7,866,560 shares at July 31, 2013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2,399,668 shares at January 31, 2014</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2,394,487 shares at July 31, 2013</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132,750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(2,915,893 Common and 324,741 Class B shares at</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(55,344)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January 31, 2014 and 2,914,567 Common and 324,741 Class B shares at July 31, 2013)</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108,058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183,860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Six Months Ended January</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132,851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(99,458)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(89,039)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(23,317)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(23,654)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9,423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9,088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(3,502)</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137,422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125,997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0.94</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4,967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4,887</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6,991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09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22860</wp:posOffset>
            </wp:positionV>
            <wp:extent cx="1475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3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6,598</w:t>
            </w:r>
          </w:p>
        </w:tc>
      </w:tr>
      <w:tr>
        <w:trPr>
          <w:trHeight w:val="297"/>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Unrealized loss on marketable securities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320"/>
          </w:cols>
          <w:pgMar w:left="240" w:top="580"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5,530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4,281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For the Six Months Ended January 31,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34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7"/>
                <w:szCs w:val="17"/>
                <w:color w:val="auto"/>
              </w:rPr>
            </w:pPr>
          </w:p>
        </w:tc>
        <w:tc>
          <w:tcPr>
            <w:tcW w:w="116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2013</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64"/>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6,598</w:t>
            </w: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Capacity rationalization charges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 net of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 net of acquisition:</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4,213</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10,811</w:t>
            </w:r>
          </w:p>
        </w:tc>
      </w:tr>
      <w:tr>
        <w:trPr>
          <w:trHeight w:val="129"/>
        </w:trPr>
        <w:tc>
          <w:tcPr>
            <w:tcW w:w="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50"/>
        </w:trPr>
        <w:tc>
          <w:tcPr>
            <w:tcW w:w="83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360" w:type="dxa"/>
            <w:vAlign w:val="bottom"/>
            <w:tcBorders>
              <w:top w:val="single" w:sz="8" w:color="CCEEFF"/>
            </w:tcBorders>
            <w:gridSpan w:val="3"/>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(6,782)</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(5,009)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Acquisition of business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10,925</w:t>
            </w:r>
          </w:p>
        </w:tc>
      </w:tr>
      <w:tr>
        <w:trPr>
          <w:trHeight w:val="237"/>
        </w:trPr>
        <w:tc>
          <w:tcPr>
            <w:tcW w:w="40" w:type="dxa"/>
            <w:vAlign w:val="bottom"/>
          </w:tcPr>
          <w:p>
            <w:pPr>
              <w:spacing w:after="0"/>
              <w:rPr>
                <w:sz w:val="20"/>
                <w:szCs w:val="20"/>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(6,197)</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4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03"/>
        </w:trPr>
        <w:tc>
          <w:tcPr>
            <w:tcW w:w="834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40" w:type="dxa"/>
            <w:vAlign w:val="bottom"/>
          </w:tcPr>
          <w:p>
            <w:pPr>
              <w:spacing w:after="0"/>
              <w:rPr>
                <w:sz w:val="21"/>
                <w:szCs w:val="21"/>
                <w:color w:val="auto"/>
              </w:rPr>
            </w:pPr>
          </w:p>
        </w:tc>
        <w:tc>
          <w:tcPr>
            <w:tcW w:w="830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r>
      <w:tr>
        <w:trPr>
          <w:trHeight w:val="237"/>
        </w:trPr>
        <w:tc>
          <w:tcPr>
            <w:tcW w:w="834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r>
      <w:tr>
        <w:trPr>
          <w:trHeight w:val="243"/>
        </w:trPr>
        <w:tc>
          <w:tcPr>
            <w:tcW w:w="834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24,035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27,093</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25,430</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98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989"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2013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2014 are not necessarily an indication of the results that may be expected for the fiscal year ending July 31,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upon shipment that sets the fixed and determinable price. Trade promotion reserves are provided for sales incentives made directly to consumers, such as coupons, and made to customers, such as slotting, discounts based on sales volume, cooperative marketing programs and other arrangements. Such trade promotion costs are netted against sales. Sales returns and allowances are not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The pre-production overburden removal costs associated with opening a new mine are deferred as prepaid expense and amortized.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first quarter of fiscal 2014 we adopted new guidance from the Financial Accounting Standard Board (“FASB”) issued under Accounting Standard Codification (“ASC”) 220, </w:t>
      </w:r>
      <w:r>
        <w:rPr>
          <w:rFonts w:ascii="Arial" w:cs="Arial" w:eastAsia="Arial" w:hAnsi="Arial"/>
          <w:sz w:val="17"/>
          <w:szCs w:val="17"/>
          <w:i w:val="1"/>
          <w:iCs w:val="1"/>
          <w:color w:val="auto"/>
        </w:rPr>
        <w:t>Comprehensive Income-Reporting of Amounts Reclassified Out of Accumulated Other Comprehensive Income.</w:t>
      </w:r>
      <w:r>
        <w:rPr>
          <w:rFonts w:ascii="Arial" w:cs="Arial" w:eastAsia="Arial" w:hAnsi="Arial"/>
          <w:sz w:val="17"/>
          <w:szCs w:val="17"/>
          <w:color w:val="auto"/>
        </w:rPr>
        <w:t xml:space="preserve"> The guidance required presentation by the respective net income line items, either on the face of the statement where net income is presented or in the notes, of information about significant amounts required to be reclassified out of accumulated other comprehensive income (“AOCI”). We elected to present the reclassifications in the notes to the financial statements. See Note 8 for additional information regarding amounts reclassified from AOCI.</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first quarter of fiscal 2014 we considered the FASB guidance issued under ASC 350, </w:t>
      </w:r>
      <w:r>
        <w:rPr>
          <w:rFonts w:ascii="Arial" w:cs="Arial" w:eastAsia="Arial" w:hAnsi="Arial"/>
          <w:sz w:val="17"/>
          <w:szCs w:val="17"/>
          <w:i w:val="1"/>
          <w:iCs w:val="1"/>
          <w:color w:val="auto"/>
        </w:rPr>
        <w:t>Testing Indefinite-Lived Intangible Assets for Impairment,</w:t>
      </w:r>
      <w:r>
        <w:rPr>
          <w:rFonts w:ascii="Arial" w:cs="Arial" w:eastAsia="Arial" w:hAnsi="Arial"/>
          <w:sz w:val="17"/>
          <w:szCs w:val="17"/>
          <w:color w:val="auto"/>
        </w:rPr>
        <w:t xml:space="preserve"> which provides the option to first assess qualitative factors to determine if the annual two-step test for impairment must be performed. Based on the relevant events and circumstances that could have affected the significant inputs used to determine the fair value of our indefinite-lived intangible assets, we determined that it is more likely than not that these assets are not impaired and we did not perform a quantitative impairment assessment. There was no impact on our condensed consolidated financial statements as a result of this new guidance.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12,112</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4,003</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22,734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20,723</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2014 and July 31, 2013 were $348,000 and $364,000,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January 31, 2014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January 31, 2014. The cash surrender value of life insurance is included in other assets on the condensed Consolidated Balance Sheets.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short-term investments on the condensed Consolidated Balance Sheets includes U.S. Treasury securities and certificates of deposit. We have the ability to hold our short-term investments to maturity and intend to do so; therefore, these investments were reported at amortized cost on the condensed Consolidated Balance Sheets, which approximated fair value as of January 31, 2014. These balances are excluded from the above table.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approximated their fair values at January 31, 2014 due to the short maturity and nature of those balances; therefore, these balances are excluded from the above table.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expenses and other assets on the condensed Consolidated Balance Sheets includes a receivable for the amount due to us upon the sale of the real property retained by MFM Industries Inc. ("MFM") per the acquisition agreement described in Note 9. The portion of the acquisition purchase cost assigned to this receivable of $500,000 is estimated based on the fair value of the real property. The fair value was determined using a market valuation approach and is classified as Level 3. This receivable will be carried at the allocated purchase cost and will be evaluated for impairment on an ongoing basis; therefore, this amount is excluded from the above table.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notes payable approximated their fair values at January 31, 2014 and are excluded from the above table. The estimated fair value of notes payable, including current maturities, was $23,981,000 as of January 31, 2014.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 Our annual goodwill impairment analysis was performed in the first quarter of fiscal 2014 and did not indicate any impairment.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5. PENSION AND OTHER POSTRETIREMENT BENEFITS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7660" w:type="dxa"/>
            <w:vAlign w:val="bottom"/>
            <w:gridSpan w:val="4"/>
          </w:tcPr>
          <w:p>
            <w:pPr>
              <w:spacing w:after="0"/>
              <w:rPr>
                <w:sz w:val="20"/>
                <w:szCs w:val="20"/>
                <w:color w:val="auto"/>
              </w:rPr>
            </w:pPr>
            <w:r>
              <w:rPr>
                <w:rFonts w:ascii="Arial" w:cs="Arial" w:eastAsia="Arial" w:hAnsi="Arial"/>
                <w:sz w:val="18"/>
                <w:szCs w:val="18"/>
                <w:color w:val="auto"/>
                <w:w w:val="99"/>
              </w:rPr>
              <w:t>The components of net periodic pension and postretirement health benefit costs were as follows: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6"/>
              </w:rPr>
              <w:t>Pension Benefits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8"/>
                <w:szCs w:val="18"/>
                <w:color w:val="auto"/>
              </w:rPr>
            </w:pPr>
          </w:p>
        </w:tc>
        <w:tc>
          <w:tcPr>
            <w:tcW w:w="24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January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2"/>
              </w:rPr>
              <w:t>January 31,</w:t>
            </w:r>
          </w:p>
        </w:tc>
        <w:tc>
          <w:tcPr>
            <w:tcW w:w="8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361</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897</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1,342</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68"/>
        </w:trPr>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Postretirement Health Benefits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8"/>
                <w:szCs w:val="18"/>
                <w:color w:val="auto"/>
              </w:rPr>
            </w:pPr>
          </w:p>
        </w:tc>
        <w:tc>
          <w:tcPr>
            <w:tcW w:w="24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2"/>
              </w:rPr>
              <w:t>January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2"/>
              </w:rPr>
              <w:t>January 31,</w:t>
            </w:r>
          </w:p>
        </w:tc>
        <w:tc>
          <w:tcPr>
            <w:tcW w:w="8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transition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plan covering postretirement health benefits is an unfunded plan. We have funded the pension plan based upon actuarially determined contributions that take into account the amount deductible for income tax purposes, the normal cost and the minimum and the maximum contribution requirements of various regulations. We contributed $230,000 to our pension plan during the second quarter ended January 31, 2014. We estimate contributions will be $601,000 for the remainder of fiscal 2014.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40" w:type="dxa"/>
            <w:vAlign w:val="bottom"/>
            <w:gridSpan w:val="4"/>
          </w:tcPr>
          <w:p>
            <w:pPr>
              <w:ind w:left="740"/>
              <w:spacing w:after="0"/>
              <w:rPr>
                <w:sz w:val="20"/>
                <w:szCs w:val="20"/>
                <w:color w:val="auto"/>
              </w:rPr>
            </w:pPr>
            <w:r>
              <w:rPr>
                <w:rFonts w:ascii="Arial" w:cs="Arial" w:eastAsia="Arial" w:hAnsi="Arial"/>
                <w:sz w:val="18"/>
                <w:szCs w:val="18"/>
                <w:b w:val="1"/>
                <w:bCs w:val="1"/>
                <w:color w:val="auto"/>
              </w:rPr>
              <w:t>Pension Benefits</w:t>
            </w:r>
          </w:p>
        </w:tc>
        <w:tc>
          <w:tcPr>
            <w:tcW w:w="27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6"/>
              </w:rPr>
              <w:t>Postretirement Health Benefits</w:t>
            </w:r>
          </w:p>
        </w:tc>
      </w:tr>
      <w:tr>
        <w:trPr>
          <w:trHeight w:val="27"/>
        </w:trPr>
        <w:tc>
          <w:tcPr>
            <w:tcW w:w="5860" w:type="dxa"/>
            <w:vAlign w:val="bottom"/>
          </w:tcPr>
          <w:p>
            <w:pPr>
              <w:spacing w:after="0"/>
              <w:rPr>
                <w:sz w:val="2"/>
                <w:szCs w:val="2"/>
                <w:color w:val="auto"/>
              </w:rPr>
            </w:pPr>
          </w:p>
        </w:tc>
        <w:tc>
          <w:tcPr>
            <w:tcW w:w="472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4720" w:type="dxa"/>
            <w:vAlign w:val="bottom"/>
            <w:gridSpan w:val="7"/>
          </w:tcPr>
          <w:p>
            <w:pPr>
              <w:ind w:left="880"/>
              <w:spacing w:after="0"/>
              <w:rPr>
                <w:sz w:val="20"/>
                <w:szCs w:val="20"/>
                <w:color w:val="auto"/>
              </w:rPr>
            </w:pPr>
            <w:r>
              <w:rPr>
                <w:rFonts w:ascii="Arial" w:cs="Arial" w:eastAsia="Arial" w:hAnsi="Arial"/>
                <w:sz w:val="18"/>
                <w:szCs w:val="18"/>
                <w:b w:val="1"/>
                <w:bCs w:val="1"/>
                <w:color w:val="auto"/>
                <w:w w:val="91"/>
              </w:rPr>
              <w:t>For the Three and Six Months Ended January 31,</w:t>
            </w:r>
          </w:p>
        </w:tc>
        <w:tc>
          <w:tcPr>
            <w:tcW w:w="8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8.0%. The graded trend rate is expected to decrease to an ultimate rate of 5.0% in fiscal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OPERATING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2013.</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8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July 31, 2013</w:t>
            </w:r>
          </w:p>
        </w:tc>
      </w:tr>
      <w:tr>
        <w:trPr>
          <w:trHeight w:val="27"/>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37"/>
        </w:trPr>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53,721</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91,207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76,376</w:t>
            </w: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53,462</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183,860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49,179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43,497</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83,672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132,851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10,076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9,423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6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gridSpan w:val="10"/>
          </w:tcPr>
          <w:p>
            <w:pPr>
              <w:jc w:val="right"/>
              <w:ind w:right="690"/>
              <w:spacing w:after="0"/>
              <w:rPr>
                <w:sz w:val="20"/>
                <w:szCs w:val="20"/>
                <w:color w:val="auto"/>
              </w:rPr>
            </w:pPr>
            <w:r>
              <w:rPr>
                <w:rFonts w:ascii="Arial" w:cs="Arial" w:eastAsia="Arial" w:hAnsi="Arial"/>
                <w:sz w:val="18"/>
                <w:szCs w:val="18"/>
                <w:b w:val="1"/>
                <w:bCs w:val="1"/>
                <w:color w:val="auto"/>
              </w:rPr>
              <w:t>For the Three Months Ended January 31,</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ind w:left="4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25,264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21,715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7,993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7,101</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69,305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61,122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Oil-Dri Corporation of America Outside Director Stock Plan provides for grants of stock options to directors. Stock options have been granted to our directors with a one year vesting period. There are no shares available for future grants under this plan. All shares of stock issued under this plan were from treasury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transactions as of January 31, 2014 is shown below:</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July 31, 2013</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97"/>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January 31, 2014</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911</w:t>
            </w:r>
          </w:p>
        </w:tc>
      </w:tr>
      <w:tr>
        <w:trPr>
          <w:trHeight w:val="251"/>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January 31, 2014</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0"/>
        </w:trPr>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were no stock options exercised during the second quarter of fiscal 2014. The amount of cash received from the exercise of stock options during the second quarter of fiscal 2013 was $591,000 and the related tax benefit was $255,000. The amount of cash received from the exercise of stock options during the first six months of fiscal 2014 was $51,000 and the related tax benefit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67"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was $24,000. The amount of cash received from the exercise of stock options during the first six months of fiscal 2013 was $652,000 and the related tax benefit was $268,000.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in the first six months of either fiscal 2014 or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January 31, 2014 was issued under the 2006 Plan with vesting periods between two years and five years.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2006 Plan, no new restricted shares of common stock were granted in the second quarter of either fiscal 2014 or fiscal 2013. In the first quarter of fiscal 2014, 22,000 restricted shares of Common Stock and 10,000 restricted shares of Class B stock were granted. In the first quarter of fiscal 2013, 7,000 restricted shares of Class B stock were granted.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our stock-based compensation expense in the second quarter of fiscal years 2014 and 2013 was $319,000 and $210,000, respectively, related to non-vested restricted stock. In the first six months of fiscal years 2014 and 2013, the expense related to unvested restricted stock was $560,000 and 413,000,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A summary of restricted stock transactions under the plan is shown below:</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Restricted Shares</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14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14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r>
      <w:tr>
        <w:trPr>
          <w:trHeight w:val="243"/>
        </w:trPr>
        <w:tc>
          <w:tcPr>
            <w:tcW w:w="14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21.67</w:t>
            </w:r>
          </w:p>
        </w:tc>
      </w:tr>
      <w:tr>
        <w:trPr>
          <w:trHeight w:val="27"/>
        </w:trPr>
        <w:tc>
          <w:tcPr>
            <w:tcW w:w="1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w:t>
            </w:r>
          </w:p>
        </w:tc>
      </w:tr>
      <w:tr>
        <w:trPr>
          <w:trHeight w:val="243"/>
        </w:trPr>
        <w:tc>
          <w:tcPr>
            <w:tcW w:w="14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21.80</w:t>
            </w:r>
          </w:p>
        </w:tc>
      </w:tr>
      <w:tr>
        <w:trPr>
          <w:trHeight w:val="27"/>
        </w:trPr>
        <w:tc>
          <w:tcPr>
            <w:tcW w:w="140" w:type="dxa"/>
            <w:vAlign w:val="bottom"/>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2014</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0"/>
        </w:trPr>
        <w:tc>
          <w:tcPr>
            <w:tcW w:w="1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income by component as of January 31, 2014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Unrealized Gain</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(Loss) on</w:t>
            </w:r>
          </w:p>
        </w:tc>
        <w:tc>
          <w:tcPr>
            <w:tcW w:w="3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Pension and</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Cumulative</w:t>
            </w:r>
          </w:p>
        </w:tc>
        <w:tc>
          <w:tcPr>
            <w:tcW w:w="3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Marketable</w:t>
            </w:r>
          </w:p>
        </w:tc>
        <w:tc>
          <w:tcPr>
            <w:tcW w:w="34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Postretirement</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Translation</w:t>
            </w:r>
          </w:p>
        </w:tc>
        <w:tc>
          <w:tcPr>
            <w:tcW w:w="34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Securities</w:t>
            </w:r>
          </w:p>
        </w:tc>
        <w:tc>
          <w:tcPr>
            <w:tcW w:w="34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Health Benefits</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Adjustment</w:t>
            </w:r>
          </w:p>
        </w:tc>
        <w:tc>
          <w:tcPr>
            <w:tcW w:w="34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Income</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a)</w:t>
            </w: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current-period other comprehensive income, net</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$70,000. Amounts are included in the components of net periodic benefit cost for the pension and postretirement health plans. See Note 5 for further information.</w:t>
      </w:r>
    </w:p>
    <w:p>
      <w:pPr>
        <w:spacing w:after="0" w:line="18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0"/>
          <w:szCs w:val="20"/>
          <w:b w:val="1"/>
          <w:bCs w:val="1"/>
          <w:color w:val="auto"/>
        </w:rPr>
      </w:pPr>
      <w:r>
        <w:rPr>
          <w:rFonts w:ascii="Arial" w:cs="Arial" w:eastAsia="Arial" w:hAnsi="Arial"/>
          <w:sz w:val="18"/>
          <w:szCs w:val="18"/>
          <w:b w:val="1"/>
          <w:bCs w:val="1"/>
          <w:color w:val="auto"/>
        </w:rPr>
        <w:t>ACQUISITION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 2013, we acquired certain assets of MFM, a company engaged in the manufacturing, marketing and distribution of primarily private label cat litter. MFM and its parent company, MFM Delaware, Inc., had filed for bankruptcy in May 2013. The purchase of MFM’s cat litter business assets was a strategic business decision intended to expand our private label cat litter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business. We did not acquire any land or mineral rights nor did we operate the MFM plant. MFM’s customers’ orders were transitioned to our existing cat litter manufacturing plants which had available capacity and were producing similar cat litter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transaction qualifies as a business combination for accounting purposes, therefore the assets acquired were recorded at their respective estimated fair values at the date of acquisition. The excess of the purchase price over those fair values is recorded as goodwill. The following table summarizes the preliminary fair value of the assets acquired and liabilities assumed at the acquisition date. The fair values are subject to refinement within the measurement period as we finalize our valuations.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8"/>
              </w:rPr>
              <w:t>Estimated Fair Value as</w:t>
            </w:r>
          </w:p>
        </w:tc>
      </w:tr>
      <w:tr>
        <w:trPr>
          <w:trHeight w:val="230"/>
        </w:trPr>
        <w:tc>
          <w:tcPr>
            <w:tcW w:w="8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1"/>
              </w:rPr>
              <w:t>of November 1, 2013</w:t>
            </w:r>
          </w:p>
        </w:tc>
      </w:tr>
      <w:tr>
        <w:trPr>
          <w:trHeight w:val="270"/>
        </w:trPr>
        <w:tc>
          <w:tcPr>
            <w:tcW w:w="8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9"/>
              </w:rPr>
              <w:t>(in thousands)</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 transferred:</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12,505</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37"/>
        </w:trPr>
        <w:tc>
          <w:tcPr>
            <w:tcW w:w="8980" w:type="dxa"/>
            <w:vAlign w:val="bottom"/>
          </w:tcPr>
          <w:p>
            <w:pPr>
              <w:ind w:left="40"/>
              <w:spacing w:after="0"/>
              <w:rPr>
                <w:sz w:val="20"/>
                <w:szCs w:val="20"/>
                <w:color w:val="auto"/>
              </w:rPr>
            </w:pPr>
            <w:r>
              <w:rPr>
                <w:rFonts w:ascii="Arial" w:cs="Arial" w:eastAsia="Arial" w:hAnsi="Arial"/>
                <w:sz w:val="18"/>
                <w:szCs w:val="18"/>
                <w:color w:val="auto"/>
              </w:rPr>
              <w:t>Fair value of total consideration transferred</w:t>
            </w:r>
          </w:p>
        </w:tc>
        <w:tc>
          <w:tcPr>
            <w:tcW w:w="1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13,005</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9"/>
        </w:trPr>
        <w:tc>
          <w:tcPr>
            <w:tcW w:w="8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89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 - current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89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 -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980" w:type="dxa"/>
            <w:vAlign w:val="bottom"/>
          </w:tcPr>
          <w:p>
            <w:pPr>
              <w:ind w:left="180"/>
              <w:spacing w:after="0"/>
              <w:rPr>
                <w:sz w:val="20"/>
                <w:szCs w:val="20"/>
                <w:color w:val="auto"/>
              </w:rPr>
            </w:pPr>
            <w:r>
              <w:rPr>
                <w:rFonts w:ascii="Arial" w:cs="Arial" w:eastAsia="Arial" w:hAnsi="Arial"/>
                <w:sz w:val="18"/>
                <w:szCs w:val="18"/>
                <w:color w:val="auto"/>
              </w:rPr>
              <w:t>Customer list</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7,785</w:t>
            </w:r>
          </w:p>
        </w:tc>
      </w:tr>
      <w:tr>
        <w:trPr>
          <w:trHeight w:val="27"/>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9,614</w:t>
            </w:r>
          </w:p>
        </w:tc>
      </w:tr>
      <w:tr>
        <w:trPr>
          <w:trHeight w:val="169"/>
        </w:trPr>
        <w:tc>
          <w:tcPr>
            <w:tcW w:w="89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r>
      <w:tr>
        <w:trPr>
          <w:trHeight w:val="264"/>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3,391</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acquired included finished goods, packaging supplies and raw materials. The inventory fair value was determined using the comparative sales method approach.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MFM purchase agreement provides that we will receive half of the proceeds upon the sale of the real property retained by MFM. The receivable was valued at $500,000 based upon the fair value of the real property, which was determined using a market valuation approach, which may not be the ultimate sale price of the property. We expect to receive these proceeds within a year since MFM is required to sell the real property in order to resolve its bankruptcy proceedings. This receivable is included in current assets on the condensed Consolidated Balance Sheets. Current assets also includes a $130,000 prepaid asset for MFM deposits held by packaging suppliers to which we are entitled.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Various machinery and equipment purchased was valued primarily using a market valuation approach; however, a cost approach was used for certain equipment for which appropriate market comparisons were not available.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deposited $500,000 in an escrow account to fund our maximum obligation to indemnify MFM for expenses incurred to prepare and sell the real property retained by MFM. We expect the full escrow amount to be spent within a year. The cash held in escrow is shown as restricted cash and the corresponding liability is included in current liabilities on the condensed Consolidated Balance Sheets.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acquired a customer list which was recorded as an intangible asset at fair value using an income valuation approach. The valuation process estimated the present value of the anticipated benefits in excess of the returns on the contributory assets required to realize those benefits. The value of the customer list will be amortized over a period of 10 years with an accelerated amortization rate in the earlier years to reflect the expected pattern of decline in the related benefits over time. This customer list is related to the Retail and Wholesale Products Group segment.</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recorded from the acquisition is primarily attributable to anticipated synergies of our product portfolios. All of the goodwill recognized is deductible for tax purposes. This goodwill is related to the Retail and Wholesale Products Group segment.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Deferred taxes reflects primarily the difference between the book basis and tax basis of the accrued expense to indemnify MFM for costs incurred to prepare and sell the real property retained by MFM.</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incurred $120,000 of acquisition-related costs, primarily in the first quarter of fiscal 2014, which are included in selling, general and administrative expenses on the condensed Consolidated Statements of Income and Retained Earnings.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summarized proforma financial information below presents the combined results of operations as if the acquisition of MFM had occurred as of August 1, 2012. MFM’s pre-acquisition results have been added to Oil-Dri’s historical results and include certain adjustments related to the acquisition, such as amortization of intangible assets and depreciation expense. These proforma results do not include any anticipated cost synergies and do not reflect the actual results of operations that would have been achieved, nor are they indicative of future results of operations. The following proforma results are presented for comparative purposes only (unaudited) (in thousands, except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4"/>
          </w:tcPr>
          <w:p>
            <w:pPr>
              <w:ind w:left="3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42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January 31,</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January 31,</w:t>
            </w:r>
          </w:p>
        </w:tc>
        <w:tc>
          <w:tcPr>
            <w:tcW w:w="90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66,697</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137,817</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Proforma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2,057</w:t>
            </w:r>
          </w:p>
        </w:tc>
        <w:tc>
          <w:tcPr>
            <w:tcW w:w="3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6,335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net income per share - Basic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Proforma net income per share - Basic Class B</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0.48</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Proforma net income per share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sales for MFM-related customers after the acquisition that are included in our condensed consolidated financial statements for the second quarter of fiscal 2014 were approximately $3,000,000. The amount of net income specifically attributed to these customers cannot be determined because MFM’s customers’ orders were fulfilled in our existing cat litter manufacturing plants and with our existing sales team and logistics processes.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2013.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6 of the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2014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six months ended January 31, 2014 were $132,851,000, an increase of 8% from net sales of $122,539,000 for the six months ended January 31, 2013. Consolidated net income for the first six months of of fiscal 2014 was $7,168,000, compared to $6,598,000 for the first six months of fiscal 2013. Diluted net income per share was $1.01 for the first six months of fiscal 2014, compared to $0.94 for the first six months of fiscal 2013.</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for the first six months of fiscal 2014 improved due to strong growth in both our operating segments. Our Business to Business Products Group also benefited from a favorable product sales mix (defined as a greater proportion of sales from higher priced products) and higher net selling prices. Consolidated net income for the first six months of fiscal 2014 increased primarily due to the sales growth and a reduction in selling, general and administrative expenses, which was partially offset by increased freight and packaging costs, the rising cost of fuel used in our manufacturing processes, as well as higher non-fuel manufacturing costs. Operating income improved for our Business to Business Products Group, but declined for our Retail and Wholesale Products Group compared to the first six months of fiscal 2013.</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gross profit as a percentage of net sales for the first six months of fiscal 2014 was 25%, which was lower than the 27% reported for the first six months of fiscal 2013. Gross profit declined due primarily to the increased costs of packaging and freight, as described by operating segment below, and higher material costs per ton, which included a 33% increase in the cost of natural gas used to operate kilns that dry our clay. Material costs also included a 3% increase in non-fuel manufacturing cost per ton produced, which was driven primarily by repair and labor costs.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first six months of fiscal 2014 were 18%, compared to 19% for the first six months of fiscal 2013. The discussions of the segments' operating incomes below describe the change in the selling, general and administrative expenses that were allocated to the operating segments. The remaining unallocated corporate expenses in the first six months of fiscal 2014 included a lower estimated annual incentive plan bonus accrual than the prior year. The incentive bonus expense was based on performance targets that were established for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$118,000 lower for the first six months of fiscal 2014 compared to the same period in fiscal 2013 due to a reduction of notes payable.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was 24% of pre-tax income in the first six months of fiscal 2014, which was lower than the 27% rate reported in the first six months of fiscal 2013. Our effective tax rate is based on the projected composition and estimated level of our taxable income for the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net income for the second half of fiscal 2014 will be negatively impacted by cost pressures. This expectation is based on the assumptions that higher natural gas and other manufacturing costs will persist throughout fiscal 2014 and our effective tax rate for the year will be closer to historic norms rather than the approximate 17% reported for the full year of fiscal 2013. We also expect advertising expenditures for the full year of fiscal 2014 to be higher than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first six months of fiscal 2014 were $49,179,000, an increase of $5,682,000, or 13%, from net sales of $43,497,000 for the first six months of fiscal 2013. The net sales increase was attributed to 3% more tons sold, a favorable product sales mix and higher net selling prices. Net sales of fluid purification products were up approximately 17% due primarily to 11% more tons sold. Sales improved in both domestic and foreign markets as the result of global growth in edible oil production. Net sales of animal health and nutrition products increased approximately 33% due primarily to more sales in foreign markets. Net sales of agricultural products increased 8% primarily for agricultural chemical carriers sold to corn rootworm pesticide producers and for other agricultural applications. Our co-packaged traditional coarse cat litter net sales were down slightly compared to the first six months of the prior year.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six months of fiscal 2014 was $15,644,000, an increase of $1,020,000, or 7%, from operating income of $14,624,000 in the first six months of fiscal 2013. Operating income was positively impacted by the improved sales described above, but was negatively impacted by a combined approximate 12% increase in materials, freight and packaging costs. Material costs rose primarily due to a higher price paid for natural gas used to operate kilns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that dry our clay and increases in other non-fuel manufacturing costs. See further discussion of manufacturing costs in “Consolidated Results” above. The increase in freight costs was attributed primarily to more shipments to foreign countries and other cost increases in the freight industry which we expect to continue. Packaging cost increases were driven primarily by supplier price increases.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Business to Business Products Group increased 18% compared to the first six months of fiscal 2013 due primarily to expenses incurred for start up costs for our new subsidiary in China, Amlan International Trading (Shenzhen) Co., Ltd., as well as for sales commissions and product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first six months of fiscal 2014 were $83,672,000, an increase of $4,630,000, or 6%, from net sales of $79,042,000 for the first six months of fiscal 2013. Net sales for our cat litter products increased; however, sales declined for our industrial absorbents and for our foreign subsidiaries. Our foreign subsidiaries are discussed under “Foreign Operations” below. Overall cat litter net sales were up approximately 10%. The benefit of higher sales volume was partially offset by increased trade spending (trade spending reduces net sales). Our branded cat litter net sales increase of approximately 15% was attributed to approximately 47% more net sales of our Cat's Pride Fresh &amp; Light products, as well as higher sales of our other Cat's Pride scoopable and coarse litter products. Private label cat litter sales increased approximately 5% due in part to additional sales from the acquisition of MFM. (See Note 9 of the notes to the condensed consolidated financial statements for more information about the MFM acquisition.) Industrial absorbents net sales declined slightly compared to the first six months of fiscal 2013.</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Retail and Wholesale Products Group's operating income for the first six months of fiscal 2014 was $4,257,000, a decrease of $2,203,000, or 34%, from operating income of $6,460,000 for the first six months of fiscal 2013. The benefit of higher sales discussed above was more than offset by a combined approximate 5% increase in costs for packaging, freight, and materials and by increased selling, general and administrative expenses, as discussed below. Packaging costs are up due to supplier price increases and the mix of products sold. The increase in freight costs was attributed primarily to more shipments to customers in regions with higher freight costs and other cost increases in the freight industry which we expect to continue. Material costs per ton rose primarily due to a higher price paid for natural gas used to operate kilns that dry our clay and increases in other non-fuel manufacturing costs. See further discussion of manufacturing costs in “Consolidated Results” above.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5% higher compared to the first six months of fiscal 2013 due to increased expenses for sales commissions and amortization of intangible assets acquired in the MFM acquisition. Expenditures for advertising and promotions in the first six months of fiscal 2014 were slightly less than for the same period in fiscal 2013; however, we expect advertising and promotional expenditures for the full year of fiscal 2014 to be greater than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by our foreign subsidiaries during the first six months of fiscal 2014 were $5,582,000, a 9% decrease compared to net sales of $6,153,000 during the first six months of fiscal 2013. The net sales decrease was attributed primarily to lower cat litter sales by our Canadian subsidiary due to increased competition, which was partially offset by a favorable sales mix of fluids purification products sold by our United Kingdom subsidiary. Net sales by our foreign subsidiaries represented 4% and 5% of our consolidated net sales during the first six months of fiscal years 2014 and 2013, respectively.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a net loss of $242,000 for the first six months of fiscal 2014 compared to a net loss of $146,000 for the first six months of fiscal 2013. The increase in net loss was due primarily to lower sales described above, which was partially offset by our United Kingdom subsidiary's sales mix including a greater proportion of higher margin products and favorable currency exchange rates.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January 31, 2014 were $7,504,000, compared to $8,569,000 as of January 31, 2013. The decrease was due primarily to lower accounts receivable, net fixed assets, inventories and cash and cash equivalents.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THREE MONTHS ENDED JANUARY 31, 2014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Consolidated net sales for the three months ended January 31, 2014 were $69,305,000, an increase of 13% from net sales of $61,122,000 for the three months ended January 31, 2013. Consolidated net income for the second quarter of fiscal 2014 was $4,281,000, compared to $2,146,000 for the second quarter of fiscal 2013. Diluted net income per share was $0.60 for the second quarter of fiscal 2014, compared to $0.31 for the second quarter of fiscal 2013.</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net sales for the second quarter of fiscal 2014 improved due to strong growth in both our operating segments. Our Business to Business Products Group benefited from a favorable product sales mix and higher net selling prices. Consolidated net income for the second quarter of fiscal 2014 increased primarily due to the higher sales and lower selling, general and administrative costs, which were partially offset by increased freight and packaging costs and the rising cost of fuel used in our manufacturing processes. Operating income improved for both of our operating segments.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gross profit as a percentage of net sales for the second quarter of fiscal 2014 was 24%, which was lower than the 27% reported for the second quarter of fiscal 2013. Gross profit declined due primarily to the increased cost of freight and packaging, as described by operating segment below, and 7% higher material costs per ton, which included a 28% increase in the cost of natural gas used to operate kilns that dry our clay and higher labor costs. We also sold more private label cat litter which generally has a lower gross profit than branded cat litter.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second quarter of fiscal 2014 were 16%, compared to 21% for the second quarter of fiscal 2013. The discussions of the segments' operating incomes below describe the change in the selling, general and administrative expenses that were allocated to the operating segments, particularly lower advertising costs in the Retail and Wholesale Products Group. The remaining unallocated corporate expenses in the second quarter of fiscal 2014 included a lower estimated annual incentive plan bonus accrual. The incentive bonus expense was based on performance targets that were established for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$61,000 lower for the second quarter of fiscal 2014 compared to the same period in fiscal 2013 due to a reduction of notes payable.</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 was 23% of pre-tax income in the second quarter of fiscal 2014, which was lower than the 29% rate reported in the second quarter of fiscal 2013. Our effective tax rate is based on the projected composition and estimated level of our taxable income for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second quarter of fiscal 2014 were $25,264,000, an increase of $3,549,000, or 16%, from net sales of $21,715,000 for the second quarter of fiscal 2013. The net sales increase was attributed to 3% more tons sold, a favorable product sales mix and higher net selling prices. Net sales of fluid purification products were approximately 13% higher due primarily to 7% more tons sold. Sales improved in both domestic and foreign markets as the result of global growth in edible oil production. Net sales of animal health and nutrition products increased approximately 69% due primarily to higher sales and a favorable product sales mix in foreign markets. Net sales of agricultural products increased 19% for chemical carriers and other agricultural applications. Our co-packaged traditional coarse cat litter net sales were down slightly compare to the second quarter of the prior year.</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to Business Products Group’s operating income for the second quarter of fiscal 2014 was $7,993,000, an increase of $892,000, or 13%, from operating income of $7,101,000 in the second quarter of fiscal 2013. Operating income was positively impacted by the improved sales described above, but was negatively impacted primarily by increased materials and freight costs. Material costs increased due primarily to a higher price paid for natural gas used to operate kilns that dry our clay and increases in other non-fuel manufacturing costs. See further discussion of manufacturing costs in “Consolidated Results” above. The increase in freight costs was attributed primarily to more shipments to foreign countries and other cost increases in the freight industry which we expect to continue. Packaging cost increases were driven primarily by supplier price increases.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Business to Business Products Group increased 19% compared to the second quarter of fiscal 2013 due primarily to expenses incurred for start up costs for our new subsidiary in China, Amlan International Trading (Shenzhen) Co., Ltd., sales commissions and product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second quarter of fiscal 2014 were $44,041,000, an increase of $4,634,000 from net sales of $39,407,000 for the second quarter of fiscal 2013. Net sales for our cat litter products increased; however, sales declined for our industrial absorbents and for our foreign subsidiaries. Our foreign subsidiaries are discussed under “Foreign Operations” below. Overall cat litter net sales increased approximately 19%. The benefit of higher sales volume was partially offset by increased trade spending. Our branded cat litter net sales increase of approximately 18% was attributed to approximately 60% more net sales of our Cat's Pride Fresh &amp; Light products, as well as higher sales of our other Cat's Pride scoopable and coarse litter products. Private label cat litter sales increased approximately 24% due in part to additional sales from the acquisition of MFM. (See Note 9 of the notes to the condensed consolidated financial statements for more information about the MFM acquisition.) Industrial absorbents net sales declined slightly compared to the second quarter of fiscal 2013.</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Retail and Wholesale Products Group's operating income for the second quarter of fiscal 2014 was $2,982,000, an increase of $1,046,000 from operating income of $1,936,000 for the second quarter of fiscal 2013. The benefits of the increased sales and lower selling, general and administrative expenses, as discussed below, were partially offset by higher packaging and materials costs. Packaging costs are up due to supplier price increases and the mix of products sold. Material costs per ton rose primarily due to a higher price paid for natural gas used to operate kilns that dry our clay and increases in other non-fuel manufacturing costs. See further discussion of manufacturing costs in “Consolidated Results” above. We also sold more private label cat litter, which generally has a lower gross profit than branded cat litter.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29% lower compared to the second quarter of fiscal 2013 due to decreased advertising and promotion expenditures, which were partially offset by increased amortization costs for intangible assets acquired in the MFM acquisition. Despite lower expenditures for advertising and promotions in the second quarter of fiscal 2014, we expect advertising and promotional expenditures for the full year of fiscal 2014 to be greater than in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by our foreign subsidiaries during the second quarter of fiscal 2014 were $2,604,000, a 21% decrease compared to net sales of $3,307,000 during the second quarter of fiscal 2013. The net sales decrease was attributed to lower sales of cat litter products in our Canadian subsidiary due to increased competition and reduced export sales of fluids purification products by our United Kingdom subsidiary. Net sales by our foreign subsidiaries represented 4% and 5% of our consolidated net sales during the second quarter of fiscal years 2014 and 2013,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$125,000 for the second quarter of fiscal 2014 compared to net income of $21,000 for the second quarter of fiscal 2013. The net loss was due primarily to lower sales and higher material and freight costs for our Canadian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repurchasing Common Stock, paying dividends and, from time to time, making acquisitions. During the first six months of fiscal 2014,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$11,953,000 during the first six months of fiscal 2014 to $12,082,000 at January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300" w:type="dxa"/>
            <w:vAlign w:val="bottom"/>
            <w:tcBorders>
              <w:bottom w:val="single" w:sz="8" w:color="CCEEFF"/>
            </w:tcBorders>
            <w:gridSpan w:val="2"/>
            <w:shd w:val="clear" w:color="auto" w:fill="CCEEFF"/>
          </w:tcPr>
          <w:p>
            <w:pPr>
              <w:ind w:left="200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300" w:type="dxa"/>
            <w:vAlign w:val="bottom"/>
            <w:gridSpan w:val="2"/>
            <w:shd w:val="clear" w:color="auto" w:fill="CCEEFF"/>
          </w:tcPr>
          <w:p>
            <w:pPr>
              <w:ind w:left="200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2014 and 2013, were as follows: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receivable, less allowance for doubtful accounts, increased $5,874,000 in the first six months of fiscal 2014 compared to an increase of $779,000 in the first six months of fiscal 2013. Sales in the first six months of fiscal 2014 were significantly higher than in the first six months of fiscal 2013. The change in both periods is also subject to the timing of sales and collections and the payment terms provided to various customers.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increased $1,347,000 in the first six months of fiscal 2014 compared to an increase of $2,513,000 in the same period in fiscal 2013. Finished goods inventory was up in the first six months of fiscal 2014 primarily due to higher costs and increased tons in inventory to meet the increased sales requirements. Packaging inventories were up due to higher costs and production projections for certain products. Finished goods inventories increased in the first six months of fiscal 2013 due to more tons and the mix of products in inventory, including increased agricultural products to meet forecasted needs.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$725,000 in the first six months of fiscal 2014 compared to a decrease of $879,000 in the first six months of fiscal 2013. The change in the first six months of fiscal 2014 was due to increases in both prepaid insurance and prepaid advertising costs. During the first six months of fiscal 2013, a decrease in prepaid income taxes and deferred trade spending outweighed an increase in prepaid insurance. Prepaid insurance increased in both periods due the timing of insurance premium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increased $312,000 in the first six months of fiscal 2014 compared to a decrease of $24,000 in the first six months of fiscal 2013.</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increased $381,000 in the first six months of fiscal 2014 compared to a decrease of $168,000 in the first six months of fiscal 2013. An increase in trade accounts payable was partially offset by a decrease in accrued income taxes in the first six months of fiscal 2014. In the first six months of fiscal 2013, a decrease in trade accounts payable was partially offset by an increase in accrued income taxes. Trade payables varied in both periods due to timing of payments, cost fluctuations for goods and services we purchased and production volume levels.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Accrued expenses decreased $3,558,000 in the first six months of fiscal 2014 compared to an increase of $690,000 in the first six months of fiscal 2013. Accrued salaries included the discretionary incentive bonus accrual, which in the first six months of both fiscal 2014 and 2013 decreased by the payout of the prior fiscal year's discretionary incentive bonus accrual and increased by the current fiscal year's first six months' discretionary incentive bonus accrual. The payout in the first six months of fiscal 2014 was substantially higher than the payout in the first six months of fiscal 2013. Accrued trade promotions and advertising in the first six months of both fiscal 2014 and 2013 varied due to the timing of marketing programs. Accrued freight changed in both years due to the timing of payments and shipments at quarter-end. Similar to accounts payable, accrued plant expenses fluctuated due to timing of payments, cost fluctuations for goods and services we purchased and our production levels.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compensation increased $407,000 in the first six months of fiscal 2014 compared to an increase of $281,000 in the first six months of fiscal 2013. Deferred compensation balances in both periods were reduced by scheduled payouts and were increased by employee deferrals and interest earned on accumulated deferred compensation balances.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Pension and other postretirement liabilities increased $528,000 in the first six months of fiscal 2014 compared to an increase of $882,000 in the first six months of fiscal 2013. The liability increase for both periods was determined based on actuarial estimates using various assumptions. See Note 5 of the notes to condensed consolidated financial statements for further discussion of our postretirement benefit obligations.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liabilities increased $243,000 in the first six months of fiscal 2014 compared to a decrease of $25,000 in the first six months of fiscal 2013. A reclassification of the accrual for uncertain tax positions to long-term contributed to the increase for the first six months of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was $8,410,000 in the first six months of fiscal 2014 compared to net cash used in investing activities of $6,197,000 in the first six months of fiscal 2013. In the first six months of fiscal 2014, $12,505,000 of cash was used in the acquisition of MFM, plus an additional $500,000 was classified as restricted cash held in escrow at January 31, 2014. See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Note 9 of the notes to condensed consolidated financial statements for additional information about the MFM acquisition. Disposition of investment securities exceeded purchases by $11,361,000 in the first six months of fiscal 2014. Purchases of investment securities exceeded dispositions by $1,222,000 in the first six months of fiscal 2013. Purchases and dispositions of investment securities in both periods are subject to variations in the timing of investment maturities. Cash used for capital expenditures of $6,782,000 in the first six months of fiscal 2014 was primarily for capacity expansion projects and replacement of machinery at our manufacturing facilities. Cash used for capital expenditures of $5,009,000 for the same period in fiscal 2013 was primarily for improvement and replacement of machinery at our manufacturing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financing activities was $5,919,000 in the first six months of fiscal 2014 compared to cash used in financing activities of $6,253,000 in the first six months of fiscal 2013. Scheduled payments on long-term debt in the first six months of fiscal 2014 were $3,500,000 compared to $2,300,000 in the first six months of fiscal 2013. Dividend payments in the first six months of fiscal 2014 were $2,478,000 compared to $4,630,000 paid during the same period of fiscal 2013 due to an acceleration of the third and fourth quarter dividend payments in fiscal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$1,250,000 at January 31, 2014 were lower than the January 31, 2013 balances of $1,331,000 due to continued operating losses as discussed in “Foreign Operations” above.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 $15,000,000 unsecured revolving credit agreement with BMO Harris Bank N.A. (“BMO Harris”) which will expire on December 31, 2014. While there can be no assurance regarding the terms, timing or consummation of any successor agreement, on or before the expiration of this agreement, we may enter into a successor credit agreement with BMO Harris or another financing source. The credit agreement with BMO Harris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January 31, 2014, the variable rates would have been 3.25% for BMO Harris’ prime-based rate or 1.58%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2014 and 2013 and we were in compliance with its covenants.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2014, we had remaining authority to repurchase 311,871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cash flow from operations, availability under our revolving credit facility and current cash and investment balances will provide adequate cash funds for foreseeable working capital needs, capital expenditures at existing facilities, dividend payments and debt service obligations for at least the next 12 months. We expect cash requirements for capital expenditures in fiscal 2014 to be higher than in fiscal 2013 due to projects at our manufacturing facilities, including capacity expansion projects for our fluids purification products. In addition, advertising and promotions spending in fiscal 2014 is expected to greater than in fiscal 2013. We used $12,505,000 of our existing cash and investment balances to acquire certain assets of MFM in the first six months of fiscal 2014, as described in Note 9 of the notes to the condensed consolidated financial statements.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at January 31, 2014 for the time-frames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liability in the above table represents our maximum obligation under the MFM purchase agreement described in Note 9 of the condensed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$437,000 during the first six months of fiscal 2014. We estimate contributions of approximately $601,000 will be made during the remainder of fiscal 2014.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first quarter of fiscal 2014 we adopted new guidance from the FASB issued under ASC 220, </w:t>
      </w:r>
      <w:r>
        <w:rPr>
          <w:rFonts w:ascii="Arial" w:cs="Arial" w:eastAsia="Arial" w:hAnsi="Arial"/>
          <w:sz w:val="18"/>
          <w:szCs w:val="18"/>
          <w:i w:val="1"/>
          <w:iCs w:val="1"/>
          <w:color w:val="auto"/>
        </w:rPr>
        <w:t>Comprehensive Income-Reporting of Amounts Reclassified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 of Accumulated Other Comprehensive Income. </w:t>
      </w:r>
      <w:r>
        <w:rPr>
          <w:rFonts w:ascii="Arial" w:cs="Arial" w:eastAsia="Arial" w:hAnsi="Arial"/>
          <w:sz w:val="18"/>
          <w:szCs w:val="18"/>
          <w:color w:val="auto"/>
        </w:rPr>
        <w:t>The guidance required presentation by the respective net income line items, either on the face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where net income is presented or in the notes, of information about significant amounts required to be reclassified out of AOCI. We elected to present the reclassifications in the notes to the financial statements. See Note 8 of the notes to consolidated financial statements for additional information regarding amounts reclassified from AOCI.</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first quarter of fiscal 2014 we considered the FASB guidance issued under ASC 350, </w:t>
      </w:r>
      <w:r>
        <w:rPr>
          <w:rFonts w:ascii="Arial" w:cs="Arial" w:eastAsia="Arial" w:hAnsi="Arial"/>
          <w:sz w:val="17"/>
          <w:szCs w:val="17"/>
          <w:i w:val="1"/>
          <w:iCs w:val="1"/>
          <w:color w:val="auto"/>
        </w:rPr>
        <w:t>Testing Indefinite-Lived Intangible Assets for Impairment,</w:t>
      </w:r>
      <w:r>
        <w:rPr>
          <w:rFonts w:ascii="Arial" w:cs="Arial" w:eastAsia="Arial" w:hAnsi="Arial"/>
          <w:sz w:val="17"/>
          <w:szCs w:val="17"/>
          <w:color w:val="auto"/>
        </w:rPr>
        <w:t xml:space="preserve"> which provides the option to first assess qualitative factors to determine if the annual two-step test for impairment must be performed. Based on the relevant events and circumstances that could have affected the significant inputs used to determine the fair value of our indefinite-lived intangible assets, we determined that it is more likely than not that these assets are not impaired and we did not perform a quantitative impairment assessment. There was no impact on our condensed consolidated financial statements as a result of this new guidance.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6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first six months of fiscal 2014 we did not enter into any hedge contracts in an attempt to offset any adverse effect of changes in currency exchange rates. We believe that the overall foreign currency fluctuation risk is not material to our consolidated financial statements.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2014. We continue to purchase natural gas at spot rates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2014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January 31, 2014,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Number of Shares</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Ended January 31, 2014</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2</w:t>
            </w: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1, 2013 to</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2013</w:t>
            </w:r>
          </w:p>
        </w:tc>
        <w:tc>
          <w:tcPr>
            <w:tcW w:w="2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312,197</w:t>
            </w: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December 1, 2013 to</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326</w:t>
            </w:r>
          </w:p>
        </w:tc>
        <w:tc>
          <w:tcPr>
            <w:tcW w:w="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$37.84</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326</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6"/>
              </w:rPr>
              <w:t>311,871</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2014 to</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31, 2014</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311,871</w:t>
            </w: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2013 filed with the SEC.</w:t>
      </w:r>
    </w:p>
    <w:p>
      <w:pPr>
        <w:spacing w:after="0" w:line="202" w:lineRule="exact"/>
        <w:rPr>
          <w:sz w:val="20"/>
          <w:szCs w:val="20"/>
          <w:color w:val="auto"/>
        </w:rPr>
      </w:pPr>
    </w:p>
    <w:p>
      <w:pPr>
        <w:jc w:val="both"/>
        <w:ind w:firstLine="8"/>
        <w:spacing w:after="0" w:line="232" w:lineRule="auto"/>
        <w:tabs>
          <w:tab w:leader="none" w:pos="11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2014</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20"/>
          </w:cols>
          <w:pgMar w:left="580" w:top="584" w:right="9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For the Three Months Ended</w:t>
            </w:r>
          </w:p>
        </w:tc>
        <w:tc>
          <w:tcPr>
            <w:tcW w:w="120" w:type="dxa"/>
            <w:vAlign w:val="bottom"/>
          </w:tcPr>
          <w:p>
            <w:pPr>
              <w:spacing w:after="0"/>
              <w:rPr>
                <w:sz w:val="18"/>
                <w:szCs w:val="18"/>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ind w:left="46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0"/>
                <w:szCs w:val="20"/>
                <w:color w:val="auto"/>
              </w:rPr>
            </w:pP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14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2"/>
              </w:rPr>
              <w:t>Less: Distributed and undistributed earnings allocated to non-vested stock</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7,062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4,967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1,999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1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7,007</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6,991</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1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51"/>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11, 2014</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11, 2014</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11,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11,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12,844</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5,431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2,261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4,674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2014.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31"/>
    </w:lvl>
  </w:abstractNum>
  <w:abstractNum w:abstractNumId="8">
    <w:nsid w:val="1220085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2020-01-26T09:30:30Z</dcterms:created>
  <dcterms:modified xsi:type="dcterms:W3CDTF">2020-01-26T09:30:30Z</dcterms:modified>
</cp:coreProperties>
</file>