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78" w:lineRule="exact"/>
        <w:rPr>
          <w:sz w:val="24"/>
          <w:szCs w:val="24"/>
          <w:color w:val="auto"/>
        </w:rPr>
      </w:pPr>
    </w:p>
    <w:tbl>
      <w:tblPr>
        <w:tblLayout w:type="fixed"/>
        <w:tblInd w:w="360" w:type="dxa"/>
        <w:tblCellMar>
          <w:top w:w="0" w:type="dxa"/>
          <w:left w:w="0" w:type="dxa"/>
          <w:bottom w:w="0" w:type="dxa"/>
          <w:right w:w="0" w:type="dxa"/>
        </w:tblCellMar>
      </w:tblPr>
      <w:tr>
        <w:trPr>
          <w:trHeight w:val="203"/>
        </w:trPr>
        <w:tc>
          <w:tcPr>
            <w:tcW w:w="69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tc>
        <w:tc>
          <w:tcPr>
            <w:tcW w:w="2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December 8, 2025</w:t>
            </w:r>
          </w:p>
        </w:tc>
        <w:tc>
          <w:tcPr>
            <w:tcW w:w="0" w:type="dxa"/>
            <w:vAlign w:val="bottom"/>
          </w:tcPr>
          <w:p>
            <w:pPr>
              <w:spacing w:after="0"/>
              <w:rPr>
                <w:sz w:val="1"/>
                <w:szCs w:val="1"/>
                <w:color w:val="auto"/>
              </w:rPr>
            </w:pPr>
          </w:p>
        </w:tc>
      </w:tr>
      <w:tr>
        <w:trPr>
          <w:trHeight w:val="469"/>
        </w:trPr>
        <w:tc>
          <w:tcPr>
            <w:tcW w:w="3040" w:type="dxa"/>
            <w:vAlign w:val="bottom"/>
          </w:tcPr>
          <w:p>
            <w:pPr>
              <w:spacing w:after="0"/>
              <w:rPr>
                <w:sz w:val="24"/>
                <w:szCs w:val="24"/>
                <w:color w:val="auto"/>
              </w:rPr>
            </w:pPr>
          </w:p>
        </w:tc>
        <w:tc>
          <w:tcPr>
            <w:tcW w:w="38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OIL-DRI CORPORATION OF AMERICA</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38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7"/>
              </w:rPr>
              <w:t>(Exact name of the registrant as specified in its charter)</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6"/>
        </w:trPr>
        <w:tc>
          <w:tcPr>
            <w:tcW w:w="304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80" w:type="dxa"/>
            <w:vAlign w:val="bottom"/>
          </w:tcPr>
          <w:p>
            <w:pPr>
              <w:jc w:val="right"/>
              <w:ind w:right="1662"/>
              <w:spacing w:after="0"/>
              <w:rPr>
                <w:sz w:val="20"/>
                <w:szCs w:val="20"/>
                <w:color w:val="auto"/>
              </w:rPr>
            </w:pPr>
            <w:r>
              <w:rPr>
                <w:rFonts w:ascii="Times New Roman" w:cs="Times New Roman" w:eastAsia="Times New Roman" w:hAnsi="Times New Roman"/>
                <w:sz w:val="16"/>
                <w:szCs w:val="16"/>
                <w:b w:val="1"/>
                <w:bCs w:val="1"/>
                <w:color w:val="auto"/>
              </w:rPr>
              <w:t>001-12622</w:t>
            </w:r>
          </w:p>
        </w:tc>
        <w:tc>
          <w:tcPr>
            <w:tcW w:w="2560" w:type="dxa"/>
            <w:vAlign w:val="bottom"/>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8"/>
              </w:rPr>
              <w:t>36-2048898</w:t>
            </w:r>
          </w:p>
        </w:tc>
        <w:tc>
          <w:tcPr>
            <w:tcW w:w="0" w:type="dxa"/>
            <w:vAlign w:val="bottom"/>
          </w:tcPr>
          <w:p>
            <w:pPr>
              <w:spacing w:after="0"/>
              <w:rPr>
                <w:sz w:val="1"/>
                <w:szCs w:val="1"/>
                <w:color w:val="auto"/>
              </w:rPr>
            </w:pPr>
          </w:p>
        </w:tc>
      </w:tr>
      <w:tr>
        <w:trPr>
          <w:trHeight w:val="158"/>
        </w:trPr>
        <w:tc>
          <w:tcPr>
            <w:tcW w:w="30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3880" w:type="dxa"/>
            <w:vAlign w:val="bottom"/>
            <w:vMerge w:val="restart"/>
          </w:tcPr>
          <w:p>
            <w:pPr>
              <w:jc w:val="center"/>
              <w:ind w:right="202"/>
              <w:spacing w:after="0"/>
              <w:rPr>
                <w:sz w:val="20"/>
                <w:szCs w:val="20"/>
                <w:color w:val="auto"/>
              </w:rPr>
            </w:pPr>
            <w:r>
              <w:rPr>
                <w:rFonts w:ascii="Times New Roman" w:cs="Times New Roman" w:eastAsia="Times New Roman" w:hAnsi="Times New Roman"/>
                <w:sz w:val="16"/>
                <w:szCs w:val="16"/>
                <w:color w:val="auto"/>
                <w:w w:val="97"/>
              </w:rPr>
              <w:t>(Commission File Number)</w:t>
            </w:r>
          </w:p>
        </w:tc>
        <w:tc>
          <w:tcPr>
            <w:tcW w:w="2560" w:type="dxa"/>
            <w:vAlign w:val="bottom"/>
            <w:vMerge w:val="restart"/>
          </w:tcPr>
          <w:p>
            <w:pPr>
              <w:jc w:val="center"/>
              <w:ind w:left="22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c>
          <w:tcPr>
            <w:tcW w:w="0" w:type="dxa"/>
            <w:vAlign w:val="bottom"/>
          </w:tcPr>
          <w:p>
            <w:pPr>
              <w:spacing w:after="0"/>
              <w:rPr>
                <w:sz w:val="1"/>
                <w:szCs w:val="1"/>
                <w:color w:val="auto"/>
              </w:rPr>
            </w:pPr>
          </w:p>
        </w:tc>
      </w:tr>
      <w:tr>
        <w:trPr>
          <w:trHeight w:val="203"/>
        </w:trPr>
        <w:tc>
          <w:tcPr>
            <w:tcW w:w="304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8"/>
              </w:rPr>
              <w:t>organization)</w:t>
            </w:r>
          </w:p>
        </w:tc>
        <w:tc>
          <w:tcPr>
            <w:tcW w:w="3880" w:type="dxa"/>
            <w:vAlign w:val="bottom"/>
            <w:vMerge w:val="continue"/>
          </w:tcPr>
          <w:p>
            <w:pPr>
              <w:spacing w:after="0"/>
              <w:rPr>
                <w:sz w:val="17"/>
                <w:szCs w:val="17"/>
                <w:color w:val="auto"/>
              </w:rPr>
            </w:pPr>
          </w:p>
        </w:tc>
        <w:tc>
          <w:tcPr>
            <w:tcW w:w="2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410 North Michigan Avenue, Suite 400</w:t>
            </w: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4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7"/>
              </w:rPr>
              <w:t>Chicago, Illinois</w:t>
            </w:r>
          </w:p>
        </w:tc>
        <w:tc>
          <w:tcPr>
            <w:tcW w:w="3880" w:type="dxa"/>
            <w:vAlign w:val="bottom"/>
          </w:tcPr>
          <w:p>
            <w:pPr>
              <w:spacing w:after="0"/>
              <w:rPr>
                <w:sz w:val="17"/>
                <w:szCs w:val="17"/>
                <w:color w:val="auto"/>
              </w:rPr>
            </w:pPr>
          </w:p>
        </w:tc>
        <w:tc>
          <w:tcPr>
            <w:tcW w:w="25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8"/>
              </w:rPr>
              <w:t>60611-4213</w:t>
            </w:r>
          </w:p>
        </w:tc>
        <w:tc>
          <w:tcPr>
            <w:tcW w:w="0" w:type="dxa"/>
            <w:vAlign w:val="bottom"/>
          </w:tcPr>
          <w:p>
            <w:pPr>
              <w:spacing w:after="0"/>
              <w:rPr>
                <w:sz w:val="1"/>
                <w:szCs w:val="1"/>
                <w:color w:val="auto"/>
              </w:rPr>
            </w:pPr>
          </w:p>
        </w:tc>
      </w:tr>
      <w:tr>
        <w:trPr>
          <w:trHeight w:val="204"/>
        </w:trPr>
        <w:tc>
          <w:tcPr>
            <w:tcW w:w="304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880" w:type="dxa"/>
            <w:vAlign w:val="bottom"/>
          </w:tcPr>
          <w:p>
            <w:pPr>
              <w:spacing w:after="0"/>
              <w:rPr>
                <w:sz w:val="17"/>
                <w:szCs w:val="17"/>
                <w:color w:val="auto"/>
              </w:rPr>
            </w:pPr>
          </w:p>
        </w:tc>
        <w:tc>
          <w:tcPr>
            <w:tcW w:w="25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6"/>
              </w:rPr>
              <w:t>(Zip Code)</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66922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2265" cy="7620"/>
                    </a:xfrm>
                    <a:prstGeom prst="rect">
                      <a:avLst/>
                    </a:prstGeom>
                    <a:noFill/>
                  </pic:spPr>
                </pic:pic>
              </a:graphicData>
            </a:graphic>
          </wp:anchor>
        </w:drawing>
      </w:r>
    </w:p>
    <w:p>
      <w:pPr>
        <w:spacing w:after="0" w:line="3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08"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71" w:lineRule="exact"/>
        <w:rPr>
          <w:sz w:val="24"/>
          <w:szCs w:val="24"/>
          <w:color w:val="auto"/>
        </w:rPr>
      </w:pPr>
    </w:p>
    <w:p>
      <w:pPr>
        <w:ind w:left="720" w:hanging="522"/>
        <w:spacing w:after="0"/>
        <w:tabs>
          <w:tab w:leader="none" w:pos="7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720" w:hanging="522"/>
        <w:spacing w:after="0"/>
        <w:tabs>
          <w:tab w:leader="none" w:pos="7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720" w:hanging="534"/>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720" w:hanging="534"/>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40" w:orient="portrait"/>
          <w:cols w:equalWidth="0" w:num="1">
            <w:col w:w="10560"/>
          </w:cols>
          <w:pgMar w:left="660" w:top="1239" w:right="680" w:bottom="1440" w:gutter="0" w:footer="0" w:header="0"/>
        </w:sectPr>
      </w:pPr>
    </w:p>
    <w:p>
      <w:pPr>
        <w:spacing w:after="0" w:line="102"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5" w:lineRule="exact"/>
        <w:rPr>
          <w:sz w:val="24"/>
          <w:szCs w:val="24"/>
          <w:color w:val="auto"/>
        </w:rPr>
      </w:pPr>
    </w:p>
    <w:p>
      <w:pPr>
        <w:sectPr>
          <w:pgSz w:w="11900" w:h="16840" w:orient="portrait"/>
          <w:cols w:equalWidth="0" w:num="3">
            <w:col w:w="3740" w:space="720"/>
            <w:col w:w="1400" w:space="720"/>
            <w:col w:w="3980"/>
          </w:cols>
          <w:pgMar w:left="660" w:top="1239" w:right="680"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174" w:lineRule="exact"/>
        <w:rPr>
          <w:sz w:val="24"/>
          <w:szCs w:val="24"/>
          <w:color w:val="auto"/>
        </w:rPr>
      </w:pPr>
    </w:p>
    <w:p>
      <w:pPr>
        <w:sectPr>
          <w:pgSz w:w="11900" w:h="16840" w:orient="portrait"/>
          <w:cols w:equalWidth="0" w:num="3">
            <w:col w:w="4200" w:space="720"/>
            <w:col w:w="1520" w:space="720"/>
            <w:col w:w="3400"/>
          </w:cols>
          <w:pgMar w:left="660" w:top="1239" w:right="680" w:bottom="1440" w:gutter="0" w:footer="0" w:header="0"/>
          <w:type w:val="continuous"/>
        </w:sect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756920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45720</wp:posOffset>
            </wp:positionV>
            <wp:extent cx="666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1785" cy="762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76200</wp:posOffset>
            </wp:positionV>
            <wp:extent cx="66617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1785" cy="762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type w:val="continuous"/>
        </w:sectPr>
      </w:pPr>
    </w:p>
    <w:bookmarkStart w:id="1" w:name="page2"/>
    <w:bookmarkEnd w:id="1"/>
    <w:p>
      <w:pPr>
        <w:ind w:left="220"/>
        <w:spacing w:after="0"/>
        <w:tabs>
          <w:tab w:leader="none" w:pos="1240" w:val="left"/>
        </w:tabs>
        <w:rPr>
          <w:sz w:val="20"/>
          <w:szCs w:val="20"/>
          <w:color w:val="auto"/>
        </w:rPr>
      </w:pPr>
      <w:r>
        <w:rPr>
          <w:rFonts w:ascii="Times New Roman" w:cs="Times New Roman" w:eastAsia="Times New Roman" w:hAnsi="Times New Roman"/>
          <w:sz w:val="16"/>
          <w:szCs w:val="16"/>
          <w:b w:val="1"/>
          <w:bCs w:val="1"/>
          <w:u w:val="single" w:color="auto"/>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26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On December 8, 2025, Oil-Dri Corporation of America (the “Company”) issued a press release announcing its results of operations for its first quarter ended October 31, 2025. A copy of the press release is attached as Exhibit 99.1, and the information contained therein is incorporated herein by reference.</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93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8"/>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(d)</w:t>
            </w:r>
          </w:p>
        </w:tc>
        <w:tc>
          <w:tcPr>
            <w:tcW w:w="3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Exhibits</w:t>
            </w: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5"/>
              </w:rPr>
              <w:t>Number</w:t>
            </w: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860" w:type="dxa"/>
            <w:vAlign w:val="bottom"/>
            <w:tcBorders>
              <w:bottom w:val="single" w:sz="8" w:color="auto"/>
            </w:tcBorders>
            <w:gridSpan w:val="2"/>
          </w:tcPr>
          <w:p>
            <w:pPr>
              <w:ind w:left="3700"/>
              <w:spacing w:after="0"/>
              <w:rPr>
                <w:sz w:val="20"/>
                <w:szCs w:val="20"/>
                <w:color w:val="auto"/>
              </w:rPr>
            </w:pPr>
            <w:r>
              <w:rPr>
                <w:rFonts w:ascii="Times New Roman" w:cs="Times New Roman" w:eastAsia="Times New Roman" w:hAnsi="Times New Roman"/>
                <w:sz w:val="16"/>
                <w:szCs w:val="16"/>
                <w:color w:val="auto"/>
              </w:rPr>
              <w:t>Description of Exhibits</w:t>
            </w:r>
          </w:p>
        </w:tc>
        <w:tc>
          <w:tcPr>
            <w:tcW w:w="20" w:type="dxa"/>
            <w:vAlign w:val="bottom"/>
          </w:tcPr>
          <w:p>
            <w:pPr>
              <w:spacing w:after="0"/>
              <w:rPr>
                <w:sz w:val="17"/>
                <w:szCs w:val="17"/>
                <w:color w:val="auto"/>
              </w:rPr>
            </w:pPr>
          </w:p>
        </w:tc>
      </w:tr>
      <w:tr>
        <w:trPr>
          <w:trHeight w:val="365"/>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24"/>
                <w:szCs w:val="24"/>
                <w:color w:val="auto"/>
              </w:rPr>
            </w:pPr>
          </w:p>
        </w:tc>
        <w:tc>
          <w:tcPr>
            <w:tcW w:w="8880" w:type="dxa"/>
            <w:vAlign w:val="bottom"/>
            <w:gridSpan w:val="3"/>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Earnings Press Release of the Company dated December 8, 2025</w:t>
              </w:r>
            </w:hyperlink>
          </w:p>
        </w:tc>
      </w:tr>
      <w:tr>
        <w:trPr>
          <w:trHeight w:val="20"/>
        </w:trPr>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266"/>
        </w:trPr>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tcPr>
          <w:p>
            <w:pPr>
              <w:spacing w:after="0"/>
              <w:rPr>
                <w:sz w:val="23"/>
                <w:szCs w:val="23"/>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(the cover page XBRL tags are embedded within the iXBRL document)</w:t>
            </w:r>
          </w:p>
        </w:tc>
      </w:tr>
      <w:tr>
        <w:trPr>
          <w:trHeight w:val="1394"/>
        </w:trPr>
        <w:tc>
          <w:tcPr>
            <w:tcW w:w="2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020" w:type="dxa"/>
            <w:vAlign w:val="bottom"/>
            <w:tcBorders>
              <w:bottom w:val="single" w:sz="8" w:color="EEEEEE"/>
            </w:tcBorders>
          </w:tcPr>
          <w:p>
            <w:pPr>
              <w:spacing w:after="0"/>
              <w:rPr>
                <w:sz w:val="24"/>
                <w:szCs w:val="24"/>
                <w:color w:val="auto"/>
              </w:rPr>
            </w:pPr>
          </w:p>
        </w:tc>
        <w:tc>
          <w:tcPr>
            <w:tcW w:w="48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7" w:right="660"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OIL-DRI CORPORATION OF AMERICA</w:t>
      </w:r>
    </w:p>
    <w:p>
      <w:pPr>
        <w:spacing w:after="0" w:line="224" w:lineRule="exact"/>
        <w:rPr>
          <w:sz w:val="20"/>
          <w:szCs w:val="20"/>
          <w:color w:val="auto"/>
        </w:rPr>
      </w:pPr>
    </w:p>
    <w:p>
      <w:pPr>
        <w:ind w:left="4820"/>
        <w:spacing w:after="0"/>
        <w:tabs>
          <w:tab w:leader="none" w:pos="5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Anthony W.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13335</wp:posOffset>
            </wp:positionV>
            <wp:extent cx="32315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1515" cy="7620"/>
                    </a:xfrm>
                    <a:prstGeom prst="rect">
                      <a:avLst/>
                    </a:prstGeom>
                    <a:noFill/>
                  </pic:spPr>
                </pic:pic>
              </a:graphicData>
            </a:graphic>
          </wp:anchor>
        </w:drawing>
      </w:r>
    </w:p>
    <w:p>
      <w:pPr>
        <w:spacing w:after="0" w:line="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Anthony W. Parker</w:t>
      </w:r>
    </w:p>
    <w:p>
      <w:pPr>
        <w:spacing w:after="0" w:line="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Vice President, General Counsel &amp; Secretary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8, 2025</w:t>
      </w:r>
    </w:p>
    <w:p>
      <w:pPr>
        <w:sectPr>
          <w:pgSz w:w="11900" w:h="16840" w:orient="portrait"/>
          <w:cols w:equalWidth="0" w:num="1">
            <w:col w:w="10240"/>
          </w:cols>
          <w:pgMar w:left="660" w:top="1239" w:right="1000" w:bottom="1440" w:gutter="0" w:footer="0" w:header="0"/>
        </w:sectPr>
      </w:pPr>
    </w:p>
    <w:bookmarkStart w:id="3" w:name="page4"/>
    <w:bookmarkEnd w:id="3"/>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3121025</wp:posOffset>
            </wp:positionH>
            <wp:positionV relativeFrom="page">
              <wp:posOffset>506730</wp:posOffset>
            </wp:positionV>
            <wp:extent cx="1311275" cy="434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343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i w:val="1"/>
          <w:iCs w:val="1"/>
          <w:color w:val="002D69"/>
        </w:rPr>
        <w:t>410 N. Michigan Ave. Chicago, Illinois 60611, U.S.A</w:t>
      </w:r>
    </w:p>
    <w:p>
      <w:pPr>
        <w:spacing w:after="0" w:line="2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002D69"/>
        </w:rPr>
        <w:t>News Announcement</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84455</wp:posOffset>
            </wp:positionV>
            <wp:extent cx="61969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6965" cy="15240"/>
                    </a:xfrm>
                    <a:prstGeom prst="rect">
                      <a:avLst/>
                    </a:prstGeom>
                    <a:noFill/>
                  </pic:spPr>
                </pic:pic>
              </a:graphicData>
            </a:graphic>
          </wp:anchor>
        </w:drawing>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99.1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Oil-Dri Announces Second Highest Quarterly Earnings in History</w:t>
      </w:r>
    </w:p>
    <w:p>
      <w:pPr>
        <w:spacing w:after="0" w:line="24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9"/>
          <w:szCs w:val="19"/>
          <w:color w:val="auto"/>
        </w:rPr>
        <w:t>CHICAGO-(December 8, 2025) - Oil-Dri Corporation of America (NYSE: ODC), producer and marketer of sorbent mineral products, today announced results for its first quarter of fiscal year 2026.</w:t>
      </w:r>
    </w:p>
    <w:p>
      <w:pPr>
        <w:spacing w:after="0" w:line="42" w:lineRule="exact"/>
        <w:rPr>
          <w:sz w:val="20"/>
          <w:szCs w:val="20"/>
          <w:color w:val="auto"/>
        </w:rPr>
      </w:pPr>
    </w:p>
    <w:tbl>
      <w:tblPr>
        <w:tblLayout w:type="fixed"/>
        <w:tblInd w:w="29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100" w:type="dxa"/>
            <w:vAlign w:val="bottom"/>
          </w:tcPr>
          <w:p>
            <w:pPr>
              <w:spacing w:after="0"/>
              <w:rPr>
                <w:sz w:val="17"/>
                <w:szCs w:val="17"/>
                <w:color w:val="auto"/>
              </w:rPr>
            </w:pPr>
          </w:p>
        </w:tc>
      </w:tr>
      <w:tr>
        <w:trPr>
          <w:trHeight w:val="206"/>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6"/>
                <w:szCs w:val="16"/>
                <w:i w:val="1"/>
                <w:iCs w:val="1"/>
                <w:color w:val="auto"/>
              </w:rPr>
              <w:t>Ended October 31,</w:t>
            </w:r>
          </w:p>
        </w:tc>
        <w:tc>
          <w:tcPr>
            <w:tcW w:w="1100" w:type="dxa"/>
            <w:vAlign w:val="bottom"/>
            <w:tcBorders>
              <w:bottom w:val="single" w:sz="8" w:color="auto"/>
            </w:tcBorders>
          </w:tcPr>
          <w:p>
            <w:pPr>
              <w:spacing w:after="0"/>
              <w:rPr>
                <w:sz w:val="17"/>
                <w:szCs w:val="17"/>
                <w:color w:val="auto"/>
              </w:rPr>
            </w:pPr>
          </w:p>
        </w:tc>
      </w:tr>
      <w:tr>
        <w:trPr>
          <w:trHeight w:val="197"/>
        </w:trPr>
        <w:tc>
          <w:tcPr>
            <w:tcW w:w="6440" w:type="dxa"/>
            <w:vAlign w:val="bottom"/>
            <w:tcBorders>
              <w:left w:val="single" w:sz="8" w:color="auto"/>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4"/>
        </w:trPr>
        <w:tc>
          <w:tcPr>
            <w:tcW w:w="64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6"/>
                <w:szCs w:val="16"/>
                <w:color w:val="FFFFFF"/>
              </w:rPr>
              <w:t>Consolidated Results</w:t>
            </w:r>
          </w:p>
        </w:tc>
        <w:tc>
          <w:tcPr>
            <w:tcW w:w="24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100" w:type="dxa"/>
            <w:vAlign w:val="bottom"/>
            <w:tcBorders>
              <w:right w:val="single" w:sz="8" w:color="auto"/>
            </w:tcBorders>
            <w:shd w:val="clear" w:color="auto" w:fill="000000"/>
          </w:tcPr>
          <w:p>
            <w:pPr>
              <w:spacing w:after="0"/>
              <w:rPr>
                <w:sz w:val="17"/>
                <w:szCs w:val="17"/>
                <w:color w:val="auto"/>
              </w:rPr>
            </w:pPr>
          </w:p>
        </w:tc>
      </w:tr>
      <w:tr>
        <w:trPr>
          <w:trHeight w:val="203"/>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120,486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127,945</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(6)%</w:t>
            </w:r>
          </w:p>
        </w:tc>
      </w:tr>
      <w:tr>
        <w:trPr>
          <w:trHeight w:val="203"/>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 *</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21,190</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(20)%</w:t>
            </w:r>
          </w:p>
        </w:tc>
      </w:tr>
      <w:tr>
        <w:trPr>
          <w:trHeight w:val="204"/>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16,376</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(6)%</w:t>
            </w:r>
          </w:p>
        </w:tc>
      </w:tr>
      <w:tr>
        <w:trPr>
          <w:trHeight w:val="204"/>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EBITDA †</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26,167</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(10)%</w:t>
            </w:r>
          </w:p>
        </w:tc>
      </w:tr>
      <w:tr>
        <w:trPr>
          <w:trHeight w:val="205"/>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Diluted EPS - Common ‡</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1.13</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(6)%</w:t>
            </w:r>
          </w:p>
        </w:tc>
      </w:tr>
      <w:tr>
        <w:trPr>
          <w:trHeight w:val="205"/>
        </w:trPr>
        <w:tc>
          <w:tcPr>
            <w:tcW w:w="64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6"/>
                <w:szCs w:val="16"/>
                <w:color w:val="FFFFFF"/>
              </w:rPr>
              <w:t>Business to Business</w:t>
            </w:r>
          </w:p>
        </w:tc>
        <w:tc>
          <w:tcPr>
            <w:tcW w:w="24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60" w:type="dxa"/>
            <w:vAlign w:val="bottom"/>
            <w:shd w:val="clear" w:color="auto" w:fill="000000"/>
          </w:tcPr>
          <w:p>
            <w:pPr>
              <w:spacing w:after="0"/>
              <w:rPr>
                <w:sz w:val="17"/>
                <w:szCs w:val="17"/>
                <w:color w:val="auto"/>
              </w:rPr>
            </w:pPr>
          </w:p>
        </w:tc>
        <w:tc>
          <w:tcPr>
            <w:tcW w:w="1100" w:type="dxa"/>
            <w:vAlign w:val="bottom"/>
            <w:tcBorders>
              <w:right w:val="single" w:sz="8" w:color="auto"/>
            </w:tcBorders>
            <w:shd w:val="clear" w:color="auto" w:fill="000000"/>
          </w:tcPr>
          <w:p>
            <w:pPr>
              <w:spacing w:after="0"/>
              <w:rPr>
                <w:sz w:val="17"/>
                <w:szCs w:val="17"/>
                <w:color w:val="auto"/>
              </w:rPr>
            </w:pPr>
          </w:p>
        </w:tc>
      </w:tr>
      <w:tr>
        <w:trPr>
          <w:trHeight w:val="203"/>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48,415</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(9)%</w:t>
            </w:r>
          </w:p>
        </w:tc>
      </w:tr>
      <w:tr>
        <w:trPr>
          <w:trHeight w:val="204"/>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17,110</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(20)%</w:t>
            </w:r>
          </w:p>
        </w:tc>
      </w:tr>
      <w:tr>
        <w:trPr>
          <w:trHeight w:val="205"/>
        </w:trPr>
        <w:tc>
          <w:tcPr>
            <w:tcW w:w="6440" w:type="dxa"/>
            <w:vAlign w:val="bottom"/>
            <w:tcBorders>
              <w:left w:val="single" w:sz="8" w:color="auto"/>
              <w:bottom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6"/>
                <w:szCs w:val="16"/>
                <w:color w:val="FFFFFF"/>
              </w:rPr>
              <w:t>Retail and Wholesale</w:t>
            </w:r>
          </w:p>
        </w:tc>
        <w:tc>
          <w:tcPr>
            <w:tcW w:w="240" w:type="dxa"/>
            <w:vAlign w:val="bottom"/>
            <w:tcBorders>
              <w:bottom w:val="single" w:sz="8" w:color="auto"/>
            </w:tcBorders>
            <w:shd w:val="clear" w:color="auto" w:fill="000000"/>
          </w:tcPr>
          <w:p>
            <w:pPr>
              <w:spacing w:after="0"/>
              <w:rPr>
                <w:sz w:val="17"/>
                <w:szCs w:val="17"/>
                <w:color w:val="auto"/>
              </w:rPr>
            </w:pPr>
          </w:p>
        </w:tc>
        <w:tc>
          <w:tcPr>
            <w:tcW w:w="840" w:type="dxa"/>
            <w:vAlign w:val="bottom"/>
            <w:tcBorders>
              <w:bottom w:val="single" w:sz="8" w:color="auto"/>
            </w:tcBorders>
            <w:shd w:val="clear" w:color="auto" w:fill="000000"/>
          </w:tcPr>
          <w:p>
            <w:pPr>
              <w:spacing w:after="0"/>
              <w:rPr>
                <w:sz w:val="17"/>
                <w:szCs w:val="17"/>
                <w:color w:val="auto"/>
              </w:rPr>
            </w:pPr>
          </w:p>
        </w:tc>
        <w:tc>
          <w:tcPr>
            <w:tcW w:w="180" w:type="dxa"/>
            <w:vAlign w:val="bottom"/>
            <w:tcBorders>
              <w:bottom w:val="single" w:sz="8" w:color="auto"/>
            </w:tcBorders>
            <w:shd w:val="clear" w:color="auto" w:fill="000000"/>
          </w:tcPr>
          <w:p>
            <w:pPr>
              <w:spacing w:after="0"/>
              <w:rPr>
                <w:sz w:val="17"/>
                <w:szCs w:val="17"/>
                <w:color w:val="auto"/>
              </w:rPr>
            </w:pPr>
          </w:p>
        </w:tc>
        <w:tc>
          <w:tcPr>
            <w:tcW w:w="1260" w:type="dxa"/>
            <w:vAlign w:val="bottom"/>
            <w:tcBorders>
              <w:bottom w:val="single" w:sz="8" w:color="auto"/>
            </w:tcBorders>
            <w:shd w:val="clear" w:color="auto" w:fill="000000"/>
          </w:tcPr>
          <w:p>
            <w:pPr>
              <w:spacing w:after="0"/>
              <w:rPr>
                <w:sz w:val="17"/>
                <w:szCs w:val="17"/>
                <w:color w:val="auto"/>
              </w:rPr>
            </w:pPr>
          </w:p>
        </w:tc>
        <w:tc>
          <w:tcPr>
            <w:tcW w:w="1100" w:type="dxa"/>
            <w:vAlign w:val="bottom"/>
            <w:tcBorders>
              <w:bottom w:val="single" w:sz="8" w:color="auto"/>
              <w:right w:val="single" w:sz="8" w:color="auto"/>
            </w:tcBorders>
            <w:shd w:val="clear" w:color="auto" w:fill="000000"/>
          </w:tcPr>
          <w:p>
            <w:pPr>
              <w:spacing w:after="0"/>
              <w:rPr>
                <w:sz w:val="17"/>
                <w:szCs w:val="17"/>
                <w:color w:val="auto"/>
              </w:rPr>
            </w:pPr>
          </w:p>
        </w:tc>
      </w:tr>
      <w:tr>
        <w:trPr>
          <w:trHeight w:val="196"/>
        </w:trPr>
        <w:tc>
          <w:tcPr>
            <w:tcW w:w="6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79,530</w:t>
            </w:r>
          </w:p>
        </w:tc>
        <w:tc>
          <w:tcPr>
            <w:tcW w:w="1100" w:type="dxa"/>
            <w:vAlign w:val="bottom"/>
            <w:tcBorders>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(4)%</w:t>
            </w:r>
          </w:p>
        </w:tc>
      </w:tr>
      <w:tr>
        <w:trPr>
          <w:trHeight w:val="204"/>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rPr>
              <w:t>13,377</w:t>
            </w:r>
          </w:p>
        </w:tc>
        <w:tc>
          <w:tcPr>
            <w:tcW w:w="1100" w:type="dxa"/>
            <w:vAlign w:val="bottom"/>
            <w:tcBorders>
              <w:bottom w:val="single" w:sz="8" w:color="auto"/>
              <w:right w:val="single" w:sz="8" w:color="auto"/>
            </w:tcBorders>
          </w:tcPr>
          <w:p>
            <w:pPr>
              <w:jc w:val="center"/>
              <w:ind w:right="222"/>
              <w:spacing w:after="0"/>
              <w:rPr>
                <w:sz w:val="20"/>
                <w:szCs w:val="20"/>
                <w:color w:val="auto"/>
              </w:rPr>
            </w:pPr>
            <w:r>
              <w:rPr>
                <w:rFonts w:ascii="Times New Roman" w:cs="Times New Roman" w:eastAsia="Times New Roman" w:hAnsi="Times New Roman"/>
                <w:sz w:val="16"/>
                <w:szCs w:val="16"/>
                <w:color w:val="auto"/>
                <w:w w:val="99"/>
              </w:rPr>
              <w:t>(7)%</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 Comprised of Consolidated Operating Income less unallocated corporate expenses.</w:t>
      </w:r>
    </w:p>
    <w:p>
      <w:pPr>
        <w:spacing w:after="0" w:line="1" w:lineRule="exact"/>
        <w:rPr>
          <w:sz w:val="20"/>
          <w:szCs w:val="20"/>
          <w:color w:val="auto"/>
        </w:rPr>
      </w:pPr>
    </w:p>
    <w:p>
      <w:pPr>
        <w:ind w:left="80" w:hanging="74"/>
        <w:spacing w:after="0"/>
        <w:tabs>
          <w:tab w:leader="none" w:pos="80" w:val="left"/>
        </w:tabs>
        <w:numPr>
          <w:ilvl w:val="0"/>
          <w:numId w:val="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Please refer to Reconciliation of Non-GAAP Financial Measures below for a reconciliation of Non-GAAP items to the comparable GAAP measures.</w:t>
      </w:r>
    </w:p>
    <w:p>
      <w:pPr>
        <w:spacing w:after="0"/>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 Prior year per share figures have been updated to reflect the 2-for-1 stock-split in January 2025.</w:t>
      </w:r>
    </w:p>
    <w:p>
      <w:pPr>
        <w:spacing w:after="0" w:line="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Daniel S. Jaffee, President and Chief Executive Officer, stated, “As expected, our strong results for the first quarter of fiscal year 2026 were measured against last year’s record performance, creating challenging year-over- year comparisons. Even so, we delivered the second highest quarterly gross profit and net income results in our Company’s history, reflecting the underlying strength and momentum of our business. We continued to execute our growth strategies with discipline, advanced key initiatives across our product portfolio, invested in opportunities that support long-term growth, and returned value to shareholders, all while generating substantial cash. With these fundamentals in place, we remain focused on the sustained expansion of our business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w:t>
      </w:r>
    </w:p>
    <w:p>
      <w:pPr>
        <w:spacing w:after="0" w:line="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Consolidated net sales for the first quarter of fiscal 2026 were $120.5 million, down 6% from the prior year period. This decline was driven by reduced volumes, particularly in the fluids purification and cat litter businesses, following last year’s record quarter. However, the Company achieved all-time high net sales from its agricultural products and reported increased revenues from its co-packaging cat litter business, compared to the prior year.</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Consolidated gross profit for the first quarter of fiscal year 2026 was $35.5 million, or a 13% decline from the prior year. Lower volumes combined with a 3% increase in domestic cost of goods sold per ton drove this decrease. Gross margins were 29.5% in the first quarter of fiscal year 2026 compared to 31.9% in the same period in fiscal year 2025. Despite this year-over-year decline, first quarter of fiscal 2026 gross margins were higher than the last two consecutive quarters.</w:t>
      </w:r>
    </w:p>
    <w:p>
      <w:pPr>
        <w:spacing w:after="0" w:line="18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9"/>
          <w:szCs w:val="19"/>
          <w:color w:val="auto"/>
        </w:rPr>
        <w:t>Selling, general and administrative (“SGA”) expenses were $18.5 million during the first quarter of fiscal 2026 compared to $19.6 million for the same period last year. This $1.1 million, or 5%, decline was driven by decreased bad debt expense, a lower corporate bonus accrual, and a foreign value-added tax assessment recorded in the first quarter of fiscal year 2025.</w:t>
      </w:r>
    </w:p>
    <w:p>
      <w:pPr>
        <w:spacing w:after="0" w:line="1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auto"/>
        </w:rPr>
        <w:t>Consolidated income from operations was $17.0 million in the first quarter of fiscal year 2026, demonstrating sequential growth of 8% over the fourth quarter of fiscal year 2025, while reflecting a 20% decrease compared to the first quarter of last year. Lower sales combined with higher per ton cost of goods sold were partially offset by decreased SG&amp;A expenses.</w:t>
      </w:r>
    </w:p>
    <w:p>
      <w:pPr>
        <w:spacing w:after="0" w:line="1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9"/>
          <w:szCs w:val="19"/>
          <w:color w:val="auto"/>
        </w:rPr>
        <w:t>First quarter of fiscal year 2026 EBITDA totaled $23.6 million, a 10% decrease versus the same period last year, but showing solid sequential improvement of 11% compared to the fourth quarter of fiscal year 2025.</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Total other income, net was $700,000 for the three months ending October 31, 2025, compared to total other expense, net of $1.0 million in the same period last year. The $1.7 million gain was driven in part by the positive outcome of a confidential legal settlement in the matter of Oil-Dri Corporation of America vs. Entera Animal Health, et al.</w:t>
      </w:r>
    </w:p>
    <w:p>
      <w:pPr>
        <w:spacing w:after="0" w:line="180"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9"/>
          <w:szCs w:val="19"/>
          <w:color w:val="auto"/>
        </w:rPr>
        <w:t>During the first quarter of fiscal 2026, income tax expense was $2.2 million compared to $3.8 million in the prior year. This reduction resulted from discrete items during the current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Consolidated net income for the first quarter of fiscal year 2025 was $15.5 million versus $16.4 million in the same period last year.</w:t>
      </w:r>
    </w:p>
    <w:p>
      <w:pPr>
        <w:sectPr>
          <w:pgSz w:w="11900" w:h="16840" w:orient="portrait"/>
          <w:cols w:equalWidth="0" w:num="1">
            <w:col w:w="10560"/>
          </w:cols>
          <w:pgMar w:left="660" w:top="1440" w:right="680" w:bottom="52"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color w:val="auto"/>
        </w:rPr>
        <w:t>While the year-over-year comparison shows a 6% decrease, the Company’s performance remained very strong.</w:t>
      </w:r>
    </w:p>
    <w:p>
      <w:pPr>
        <w:spacing w:after="0" w:line="214"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9"/>
          <w:szCs w:val="19"/>
          <w:color w:val="auto"/>
        </w:rPr>
        <w:t>Cash and cash equivalents for the three month period ending October 31, 2025 totaled $42.4 million compared to $50.5 million at the end of fiscal year 2025. Significant uses of cash during the first quarter of fiscal 2026 include capital investments for manufacturing infrastructure improvements, corporate bonus payments, share repurchases, and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Product Group Review</w:t>
      </w:r>
    </w:p>
    <w:p>
      <w:pPr>
        <w:spacing w:after="0" w:line="2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9"/>
          <w:szCs w:val="19"/>
          <w:color w:val="auto"/>
        </w:rPr>
        <w:t>The B2B Products Group’s first quarter of fiscal year 2026 revenues were $ 44.3 million, down 9% from the prior year’s record levels, driven by reduced volumes. Although revenues from fluids purification and animal health products decreased compared to last year’s very strong results, the Company’s agricultural business experienced notable growth. Sales of fluids purification products in the first quarter of fiscal 2026 were $26.7 million, a 13% reduction from the prior year. This decline reflects reduced volumes, primarily in renewable diesel filtration products, which were elevated in the first quarter of 2025 as new plants were coming online in</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North America. The Company successfully serviced last year’s new pipeline of business and has maintained significant sales since then with its reliable products and robust operational capabilities. Revenues from Oil-Dri’s animal health business, Amlan International, were $4.7 million for the first quarter of fiscal year 2026, down 25% year-over-year, due to lower demand. Topline growth of 12% was reported by the Company’s agricultural business, which achieved record sales of $12.9 million during the first quarter of fiscal year 2026. This improvement was generated by elevated demand for Oil-Dri’s premium agricultural product, Verge, and from higher prices.</w:t>
      </w:r>
    </w:p>
    <w:p>
      <w:pPr>
        <w:spacing w:after="0" w:line="19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First quarter of fiscal year 2026 SG&amp;A costs within the B2B Products Group declined by $400,000, or 8%, compared to the same period last year. This decrease was primarily driven by a foreign value-added tax (“VAT”) assessment recognized in the first quarter of fiscal year 2025.</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Operating income for the B2B Products Group was $13.6 million in the first quarter of fiscal year 2026 compared to $17.1 million in the same period of fiscal year 2025, reflecting a decrease of 20%.</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The R&amp;W Products Group’s first quarter of fiscal year 2026 revenues were $76.2 million, a 4% decrease from the prior year’s record setting results, driven by a decline in volume. Lower sales of domestic cat litter and industrial and sports products were partially offset by higher revenues from the Company’s co- packaging cat litter business. Domestic cat litter sales, excluding the co-packaging cat litter business, were $56.2 million for the first quarter of fiscal year 2026. This performance, while still very strong, represents a 6% decline compared to last year’s robust sales. Prior year’s results included high demand tied to a large promotion at a key account and private label distribution that was lost in the second quarter of fiscal year 2025. In addition, Oil-Dri believes that domestic cat litter volumes for the current year were adversely affected by heightened promotional efforts from competitors. Although Oil-Dri’s domestic cat litter sales were soft on a year-over-year basis, the lightweight cat litter segment continued to outperform the overall cat litter category during the</w:t>
      </w:r>
    </w:p>
    <w:p>
      <w:pPr>
        <w:spacing w:after="0" w:line="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13-week period ending November 1, 2025</w:t>
      </w:r>
      <w:r>
        <w:rPr>
          <w:rFonts w:ascii="Times New Roman" w:cs="Times New Roman" w:eastAsia="Times New Roman" w:hAnsi="Times New Roman"/>
          <w:sz w:val="10"/>
          <w:szCs w:val="10"/>
          <w:color w:val="auto"/>
        </w:rPr>
        <w:t>1</w:t>
      </w:r>
      <w:r>
        <w:rPr>
          <w:rFonts w:ascii="Times New Roman" w:cs="Times New Roman" w:eastAsia="Times New Roman" w:hAnsi="Times New Roman"/>
          <w:sz w:val="19"/>
          <w:szCs w:val="19"/>
          <w:color w:val="auto"/>
        </w:rPr>
        <w:t>, a trend the Company views as critical for advancing its branded and private label lightweight offerings. Improvement in the lightweight cat litter segment was reflected in the topline growth of Oil-Dri’s EPA-approved Cat’s Pride Antibacterial Clumping Litter, which increased by 32% in the first quarter of fiscal year 2026 compared to the prior year. Co-packaged coarse cat litter also rose by 8% during the current quarter over last year, primarily driven by higher volumes. Sales of domestic industrial and sports products were $10.9 million in the first quarter of fiscal 2026, a 1% decrease from the prior year. The Company’s Canadian subsidiary, which sells both cat litter and industrial floor absorbents, reported relatively flat sales for the three months ending October 31, 2025 compared to the same period last year.</w:t>
      </w:r>
    </w:p>
    <w:p>
      <w:pPr>
        <w:spacing w:after="0" w:line="19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9"/>
          <w:szCs w:val="19"/>
          <w:color w:val="auto"/>
        </w:rPr>
        <w:t>During the first quarter of fiscal 2026, SG&amp;A expenses within the R&amp;W Products Group decreased by $500,000, or 8% less than the prior year. This reduction was primarily due to lower bad debt expense.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Operating income for the R&amp;W Products Group was $12.4 million in the first quarter of fiscal year 2026, down 7% from the prior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Although operating income for this segment declined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year-over-year, it surpassed the previous three quarters and represents the second-highest result in the R&amp;W segment’s history.</w:t>
      </w:r>
    </w:p>
    <w:p>
      <w:pPr>
        <w:spacing w:after="0" w:line="20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9"/>
          <w:szCs w:val="19"/>
          <w:color w:val="auto"/>
        </w:rPr>
        <w:t>The Company will host its first quarter of fiscal year 2026 earnings discussion and its 2025 Annual Meeting of Stockholders virtually via a live webcast on Tuesday, December 9, 2025 at 9:30 a.m. Central Time. Participation details are available on the Company’s website’s Events page.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“Oil-Dri”, “Amlan”, “Verge”, and “Cat’s Pride” are registered trademarks of Oil-Dri Corporation of America and its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Based in part on data reported by NielsenIQ through its Scantrack Service for the Cat Litter Category in the 13-week period ending November 1, 2025, for the U.S.</w:t>
      </w:r>
    </w:p>
    <w:p>
      <w:pPr>
        <w:spacing w:after="0"/>
        <w:rPr>
          <w:sz w:val="20"/>
          <w:szCs w:val="20"/>
          <w:color w:val="auto"/>
        </w:rPr>
      </w:pPr>
      <w:r>
        <w:rPr>
          <w:rFonts w:ascii="Times New Roman" w:cs="Times New Roman" w:eastAsia="Times New Roman" w:hAnsi="Times New Roman"/>
          <w:sz w:val="16"/>
          <w:szCs w:val="16"/>
          <w:i w:val="1"/>
          <w:iCs w:val="1"/>
          <w:color w:val="auto"/>
        </w:rPr>
        <w:t>xAOC+Pet Supers market. Copyright © 2025 NielsenIQ.</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Oil-Dri Corporation of America</w:t>
      </w:r>
    </w:p>
    <w:p>
      <w:pPr>
        <w:spacing w:after="0" w:line="2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9"/>
          <w:szCs w:val="19"/>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34"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9"/>
          <w:szCs w:val="19"/>
          <w:color w:val="auto"/>
        </w:rPr>
        <w:t>Certain statements in this press release may constitute forward- 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w:t>
      </w:r>
    </w:p>
    <w:p>
      <w:pPr>
        <w:sectPr>
          <w:pgSz w:w="11900" w:h="16840" w:orient="portrait"/>
          <w:cols w:equalWidth="0" w:num="1">
            <w:col w:w="10580"/>
          </w:cols>
          <w:pgMar w:left="660" w:top="556" w:right="660" w:bottom="189"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9"/>
          <w:szCs w:val="19"/>
          <w:color w:val="auto"/>
        </w:rPr>
        <w:t>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 looking statements can be identified by words such as “expect,” “outlook,” “forecast,” “would,” “could,” “should,” “project,” “intend,” “plan,” “continue,” “believe,” “seek,” “estimate,” “anticipate,” “may,” “assume,” “potential,” “strive,” and variations of such words and similar references to future periods.</w:t>
      </w:r>
    </w:p>
    <w:p>
      <w:pPr>
        <w:spacing w:after="0" w:line="19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w:t>
      </w:r>
    </w:p>
    <w:p>
      <w:pPr>
        <w:sectPr>
          <w:pgSz w:w="11900" w:h="16840" w:orient="portrait"/>
          <w:cols w:equalWidth="0" w:num="1">
            <w:col w:w="10580"/>
          </w:cols>
          <w:pgMar w:left="660" w:top="556" w:right="660" w:bottom="1440" w:gutter="0" w:footer="0" w:header="0"/>
        </w:sectPr>
      </w:pPr>
    </w:p>
    <w:bookmarkStart w:id="6" w:name="page7"/>
    <w:bookmarkEnd w:id="6"/>
    <w:p>
      <w:pPr>
        <w:ind w:left="62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3098165</wp:posOffset>
            </wp:positionH>
            <wp:positionV relativeFrom="page">
              <wp:posOffset>506730</wp:posOffset>
            </wp:positionV>
            <wp:extent cx="1311275" cy="434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34340"/>
                    </a:xfrm>
                    <a:prstGeom prst="rect">
                      <a:avLst/>
                    </a:prstGeom>
                    <a:noFill/>
                  </pic:spPr>
                </pic:pic>
              </a:graphicData>
            </a:graphic>
          </wp:anchor>
        </w:drawing>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67075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9"/>
          <w:szCs w:val="19"/>
          <w:color w:val="auto"/>
        </w:rPr>
        <w:t>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3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The non-GAAP financial measures we use may not be the same or calculated in the same manner as those used and calculated by other companies. Non -GAAP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 the comparable GAAP financial measures included in this release, and not to rely on any single financial measure to evaluate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Contact:</w:t>
      </w:r>
    </w:p>
    <w:p>
      <w:pPr>
        <w:spacing w:after="0" w:line="232" w:lineRule="auto"/>
        <w:rPr>
          <w:sz w:val="20"/>
          <w:szCs w:val="20"/>
          <w:color w:val="auto"/>
        </w:rPr>
      </w:pPr>
      <w:r>
        <w:rPr>
          <w:rFonts w:ascii="Times New Roman" w:cs="Times New Roman" w:eastAsia="Times New Roman" w:hAnsi="Times New Roman"/>
          <w:sz w:val="19"/>
          <w:szCs w:val="19"/>
          <w:color w:val="auto"/>
        </w:rPr>
        <w:t>Leslie A. Garber</w:t>
      </w:r>
    </w:p>
    <w:p>
      <w:pPr>
        <w:spacing w:after="0" w:line="224" w:lineRule="auto"/>
        <w:rPr>
          <w:sz w:val="20"/>
          <w:szCs w:val="20"/>
          <w:color w:val="auto"/>
        </w:rPr>
      </w:pPr>
      <w:r>
        <w:rPr>
          <w:rFonts w:ascii="Times New Roman" w:cs="Times New Roman" w:eastAsia="Times New Roman" w:hAnsi="Times New Roman"/>
          <w:sz w:val="19"/>
          <w:szCs w:val="19"/>
          <w:color w:val="auto"/>
        </w:rPr>
        <w:t>Director of Investor Relations</w:t>
      </w:r>
    </w:p>
    <w:p>
      <w:pPr>
        <w:spacing w:after="0" w:line="224" w:lineRule="auto"/>
        <w:rPr>
          <w:sz w:val="20"/>
          <w:szCs w:val="20"/>
          <w:color w:val="auto"/>
        </w:rPr>
      </w:pPr>
      <w:r>
        <w:rPr>
          <w:rFonts w:ascii="Times New Roman" w:cs="Times New Roman" w:eastAsia="Times New Roman" w:hAnsi="Times New Roman"/>
          <w:sz w:val="19"/>
          <w:szCs w:val="19"/>
          <w:color w:val="auto"/>
        </w:rPr>
        <w:t>Oil-Dri Corporation of America</w:t>
      </w:r>
    </w:p>
    <w:p>
      <w:pPr>
        <w:spacing w:after="0" w:line="238" w:lineRule="auto"/>
        <w:rPr>
          <w:sz w:val="20"/>
          <w:szCs w:val="20"/>
          <w:color w:val="auto"/>
        </w:rPr>
      </w:pPr>
      <w:r>
        <w:rPr>
          <w:rFonts w:ascii="Times New Roman" w:cs="Times New Roman" w:eastAsia="Times New Roman" w:hAnsi="Times New Roman"/>
          <w:sz w:val="19"/>
          <w:szCs w:val="19"/>
          <w:color w:val="0000FF"/>
        </w:rPr>
        <w:t>InvestorRelations@oildri.com</w:t>
      </w:r>
    </w:p>
    <w:p>
      <w:pPr>
        <w:spacing w:after="0"/>
        <w:rPr>
          <w:sz w:val="20"/>
          <w:szCs w:val="20"/>
          <w:color w:val="auto"/>
        </w:rPr>
      </w:pPr>
      <w:r>
        <w:rPr>
          <w:rFonts w:ascii="Times New Roman" w:cs="Times New Roman" w:eastAsia="Times New Roman" w:hAnsi="Times New Roman"/>
          <w:sz w:val="19"/>
          <w:szCs w:val="19"/>
          <w:color w:val="auto"/>
        </w:rPr>
        <w:t>(312) 321-1515</w:t>
      </w:r>
    </w:p>
    <w:p>
      <w:pPr>
        <w:sectPr>
          <w:pgSz w:w="11900" w:h="16840" w:orient="portrait"/>
          <w:cols w:equalWidth="0" w:num="1">
            <w:col w:w="10560"/>
          </w:cols>
          <w:pgMar w:left="660" w:top="1349" w:right="680" w:bottom="1440" w:gutter="0" w:footer="0" w:header="0"/>
        </w:sectPr>
      </w:pPr>
    </w:p>
    <w:bookmarkStart w:id="7" w:name="page8"/>
    <w:bookmarkEnd w:id="7"/>
    <w:p>
      <w:pPr>
        <w:ind w:left="62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3098165</wp:posOffset>
            </wp:positionH>
            <wp:positionV relativeFrom="page">
              <wp:posOffset>506730</wp:posOffset>
            </wp:positionV>
            <wp:extent cx="1311275" cy="434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34340"/>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670750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500" w:type="dxa"/>
            <w:vAlign w:val="bottom"/>
            <w:gridSpan w:val="3"/>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 of Sales</w:t>
            </w: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1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 of Sales</w:t>
            </w:r>
          </w:p>
        </w:tc>
        <w:tc>
          <w:tcPr>
            <w:tcW w:w="0" w:type="dxa"/>
            <w:vAlign w:val="bottom"/>
          </w:tcPr>
          <w:p>
            <w:pPr>
              <w:spacing w:after="0"/>
              <w:rPr>
                <w:sz w:val="1"/>
                <w:szCs w:val="1"/>
                <w:color w:val="auto"/>
              </w:rPr>
            </w:pPr>
          </w:p>
        </w:tc>
      </w:tr>
      <w:tr>
        <w:trPr>
          <w:trHeight w:val="193"/>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120,486</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127,945</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35,495</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40,780</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21,190</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17,674</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20,202</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74"/>
        </w:trPr>
        <w:tc>
          <w:tcPr>
            <w:tcW w:w="54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15,456</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12.8 %</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
              <w:spacing w:after="0" w:line="175" w:lineRule="exact"/>
              <w:rPr>
                <w:sz w:val="20"/>
                <w:szCs w:val="20"/>
                <w:color w:val="auto"/>
              </w:rPr>
            </w:pPr>
            <w:r>
              <w:rPr>
                <w:rFonts w:ascii="Times New Roman" w:cs="Times New Roman" w:eastAsia="Times New Roman" w:hAnsi="Times New Roman"/>
                <w:sz w:val="16"/>
                <w:szCs w:val="16"/>
                <w:color w:val="auto"/>
              </w:rPr>
              <w:t>16,376</w:t>
            </w:r>
          </w:p>
        </w:tc>
        <w:tc>
          <w:tcPr>
            <w:tcW w:w="10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460" w:type="dxa"/>
            <w:vAlign w:val="bottom"/>
            <w:vMerge w:val="continue"/>
          </w:tcPr>
          <w:p>
            <w:pPr>
              <w:spacing w:after="0"/>
              <w:rPr>
                <w:sz w:val="22"/>
                <w:szCs w:val="22"/>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60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60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9,844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8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13,811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all prior period share and per-share data has been updated to reflect the 2-for-1 stock-split in January 2025.</w:t>
      </w:r>
    </w:p>
    <w:p>
      <w:pPr>
        <w:sectPr>
          <w:pgSz w:w="11900" w:h="16840" w:orient="portrait"/>
          <w:cols w:equalWidth="0" w:num="1">
            <w:col w:w="10260"/>
          </w:cols>
          <w:pgMar w:left="660" w:top="1349" w:right="9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540" w:type="dxa"/>
            <w:vAlign w:val="bottom"/>
            <w:tcBorders>
              <w:bottom w:val="single" w:sz="8" w:color="00497F"/>
            </w:tcBorders>
          </w:tcPr>
          <w:p>
            <w:pPr>
              <w:spacing w:after="0"/>
              <w:rPr>
                <w:sz w:val="12"/>
                <w:szCs w:val="12"/>
                <w:color w:val="auto"/>
              </w:rPr>
            </w:pPr>
          </w:p>
        </w:tc>
        <w:tc>
          <w:tcPr>
            <w:tcW w:w="2260" w:type="dxa"/>
            <w:vAlign w:val="bottom"/>
            <w:tcBorders>
              <w:bottom w:val="single" w:sz="8" w:color="00497F"/>
            </w:tcBorders>
          </w:tcPr>
          <w:p>
            <w:pPr>
              <w:spacing w:after="0"/>
              <w:rPr>
                <w:sz w:val="12"/>
                <w:szCs w:val="12"/>
                <w:color w:val="auto"/>
              </w:rPr>
            </w:pPr>
          </w:p>
        </w:tc>
        <w:tc>
          <w:tcPr>
            <w:tcW w:w="200" w:type="dxa"/>
            <w:vAlign w:val="bottom"/>
            <w:tcBorders>
              <w:bottom w:val="single" w:sz="8" w:color="00497F"/>
            </w:tcBorders>
          </w:tcPr>
          <w:p>
            <w:pPr>
              <w:spacing w:after="0"/>
              <w:rPr>
                <w:sz w:val="12"/>
                <w:szCs w:val="12"/>
                <w:color w:val="auto"/>
              </w:rPr>
            </w:pPr>
          </w:p>
        </w:tc>
        <w:tc>
          <w:tcPr>
            <w:tcW w:w="1560" w:type="dxa"/>
            <w:vAlign w:val="bottom"/>
            <w:tcBorders>
              <w:bottom w:val="single" w:sz="8" w:color="00497F"/>
            </w:tcBorders>
          </w:tcPr>
          <w:p>
            <w:pPr>
              <w:spacing w:after="0"/>
              <w:rPr>
                <w:sz w:val="12"/>
                <w:szCs w:val="12"/>
                <w:color w:val="auto"/>
              </w:rPr>
            </w:pPr>
          </w:p>
        </w:tc>
        <w:tc>
          <w:tcPr>
            <w:tcW w:w="320" w:type="dxa"/>
            <w:vAlign w:val="bottom"/>
            <w:tcBorders>
              <w:bottom w:val="single" w:sz="8" w:color="00497F"/>
            </w:tcBorders>
          </w:tcPr>
          <w:p>
            <w:pPr>
              <w:spacing w:after="0"/>
              <w:rPr>
                <w:sz w:val="12"/>
                <w:szCs w:val="12"/>
                <w:color w:val="auto"/>
              </w:rPr>
            </w:pPr>
          </w:p>
        </w:tc>
        <w:tc>
          <w:tcPr>
            <w:tcW w:w="200" w:type="dxa"/>
            <w:vAlign w:val="bottom"/>
            <w:tcBorders>
              <w:bottom w:val="single" w:sz="8" w:color="00497F"/>
            </w:tcBorders>
          </w:tcPr>
          <w:p>
            <w:pPr>
              <w:spacing w:after="0"/>
              <w:rPr>
                <w:sz w:val="12"/>
                <w:szCs w:val="12"/>
                <w:color w:val="auto"/>
              </w:rPr>
            </w:pPr>
          </w:p>
        </w:tc>
        <w:tc>
          <w:tcPr>
            <w:tcW w:w="1300" w:type="dxa"/>
            <w:vAlign w:val="bottom"/>
            <w:tcBorders>
              <w:bottom w:val="single" w:sz="8" w:color="00497F"/>
            </w:tcBorders>
          </w:tcPr>
          <w:p>
            <w:pPr>
              <w:spacing w:after="0"/>
              <w:rPr>
                <w:sz w:val="12"/>
                <w:szCs w:val="12"/>
                <w:color w:val="auto"/>
              </w:rPr>
            </w:pPr>
          </w:p>
        </w:tc>
        <w:tc>
          <w:tcPr>
            <w:tcW w:w="180" w:type="dxa"/>
            <w:vAlign w:val="bottom"/>
            <w:tcBorders>
              <w:bottom w:val="single" w:sz="8" w:color="00497F"/>
            </w:tcBorders>
          </w:tcPr>
          <w:p>
            <w:pPr>
              <w:spacing w:after="0"/>
              <w:rPr>
                <w:sz w:val="12"/>
                <w:szCs w:val="12"/>
                <w:color w:val="auto"/>
              </w:rPr>
            </w:pPr>
          </w:p>
        </w:tc>
        <w:tc>
          <w:tcPr>
            <w:tcW w:w="0" w:type="dxa"/>
            <w:vAlign w:val="bottom"/>
          </w:tcPr>
          <w:p>
            <w:pPr>
              <w:spacing w:after="0"/>
              <w:rPr>
                <w:sz w:val="1"/>
                <w:szCs w:val="1"/>
                <w:color w:val="auto"/>
              </w:rPr>
            </w:pPr>
          </w:p>
        </w:tc>
      </w:tr>
      <w:tr>
        <w:trPr>
          <w:trHeight w:val="598"/>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As of October 31,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As of July 31,</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4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42,384</w:t>
            </w:r>
          </w:p>
        </w:tc>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66,469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Prepaid Expenses and Other Assets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170,076</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177,383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148,680</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149,704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61,967</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64,590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6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380,723</w:t>
            </w: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5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Current Maturities of Notes Payable</w:t>
            </w:r>
          </w:p>
        </w:tc>
        <w:tc>
          <w:tcPr>
            <w:tcW w:w="24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Accounts Payable</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Dividends Payable</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50,886</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24,483</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63,310</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266,527</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6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380,723</w:t>
            </w: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Book Value Per Share Outstanding</w:t>
            </w: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540" w:type="dxa"/>
            <w:vAlign w:val="bottom"/>
            <w:vMerge w:val="continue"/>
          </w:tcPr>
          <w:p>
            <w:pPr>
              <w:spacing w:after="0"/>
              <w:rPr>
                <w:sz w:val="24"/>
                <w:szCs w:val="24"/>
                <w:color w:val="auto"/>
              </w:rPr>
            </w:pPr>
          </w:p>
        </w:tc>
        <w:tc>
          <w:tcPr>
            <w:tcW w:w="24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3098165</wp:posOffset>
            </wp:positionH>
            <wp:positionV relativeFrom="page">
              <wp:posOffset>506730</wp:posOffset>
            </wp:positionV>
            <wp:extent cx="1311275" cy="434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343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all prior period share and per-share data has been updated to reflect the 2-for-1 stock-split in January 2025.</w:t>
      </w:r>
    </w:p>
    <w:p>
      <w:pPr>
        <w:sectPr>
          <w:pgSz w:w="11900" w:h="16840" w:orient="portrait"/>
          <w:cols w:equalWidth="0" w:num="1">
            <w:col w:w="10560"/>
          </w:cols>
          <w:pgMar w:left="660" w:top="1349" w:right="680" w:bottom="1440" w:gutter="0" w:footer="0" w:header="0"/>
        </w:sectPr>
      </w:pPr>
    </w:p>
    <w:bookmarkStart w:id="9" w:name="page10"/>
    <w:bookmarkEnd w:id="9"/>
    <w:p>
      <w:pPr>
        <w:ind w:left="6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3098165</wp:posOffset>
            </wp:positionH>
            <wp:positionV relativeFrom="page">
              <wp:posOffset>506730</wp:posOffset>
            </wp:positionV>
            <wp:extent cx="1311275"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34340"/>
                    </a:xfrm>
                    <a:prstGeom prst="rect">
                      <a:avLst/>
                    </a:prstGeom>
                    <a:noFill/>
                  </pic:spPr>
                </pic:pic>
              </a:graphicData>
            </a:graphic>
          </wp:anchor>
        </w:drawing>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97155</wp:posOffset>
            </wp:positionV>
            <wp:extent cx="67075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80"/>
          </w:cols>
          <w:pgMar w:left="680" w:top="1349" w:right="1240" w:bottom="1440" w:gutter="0" w:footer="0" w:header="0"/>
        </w:sect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740" w:type="dxa"/>
            <w:vAlign w:val="bottom"/>
            <w:gridSpan w:val="4"/>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2740" w:type="dxa"/>
            <w:vAlign w:val="bottom"/>
            <w:gridSpan w:val="4"/>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80" w:type="dxa"/>
            <w:vAlign w:val="bottom"/>
            <w:vMerge w:val="continue"/>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15,456</w:t>
            </w:r>
          </w:p>
        </w:tc>
        <w:tc>
          <w:tcPr>
            <w:tcW w:w="1260" w:type="dxa"/>
            <w:vAlign w:val="bottom"/>
            <w:gridSpan w:val="2"/>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16,376</w:t>
            </w:r>
          </w:p>
        </w:tc>
        <w:tc>
          <w:tcPr>
            <w:tcW w:w="0" w:type="dxa"/>
            <w:vAlign w:val="bottom"/>
          </w:tcPr>
          <w:p>
            <w:pPr>
              <w:spacing w:after="0"/>
              <w:rPr>
                <w:sz w:val="1"/>
                <w:szCs w:val="1"/>
                <w:color w:val="auto"/>
              </w:rPr>
            </w:pPr>
          </w:p>
        </w:tc>
      </w:tr>
      <w:tr>
        <w:trPr>
          <w:trHeight w:val="204"/>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provided by operating activities: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Decrease (Increase) in Accounts Receivable</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in Inventories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Decrease in Prepaid Expenses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in Accounts Payable</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Decrease in Accrued Expenses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(13,828)</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0" w:type="dxa"/>
            <w:vAlign w:val="bottom"/>
          </w:tcPr>
          <w:p>
            <w:pPr>
              <w:spacing w:after="0"/>
              <w:rPr>
                <w:sz w:val="1"/>
                <w:szCs w:val="1"/>
                <w:color w:val="auto"/>
              </w:rPr>
            </w:pPr>
          </w:p>
        </w:tc>
      </w:tr>
      <w:tr>
        <w:trPr>
          <w:trHeight w:val="205"/>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0" w:type="dxa"/>
            <w:vAlign w:val="bottom"/>
          </w:tcPr>
          <w:p>
            <w:pPr>
              <w:spacing w:after="0"/>
              <w:rPr>
                <w:sz w:val="1"/>
                <w:szCs w:val="1"/>
                <w:color w:val="auto"/>
              </w:rPr>
            </w:pPr>
          </w:p>
        </w:tc>
      </w:tr>
      <w:tr>
        <w:trPr>
          <w:trHeight w:val="197"/>
        </w:trPr>
        <w:tc>
          <w:tcPr>
            <w:tcW w:w="66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Adjustments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10,349</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0" w:type="dxa"/>
            <w:vAlign w:val="bottom"/>
          </w:tcPr>
          <w:p>
            <w:pPr>
              <w:spacing w:after="0"/>
              <w:rPr>
                <w:sz w:val="1"/>
                <w:szCs w:val="1"/>
                <w:color w:val="auto"/>
              </w:rPr>
            </w:pPr>
          </w:p>
        </w:tc>
      </w:tr>
      <w:tr>
        <w:trPr>
          <w:trHeight w:val="398"/>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(12,817)</w:t>
            </w:r>
          </w:p>
        </w:tc>
        <w:tc>
          <w:tcPr>
            <w:tcW w:w="0" w:type="dxa"/>
            <w:vAlign w:val="bottom"/>
          </w:tcPr>
          <w:p>
            <w:pPr>
              <w:spacing w:after="0"/>
              <w:rPr>
                <w:sz w:val="1"/>
                <w:szCs w:val="1"/>
                <w:color w:val="auto"/>
              </w:rPr>
            </w:pPr>
          </w:p>
        </w:tc>
      </w:tr>
      <w:tr>
        <w:trPr>
          <w:trHeight w:val="197"/>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(12,817)</w:t>
            </w:r>
          </w:p>
        </w:tc>
        <w:tc>
          <w:tcPr>
            <w:tcW w:w="0" w:type="dxa"/>
            <w:vAlign w:val="bottom"/>
          </w:tcPr>
          <w:p>
            <w:pPr>
              <w:spacing w:after="0"/>
              <w:rPr>
                <w:sz w:val="1"/>
                <w:szCs w:val="1"/>
                <w:color w:val="auto"/>
              </w:rPr>
            </w:pPr>
          </w:p>
        </w:tc>
      </w:tr>
      <w:tr>
        <w:trPr>
          <w:trHeight w:val="398"/>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Payments on Revolving Credit Facility</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04"/>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0" w:type="dxa"/>
            <w:vAlign w:val="bottom"/>
          </w:tcPr>
          <w:p>
            <w:pPr>
              <w:spacing w:after="0"/>
              <w:rPr>
                <w:sz w:val="1"/>
                <w:szCs w:val="1"/>
                <w:color w:val="auto"/>
              </w:rPr>
            </w:pPr>
          </w:p>
        </w:tc>
      </w:tr>
      <w:tr>
        <w:trPr>
          <w:trHeight w:val="205"/>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Purchases of Treasury Stock</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197"/>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399"/>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99"/>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(10,975)</w:t>
            </w: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Period</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50,458</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24,481</w:t>
            </w:r>
          </w:p>
        </w:tc>
        <w:tc>
          <w:tcPr>
            <w:tcW w:w="0" w:type="dxa"/>
            <w:vAlign w:val="bottom"/>
          </w:tcPr>
          <w:p>
            <w:pPr>
              <w:spacing w:after="0"/>
              <w:rPr>
                <w:sz w:val="1"/>
                <w:szCs w:val="1"/>
                <w:color w:val="auto"/>
              </w:rPr>
            </w:pPr>
          </w:p>
        </w:tc>
      </w:tr>
      <w:tr>
        <w:trPr>
          <w:trHeight w:val="197"/>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9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42,384</w:t>
            </w:r>
          </w:p>
        </w:tc>
        <w:tc>
          <w:tcPr>
            <w:tcW w:w="340" w:type="dxa"/>
            <w:vAlign w:val="bottom"/>
          </w:tcPr>
          <w:p>
            <w:pPr>
              <w:spacing w:after="0"/>
              <w:rPr>
                <w:sz w:val="17"/>
                <w:szCs w:val="17"/>
                <w:color w:val="auto"/>
              </w:rPr>
            </w:pPr>
          </w:p>
        </w:tc>
        <w:tc>
          <w:tcPr>
            <w:tcW w:w="9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9980"/>
          </w:cols>
          <w:pgMar w:left="680" w:top="1349" w:right="1240" w:bottom="1440" w:gutter="0" w:footer="0" w:header="0"/>
          <w:type w:val="continuous"/>
        </w:sectPr>
      </w:pPr>
    </w:p>
    <w:bookmarkStart w:id="10" w:name="page11"/>
    <w:bookmarkEnd w:id="10"/>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3098165</wp:posOffset>
            </wp:positionH>
            <wp:positionV relativeFrom="page">
              <wp:posOffset>506730</wp:posOffset>
            </wp:positionV>
            <wp:extent cx="1311275" cy="434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34340"/>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97155</wp:posOffset>
            </wp:positionV>
            <wp:extent cx="67075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020"/>
          </w:cols>
          <w:pgMar w:left="1440" w:top="1349"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40" w:type="dxa"/>
            <w:vAlign w:val="bottom"/>
          </w:tcPr>
          <w:p>
            <w:pPr>
              <w:spacing w:after="0"/>
              <w:rPr>
                <w:sz w:val="17"/>
                <w:szCs w:val="17"/>
                <w:color w:val="auto"/>
              </w:rPr>
            </w:pPr>
          </w:p>
        </w:tc>
        <w:tc>
          <w:tcPr>
            <w:tcW w:w="2200" w:type="dxa"/>
            <w:vAlign w:val="bottom"/>
            <w:gridSpan w:val="3"/>
            <w:vMerge w:val="restart"/>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tcBorders>
              <w:bottom w:val="single" w:sz="8" w:color="auto"/>
            </w:tcBorders>
            <w:gridSpan w:val="3"/>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Ended October 31,</w:t>
            </w: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gridSpan w:val="2"/>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3"/>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15,456$</w:t>
            </w:r>
          </w:p>
        </w:tc>
        <w:tc>
          <w:tcPr>
            <w:tcW w:w="180" w:type="dxa"/>
            <w:vAlign w:val="bottom"/>
          </w:tcPr>
          <w:p>
            <w:pPr>
              <w:spacing w:after="0"/>
              <w:rPr>
                <w:sz w:val="16"/>
                <w:szCs w:val="16"/>
                <w:color w:val="auto"/>
              </w:rPr>
            </w:pPr>
          </w:p>
        </w:tc>
        <w:tc>
          <w:tcPr>
            <w:tcW w:w="10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16,376</w:t>
            </w:r>
          </w:p>
        </w:tc>
        <w:tc>
          <w:tcPr>
            <w:tcW w:w="0" w:type="dxa"/>
            <w:vAlign w:val="bottom"/>
          </w:tcPr>
          <w:p>
            <w:pPr>
              <w:spacing w:after="0"/>
              <w:rPr>
                <w:sz w:val="1"/>
                <w:szCs w:val="1"/>
                <w:color w:val="auto"/>
              </w:rPr>
            </w:pPr>
          </w:p>
        </w:tc>
      </w:tr>
      <w:tr>
        <w:trPr>
          <w:trHeight w:val="204"/>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5,805$</w:t>
            </w:r>
          </w:p>
        </w:tc>
        <w:tc>
          <w:tcPr>
            <w:tcW w:w="11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04"/>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556$</w:t>
            </w:r>
          </w:p>
        </w:tc>
        <w:tc>
          <w:tcPr>
            <w:tcW w:w="11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04"/>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5"/>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2,218$</w:t>
            </w:r>
          </w:p>
        </w:tc>
        <w:tc>
          <w:tcPr>
            <w:tcW w:w="11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3,826</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8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23,641$</w:t>
            </w:r>
          </w:p>
        </w:tc>
        <w:tc>
          <w:tcPr>
            <w:tcW w:w="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26,167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9020"/>
          </w:cols>
          <w:pgMar w:left="1440" w:top="1349" w:right="1440" w:bottom="1440" w:gutter="0" w:footer="0" w:header="0"/>
          <w:type w:val="continuous"/>
        </w:sectPr>
      </w:pPr>
    </w:p>
    <w:bookmarkStart w:id="11" w:name="page12"/>
    <w:bookmarkEnd w:id="11"/>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2025-12-08T16:51:58Z</dcterms:created>
  <dcterms:modified xsi:type="dcterms:W3CDTF">2025-12-08T16:51:58Z</dcterms:modified>
</cp:coreProperties>
</file>