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340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June 11, 2013</w:t>
            </w:r>
          </w:p>
        </w:tc>
      </w:tr>
      <w:tr>
        <w:trPr>
          <w:trHeight w:val="426"/>
        </w:trPr>
        <w:tc>
          <w:tcPr>
            <w:tcW w:w="43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center"/>
              <w:ind w:right="650"/>
              <w:spacing w:after="0"/>
              <w:rPr>
                <w:sz w:val="20"/>
                <w:szCs w:val="20"/>
                <w:color w:val="auto"/>
              </w:rPr>
            </w:pPr>
            <w:r>
              <w:rPr>
                <w:rFonts w:ascii="Arial" w:cs="Arial" w:eastAsia="Arial" w:hAnsi="Arial"/>
                <w:sz w:val="18"/>
                <w:szCs w:val="18"/>
                <w:b w:val="1"/>
                <w:bCs w:val="1"/>
                <w:color w:val="auto"/>
                <w:w w:val="94"/>
              </w:rPr>
              <w:t>Oil-Dri Corporation of America</w:t>
            </w:r>
          </w:p>
        </w:tc>
        <w:tc>
          <w:tcPr>
            <w:tcW w:w="3640" w:type="dxa"/>
            <w:vAlign w:val="bottom"/>
            <w:tcBorders>
              <w:bottom w:val="single" w:sz="8" w:color="auto"/>
            </w:tcBorders>
          </w:tcPr>
          <w:p>
            <w:pPr>
              <w:spacing w:after="0"/>
              <w:rPr>
                <w:sz w:val="24"/>
                <w:szCs w:val="24"/>
                <w:color w:val="auto"/>
              </w:rPr>
            </w:pPr>
          </w:p>
        </w:tc>
      </w:tr>
      <w:tr>
        <w:trPr>
          <w:trHeight w:val="224"/>
        </w:trPr>
        <w:tc>
          <w:tcPr>
            <w:tcW w:w="7780" w:type="dxa"/>
            <w:vAlign w:val="bottom"/>
            <w:gridSpan w:val="2"/>
          </w:tcPr>
          <w:p>
            <w:pPr>
              <w:jc w:val="center"/>
              <w:ind w:left="3570"/>
              <w:spacing w:after="0"/>
              <w:rPr>
                <w:sz w:val="20"/>
                <w:szCs w:val="20"/>
                <w:color w:val="auto"/>
              </w:rPr>
            </w:pPr>
            <w:r>
              <w:rPr>
                <w:rFonts w:ascii="Arial" w:cs="Arial" w:eastAsia="Arial" w:hAnsi="Arial"/>
                <w:sz w:val="18"/>
                <w:szCs w:val="18"/>
                <w:color w:val="auto"/>
                <w:w w:val="90"/>
              </w:rPr>
              <w:t>(Exact name of registrant as specified in its charter)</w:t>
            </w:r>
          </w:p>
        </w:tc>
        <w:tc>
          <w:tcPr>
            <w:tcW w:w="3640" w:type="dxa"/>
            <w:vAlign w:val="bottom"/>
          </w:tcPr>
          <w:p>
            <w:pPr>
              <w:spacing w:after="0"/>
              <w:rPr>
                <w:sz w:val="19"/>
                <w:szCs w:val="19"/>
                <w:color w:val="auto"/>
              </w:rPr>
            </w:pPr>
          </w:p>
        </w:tc>
      </w:tr>
      <w:tr>
        <w:trPr>
          <w:trHeight w:val="634"/>
        </w:trPr>
        <w:tc>
          <w:tcPr>
            <w:tcW w:w="4380" w:type="dxa"/>
            <w:vAlign w:val="bottom"/>
            <w:tcBorders>
              <w:bottom w:val="single" w:sz="8" w:color="auto"/>
            </w:tcBorders>
          </w:tcPr>
          <w:p>
            <w:pPr>
              <w:jc w:val="center"/>
              <w:ind w:right="650"/>
              <w:spacing w:after="0"/>
              <w:rPr>
                <w:sz w:val="20"/>
                <w:szCs w:val="20"/>
                <w:color w:val="auto"/>
              </w:rPr>
            </w:pPr>
            <w:r>
              <w:rPr>
                <w:rFonts w:ascii="Arial" w:cs="Arial" w:eastAsia="Arial" w:hAnsi="Arial"/>
                <w:sz w:val="18"/>
                <w:szCs w:val="18"/>
                <w:b w:val="1"/>
                <w:bCs w:val="1"/>
                <w:color w:val="auto"/>
                <w:w w:val="91"/>
              </w:rPr>
              <w:t>Delaware</w:t>
            </w:r>
          </w:p>
        </w:tc>
        <w:tc>
          <w:tcPr>
            <w:tcW w:w="3400" w:type="dxa"/>
            <w:vAlign w:val="bottom"/>
            <w:tcBorders>
              <w:bottom w:val="single" w:sz="8" w:color="auto"/>
            </w:tcBorders>
          </w:tcPr>
          <w:p>
            <w:pPr>
              <w:jc w:val="center"/>
              <w:ind w:right="650"/>
              <w:spacing w:after="0"/>
              <w:rPr>
                <w:sz w:val="20"/>
                <w:szCs w:val="20"/>
                <w:color w:val="auto"/>
              </w:rPr>
            </w:pPr>
            <w:r>
              <w:rPr>
                <w:rFonts w:ascii="Arial" w:cs="Arial" w:eastAsia="Arial" w:hAnsi="Arial"/>
                <w:sz w:val="18"/>
                <w:szCs w:val="18"/>
                <w:b w:val="1"/>
                <w:bCs w:val="1"/>
                <w:color w:val="auto"/>
                <w:w w:val="90"/>
              </w:rPr>
              <w:t>001-12622</w:t>
            </w:r>
          </w:p>
        </w:tc>
        <w:tc>
          <w:tcPr>
            <w:tcW w:w="364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36-2048898</w:t>
            </w:r>
          </w:p>
        </w:tc>
      </w:tr>
      <w:tr>
        <w:trPr>
          <w:trHeight w:val="224"/>
        </w:trPr>
        <w:tc>
          <w:tcPr>
            <w:tcW w:w="4380" w:type="dxa"/>
            <w:vAlign w:val="bottom"/>
          </w:tcPr>
          <w:p>
            <w:pPr>
              <w:jc w:val="center"/>
              <w:ind w:right="650"/>
              <w:spacing w:after="0"/>
              <w:rPr>
                <w:sz w:val="20"/>
                <w:szCs w:val="20"/>
                <w:color w:val="auto"/>
              </w:rPr>
            </w:pPr>
            <w:r>
              <w:rPr>
                <w:rFonts w:ascii="Arial" w:cs="Arial" w:eastAsia="Arial" w:hAnsi="Arial"/>
                <w:sz w:val="18"/>
                <w:szCs w:val="18"/>
                <w:color w:val="auto"/>
                <w:w w:val="92"/>
              </w:rPr>
              <w:t>(State or other jurisdiction of incorporation)</w:t>
            </w:r>
          </w:p>
        </w:tc>
        <w:tc>
          <w:tcPr>
            <w:tcW w:w="3400" w:type="dxa"/>
            <w:vAlign w:val="bottom"/>
          </w:tcPr>
          <w:p>
            <w:pPr>
              <w:jc w:val="center"/>
              <w:ind w:right="65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438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410 North Michigan Avenue</w:t>
            </w:r>
          </w:p>
        </w:tc>
        <w:tc>
          <w:tcPr>
            <w:tcW w:w="34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4380" w:type="dxa"/>
            <w:vAlign w:val="bottom"/>
          </w:tcPr>
          <w:p>
            <w:pPr>
              <w:jc w:val="center"/>
              <w:ind w:left="1270"/>
              <w:spacing w:after="0"/>
              <w:rPr>
                <w:sz w:val="20"/>
                <w:szCs w:val="20"/>
                <w:color w:val="auto"/>
              </w:rPr>
            </w:pPr>
            <w:r>
              <w:rPr>
                <w:rFonts w:ascii="Arial" w:cs="Arial" w:eastAsia="Arial" w:hAnsi="Arial"/>
                <w:sz w:val="18"/>
                <w:szCs w:val="18"/>
                <w:b w:val="1"/>
                <w:bCs w:val="1"/>
                <w:color w:val="auto"/>
                <w:w w:val="88"/>
              </w:rPr>
              <w:t>Suite 400</w:t>
            </w:r>
          </w:p>
        </w:tc>
        <w:tc>
          <w:tcPr>
            <w:tcW w:w="34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4"/>
        </w:trPr>
        <w:tc>
          <w:tcPr>
            <w:tcW w:w="4380" w:type="dxa"/>
            <w:vAlign w:val="bottom"/>
            <w:tcBorders>
              <w:bottom w:val="single" w:sz="8" w:color="auto"/>
            </w:tcBorders>
          </w:tcPr>
          <w:p>
            <w:pPr>
              <w:jc w:val="center"/>
              <w:ind w:left="1250"/>
              <w:spacing w:after="0"/>
              <w:rPr>
                <w:sz w:val="20"/>
                <w:szCs w:val="20"/>
                <w:color w:val="auto"/>
              </w:rPr>
            </w:pPr>
            <w:r>
              <w:rPr>
                <w:rFonts w:ascii="Arial" w:cs="Arial" w:eastAsia="Arial" w:hAnsi="Arial"/>
                <w:sz w:val="18"/>
                <w:szCs w:val="18"/>
                <w:b w:val="1"/>
                <w:bCs w:val="1"/>
                <w:color w:val="auto"/>
                <w:w w:val="89"/>
              </w:rPr>
              <w:t>Chicago, Illinois</w:t>
            </w:r>
          </w:p>
        </w:tc>
        <w:tc>
          <w:tcPr>
            <w:tcW w:w="34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60611-4213</w:t>
            </w:r>
          </w:p>
        </w:tc>
      </w:tr>
      <w:tr>
        <w:trPr>
          <w:trHeight w:val="224"/>
        </w:trPr>
        <w:tc>
          <w:tcPr>
            <w:tcW w:w="4380" w:type="dxa"/>
            <w:vAlign w:val="bottom"/>
          </w:tcPr>
          <w:p>
            <w:pPr>
              <w:jc w:val="center"/>
              <w:ind w:left="1270"/>
              <w:spacing w:after="0"/>
              <w:rPr>
                <w:sz w:val="20"/>
                <w:szCs w:val="20"/>
                <w:color w:val="auto"/>
              </w:rPr>
            </w:pPr>
            <w:r>
              <w:rPr>
                <w:rFonts w:ascii="Arial" w:cs="Arial" w:eastAsia="Arial" w:hAnsi="Arial"/>
                <w:sz w:val="18"/>
                <w:szCs w:val="18"/>
                <w:color w:val="auto"/>
                <w:w w:val="92"/>
              </w:rPr>
              <w:t>(Address of principal executive offices)</w:t>
            </w:r>
          </w:p>
        </w:tc>
        <w:tc>
          <w:tcPr>
            <w:tcW w:w="3400" w:type="dxa"/>
            <w:vAlign w:val="bottom"/>
          </w:tcPr>
          <w:p>
            <w:pPr>
              <w:spacing w:after="0"/>
              <w:rPr>
                <w:sz w:val="19"/>
                <w:szCs w:val="19"/>
                <w:color w:val="auto"/>
              </w:rPr>
            </w:pPr>
          </w:p>
        </w:tc>
        <w:tc>
          <w:tcPr>
            <w:tcW w:w="3640" w:type="dxa"/>
            <w:vAlign w:val="bottom"/>
          </w:tcPr>
          <w:p>
            <w:pPr>
              <w:jc w:val="center"/>
              <w:ind w:right="1970"/>
              <w:spacing w:after="0"/>
              <w:rPr>
                <w:sz w:val="20"/>
                <w:szCs w:val="20"/>
                <w:color w:val="auto"/>
              </w:rPr>
            </w:pPr>
            <w:r>
              <w:rPr>
                <w:rFonts w:ascii="Arial" w:cs="Arial" w:eastAsia="Arial" w:hAnsi="Arial"/>
                <w:sz w:val="18"/>
                <w:szCs w:val="18"/>
                <w:color w:val="auto"/>
                <w:w w:val="91"/>
              </w:rPr>
              <w:t>(Zip Code)</w:t>
            </w:r>
          </w:p>
        </w:tc>
      </w:tr>
      <w:tr>
        <w:trPr>
          <w:trHeight w:val="418"/>
        </w:trPr>
        <w:tc>
          <w:tcPr>
            <w:tcW w:w="4380" w:type="dxa"/>
            <w:vAlign w:val="bottom"/>
          </w:tcPr>
          <w:p>
            <w:pPr>
              <w:ind w:left="100"/>
              <w:spacing w:after="0"/>
              <w:rPr>
                <w:sz w:val="20"/>
                <w:szCs w:val="20"/>
                <w:color w:val="auto"/>
              </w:rPr>
            </w:pPr>
            <w:r>
              <w:rPr>
                <w:rFonts w:ascii="Arial" w:cs="Arial" w:eastAsia="Arial" w:hAnsi="Arial"/>
                <w:sz w:val="18"/>
                <w:szCs w:val="18"/>
                <w:color w:val="auto"/>
              </w:rPr>
              <w:t>Registrant’s telephone number, including area code</w:t>
            </w:r>
          </w:p>
        </w:tc>
        <w:tc>
          <w:tcPr>
            <w:tcW w:w="3400" w:type="dxa"/>
            <w:vAlign w:val="bottom"/>
          </w:tcPr>
          <w:p>
            <w:pPr>
              <w:spacing w:after="0"/>
              <w:rPr>
                <w:sz w:val="24"/>
                <w:szCs w:val="24"/>
                <w:color w:val="auto"/>
              </w:rPr>
            </w:pPr>
          </w:p>
        </w:tc>
        <w:tc>
          <w:tcPr>
            <w:tcW w:w="364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(312) 321-1515</w:t>
            </w:r>
          </w:p>
        </w:tc>
      </w:tr>
    </w:tbl>
    <w:p>
      <w:pPr>
        <w:spacing w:after="0" w:line="200" w:lineRule="exact"/>
        <w:rPr>
          <w:sz w:val="24"/>
          <w:szCs w:val="24"/>
          <w:color w:val="auto"/>
        </w:rPr>
      </w:pPr>
    </w:p>
    <w:p>
      <w:pPr>
        <w:spacing w:after="0" w:line="25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its regular meeting on June 11, 2013, the Registrant’s Board of Directors declared quarterly cash dividends of $0.19 per share of the Registrant’s Common Stock and $0.1425 per share of the Registrant’s Class B Stock. The dividends will be payable on August 30, 2013, to stockholders of record at the close of business on August 16, 2013. A copy of the Registrant’s press release announcing these matters is attached as Exhibit 99.1 and the information contained therein is incorporated herein by reference.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040" w:type="dxa"/>
            <w:vAlign w:val="bottom"/>
          </w:tcPr>
          <w:p>
            <w:pPr>
              <w:spacing w:after="0"/>
              <w:rPr>
                <w:sz w:val="18"/>
                <w:szCs w:val="18"/>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040" w:type="dxa"/>
            <w:vAlign w:val="bottom"/>
          </w:tcPr>
          <w:p>
            <w:pPr>
              <w:ind w:left="4140"/>
              <w:spacing w:after="0"/>
              <w:rPr>
                <w:sz w:val="20"/>
                <w:szCs w:val="20"/>
                <w:color w:val="auto"/>
              </w:rPr>
            </w:pPr>
            <w:r>
              <w:rPr>
                <w:rFonts w:ascii="Arial" w:cs="Arial" w:eastAsia="Arial" w:hAnsi="Arial"/>
                <w:sz w:val="18"/>
                <w:szCs w:val="18"/>
                <w:color w:val="auto"/>
              </w:rPr>
              <w:t>Description of Exhibits</w:t>
            </w:r>
          </w:p>
        </w:tc>
      </w:tr>
      <w:tr>
        <w:trPr>
          <w:trHeight w:val="42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June 11, 2013</w:t>
            </w:r>
          </w:p>
        </w:tc>
      </w:tr>
      <w:tr>
        <w:trPr>
          <w:trHeight w:val="432"/>
        </w:trPr>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38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0"/>
        <w:spacing w:after="0"/>
        <w:tabs>
          <w:tab w:leader="none" w:pos="6840" w:val="left"/>
          <w:tab w:leader="none" w:pos="732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1819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92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A. Graham</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688" w:right="5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40" w:type="dxa"/>
            <w:vAlign w:val="bottom"/>
            <w:gridSpan w:val="3"/>
          </w:tcPr>
          <w:p>
            <w:pPr>
              <w:ind w:left="3840"/>
              <w:spacing w:after="0"/>
              <w:rPr>
                <w:sz w:val="20"/>
                <w:szCs w:val="20"/>
                <w:color w:val="auto"/>
              </w:rPr>
            </w:pPr>
            <w:r>
              <w:rPr>
                <w:rFonts w:ascii="Arial" w:cs="Arial" w:eastAsia="Arial" w:hAnsi="Arial"/>
                <w:sz w:val="18"/>
                <w:szCs w:val="18"/>
                <w:color w:val="auto"/>
              </w:rPr>
              <w:t>Exhibit Index</w:t>
            </w:r>
          </w:p>
        </w:tc>
      </w:tr>
      <w:tr>
        <w:trPr>
          <w:trHeight w:val="438"/>
        </w:trPr>
        <w:tc>
          <w:tcPr>
            <w:tcW w:w="13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8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Number</w:t>
            </w:r>
          </w:p>
        </w:tc>
        <w:tc>
          <w:tcPr>
            <w:tcW w:w="3840" w:type="dxa"/>
            <w:vAlign w:val="bottom"/>
          </w:tcPr>
          <w:p>
            <w:pPr>
              <w:spacing w:after="0"/>
              <w:rPr>
                <w:sz w:val="20"/>
                <w:szCs w:val="20"/>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Description of Exhibits</w:t>
            </w:r>
          </w:p>
        </w:tc>
      </w:tr>
      <w:tr>
        <w:trPr>
          <w:trHeight w:val="42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10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Press Release dated June 11, 2013</w:t>
            </w:r>
          </w:p>
        </w:tc>
      </w:tr>
      <w:tr>
        <w:trPr>
          <w:trHeight w:val="648"/>
        </w:trPr>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002D69"/>
        </w:rPr>
        <w:drawing>
          <wp:anchor simplePos="0" relativeHeight="251657728" behindDoc="1" locked="0" layoutInCell="0" allowOverlap="1">
            <wp:simplePos x="0" y="0"/>
            <wp:positionH relativeFrom="page">
              <wp:posOffset>3115945</wp:posOffset>
            </wp:positionH>
            <wp:positionV relativeFrom="page">
              <wp:posOffset>226060</wp:posOffset>
            </wp:positionV>
            <wp:extent cx="1337945" cy="454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54660"/>
                    </a:xfrm>
                    <a:prstGeom prst="rect">
                      <a:avLst/>
                    </a:prstGeom>
                    <a:noFill/>
                  </pic:spPr>
                </pic:pic>
              </a:graphicData>
            </a:graphic>
          </wp:anchor>
        </w:drawing>
        <w:t>410 N. Michigan Ave. Chicago, Illinois 60611, U.S.A</w:t>
      </w:r>
    </w:p>
    <w:p>
      <w:pPr>
        <w:spacing w:after="0" w:line="22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002D69"/>
        </w:rPr>
        <w:t>News Announcement</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5715</wp:posOffset>
            </wp:positionV>
            <wp:extent cx="496570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6570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Board of Directors Declares Increased Dividends</w:t>
      </w:r>
    </w:p>
    <w:p>
      <w:pPr>
        <w:spacing w:after="0" w:line="200" w:lineRule="exact"/>
        <w:rPr>
          <w:sz w:val="20"/>
          <w:szCs w:val="20"/>
          <w:color w:val="auto"/>
        </w:rPr>
      </w:pPr>
    </w:p>
    <w:p>
      <w:pPr>
        <w:spacing w:after="0" w:line="24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CHICAGO—(June 11, 2013)—The Board of Directors of Oil-Dri Corporation of America (NYSE: ODC) today declared quarterly cash dividends of $0.19 per share of the Company’s Common Stock and $0.1425 per share of the Company’s Class B Stock, a 6% increase for both classes of stock.</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dividends declared today will be payable on August 30, 2013, to stockholders of record at the close of business on August 16, 2013. The Company has paid cash dividends continuously since 1974 and paid $0.72 per share of Common Stock and $0.54 per share of Class B Stock in fiscal 2013. The new dividend rate marks the tenth consecutive year Oil-Dri has increased dividends.</w:t>
      </w:r>
    </w:p>
    <w:p>
      <w:pPr>
        <w:spacing w:after="0" w:line="14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Oil-Dri Corporation of America is a leading supplier of specialty sorbent products for industrial, automotive, agricultural, horticultural and specialty markets and the world's largest manufacturer of cat litter.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229235</wp:posOffset>
            </wp:positionV>
            <wp:extent cx="496570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65700" cy="26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002D69"/>
        </w:rPr>
        <w:t>Reagan Culbertson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002D69"/>
        </w:rPr>
        <w:t>Investor Relations Manager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2D69"/>
        </w:rPr>
        <w:t>reagan.culbertson@oildri.com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460"/>
      </w:cols>
      <w:pgMar w:left="1220" w:top="105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2020-01-29T18:08:19Z</dcterms:created>
  <dcterms:modified xsi:type="dcterms:W3CDTF">2020-01-29T18:08:19Z</dcterms:modified>
</cp:coreProperties>
</file>