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UNITED STATES</w:t>
            </w: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60" w:type="dxa"/>
            <w:vAlign w:val="bottom"/>
            <w:gridSpan w:val="8"/>
          </w:tcPr>
          <w:p>
            <w:pPr>
              <w:jc w:val="center"/>
              <w:ind w:right="2480"/>
              <w:spacing w:after="0"/>
              <w:rPr>
                <w:sz w:val="20"/>
                <w:szCs w:val="20"/>
                <w:color w:val="auto"/>
              </w:rPr>
            </w:pPr>
            <w:r>
              <w:rPr>
                <w:rFonts w:ascii="Times New Roman" w:cs="Times New Roman" w:eastAsia="Times New Roman" w:hAnsi="Times New Roman"/>
                <w:sz w:val="18"/>
                <w:szCs w:val="18"/>
                <w:color w:val="auto"/>
                <w:w w:val="99"/>
              </w:rPr>
              <w:t>SECURITIES AND EXCHANGE COMMISSION</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Washington, D.C. 20549</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(Mark One)</w:t>
            </w:r>
          </w:p>
        </w:tc>
        <w:tc>
          <w:tcPr>
            <w:tcW w:w="24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FORM 10-Q</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gridSpan w:val="9"/>
            <w:vMerge w:val="continue"/>
          </w:tcPr>
          <w:p>
            <w:pPr>
              <w:spacing w:after="0"/>
              <w:rPr>
                <w:sz w:val="18"/>
                <w:szCs w:val="18"/>
                <w:color w:val="auto"/>
              </w:rPr>
            </w:pP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20" w:type="dxa"/>
            <w:vAlign w:val="bottom"/>
            <w:gridSpan w:val="11"/>
          </w:tcPr>
          <w:p>
            <w:pPr>
              <w:jc w:val="center"/>
              <w:ind w:right="680"/>
              <w:spacing w:after="0"/>
              <w:rPr>
                <w:sz w:val="20"/>
                <w:szCs w:val="20"/>
                <w:color w:val="auto"/>
              </w:rPr>
            </w:pPr>
            <w:r>
              <w:rPr>
                <w:rFonts w:ascii="Times New Roman" w:cs="Times New Roman" w:eastAsia="Times New Roman" w:hAnsi="Times New Roman"/>
                <w:sz w:val="18"/>
                <w:szCs w:val="18"/>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560" w:type="dxa"/>
            <w:vAlign w:val="bottom"/>
            <w:gridSpan w:val="8"/>
          </w:tcPr>
          <w:p>
            <w:pPr>
              <w:jc w:val="center"/>
              <w:ind w:right="2440"/>
              <w:spacing w:after="0" w:line="181" w:lineRule="exact"/>
              <w:rPr>
                <w:sz w:val="20"/>
                <w:szCs w:val="20"/>
                <w:color w:val="auto"/>
              </w:rPr>
            </w:pPr>
            <w:r>
              <w:rPr>
                <w:rFonts w:ascii="Times New Roman" w:cs="Times New Roman" w:eastAsia="Times New Roman" w:hAnsi="Times New Roman"/>
                <w:sz w:val="18"/>
                <w:szCs w:val="18"/>
                <w:color w:val="auto"/>
                <w:w w:val="99"/>
              </w:rPr>
              <w:t>For the Quarterly Period Ended April 30, 2024</w:t>
            </w:r>
          </w:p>
        </w:tc>
        <w:tc>
          <w:tcPr>
            <w:tcW w:w="0" w:type="dxa"/>
            <w:vAlign w:val="bottom"/>
          </w:tcPr>
          <w:p>
            <w:pPr>
              <w:spacing w:after="0"/>
              <w:rPr>
                <w:sz w:val="1"/>
                <w:szCs w:val="1"/>
                <w:color w:val="auto"/>
              </w:rPr>
            </w:pPr>
          </w:p>
        </w:tc>
      </w:tr>
      <w:tr>
        <w:trPr>
          <w:trHeight w:val="234"/>
        </w:trPr>
        <w:tc>
          <w:tcPr>
            <w:tcW w:w="38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or</w:t>
            </w: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320" w:type="dxa"/>
            <w:vAlign w:val="bottom"/>
            <w:gridSpan w:val="11"/>
          </w:tcPr>
          <w:p>
            <w:pPr>
              <w:jc w:val="center"/>
              <w:ind w:right="680"/>
              <w:spacing w:after="0"/>
              <w:rPr>
                <w:sz w:val="20"/>
                <w:szCs w:val="20"/>
                <w:color w:val="auto"/>
              </w:rPr>
            </w:pPr>
            <w:r>
              <w:rPr>
                <w:rFonts w:ascii="Times New Roman" w:cs="Times New Roman" w:eastAsia="Times New Roman" w:hAnsi="Times New Roman"/>
                <w:sz w:val="18"/>
                <w:szCs w:val="18"/>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gridSpan w:val="9"/>
          </w:tcPr>
          <w:p>
            <w:pPr>
              <w:jc w:val="center"/>
              <w:ind w:right="1620"/>
              <w:spacing w:after="0"/>
              <w:rPr>
                <w:sz w:val="20"/>
                <w:szCs w:val="20"/>
                <w:color w:val="auto"/>
              </w:rPr>
            </w:pPr>
            <w:r>
              <w:rPr>
                <w:rFonts w:ascii="Times New Roman" w:cs="Times New Roman" w:eastAsia="Times New Roman" w:hAnsi="Times New Roman"/>
                <w:sz w:val="18"/>
                <w:szCs w:val="18"/>
                <w:color w:val="auto"/>
                <w:w w:val="99"/>
              </w:rPr>
              <w:t>For the transition period from _____________ to ______________</w:t>
            </w:r>
          </w:p>
        </w:tc>
        <w:tc>
          <w:tcPr>
            <w:tcW w:w="0" w:type="dxa"/>
            <w:vAlign w:val="bottom"/>
          </w:tcPr>
          <w:p>
            <w:pPr>
              <w:spacing w:after="0"/>
              <w:rPr>
                <w:sz w:val="1"/>
                <w:szCs w:val="1"/>
                <w:color w:val="auto"/>
              </w:rPr>
            </w:pPr>
          </w:p>
        </w:tc>
      </w:tr>
      <w:tr>
        <w:trPr>
          <w:trHeight w:val="553"/>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gridSpan w:val="6"/>
          </w:tcPr>
          <w:p>
            <w:pPr>
              <w:jc w:val="center"/>
              <w:ind w:right="3100"/>
              <w:spacing w:after="0"/>
              <w:rPr>
                <w:sz w:val="20"/>
                <w:szCs w:val="20"/>
                <w:color w:val="auto"/>
              </w:rPr>
            </w:pPr>
            <w:r>
              <w:rPr>
                <w:rFonts w:ascii="Times New Roman" w:cs="Times New Roman" w:eastAsia="Times New Roman" w:hAnsi="Times New Roman"/>
                <w:sz w:val="18"/>
                <w:szCs w:val="18"/>
                <w:color w:val="auto"/>
              </w:rPr>
              <w:t>Commission File Number 001-12622</w:t>
            </w:r>
          </w:p>
        </w:tc>
        <w:tc>
          <w:tcPr>
            <w:tcW w:w="0" w:type="dxa"/>
            <w:vAlign w:val="bottom"/>
          </w:tcPr>
          <w:p>
            <w:pPr>
              <w:spacing w:after="0"/>
              <w:rPr>
                <w:sz w:val="1"/>
                <w:szCs w:val="1"/>
                <w:color w:val="auto"/>
              </w:rPr>
            </w:pPr>
          </w:p>
        </w:tc>
      </w:tr>
      <w:tr>
        <w:trPr>
          <w:trHeight w:val="418"/>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80" w:type="dxa"/>
            <w:vAlign w:val="bottom"/>
            <w:gridSpan w:val="7"/>
          </w:tcPr>
          <w:p>
            <w:pPr>
              <w:jc w:val="center"/>
              <w:ind w:right="2960"/>
              <w:spacing w:after="0"/>
              <w:rPr>
                <w:sz w:val="20"/>
                <w:szCs w:val="20"/>
                <w:color w:val="auto"/>
              </w:rPr>
            </w:pPr>
            <w:r>
              <w:rPr>
                <w:rFonts w:ascii="Times New Roman" w:cs="Times New Roman" w:eastAsia="Times New Roman" w:hAnsi="Times New Roman"/>
                <w:sz w:val="18"/>
                <w:szCs w:val="18"/>
                <w:color w:val="auto"/>
                <w:w w:val="99"/>
              </w:rPr>
              <w:t>OIL-DRI CORPORATION OF AMERICA</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20" w:type="dxa"/>
            <w:vAlign w:val="bottom"/>
            <w:gridSpan w:val="3"/>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60" w:type="dxa"/>
            <w:vAlign w:val="bottom"/>
            <w:gridSpan w:val="8"/>
          </w:tcPr>
          <w:p>
            <w:pPr>
              <w:jc w:val="center"/>
              <w:ind w:right="246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700" w:type="dxa"/>
            <w:vAlign w:val="bottom"/>
            <w:gridSpan w:val="4"/>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36-2048898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84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(State or other jurisdiction of incorporation or</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6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60" w:type="dxa"/>
            <w:vAlign w:val="bottom"/>
            <w:gridSpan w:val="6"/>
          </w:tcPr>
          <w:p>
            <w:pPr>
              <w:jc w:val="center"/>
              <w:ind w:right="1350"/>
              <w:spacing w:after="0"/>
              <w:rPr>
                <w:sz w:val="20"/>
                <w:szCs w:val="20"/>
                <w:color w:val="auto"/>
              </w:rPr>
            </w:pPr>
            <w:r>
              <w:rPr>
                <w:rFonts w:ascii="Times New Roman" w:cs="Times New Roman" w:eastAsia="Times New Roman" w:hAnsi="Times New Roman"/>
                <w:sz w:val="18"/>
                <w:szCs w:val="18"/>
                <w:color w:val="auto"/>
                <w:w w:val="97"/>
              </w:rPr>
              <w:t>organization)</w:t>
            </w:r>
          </w:p>
        </w:tc>
        <w:tc>
          <w:tcPr>
            <w:tcW w:w="2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60" w:type="dxa"/>
            <w:vAlign w:val="bottom"/>
            <w:gridSpan w:val="7"/>
          </w:tcPr>
          <w:p>
            <w:pPr>
              <w:jc w:val="center"/>
              <w:ind w:right="510"/>
              <w:spacing w:after="0"/>
              <w:rPr>
                <w:sz w:val="20"/>
                <w:szCs w:val="20"/>
                <w:color w:val="auto"/>
              </w:rPr>
            </w:pPr>
            <w:r>
              <w:rPr>
                <w:rFonts w:ascii="Times New Roman" w:cs="Times New Roman" w:eastAsia="Times New Roman" w:hAnsi="Times New Roman"/>
                <w:sz w:val="18"/>
                <w:szCs w:val="18"/>
                <w:color w:val="auto"/>
                <w:w w:val="99"/>
              </w:rPr>
              <w:t>410 North Michigan Avenue Suite 400</w:t>
            </w:r>
          </w:p>
        </w:tc>
        <w:tc>
          <w:tcPr>
            <w:tcW w:w="2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4"/>
          </w:tcPr>
          <w:p>
            <w:pPr>
              <w:jc w:val="center"/>
              <w:ind w:right="730"/>
              <w:spacing w:after="0"/>
              <w:rPr>
                <w:sz w:val="20"/>
                <w:szCs w:val="20"/>
                <w:color w:val="auto"/>
              </w:rPr>
            </w:pPr>
            <w:r>
              <w:rPr>
                <w:rFonts w:ascii="Times New Roman" w:cs="Times New Roman" w:eastAsia="Times New Roman" w:hAnsi="Times New Roman"/>
                <w:sz w:val="18"/>
                <w:szCs w:val="18"/>
                <w:color w:val="auto"/>
                <w:w w:val="99"/>
              </w:rPr>
              <w:t>Chicago, Illinois</w:t>
            </w:r>
          </w:p>
        </w:tc>
        <w:tc>
          <w:tcPr>
            <w:tcW w:w="640" w:type="dxa"/>
            <w:vAlign w:val="bottom"/>
            <w:gridSpan w:val="2"/>
          </w:tcPr>
          <w:p>
            <w:pPr>
              <w:spacing w:after="0"/>
              <w:rPr>
                <w:sz w:val="18"/>
                <w:szCs w:val="18"/>
                <w:color w:val="auto"/>
              </w:rPr>
            </w:pPr>
          </w:p>
        </w:tc>
        <w:tc>
          <w:tcPr>
            <w:tcW w:w="2440" w:type="dxa"/>
            <w:vAlign w:val="bottom"/>
          </w:tcPr>
          <w:p>
            <w:pPr>
              <w:spacing w:after="0"/>
              <w:rPr>
                <w:sz w:val="18"/>
                <w:szCs w:val="18"/>
                <w:color w:val="auto"/>
              </w:rPr>
            </w:pPr>
          </w:p>
        </w:tc>
        <w:tc>
          <w:tcPr>
            <w:tcW w:w="2620" w:type="dxa"/>
            <w:vAlign w:val="bottom"/>
            <w:gridSpan w:val="4"/>
          </w:tcPr>
          <w:p>
            <w:pPr>
              <w:jc w:val="center"/>
              <w:ind w:left="1610"/>
              <w:spacing w:after="0"/>
              <w:rPr>
                <w:sz w:val="20"/>
                <w:szCs w:val="20"/>
                <w:color w:val="auto"/>
              </w:rPr>
            </w:pPr>
            <w:r>
              <w:rPr>
                <w:rFonts w:ascii="Times New Roman" w:cs="Times New Roman" w:eastAsia="Times New Roman" w:hAnsi="Times New Roman"/>
                <w:sz w:val="18"/>
                <w:szCs w:val="18"/>
                <w:color w:val="auto"/>
              </w:rPr>
              <w:t>60611-4213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60" w:type="dxa"/>
            <w:vAlign w:val="bottom"/>
            <w:gridSpan w:val="7"/>
          </w:tcPr>
          <w:p>
            <w:pPr>
              <w:jc w:val="center"/>
              <w:ind w:right="5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tc>
        <w:tc>
          <w:tcPr>
            <w:tcW w:w="0" w:type="dxa"/>
            <w:vAlign w:val="bottom"/>
          </w:tcPr>
          <w:p>
            <w:pPr>
              <w:spacing w:after="0"/>
              <w:rPr>
                <w:sz w:val="1"/>
                <w:szCs w:val="1"/>
                <w:color w:val="auto"/>
              </w:rPr>
            </w:pPr>
          </w:p>
        </w:tc>
      </w:tr>
      <w:tr>
        <w:trPr>
          <w:trHeight w:val="297"/>
        </w:trPr>
        <w:tc>
          <w:tcPr>
            <w:tcW w:w="4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8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60" w:type="dxa"/>
            <w:vAlign w:val="bottom"/>
            <w:gridSpan w:val="7"/>
          </w:tcPr>
          <w:p>
            <w:pPr>
              <w:jc w:val="center"/>
              <w:ind w:left="70"/>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ODC</w:t>
            </w:r>
          </w:p>
        </w:tc>
        <w:tc>
          <w:tcPr>
            <w:tcW w:w="520" w:type="dxa"/>
            <w:vAlign w:val="bottom"/>
          </w:tcPr>
          <w:p>
            <w:pPr>
              <w:spacing w:after="0"/>
              <w:rPr>
                <w:sz w:val="20"/>
                <w:szCs w:val="20"/>
                <w:color w:val="auto"/>
              </w:rPr>
            </w:pPr>
          </w:p>
        </w:tc>
        <w:tc>
          <w:tcPr>
            <w:tcW w:w="296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3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282" w:right="399" w:bottom="1440" w:gutter="0" w:footer="0" w:header="0"/>
        </w:sectPr>
      </w:pPr>
    </w:p>
    <w:p>
      <w:pPr>
        <w:spacing w:after="0" w:line="8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o</w:t>
      </w:r>
    </w:p>
    <w:p>
      <w:pPr>
        <w:spacing w:after="0" w:line="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Accelerated Filer </w:t>
      </w: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x</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2">
            <w:col w:w="7120" w:space="720"/>
            <w:col w:w="3340"/>
          </w:cols>
          <w:pgMar w:left="320" w:top="1282" w:right="399" w:bottom="1440" w:gutter="0" w:footer="0" w:header="0"/>
          <w:type w:val="continuous"/>
        </w:sectPr>
      </w:pPr>
    </w:p>
    <w:p>
      <w:pPr>
        <w:spacing w:after="0" w:line="23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31, 2024, 5,130,916 shares of the registrant's Common Stock and 2,155,407 shares of the registrant's Class B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82"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14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4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40" w:type="dxa"/>
            <w:vAlign w:val="bottom"/>
            <w:gridSpan w:val="7"/>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700" w:type="dxa"/>
            <w:vAlign w:val="bottom"/>
            <w:gridSpan w:val="5"/>
            <w:shd w:val="clear" w:color="auto" w:fill="CCEEFF"/>
          </w:tcPr>
          <w:p>
            <w:pPr>
              <w:jc w:val="center"/>
              <w:ind w:left="143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33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5:</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within the meaning of the safe harbor provisions of the U.S. Private Securities Litigation Reform Act of 1995,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including, but not limited to, those described herein and in Item 1A, "Risk Factors," of our Annual Report on Form 10-K for the fiscal year ended July 31, 2023 and in Part II, Item 1A, "Risk Factors," of our Quarterly Report on Form 10-Q for the fiscal quarter ended January 31, 2024, and from time to time in our other filings with the SEC.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is a registered trademark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9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amounts)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90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4"/>
                <w:szCs w:val="14"/>
                <w:color w:val="auto"/>
              </w:rPr>
            </w:pPr>
          </w:p>
        </w:tc>
        <w:tc>
          <w:tcPr>
            <w:tcW w:w="126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26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90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allowances</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60,003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$1,094 and $1,087 at April 30, 2024 and July 31, 2023, respectively</w:t>
            </w:r>
          </w:p>
        </w:tc>
        <w:tc>
          <w:tcPr>
            <w:tcW w:w="2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Cost</w:t>
            </w:r>
          </w:p>
        </w:tc>
        <w:tc>
          <w:tcPr>
            <w:tcW w:w="59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322,526</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305,851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127,946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1,458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$8,394 and $8,341 at April 30, 2024 and July 31, 2023, respectively</w:t>
            </w:r>
          </w:p>
        </w:tc>
        <w:tc>
          <w:tcPr>
            <w:tcW w:w="2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319,152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amounts)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220" w:type="dxa"/>
            <w:vAlign w:val="bottom"/>
          </w:tcPr>
          <w:p>
            <w:pPr>
              <w:spacing w:after="0"/>
              <w:rPr>
                <w:sz w:val="14"/>
                <w:szCs w:val="14"/>
                <w:color w:val="auto"/>
              </w:rPr>
            </w:pPr>
          </w:p>
        </w:tc>
        <w:tc>
          <w:tcPr>
            <w:tcW w:w="13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24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1,958</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32,413</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51,918</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Notes payable, net of unamortized debt issuance costs</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40,860</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$140 and $173 at April 30, 2024 and July 31, 2023, respectively</w:t>
            </w:r>
          </w:p>
        </w:tc>
        <w:tc>
          <w:tcPr>
            <w:tcW w:w="22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11,399</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6,518</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64,285</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116,203</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7)</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662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Common Stock, par value $.10 per share, issued 8,827,223 shares at April 30, 2024</w:t>
            </w: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883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and 8,750,223 shares at July 31, 2023</w:t>
            </w: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Class B Stock, par value $.10 per share, issued 2,518,056 shares at April 30, 2024</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2,397,056 shares at July 31, 2023</w:t>
            </w:r>
          </w:p>
        </w:tc>
        <w:tc>
          <w:tcPr>
            <w:tcW w:w="22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225,818</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Treasury Stock, at cost (3,695,982 Common and 362,649 Class B shares at</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(84,151)</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2024 and 3,658,989 Common and 351,641 Class B shares at July 31, 2023)</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202,949</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177,076</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319,152</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40" w:type="dxa"/>
            <w:vAlign w:val="bottom"/>
            <w:tcBorders>
              <w:bottom w:val="single" w:sz="8" w:color="auto"/>
            </w:tcBorders>
          </w:tcPr>
          <w:p>
            <w:pPr>
              <w:spacing w:after="0"/>
              <w:rPr>
                <w:sz w:val="20"/>
                <w:szCs w:val="20"/>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amounts)</w:t>
            </w:r>
          </w:p>
        </w:tc>
        <w:tc>
          <w:tcPr>
            <w:tcW w:w="29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r>
      <w:tr>
        <w:trPr>
          <w:trHeight w:val="223"/>
        </w:trPr>
        <w:tc>
          <w:tcPr>
            <w:tcW w:w="8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8"/>
        </w:trPr>
        <w:tc>
          <w:tcPr>
            <w:tcW w:w="8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323,885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305,633</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(231,815)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(232,840)</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92,070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72,793</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(53,317)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(44,462)</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38,753</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28,331</w:t>
            </w:r>
          </w:p>
        </w:tc>
      </w:tr>
      <w:tr>
        <w:trPr>
          <w:trHeight w:val="128"/>
        </w:trPr>
        <w:tc>
          <w:tcPr>
            <w:tcW w:w="8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pension termination</w:t>
            </w:r>
          </w:p>
        </w:tc>
        <w:tc>
          <w:tcPr>
            <w:tcW w:w="3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23"/>
        </w:trPr>
        <w:tc>
          <w:tcPr>
            <w:tcW w:w="82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w:t>
            </w:r>
          </w:p>
        </w:tc>
      </w:tr>
      <w:tr>
        <w:trPr>
          <w:trHeight w:val="128"/>
        </w:trPr>
        <w:tc>
          <w:tcPr>
            <w:tcW w:w="8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37,650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(6,749)</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30,901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30,901</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6"/>
        </w:trPr>
        <w:tc>
          <w:tcPr>
            <w:tcW w:w="82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6,848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r>
      <w:tr>
        <w:trPr>
          <w:trHeight w:val="230"/>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0.840</w:t>
            </w:r>
          </w:p>
        </w:tc>
      </w:tr>
      <w:tr>
        <w:trPr>
          <w:trHeight w:val="238"/>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0.654</w:t>
            </w:r>
          </w:p>
        </w:tc>
        <w:tc>
          <w:tcPr>
            <w:tcW w:w="2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0.630</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9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r>
      <w:tr>
        <w:trPr>
          <w:trHeight w:val="238"/>
        </w:trPr>
        <w:tc>
          <w:tcPr>
            <w:tcW w:w="8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8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w:t>
            </w:r>
          </w:p>
        </w:tc>
      </w:tr>
      <w:tr>
        <w:trPr>
          <w:trHeight w:val="256"/>
        </w:trPr>
        <w:tc>
          <w:tcPr>
            <w:tcW w:w="8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(expenses) benefits (net of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30,851</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Three Months Ended April</w:t>
            </w:r>
          </w:p>
        </w:tc>
      </w:tr>
      <w:tr>
        <w:trPr>
          <w:trHeight w:val="241"/>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5"/>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29"/>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106,779</w:t>
            </w:r>
          </w:p>
        </w:tc>
        <w:tc>
          <w:tcPr>
            <w:tcW w:w="6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105,425</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(76,642)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(77,958)</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30,137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(13,011)</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10,432</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14,456</w:t>
            </w: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pension termination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3"/>
        </w:trPr>
        <w:tc>
          <w:tcPr>
            <w:tcW w:w="82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w:t>
            </w:r>
          </w:p>
        </w:tc>
      </w:tr>
      <w:tr>
        <w:trPr>
          <w:trHeight w:val="128"/>
        </w:trPr>
        <w:tc>
          <w:tcPr>
            <w:tcW w:w="8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10,138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8,488</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7,777</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5"/>
        </w:trPr>
        <w:tc>
          <w:tcPr>
            <w:tcW w:w="8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6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6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6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c>
          <w:tcPr>
            <w:tcW w:w="6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4,912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r>
      <w:tr>
        <w:trPr>
          <w:trHeight w:val="229"/>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0.290</w:t>
            </w:r>
          </w:p>
        </w:tc>
        <w:tc>
          <w:tcPr>
            <w:tcW w:w="6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0.280</w:t>
            </w:r>
          </w:p>
        </w:tc>
      </w:tr>
      <w:tr>
        <w:trPr>
          <w:trHeight w:val="238"/>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0.218</w:t>
            </w:r>
          </w:p>
        </w:tc>
        <w:tc>
          <w:tcPr>
            <w:tcW w:w="6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0.210</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940" w:type="dxa"/>
            <w:vAlign w:val="bottom"/>
            <w:gridSpan w:val="5"/>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Three Months Ended April</w:t>
            </w:r>
          </w:p>
        </w:tc>
      </w:tr>
      <w:tr>
        <w:trPr>
          <w:trHeight w:val="241"/>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5"/>
        </w:trPr>
        <w:tc>
          <w:tcPr>
            <w:tcW w:w="8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8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7,777</w:t>
            </w:r>
          </w:p>
        </w:tc>
        <w:tc>
          <w:tcPr>
            <w:tcW w:w="6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r>
      <w:tr>
        <w:trPr>
          <w:trHeight w:val="256"/>
        </w:trPr>
        <w:tc>
          <w:tcPr>
            <w:tcW w:w="8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(expenses) benefits (net of tax)</w:t>
            </w:r>
          </w:p>
        </w:tc>
        <w:tc>
          <w:tcPr>
            <w:tcW w:w="840" w:type="dxa"/>
            <w:vAlign w:val="bottom"/>
          </w:tcPr>
          <w:p>
            <w:pPr>
              <w:spacing w:after="0"/>
              <w:rPr>
                <w:sz w:val="19"/>
                <w:szCs w:val="19"/>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(35)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7,742</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12"/>
          </w:tcPr>
          <w:p>
            <w:pPr>
              <w:jc w:val="center"/>
              <w:ind w:left="379"/>
              <w:spacing w:after="0"/>
              <w:rPr>
                <w:sz w:val="20"/>
                <w:szCs w:val="20"/>
                <w:color w:val="auto"/>
              </w:rPr>
            </w:pPr>
            <w:r>
              <w:rPr>
                <w:rFonts w:ascii="Times New Roman" w:cs="Times New Roman" w:eastAsia="Times New Roman" w:hAnsi="Times New Roman"/>
                <w:sz w:val="12"/>
                <w:szCs w:val="12"/>
                <w:b w:val="1"/>
                <w:bCs w:val="1"/>
                <w:color w:val="auto"/>
              </w:rPr>
              <w:t>For the Three Months Ended April 30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left="99"/>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rPr>
              <w:t>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rPr>
              <w:t>&amp; Class B</w:t>
            </w: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rPr>
              <w:t>&amp; Class B</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2023</w:t>
            </w: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11,141,279</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(3,976,318)</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1,114</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54,328</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184,133</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(79,886)</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(2,325)</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(390)</w:t>
            </w:r>
          </w:p>
        </w:tc>
        <w:tc>
          <w:tcPr>
            <w:tcW w:w="220" w:type="dxa"/>
            <w:vAlign w:val="bottom"/>
            <w:tcBorders>
              <w:top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156,974</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left="219"/>
              <w:spacing w:after="0"/>
              <w:rPr>
                <w:sz w:val="20"/>
                <w:szCs w:val="20"/>
                <w:color w:val="auto"/>
              </w:rPr>
            </w:pPr>
            <w:r>
              <w:rPr>
                <w:rFonts w:ascii="Times New Roman" w:cs="Times New Roman" w:eastAsia="Times New Roman" w:hAnsi="Times New Roman"/>
                <w:sz w:val="12"/>
                <w:szCs w:val="12"/>
                <w:color w:val="auto"/>
              </w:rPr>
              <w:t>(1,868)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(1,868)</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1,300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(16,750)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468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(468)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April 30, 2023</w:t>
            </w: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11,142,579</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(3,993,068)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1,114</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55,488</w:t>
            </w: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190,800</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(80,354)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484</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(437)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167,095</w:t>
            </w:r>
          </w:p>
        </w:tc>
        <w:tc>
          <w:tcPr>
            <w:tcW w:w="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11,342,279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(4,056,730)</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1,134</w:t>
            </w:r>
          </w:p>
        </w:tc>
        <w:tc>
          <w:tcPr>
            <w:tcW w:w="40" w:type="dxa"/>
            <w:vAlign w:val="bottom"/>
          </w:tcPr>
          <w:p>
            <w:pPr>
              <w:spacing w:after="0"/>
              <w:rPr>
                <w:sz w:val="14"/>
                <w:szCs w:val="14"/>
                <w:color w:val="auto"/>
              </w:rPr>
            </w:pPr>
          </w:p>
        </w:tc>
        <w:tc>
          <w:tcPr>
            <w:tcW w:w="2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58,205</w:t>
            </w:r>
          </w:p>
        </w:tc>
        <w:tc>
          <w:tcPr>
            <w:tcW w:w="4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219,995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(84,029)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733</w:t>
            </w:r>
          </w:p>
        </w:tc>
        <w:tc>
          <w:tcPr>
            <w:tcW w:w="40" w:type="dxa"/>
            <w:vAlign w:val="bottom"/>
          </w:tcPr>
          <w:p>
            <w:pPr>
              <w:spacing w:after="0"/>
              <w:rPr>
                <w:sz w:val="14"/>
                <w:szCs w:val="14"/>
                <w:color w:val="auto"/>
              </w:rPr>
            </w:pPr>
          </w:p>
        </w:tc>
        <w:tc>
          <w:tcPr>
            <w:tcW w:w="280" w:type="dxa"/>
            <w:vAlign w:val="bottom"/>
            <w:gridSpan w:val="3"/>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196,038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4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center"/>
              <w:ind w:left="219"/>
              <w:spacing w:after="0"/>
              <w:rPr>
                <w:sz w:val="20"/>
                <w:szCs w:val="20"/>
                <w:color w:val="auto"/>
              </w:rPr>
            </w:pPr>
            <w:r>
              <w:rPr>
                <w:rFonts w:ascii="Times New Roman" w:cs="Times New Roman" w:eastAsia="Times New Roman" w:hAnsi="Times New Roman"/>
                <w:sz w:val="12"/>
                <w:szCs w:val="12"/>
                <w:color w:val="auto"/>
              </w:rPr>
              <w:t>(1,954)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(1,954)</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(1,651)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(115)</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April 30, 2024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11,345,279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(4,058,631)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59,449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225,818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(84,151)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202,949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For the Nine Months Ended April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12"/>
          </w:tcPr>
          <w:p>
            <w:pPr>
              <w:jc w:val="right"/>
              <w:ind w:right="220"/>
              <w:spacing w:after="0"/>
              <w:rPr>
                <w:sz w:val="20"/>
                <w:szCs w:val="20"/>
                <w:color w:val="auto"/>
              </w:rPr>
            </w:pPr>
            <w:r>
              <w:rPr>
                <w:rFonts w:ascii="Times New Roman" w:cs="Times New Roman" w:eastAsia="Times New Roman" w:hAnsi="Times New Roman"/>
                <w:sz w:val="12"/>
                <w:szCs w:val="12"/>
                <w:b w:val="1"/>
                <w:bCs w:val="1"/>
                <w:i w:val="1"/>
                <w:iCs w:val="1"/>
                <w:color w:val="auto"/>
              </w:rPr>
              <w:t>(in thousands, except share amounts)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6"/>
          </w:tcPr>
          <w:p>
            <w:pPr>
              <w:ind w:left="440"/>
              <w:spacing w:after="0"/>
              <w:rPr>
                <w:sz w:val="20"/>
                <w:szCs w:val="20"/>
                <w:color w:val="auto"/>
              </w:rPr>
            </w:pPr>
            <w:r>
              <w:rPr>
                <w:rFonts w:ascii="Times New Roman" w:cs="Times New Roman" w:eastAsia="Times New Roman" w:hAnsi="Times New Roman"/>
                <w:sz w:val="12"/>
                <w:szCs w:val="12"/>
                <w:color w:val="auto"/>
              </w:rPr>
              <w:t>Number of 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80" w:type="dxa"/>
            <w:vAlign w:val="bottom"/>
            <w:tcBorders>
              <w:top w:val="single" w:sz="8" w:color="auto"/>
            </w:tcBorders>
            <w:gridSpan w:val="5"/>
            <w:vMerge w:val="restart"/>
          </w:tcPr>
          <w:p>
            <w:pPr>
              <w:jc w:val="center"/>
              <w:ind w:right="140"/>
              <w:spacing w:after="0"/>
              <w:rPr>
                <w:sz w:val="20"/>
                <w:szCs w:val="20"/>
                <w:color w:val="auto"/>
              </w:rPr>
            </w:pPr>
            <w:r>
              <w:rPr>
                <w:rFonts w:ascii="Times New Roman" w:cs="Times New Roman" w:eastAsia="Times New Roman" w:hAnsi="Times New Roman"/>
                <w:sz w:val="12"/>
                <w:szCs w:val="12"/>
                <w:color w:val="auto"/>
                <w:w w:val="99"/>
              </w:rPr>
              <w:t>Common &amp; Class</w:t>
            </w:r>
          </w:p>
        </w:tc>
        <w:tc>
          <w:tcPr>
            <w:tcW w:w="7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color w:val="auto"/>
              </w:rPr>
              <w:t>Common &amp;</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auto"/>
              </w:rPr>
              <w:t>Additional Paid-</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auto"/>
              </w:rPr>
              <w:t>Retained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2"/>
                <w:szCs w:val="12"/>
                <w:color w:val="auto"/>
              </w:rPr>
              <w:t>Accumulated Other</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auto"/>
              </w:rPr>
              <w:t>Non-controlling</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Total Stockholders'</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w w:val="98"/>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2"/>
                <w:szCs w:val="12"/>
                <w:color w:val="auto"/>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color w:val="auto"/>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color w:val="auto"/>
                <w:w w:val="98"/>
              </w:rPr>
              <w:t>B Stock</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rPr>
              <w:t>Class B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In 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Earnings</w:t>
            </w:r>
          </w:p>
        </w:tc>
        <w:tc>
          <w:tcPr>
            <w:tcW w:w="8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Income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Equity</w:t>
            </w:r>
          </w:p>
        </w:tc>
        <w:tc>
          <w:tcPr>
            <w:tcW w:w="0" w:type="dxa"/>
            <w:vAlign w:val="bottom"/>
          </w:tcPr>
          <w:p>
            <w:pPr>
              <w:spacing w:after="0"/>
              <w:rPr>
                <w:sz w:val="1"/>
                <w:szCs w:val="1"/>
                <w:color w:val="auto"/>
              </w:rPr>
            </w:pPr>
          </w:p>
        </w:tc>
      </w:tr>
      <w:tr>
        <w:trPr>
          <w:trHeight w:val="175"/>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2022</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11,083,824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(3,961,579)</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1,108</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52,467</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178,754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(79,428)</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(2,183)</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(369)</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150,349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17,632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58,755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(23,996)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695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(701)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April 30, 2023</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11,142,579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(3,993,068)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55,488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190,800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(80,354)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(437)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167,095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11,147,279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(4,010,630)</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1,115</w:t>
            </w:r>
          </w:p>
        </w:tc>
        <w:tc>
          <w:tcPr>
            <w:tcW w:w="40" w:type="dxa"/>
            <w:vAlign w:val="bottom"/>
          </w:tcPr>
          <w:p>
            <w:pPr>
              <w:spacing w:after="0"/>
              <w:rPr>
                <w:sz w:val="14"/>
                <w:szCs w:val="14"/>
                <w:color w:val="auto"/>
              </w:rPr>
            </w:pPr>
          </w:p>
        </w:tc>
        <w:tc>
          <w:tcPr>
            <w:tcW w:w="240" w:type="dxa"/>
            <w:vAlign w:val="bottom"/>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55,624</w:t>
            </w:r>
          </w:p>
        </w:tc>
        <w:tc>
          <w:tcPr>
            <w:tcW w:w="40" w:type="dxa"/>
            <w:vAlign w:val="bottom"/>
          </w:tcPr>
          <w:p>
            <w:pPr>
              <w:spacing w:after="0"/>
              <w:rPr>
                <w:sz w:val="14"/>
                <w:szCs w:val="14"/>
                <w:color w:val="auto"/>
              </w:rPr>
            </w:pPr>
          </w:p>
        </w:tc>
        <w:tc>
          <w:tcPr>
            <w:tcW w:w="280" w:type="dxa"/>
            <w:vAlign w:val="bottom"/>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200,796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(81,207)</w:t>
            </w:r>
          </w:p>
        </w:tc>
        <w:tc>
          <w:tcPr>
            <w:tcW w:w="40" w:type="dxa"/>
            <w:vAlign w:val="bottom"/>
          </w:tcPr>
          <w:p>
            <w:pPr>
              <w:spacing w:after="0"/>
              <w:rPr>
                <w:sz w:val="14"/>
                <w:szCs w:val="14"/>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748</w:t>
            </w:r>
          </w:p>
        </w:tc>
        <w:tc>
          <w:tcPr>
            <w:tcW w:w="40" w:type="dxa"/>
            <w:vAlign w:val="bottom"/>
          </w:tcPr>
          <w:p>
            <w:pPr>
              <w:spacing w:after="0"/>
              <w:rPr>
                <w:sz w:val="14"/>
                <w:szCs w:val="14"/>
                <w:color w:val="auto"/>
              </w:rPr>
            </w:pPr>
          </w:p>
        </w:tc>
        <w:tc>
          <w:tcPr>
            <w:tcW w:w="280" w:type="dxa"/>
            <w:vAlign w:val="bottom"/>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177,076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4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30,901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(41,726)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40" w:type="dxa"/>
            <w:vAlign w:val="bottom"/>
            <w:gridSpan w:val="2"/>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April 30, 2024</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11,345,279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(4,058,631)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59,449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225,818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(84,151)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202,949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280" w:type="dxa"/>
            <w:vAlign w:val="bottom"/>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r>
      <w:tr>
        <w:trPr>
          <w:trHeight w:val="198"/>
        </w:trPr>
        <w:tc>
          <w:tcPr>
            <w:tcW w:w="8280" w:type="dxa"/>
            <w:vAlign w:val="bottom"/>
            <w:gridSpan w:val="5"/>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Pr>
          <w:p>
            <w:pPr>
              <w:spacing w:after="0"/>
              <w:rPr>
                <w:sz w:val="17"/>
                <w:szCs w:val="17"/>
                <w:color w:val="auto"/>
              </w:rPr>
            </w:pPr>
          </w:p>
        </w:tc>
        <w:tc>
          <w:tcPr>
            <w:tcW w:w="102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82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w:t>
            </w:r>
          </w:p>
        </w:tc>
      </w:tr>
      <w:tr>
        <w:trPr>
          <w:trHeight w:val="229"/>
        </w:trPr>
        <w:tc>
          <w:tcPr>
            <w:tcW w:w="8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13,619</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r>
      <w:tr>
        <w:trPr>
          <w:trHeight w:val="230"/>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pension termination</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r>
      <w:tr>
        <w:trPr>
          <w:trHeight w:val="229"/>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bad debts and cash discounts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Impairment of patents</w:t>
            </w:r>
          </w:p>
        </w:tc>
        <w:tc>
          <w:tcPr>
            <w:tcW w:w="3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Impairment of Fixed Assets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9"/>
        </w:trPr>
        <w:tc>
          <w:tcPr>
            <w:tcW w:w="20" w:type="dxa"/>
            <w:vAlign w:val="bottom"/>
          </w:tcPr>
          <w:p>
            <w:pPr>
              <w:spacing w:after="0"/>
              <w:rPr>
                <w:sz w:val="19"/>
                <w:szCs w:val="19"/>
                <w:color w:val="auto"/>
              </w:rPr>
            </w:pPr>
          </w:p>
        </w:tc>
        <w:tc>
          <w:tcPr>
            <w:tcW w:w="82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the disposals of property, plant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r>
      <w:tr>
        <w:trPr>
          <w:trHeight w:val="230"/>
        </w:trPr>
        <w:tc>
          <w:tcPr>
            <w:tcW w:w="2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29"/>
        </w:trPr>
        <w:tc>
          <w:tcPr>
            <w:tcW w:w="2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r>
      <w:tr>
        <w:trPr>
          <w:trHeight w:val="230"/>
        </w:trPr>
        <w:tc>
          <w:tcPr>
            <w:tcW w:w="2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(1,095)</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6,028</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18,477</w:t>
            </w: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36,929</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36,041</w:t>
            </w:r>
          </w:p>
        </w:tc>
      </w:tr>
      <w:tr>
        <w:trPr>
          <w:trHeight w:val="236"/>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0"/>
        </w:trPr>
        <w:tc>
          <w:tcPr>
            <w:tcW w:w="828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9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432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(23,717)</w:t>
            </w:r>
          </w:p>
        </w:tc>
        <w:tc>
          <w:tcPr>
            <w:tcW w:w="2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(16,745)</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(23,536)</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(16,735)</w:t>
            </w:r>
          </w:p>
        </w:tc>
      </w:tr>
      <w:tr>
        <w:trPr>
          <w:trHeight w:val="236"/>
        </w:trPr>
        <w:tc>
          <w:tcPr>
            <w:tcW w:w="2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189"/>
        </w:trPr>
        <w:tc>
          <w:tcPr>
            <w:tcW w:w="828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notes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w:t>
            </w: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(2,690)</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1,462</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r>
      <w:tr>
        <w:trPr>
          <w:trHeight w:val="223"/>
        </w:trPr>
        <w:tc>
          <w:tcPr>
            <w:tcW w:w="82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82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r>
      <w:tr>
        <w:trPr>
          <w:trHeight w:val="230"/>
        </w:trPr>
        <w:tc>
          <w:tcPr>
            <w:tcW w:w="82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31,754</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16,298</w:t>
            </w:r>
          </w:p>
        </w:tc>
      </w:tr>
      <w:tr>
        <w:trPr>
          <w:trHeight w:val="248"/>
        </w:trPr>
        <w:tc>
          <w:tcPr>
            <w:tcW w:w="82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46,821</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9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0" w:type="dxa"/>
            <w:vAlign w:val="bottom"/>
          </w:tcPr>
          <w:p>
            <w:pPr>
              <w:spacing w:after="0"/>
              <w:rPr>
                <w:sz w:val="1"/>
                <w:szCs w:val="1"/>
                <w:color w:val="auto"/>
              </w:rPr>
            </w:pPr>
          </w:p>
        </w:tc>
      </w:tr>
      <w:tr>
        <w:trPr>
          <w:trHeight w:val="238"/>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cash flows: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payments, net of amounts capitalized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2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payments, net of refunds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29"/>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 accrued, but not paid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38"/>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and accrued, but not paid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1,958</w:t>
            </w:r>
          </w:p>
        </w:tc>
        <w:tc>
          <w:tcPr>
            <w:tcW w:w="2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right="4920" w:firstLine="8"/>
        <w:spacing w:after="0" w:line="534" w:lineRule="auto"/>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included in our Annual Report on Form 10-K for the fiscal year ended July 31, 2023.</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nine months ended April 30, 2024 are not necessarily an indication of the results that may be expected for the fiscal year ending July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immaterial reclassifications had no effect on the previously reported net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Use of Estimates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liabilities, revenues and expenses during the reporting period, as well as the related disclosures. Estimates and assumptions about future events cannot be made with certainty. All of our estimates and assumptions are revised periodically. Actual results could differ from these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which are summarized in detail in our Annual Report on Form 10-K for the fiscal year ended July 31, 2023, have not materially changed. The following is a description of certain of our significant accounting policies: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Trade Receivables. </w:t>
      </w:r>
      <w:r>
        <w:rPr>
          <w:rFonts w:ascii="Times New Roman" w:cs="Times New Roman" w:eastAsia="Times New Roman" w:hAnsi="Times New Roman"/>
          <w:sz w:val="18"/>
          <w:szCs w:val="18"/>
          <w:color w:val="auto"/>
        </w:rPr>
        <w:t>We recognize trade receivables when control of finished products are transferred to our customers. We record an allowance for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includes depreciable assets such as building, machinery, equipment, furniture, vehicles,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capitalized spare parts. These assets are depreciated using the straight-line method over their estimated useful lives. Major improvements are capitalized, while maintenance and repairs that do not extend the useful life of the applicable assets are expensed as incurred. Interest expense may also be capitalized for assets that require a period of time to get them ready for their intended use.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assets are carried at cost on the Consolidated Balance Sheets and are reviewed for possible impairment on an annual basis or when circumstances indicate impairment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Land, Mining Property and Mineral Rights. </w:t>
      </w:r>
      <w:r>
        <w:rPr>
          <w:rFonts w:ascii="Times New Roman" w:cs="Times New Roman" w:eastAsia="Times New Roman" w:hAnsi="Times New Roman"/>
          <w:sz w:val="18"/>
          <w:szCs w:val="18"/>
          <w:color w:val="auto"/>
        </w:rPr>
        <w:t>We surface mine sorbent materials on property that we either own or lease as part of our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goods sold in the period they are incurred. We defer and amortize the pre-production overburden removal costs during the development phase associated with opening a new mine.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Reclamation. </w:t>
      </w: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The reclamation assets are depreciated over the estimated useful lives of the respective mines. The reclamation liabilities are increased based on a yearly accretion charge over the estimated useful lives of the respective mines.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ASC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provides that a contract is, or contains, a lease if it conveys the right to control the use of an identified asset and, accordingly,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leases provide for variable lease payments that vary due to changes in facts and circumstances occurring after the commencement date, other than the passage of time. Variable lease payments that are dependent on an index or rate (e.g., the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recognize revenue when performance obligations under the terms of the contracts with customers are satisfied. Our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ind w:right="2120"/>
        <w:spacing w:after="0" w:line="276" w:lineRule="auto"/>
        <w:rPr>
          <w:sz w:val="20"/>
          <w:szCs w:val="20"/>
          <w:color w:val="auto"/>
        </w:rPr>
      </w:pPr>
      <w:r>
        <w:rPr>
          <w:rFonts w:ascii="Times New Roman" w:cs="Times New Roman" w:eastAsia="Times New Roman" w:hAnsi="Times New Roman"/>
          <w:sz w:val="17"/>
          <w:szCs w:val="17"/>
          <w:color w:val="auto"/>
        </w:rPr>
        <w:t>We have an unconditional right to consideration under the payment terms specified in the contracts upon completion of the performance obligation. We may require certain customers to provide payment in advance of product shipment. We recorded a</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liability for these advance payments of $0.1 million as of April 30, 2024, and no liability as of July 31, 2023. This liability is reported in Other within Accrued Expenses on the unaudited Condensed Consolidated Balance Sheet. There was no revenue recognized during the nine months ended April 30, 2024, that was included in the liability for advance payments at the beginning of the period.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include salaries, wages and benefits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Current and Noncurrent Liabilities. </w:t>
      </w:r>
      <w:r>
        <w:rPr>
          <w:rFonts w:ascii="Times New Roman" w:cs="Times New Roman" w:eastAsia="Times New Roman" w:hAnsi="Times New Roman"/>
          <w:sz w:val="18"/>
          <w:szCs w:val="18"/>
          <w:color w:val="auto"/>
        </w:rPr>
        <w:t>Other liabilities include the accruals for general expenses not yet paid, cash collected not yet vouchered,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postretirement health benefit obligations, and reclamation liability accrual. Current liabilities are due to be paid within the next 12 months. Other noncurrent liabilities on the unaudited Condensed Consolidated Balance Sheet includes $4.6 million for the reclamation liability as of April 30, 2024 and $4.5 million as of July 31, 2023 and $1.9 million for postretirement health benefit as of April 30, 2024 and $1.8 million as of July 31, 2023, respectively.</w:t>
      </w: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Earnings Per Share. </w:t>
      </w:r>
      <w:r>
        <w:rPr>
          <w:rFonts w:ascii="Times New Roman" w:cs="Times New Roman" w:eastAsia="Times New Roman" w:hAnsi="Times New Roman"/>
          <w:sz w:val="17"/>
          <w:szCs w:val="17"/>
          <w:color w:val="auto"/>
        </w:rPr>
        <w:t>We utilize the two-class method to report our earnings per share ("EPS"). The two-class method is an earnings allocation formula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determines earnings per share for each class of common stock according to dividends declared and participation rights in undistributed earnings. Common Stock is entitled to cash dividends equal to at least 133.33% on a per share basis of the cash dividend paid on Class B Stock. In computing earnings per share, the Company has allocated dividends declared to shares of Common Stock and Class B Stock based on amounts actually declared for each class of stock and 33.33% more of the undistributed earnings have been allocated to the shares of Common Stock than to the shares of Class B Stock on a per share basis. Common Stock is entitled to one vote per share and Class B Stock is entitled to ten votes per share. Common Stock has no conversion rights. Class B Stock is convertible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share. Diluted EPS, for each class of common stock, is computed by dividing net earnings by the weighted-average number of common shares and potential common shares outstanding during the period. Dilution for Common Stock takes into consideration the effect of both unvested restricted shares and convertible shares of Class B Stock, if the effect is dilutive. Dilution for Class B takes into consideration the effect of unvested restricted shares, if the effect is dilutive. Below is a reconciliation of the calculation of basic and diluted EPS.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52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April 30, 2024</w:t>
            </w:r>
          </w:p>
        </w:tc>
      </w:tr>
      <w:tr>
        <w:trPr>
          <w:trHeight w:val="214"/>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color w:val="auto"/>
                <w:w w:val="99"/>
              </w:rPr>
              <w:t>(in thousands, except for per share data)</w:t>
            </w:r>
          </w:p>
        </w:tc>
        <w:tc>
          <w:tcPr>
            <w:tcW w:w="1120" w:type="dxa"/>
            <w:vAlign w:val="bottom"/>
          </w:tcPr>
          <w:p>
            <w:pPr>
              <w:spacing w:after="0"/>
              <w:rPr>
                <w:sz w:val="18"/>
                <w:szCs w:val="18"/>
                <w:color w:val="auto"/>
              </w:rPr>
            </w:pPr>
          </w:p>
        </w:tc>
      </w:tr>
      <w:tr>
        <w:trPr>
          <w:trHeight w:val="238"/>
        </w:trPr>
        <w:tc>
          <w:tcPr>
            <w:tcW w:w="5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30,901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23,503</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Distributed and undistributed earnings on restricted shares</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available to stockholders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29,169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(Numerator)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22,359</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(Denominator)</w:t>
            </w:r>
          </w:p>
        </w:tc>
        <w:tc>
          <w:tcPr>
            <w:tcW w:w="10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Net Income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assuming dilution (Numerator)</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29,169</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r>
      <w:tr>
        <w:trPr>
          <w:trHeight w:val="256"/>
        </w:trPr>
        <w:tc>
          <w:tcPr>
            <w:tcW w:w="5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5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Shares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assuming dilution (Denominator)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r>
      <w:tr>
        <w:trPr>
          <w:trHeight w:val="20"/>
        </w:trPr>
        <w:tc>
          <w:tcPr>
            <w:tcW w:w="51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453"/>
        </w:trPr>
        <w:tc>
          <w:tcPr>
            <w:tcW w:w="5160" w:type="dxa"/>
            <w:vAlign w:val="bottom"/>
          </w:tcPr>
          <w:p>
            <w:pPr>
              <w:spacing w:after="0"/>
              <w:rPr>
                <w:sz w:val="24"/>
                <w:szCs w:val="24"/>
                <w:color w:val="auto"/>
              </w:rPr>
            </w:pPr>
          </w:p>
        </w:tc>
        <w:tc>
          <w:tcPr>
            <w:tcW w:w="52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April 30, 2024</w:t>
            </w:r>
          </w:p>
        </w:tc>
      </w:tr>
      <w:tr>
        <w:trPr>
          <w:trHeight w:val="214"/>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color w:val="auto"/>
                <w:w w:val="99"/>
              </w:rPr>
              <w:t>(in thousands, except for per share data)</w:t>
            </w:r>
          </w:p>
        </w:tc>
        <w:tc>
          <w:tcPr>
            <w:tcW w:w="1120" w:type="dxa"/>
            <w:vAlign w:val="bottom"/>
          </w:tcPr>
          <w:p>
            <w:pPr>
              <w:spacing w:after="0"/>
              <w:rPr>
                <w:sz w:val="18"/>
                <w:szCs w:val="18"/>
                <w:color w:val="auto"/>
              </w:rPr>
            </w:pPr>
          </w:p>
        </w:tc>
      </w:tr>
      <w:tr>
        <w:trPr>
          <w:trHeight w:val="238"/>
        </w:trPr>
        <w:tc>
          <w:tcPr>
            <w:tcW w:w="5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Distributed and undistributed earnings on restricted shares</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available to stockholders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(Numerator)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(Denominator)</w:t>
            </w:r>
          </w:p>
        </w:tc>
        <w:tc>
          <w:tcPr>
            <w:tcW w:w="10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Net Income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assuming dilution (Numerator)</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57"/>
        </w:trPr>
        <w:tc>
          <w:tcPr>
            <w:tcW w:w="5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5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Shares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assuming dilution (Denominator)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0.87</w:t>
            </w:r>
          </w:p>
        </w:tc>
      </w:tr>
    </w:tbl>
    <w:p>
      <w:pPr>
        <w:ind w:left="180" w:hanging="166"/>
        <w:spacing w:after="0" w:line="222" w:lineRule="auto"/>
        <w:tabs>
          <w:tab w:leader="none" w:pos="180"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impact of unvested restricted stock was anti-dilutive therefore not included in the calculation of diluted EPS</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321" w:lineRule="exact"/>
        <w:rPr>
          <w:rFonts w:ascii="Times New Roman" w:cs="Times New Roman" w:eastAsia="Times New Roman" w:hAnsi="Times New Roman"/>
          <w:sz w:val="21"/>
          <w:szCs w:val="21"/>
          <w:color w:val="auto"/>
          <w:vertAlign w:val="superscript"/>
        </w:rPr>
      </w:pPr>
    </w:p>
    <w:p>
      <w:pPr>
        <w:ind w:left="488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-967740</wp:posOffset>
            </wp:positionV>
            <wp:extent cx="2160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ectPr>
          <w:pgSz w:w="11900" w:h="16838" w:orient="portrait"/>
          <w:cols w:equalWidth="0" w:num="1">
            <w:col w:w="10360"/>
          </w:cols>
          <w:pgMar w:left="980" w:top="927"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 AND REGULATIONS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These amendments primarily require enhanced disclosures and disaggregation of income tax information by jurisdiction in the annual income tax reconciliation and quantitative disclosures regarding income taxes paid. These amendments are to be applied prospectively, with the option to apply the standard retrospectively, for annual periods beginning after December 15, 2024. Early adoption is permitted. We are currently evaluating the impact that the adoption of this guidance will have on our disclosures.</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These amendments primarily require enhanced disclosures about significant segment expenses regularly provided to the chief operating decision maker and included within each reported measure of segment profit or loss. In addition, ASU No. 2023-07 also requires all annual disclosures currently required by Topic 280 to be included in interim periods. These amendments are to be applied retrospectively for all periods presented in the financial statements and are effective for fiscal years beginning after December 15, 2023, and interim periods within fiscal years beginning after December 15, 2024, with early adoption permitted. We are currently evaluating the impact that the adoption of this guidance will have on our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new accounting pronouncements adopted in the period.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inventories is as follows (in thousands):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5"/>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880" w:type="dxa"/>
            <w:vAlign w:val="bottom"/>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24,837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r>
      <w:tr>
        <w:trPr>
          <w:trHeight w:val="230"/>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r>
      <w:tr>
        <w:trPr>
          <w:trHeight w:val="230"/>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30"/>
        </w:trPr>
        <w:tc>
          <w:tcPr>
            <w:tcW w:w="188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5,949</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w:t>
            </w:r>
          </w:p>
        </w:tc>
      </w:tr>
      <w:tr>
        <w:trPr>
          <w:trHeight w:val="248"/>
        </w:trPr>
        <w:tc>
          <w:tcPr>
            <w:tcW w:w="188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45,468</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r>
      <w:tr>
        <w:trPr>
          <w:trHeight w:val="20"/>
        </w:trPr>
        <w:tc>
          <w:tcPr>
            <w:tcW w:w="188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net realizable value. Inventory costs include the cost of raw materials, packaging supplies, labor, and other overhead costs. The Company maintains reserves against inventory to reduce the carrying value to the expected net realizable value. These reserves are based upon a combination of factors including historical issues and market trends. Inventory reserves were $3.8 million and $3.6 million as of April 30, 2024 and July 31, 2023,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Observable market-based inputs for similar assets or liabilities or valuation models whose inputs are observable, directly or indirectly.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equivalents are primarily money market mutual funds classified as Level 1. We had $0.9 million in cash equivalents as of April 30, 2024 and $15.4 million in cash equivalents as of July 31, 2023.</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Balances of accounts receivable and accounts payable approximated their fair values at April 30, 2024 and July 31, 2023 due to the short maturity and nature of those balances.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payable are reported at the face amount of future maturities. The estimated fair value of notes payable, including current maturities, was $41.1 million and $29.7 million as of April 30, 2024 and July 31, 2023, respectively, and are classified as Level 2. The fair value was estimated using the exit price notion by discounting future cash flows based on an observable market rate.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other than goodwill, include trademarks, patents, and customer lists. Estimated intangible amortization for fiscal year 2024 is $0.1 million. Estimated intangible amortization for each of the next five fiscal years is $0.1 million. We have one acquired trademark recorded at a cost of $0.4 million that was determined to have an indefinite life and is not amortized.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triggering events in fiscal years 2024 or 2023 that would indicate a new impairment analysis is needed.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is as follows (in thousands):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72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Wages, Commissions and Employee Benefits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r>
      <w:tr>
        <w:trPr>
          <w:trHeight w:val="230"/>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Landfill Modification Reserve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Tax</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30"/>
        </w:trPr>
        <w:tc>
          <w:tcPr>
            <w:tcW w:w="1720" w:type="dxa"/>
            <w:vAlign w:val="bottom"/>
          </w:tcPr>
          <w:p>
            <w:pPr>
              <w:spacing w:after="0"/>
              <w:rPr>
                <w:sz w:val="19"/>
                <w:szCs w:val="19"/>
                <w:color w:val="auto"/>
              </w:rPr>
            </w:pPr>
          </w:p>
        </w:tc>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8,937</w:t>
            </w:r>
          </w:p>
        </w:tc>
      </w:tr>
      <w:tr>
        <w:trPr>
          <w:trHeight w:val="248"/>
        </w:trPr>
        <w:tc>
          <w:tcPr>
            <w:tcW w:w="172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32,413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36,868</w:t>
            </w:r>
          </w:p>
        </w:tc>
      </w:tr>
      <w:tr>
        <w:trPr>
          <w:trHeight w:val="20"/>
        </w:trPr>
        <w:tc>
          <w:tcPr>
            <w:tcW w:w="17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CONTINGENCIES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second quarter of fiscal year 2023, we recorded a reserve of $2.5 million for anticipated modification costs that we expected to incur to address capacity issues at our sole landfill located in Ochlocknee, Georgia. Reserves are recorded when it is probable that a liability has been incurred and the amount of the liability can be reasonably estimated. The amount of the reserve represented management’s best estimate of the costs for the modification with respect to this matter, at the time. Work began on the modifications in the second quarter of fiscal year 2024 at which time we increased our reserve by $0.5 million to reflect an update to our best estimate. This has been offset by $1.2 million of payments made to date. The modification work is expected to be completed during the fourth quarter of fiscal year 2024, and we have not made any additional changes to our reserve in the third quarter of fiscal year 2024. Inherent uncertainties exist in these estimates primarily due to unknown conditions, changing governmental regulations and legal standards, and emerging technologies for handling site modification. Consequently, it is reasonably possible that modification costs in excess of amounts accrued could have a material impact on the Company’s results of operations, financial condition and cash flows.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an Amended and Restated Note Purchase and Private Shelf Agreement (as amended, the "Note Agreement") with PGIM, Inc. ("Prudential") and certain existing noteholders and purchasers affiliated with Prudential named therein. Pursuant to the Note Agreement, (i) on May 15, 2020 we issued $10 million in aggregate principal amount of our 3.95% Series B Senior Notes due May 15, 2030, of which $7 million aggregate principal amount remained outstanding as of April 30, 2024, (ii) on December 16, 2021, we issued an additional $25 million in aggregate principal amount of our 3.25% Series C Senior Notes due December 16, 2031, all of which remained outstanding as of April 30, 2024, and (iii) on April 30, 2024 we issued $10 million in aggregate principal amount of our 6.47% Series D Senior Notes due April 30, 2033, all of which remained outstanding as of April 30, 2024. The Note Agreement also provides us with the ability to request, from time to time, that Prudential affiliate(s) purchase, at Prudential’s discretion and on an uncommitted basis, additional senior unsecured notes of Oil-Dri (the “Shelf Notes,” and collectively with the Series A Senior Notes, Series B Senior Notes, Series C Senior Notes, and Series D Senior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 On September 21, 2023, the Company entered into Amendment No. 4 to the Note Agreement extending the time frame for issuing and selling Shelf Notes to September 21, 2026.</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the Credit Agreement, dated as of January 27, 2006 (as previously amended, the “Credit Agreement”), among us, BMO Harris Bank N.A (“BMO”), and certain of our domestic subsidiaries. The agreement provides for a $45 million unsecured revolving credit facility, including a maximum of $10 million for letters of credit.</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Credit Agreement contains restrictive covenants that, among other things and under various conditions, limit our ability to incur additional indebtedness or to dispose of assets. On August 30, 2022, we entered into the Sixth Amendment to the Credit Agreement (the “Sixth Amendment”). The Sixth Amendment extended the facility termination date to August 30, 2027; replaced the LIBOR-based reference rate with an adjusted term Secured Overnight Financing Rate ("SOFR"); revised the method for calculating consolidated EBITDA and consolidated debt for purposes of the Credit Agreement; modified certain restrictive covenants, including increasing the unsecured indebtedness basket from $50 million to $75 million; and revised the existing financial covenants by replacing the consolidated debt covenant with a covenant to maintain a maximum debt to earnings ratio, lowering the minimum fixed charge coverage ratio level and revising the method for calculating the fixed charge coverage ratio. On April 16, 2024, we entered into the Seventh Amendment to Credit Agreement (the “Seventh Amendment”). The Seventh Amendment amends the Credit Agreement to, among other things, revise the method for calculating consolidated EBITDA for purposes of financial covenant compliance under the Credit Agreement; provide specific conditions precedent to advance funds for the Transaction (as defined in Note 15 below); and modify certain covenants and other provisions to permit certain indebtedness and liens of Ultra Pet Company, Inc. (“Ultra Pet”) and facilitate the Transaction. As of April 30, 2024, and July 31, 2023, we were in compliance with the covenants. There were no borrowings during the third quarter of fiscal year 2024. However, we had $1.5 million and $1.0 million of letters of credit outstanding under the Credit Agreement as of April 30, 2024 and July 31, 2023, respectively.</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states that we may select a variable interest rate based on either the BMO prime rate or an adjusted SOFR-based rate, plus a margin that varies depending on our debt to earnings ratio, or a fixed rate as agreed between us and BMO. As of April 30, 2024, the variable rates would have been 8.50% for the BMO prime-based rate or 5.33% for the adjusted SOFR-based rate.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We have no material finance leases, and variable costs for operating leases are immaterial for the three and nine months ended April 30, 2024. Operating lease costs are included in Cost of Goods Sold or SG&amp;A expenses based on the nature of the lease. The following table summarizes total lease costs for our operating leases (in thousands):</w:t>
      </w:r>
    </w:p>
    <w:p>
      <w:pPr>
        <w:spacing w:after="0" w:line="68"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27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7"/>
                <w:szCs w:val="17"/>
                <w:color w:val="auto"/>
              </w:rPr>
            </w:pPr>
          </w:p>
        </w:tc>
        <w:tc>
          <w:tcPr>
            <w:tcW w:w="240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1"/>
        </w:trPr>
        <w:tc>
          <w:tcPr>
            <w:tcW w:w="22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856</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2,486</w:t>
            </w: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175"/>
        </w:trPr>
        <w:tc>
          <w:tcPr>
            <w:tcW w:w="2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Short-term operating lease</w:t>
            </w:r>
          </w:p>
        </w:tc>
        <w:tc>
          <w:tcPr>
            <w:tcW w:w="740" w:type="dxa"/>
            <w:vAlign w:val="bottom"/>
          </w:tcPr>
          <w:p>
            <w:pPr>
              <w:spacing w:after="0"/>
              <w:rPr>
                <w:sz w:val="15"/>
                <w:szCs w:val="15"/>
                <w:color w:val="auto"/>
              </w:rPr>
            </w:pPr>
          </w:p>
        </w:tc>
        <w:tc>
          <w:tcPr>
            <w:tcW w:w="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257</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cost</w:t>
            </w:r>
          </w:p>
        </w:tc>
        <w:tc>
          <w:tcPr>
            <w:tcW w:w="740" w:type="dxa"/>
            <w:vAlign w:val="bottom"/>
          </w:tcPr>
          <w:p>
            <w:pPr>
              <w:spacing w:after="0"/>
              <w:rPr>
                <w:sz w:val="21"/>
                <w:szCs w:val="21"/>
                <w:color w:val="auto"/>
              </w:rPr>
            </w:pPr>
          </w:p>
        </w:tc>
        <w:tc>
          <w:tcPr>
            <w:tcW w:w="3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117"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7"/>
                <w:szCs w:val="17"/>
                <w:color w:val="auto"/>
              </w:rPr>
            </w:pPr>
          </w:p>
        </w:tc>
        <w:tc>
          <w:tcPr>
            <w:tcW w:w="2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1"/>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5"/>
        </w:trPr>
        <w:tc>
          <w:tcPr>
            <w:tcW w:w="340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860</w:t>
            </w:r>
          </w:p>
        </w:tc>
        <w:tc>
          <w:tcPr>
            <w:tcW w:w="2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2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2,546</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measurement of operating lease liabilities:</w:t>
            </w:r>
          </w:p>
        </w:tc>
        <w:tc>
          <w:tcPr>
            <w:tcW w:w="10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29"/>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996</w:t>
            </w:r>
          </w:p>
        </w:tc>
        <w:tc>
          <w:tcPr>
            <w:tcW w:w="200" w:type="dxa"/>
            <w:vAlign w:val="bottom"/>
          </w:tcPr>
          <w:p>
            <w:pPr>
              <w:spacing w:after="0"/>
              <w:rPr>
                <w:sz w:val="19"/>
                <w:szCs w:val="19"/>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552</w:t>
            </w:r>
          </w:p>
        </w:tc>
        <w:tc>
          <w:tcPr>
            <w:tcW w:w="2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4,695</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operating lease liabilities</w:t>
            </w:r>
          </w:p>
        </w:tc>
        <w:tc>
          <w:tcPr>
            <w:tcW w:w="10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94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April 30, 2024</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July 31, 2023</w:t>
            </w:r>
          </w:p>
        </w:tc>
      </w:tr>
      <w:tr>
        <w:trPr>
          <w:trHeight w:val="223"/>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9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6.2 years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7.7 years</w:t>
            </w:r>
          </w:p>
        </w:tc>
      </w:tr>
      <w:tr>
        <w:trPr>
          <w:trHeight w:val="230"/>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94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4.93%</w:t>
            </w:r>
          </w:p>
        </w:tc>
        <w:tc>
          <w:tcPr>
            <w:tcW w:w="2900" w:type="dxa"/>
            <w:vAlign w:val="bottom"/>
            <w:gridSpan w:val="4"/>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4.03%</w:t>
            </w:r>
          </w:p>
        </w:tc>
      </w:tr>
      <w:tr>
        <w:trPr>
          <w:trHeight w:val="55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 maturities as of April 30, 2024, are as follows (in thousands):</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08"/>
        </w:trPr>
        <w:tc>
          <w:tcPr>
            <w:tcW w:w="21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gridSpan w:val="3"/>
          </w:tcPr>
          <w:p>
            <w:pPr>
              <w:spacing w:after="0"/>
              <w:rPr>
                <w:sz w:val="9"/>
                <w:szCs w:val="9"/>
                <w:color w:val="auto"/>
              </w:rPr>
            </w:pPr>
          </w:p>
        </w:tc>
        <w:tc>
          <w:tcPr>
            <w:tcW w:w="2140" w:type="dxa"/>
            <w:vAlign w:val="bottom"/>
          </w:tcPr>
          <w:p>
            <w:pPr>
              <w:spacing w:after="0"/>
              <w:rPr>
                <w:sz w:val="9"/>
                <w:szCs w:val="9"/>
                <w:color w:val="auto"/>
              </w:rPr>
            </w:pPr>
          </w:p>
        </w:tc>
      </w:tr>
      <w:tr>
        <w:trPr>
          <w:trHeight w:val="229"/>
        </w:trPr>
        <w:tc>
          <w:tcPr>
            <w:tcW w:w="216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2024 (remaining three months)</w:t>
            </w:r>
          </w:p>
        </w:tc>
        <w:tc>
          <w:tcPr>
            <w:tcW w:w="194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852</w:t>
            </w:r>
          </w:p>
        </w:tc>
        <w:tc>
          <w:tcPr>
            <w:tcW w:w="2140" w:type="dxa"/>
            <w:vAlign w:val="bottom"/>
          </w:tcPr>
          <w:p>
            <w:pPr>
              <w:spacing w:after="0"/>
              <w:rPr>
                <w:sz w:val="19"/>
                <w:szCs w:val="19"/>
                <w:color w:val="auto"/>
              </w:rPr>
            </w:pPr>
          </w:p>
        </w:tc>
      </w:tr>
      <w:tr>
        <w:trPr>
          <w:trHeight w:val="230"/>
        </w:trPr>
        <w:tc>
          <w:tcPr>
            <w:tcW w:w="21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2025</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3,387</w:t>
            </w:r>
          </w:p>
        </w:tc>
        <w:tc>
          <w:tcPr>
            <w:tcW w:w="2140" w:type="dxa"/>
            <w:vAlign w:val="bottom"/>
          </w:tcPr>
          <w:p>
            <w:pPr>
              <w:spacing w:after="0"/>
              <w:rPr>
                <w:sz w:val="19"/>
                <w:szCs w:val="19"/>
                <w:color w:val="auto"/>
              </w:rPr>
            </w:pPr>
          </w:p>
        </w:tc>
      </w:tr>
      <w:tr>
        <w:trPr>
          <w:trHeight w:val="230"/>
        </w:trPr>
        <w:tc>
          <w:tcPr>
            <w:tcW w:w="216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2026</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3,029</w:t>
            </w:r>
          </w:p>
        </w:tc>
        <w:tc>
          <w:tcPr>
            <w:tcW w:w="2140" w:type="dxa"/>
            <w:vAlign w:val="bottom"/>
          </w:tcPr>
          <w:p>
            <w:pPr>
              <w:spacing w:after="0"/>
              <w:rPr>
                <w:sz w:val="19"/>
                <w:szCs w:val="19"/>
                <w:color w:val="auto"/>
              </w:rPr>
            </w:pPr>
          </w:p>
        </w:tc>
      </w:tr>
      <w:tr>
        <w:trPr>
          <w:trHeight w:val="230"/>
        </w:trPr>
        <w:tc>
          <w:tcPr>
            <w:tcW w:w="21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2027</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2,581</w:t>
            </w:r>
          </w:p>
        </w:tc>
        <w:tc>
          <w:tcPr>
            <w:tcW w:w="2140" w:type="dxa"/>
            <w:vAlign w:val="bottom"/>
          </w:tcPr>
          <w:p>
            <w:pPr>
              <w:spacing w:after="0"/>
              <w:rPr>
                <w:sz w:val="19"/>
                <w:szCs w:val="19"/>
                <w:color w:val="auto"/>
              </w:rPr>
            </w:pPr>
          </w:p>
        </w:tc>
      </w:tr>
      <w:tr>
        <w:trPr>
          <w:trHeight w:val="229"/>
        </w:trPr>
        <w:tc>
          <w:tcPr>
            <w:tcW w:w="216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2028</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1,772</w:t>
            </w:r>
          </w:p>
        </w:tc>
        <w:tc>
          <w:tcPr>
            <w:tcW w:w="2140" w:type="dxa"/>
            <w:vAlign w:val="bottom"/>
          </w:tcPr>
          <w:p>
            <w:pPr>
              <w:spacing w:after="0"/>
              <w:rPr>
                <w:sz w:val="19"/>
                <w:szCs w:val="19"/>
                <w:color w:val="auto"/>
              </w:rPr>
            </w:pPr>
          </w:p>
        </w:tc>
      </w:tr>
      <w:tr>
        <w:trPr>
          <w:trHeight w:val="230"/>
        </w:trPr>
        <w:tc>
          <w:tcPr>
            <w:tcW w:w="2160" w:type="dxa"/>
            <w:vAlign w:val="bottom"/>
          </w:tcPr>
          <w:p>
            <w:pPr>
              <w:spacing w:after="0"/>
              <w:rPr>
                <w:sz w:val="19"/>
                <w:szCs w:val="19"/>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4,830</w:t>
            </w:r>
          </w:p>
        </w:tc>
        <w:tc>
          <w:tcPr>
            <w:tcW w:w="2140" w:type="dxa"/>
            <w:vAlign w:val="bottom"/>
          </w:tcPr>
          <w:p>
            <w:pPr>
              <w:spacing w:after="0"/>
              <w:rPr>
                <w:sz w:val="19"/>
                <w:szCs w:val="19"/>
                <w:color w:val="auto"/>
              </w:rPr>
            </w:pPr>
          </w:p>
        </w:tc>
      </w:tr>
      <w:tr>
        <w:trPr>
          <w:trHeight w:val="223"/>
        </w:trPr>
        <w:tc>
          <w:tcPr>
            <w:tcW w:w="216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16,451</w:t>
            </w:r>
          </w:p>
        </w:tc>
        <w:tc>
          <w:tcPr>
            <w:tcW w:w="2140" w:type="dxa"/>
            <w:vAlign w:val="bottom"/>
          </w:tcPr>
          <w:p>
            <w:pPr>
              <w:spacing w:after="0"/>
              <w:rPr>
                <w:sz w:val="19"/>
                <w:szCs w:val="19"/>
                <w:color w:val="auto"/>
              </w:rPr>
            </w:pPr>
          </w:p>
        </w:tc>
      </w:tr>
      <w:tr>
        <w:trPr>
          <w:trHeight w:val="230"/>
        </w:trPr>
        <w:tc>
          <w:tcPr>
            <w:tcW w:w="2160" w:type="dxa"/>
            <w:vAlign w:val="bottom"/>
          </w:tcPr>
          <w:p>
            <w:pPr>
              <w:spacing w:after="0"/>
              <w:rPr>
                <w:sz w:val="19"/>
                <w:szCs w:val="19"/>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(2,233)</w:t>
            </w:r>
          </w:p>
        </w:tc>
        <w:tc>
          <w:tcPr>
            <w:tcW w:w="2140" w:type="dxa"/>
            <w:vAlign w:val="bottom"/>
          </w:tcPr>
          <w:p>
            <w:pPr>
              <w:spacing w:after="0"/>
              <w:rPr>
                <w:sz w:val="19"/>
                <w:szCs w:val="19"/>
                <w:color w:val="auto"/>
              </w:rPr>
            </w:pPr>
          </w:p>
        </w:tc>
      </w:tr>
      <w:tr>
        <w:trPr>
          <w:trHeight w:val="248"/>
        </w:trPr>
        <w:tc>
          <w:tcPr>
            <w:tcW w:w="216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obligation</w:t>
            </w: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14,218</w:t>
            </w:r>
          </w:p>
        </w:tc>
        <w:tc>
          <w:tcPr>
            <w:tcW w:w="2140" w:type="dxa"/>
            <w:vAlign w:val="bottom"/>
          </w:tcPr>
          <w:p>
            <w:pPr>
              <w:spacing w:after="0"/>
              <w:rPr>
                <w:sz w:val="21"/>
                <w:szCs w:val="21"/>
                <w:color w:val="auto"/>
              </w:rPr>
            </w:pPr>
          </w:p>
        </w:tc>
      </w:tr>
      <w:tr>
        <w:trPr>
          <w:trHeight w:val="20"/>
        </w:trPr>
        <w:tc>
          <w:tcPr>
            <w:tcW w:w="216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10. PENSION AND OTHER POSTRETIREMENT BENEFITS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Oil-Dri Corporation of America Pension Plan ("Pension Plan") was a defined benefit pension plan for eligible salaried and hourly employees. Pension benefits were based on a formula of years of credited service and levels of compensation or stated amounts for each year of credited service. On January 9, 2020, Oil-Dri amended the Pension Plan to freeze participation, all future benefit accruals and accrual of benefit service, including consideration of compensation increases, effective March 1, 2020. Consequently, the Pension Plan was closed to new participants and existing participants no longer earned additional benefits on or after March 1, 2020. On September 20, 2022, the Company's Board of Directors (the "Board") approved a resolution to terminate the Company's defined benefit pension plan. The pension obligations were fully settled in April 2023.</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postretirement health benefits plan is also provided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 The postretirement health plan is an unfunded plan. We pay insurance premiums and claims from our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and postretirement health benefit costs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6"/>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Three Months Ended April</w:t>
            </w:r>
          </w:p>
        </w:tc>
        <w:tc>
          <w:tcPr>
            <w:tcW w:w="29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1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8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actuarial loss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pension termination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Postretirement Health Benefits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6"/>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Three Months Ended April</w:t>
            </w:r>
          </w:p>
        </w:tc>
        <w:tc>
          <w:tcPr>
            <w:tcW w:w="29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1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98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actuarial loss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Prior service costs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non-service cost components of net periodic benefit cost are included in Other Income (Expense) in the line item Other, net on the unaudited Condensed Consolidated Statements of Income.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discount rate for the net periodic benefit cost used in the calculation of the postretirement health benefits was 4.90% for the three and nine months ended April 30, 2024, and 3.82% for the three and nine months ended 2023. The medical cost trend assumption for postretirement health benefits was 8.20%. The graded trend rate is expected to decrease to an ultimate rate of 4.90% in fiscal year 2044.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11. OPERATING SEGMENTS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The Business to Business Products Group customers include: processors and refiners of edible oils, renewable diesel,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our principal products by segment are as follows (in thousands):</w:t>
      </w:r>
    </w:p>
    <w:p>
      <w:pPr>
        <w:spacing w:after="0" w:line="266"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9"/>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Retail and Wholesale Products</w:t>
            </w:r>
          </w:p>
        </w:tc>
      </w:tr>
      <w:tr>
        <w:trPr>
          <w:trHeight w:val="241"/>
        </w:trPr>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Group</w:t>
            </w:r>
          </w:p>
        </w:tc>
      </w:tr>
      <w:tr>
        <w:trPr>
          <w:trHeight w:val="225"/>
        </w:trPr>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52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 Litter</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178,357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167,841</w:t>
            </w:r>
          </w:p>
        </w:tc>
      </w:tr>
      <w:tr>
        <w:trPr>
          <w:trHeight w:val="229"/>
        </w:trPr>
        <w:tc>
          <w:tcPr>
            <w:tcW w:w="3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Sports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33,937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33,539</w:t>
            </w:r>
          </w:p>
        </w:tc>
      </w:tr>
      <w:tr>
        <w:trPr>
          <w:trHeight w:val="230"/>
        </w:trPr>
        <w:tc>
          <w:tcPr>
            <w:tcW w:w="3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27,706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Bleaching Clay and Fluids Purification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67,437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Animal Health and Nutrition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16,448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111,591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104,253</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212,294</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201,380</w:t>
            </w:r>
          </w:p>
        </w:tc>
      </w:tr>
      <w:tr>
        <w:trPr>
          <w:trHeight w:val="21"/>
        </w:trPr>
        <w:tc>
          <w:tcPr>
            <w:tcW w:w="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560"/>
        </w:trPr>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72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9"/>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Retail and Wholesale Products</w:t>
            </w:r>
          </w:p>
        </w:tc>
      </w:tr>
      <w:tr>
        <w:trPr>
          <w:trHeight w:val="241"/>
        </w:trPr>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25"/>
        </w:trPr>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23"/>
        </w:trPr>
        <w:tc>
          <w:tcPr>
            <w:tcW w:w="32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340" w:type="dxa"/>
            <w:vAlign w:val="bottom"/>
          </w:tcPr>
          <w:p>
            <w:pPr>
              <w:spacing w:after="0"/>
              <w:rPr>
                <w:sz w:val="19"/>
                <w:szCs w:val="19"/>
                <w:color w:val="auto"/>
              </w:rPr>
            </w:pPr>
          </w:p>
        </w:tc>
      </w:tr>
      <w:tr>
        <w:trPr>
          <w:trHeight w:val="22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 Litter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58,170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340" w:type="dxa"/>
            <w:vAlign w:val="bottom"/>
          </w:tcPr>
          <w:p>
            <w:pPr>
              <w:spacing w:after="0"/>
              <w:rPr>
                <w:sz w:val="19"/>
                <w:szCs w:val="19"/>
                <w:color w:val="auto"/>
              </w:rPr>
            </w:pPr>
          </w:p>
        </w:tc>
      </w:tr>
      <w:tr>
        <w:trPr>
          <w:trHeight w:val="23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and Sports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340" w:type="dxa"/>
            <w:vAlign w:val="bottom"/>
          </w:tcPr>
          <w:p>
            <w:pPr>
              <w:spacing w:after="0"/>
              <w:rPr>
                <w:sz w:val="19"/>
                <w:szCs w:val="19"/>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3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Bleaching Clay and Fluids Purification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3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Animal Health and Nutrition</w:t>
            </w: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5,761</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36,196</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70,583</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70,013</w:t>
            </w:r>
          </w:p>
        </w:tc>
        <w:tc>
          <w:tcPr>
            <w:tcW w:w="34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2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July 31, 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4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89,931</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4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146,959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Assets</w:t>
            </w:r>
          </w:p>
        </w:tc>
        <w:tc>
          <w:tcPr>
            <w:tcW w:w="4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82,262</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3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319,152</w:t>
            </w: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32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information systems, finance, legal, human resources and customer service.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April 30,</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111,591</w:t>
            </w:r>
          </w:p>
        </w:tc>
        <w:tc>
          <w:tcPr>
            <w:tcW w:w="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32,713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24,794</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212,294</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201,380</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34,080</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323,885</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305,633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(28,040)</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(23,463)</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38,753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28,331</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37,650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21,457</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30,901</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30,901</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gridSpan w:val="4"/>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46"/>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36,196</w:t>
            </w:r>
          </w:p>
        </w:tc>
        <w:tc>
          <w:tcPr>
            <w:tcW w:w="18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70,583</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70,013</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10,872</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10,744</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106,779</w:t>
            </w:r>
          </w:p>
        </w:tc>
        <w:tc>
          <w:tcPr>
            <w:tcW w:w="18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(11,045)</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(2,361)</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7,777</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and Restated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1,719,500. As of April 30, 2024, there were 636,977 shares of Common Stock or Class B Stock available for future grants under this plan.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non-vested restricted stock as of April 30, 2024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73,000 and 59,000 restricted shares of Common Stock granted during the first nine months of fiscal years 2024 and 2023, respectively. There were 125,000 restricted shares of Class B Stock granted during the first nine months of fiscal year 2024 and none in fiscal year 2023. Stock-based compensation expense was $0.9 million and $0.7 million for the three-months ended April 30, 2024 and 2023 respectively, and $2.7 million and $2.3 million for the nine months ended April 30, 2024 and 2023,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restricted stock transactions is shown below:</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610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July 31, 2023</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April 30,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 by component as of April 30, 2024 (in thousands):</w:t>
      </w:r>
    </w:p>
    <w:p>
      <w:pPr>
        <w:spacing w:after="0" w:line="23" w:lineRule="exact"/>
        <w:rPr>
          <w:sz w:val="20"/>
          <w:szCs w:val="20"/>
          <w:color w:val="auto"/>
        </w:rPr>
      </w:pPr>
    </w:p>
    <w:tbl>
      <w:tblPr>
        <w:tblLayout w:type="fixed"/>
        <w:tblInd w:w="5140" w:type="dxa"/>
        <w:tblCellMar>
          <w:top w:w="0" w:type="dxa"/>
          <w:left w:w="0" w:type="dxa"/>
          <w:bottom w:w="0" w:type="dxa"/>
          <w:right w:w="0" w:type="dxa"/>
        </w:tblCellMar>
      </w:tblPr>
      <w:tr>
        <w:trPr>
          <w:trHeight w:val="207"/>
        </w:trPr>
        <w:tc>
          <w:tcPr>
            <w:tcW w:w="16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8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Total Accumulated</w:t>
            </w:r>
          </w:p>
        </w:tc>
        <w:tc>
          <w:tcPr>
            <w:tcW w:w="0" w:type="dxa"/>
            <w:vAlign w:val="bottom"/>
          </w:tcPr>
          <w:p>
            <w:pPr>
              <w:spacing w:after="0"/>
              <w:rPr>
                <w:sz w:val="1"/>
                <w:szCs w:val="1"/>
                <w:color w:val="auto"/>
              </w:rPr>
            </w:pPr>
          </w:p>
        </w:tc>
      </w:tr>
      <w:tr>
        <w:trPr>
          <w:trHeight w:val="176"/>
        </w:trPr>
        <w:tc>
          <w:tcPr>
            <w:tcW w:w="16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80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189"/>
        </w:trPr>
        <w:tc>
          <w:tcPr>
            <w:tcW w:w="162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70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1800" w:type="dxa"/>
            <w:vAlign w:val="bottom"/>
          </w:tcPr>
          <w:p>
            <w:pPr>
              <w:jc w:val="center"/>
              <w:ind w:left="2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0"/>
        </w:trPr>
        <w:tc>
          <w:tcPr>
            <w:tcW w:w="16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Health Benefits</w:t>
            </w:r>
          </w:p>
        </w:tc>
        <w:tc>
          <w:tcPr>
            <w:tcW w:w="17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0</wp:posOffset>
            </wp:positionV>
            <wp:extent cx="598360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83605" cy="15430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9" w:lineRule="exact"/>
        <w:rPr>
          <w:sz w:val="20"/>
          <w:szCs w:val="20"/>
          <w:color w:val="auto"/>
        </w:rPr>
      </w:pPr>
    </w:p>
    <w:p>
      <w:pPr>
        <w:ind w:left="940"/>
        <w:spacing w:after="0"/>
        <w:tabs>
          <w:tab w:leader="none" w:pos="4940" w:val="left"/>
        </w:tabs>
        <w:rPr>
          <w:sz w:val="20"/>
          <w:szCs w:val="20"/>
          <w:color w:val="auto"/>
        </w:rPr>
      </w:pPr>
      <w:r>
        <w:rPr>
          <w:rFonts w:ascii="Times New Roman" w:cs="Times New Roman" w:eastAsia="Times New Roman" w:hAnsi="Times New Roman"/>
          <w:sz w:val="18"/>
          <w:szCs w:val="18"/>
          <w:color w:val="auto"/>
        </w:rPr>
        <w:t>Balance as of July 31, 2023</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40" w:right="500"/>
        <w:spacing w:after="0" w:line="234" w:lineRule="auto"/>
        <w:rPr>
          <w:sz w:val="20"/>
          <w:szCs w:val="20"/>
          <w:color w:val="auto"/>
        </w:rPr>
      </w:pPr>
      <w:r>
        <w:rPr>
          <w:rFonts w:ascii="Times New Roman" w:cs="Times New Roman" w:eastAsia="Times New Roman" w:hAnsi="Times New Roman"/>
          <w:sz w:val="18"/>
          <w:szCs w:val="18"/>
          <w:color w:val="auto"/>
        </w:rPr>
        <w:t>Other comprehensive income before reclassifications, net of tax</w:t>
      </w:r>
    </w:p>
    <w:p>
      <w:pPr>
        <w:spacing w:after="0" w:line="10" w:lineRule="exact"/>
        <w:rPr>
          <w:sz w:val="20"/>
          <w:szCs w:val="20"/>
          <w:color w:val="auto"/>
        </w:rPr>
      </w:pPr>
    </w:p>
    <w:p>
      <w:pPr>
        <w:ind w:left="940" w:right="1080"/>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1,012</w:t>
            </w: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Pr>
          <w:p>
            <w:pPr>
              <w:spacing w:after="0"/>
              <w:rPr>
                <w:sz w:val="20"/>
                <w:szCs w:val="20"/>
                <w:color w:val="auto"/>
              </w:rPr>
            </w:pPr>
          </w:p>
        </w:tc>
        <w:tc>
          <w:tcPr>
            <w:tcW w:w="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407"/>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18"/>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(64)</w:t>
            </w:r>
          </w:p>
        </w:tc>
        <w:tc>
          <w:tcPr>
            <w:tcW w:w="6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-265430</wp:posOffset>
            </wp:positionV>
            <wp:extent cx="5983605"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83605" cy="2660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00" w:space="720"/>
            <w:col w:w="5220"/>
          </w:cols>
          <w:pgMar w:left="320" w:top="887" w:right="339" w:bottom="1440" w:gutter="0" w:footer="0" w:header="0"/>
          <w:type w:val="continuous"/>
        </w:sectPr>
      </w:pPr>
    </w:p>
    <w:tbl>
      <w:tblPr>
        <w:tblLayout w:type="fixed"/>
        <w:tblInd w:w="920" w:type="dxa"/>
        <w:tblCellMar>
          <w:top w:w="0" w:type="dxa"/>
          <w:left w:w="0" w:type="dxa"/>
          <w:bottom w:w="0" w:type="dxa"/>
          <w:right w:w="0" w:type="dxa"/>
        </w:tblCellMar>
      </w:tblPr>
      <w:tr>
        <w:trPr>
          <w:trHeight w:val="155"/>
        </w:trPr>
        <w:tc>
          <w:tcPr>
            <w:tcW w:w="4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6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24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(64)</w:t>
            </w:r>
          </w:p>
        </w:tc>
        <w:tc>
          <w:tcPr>
            <w:tcW w:w="4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2024</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948</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698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One member of our Board is currently the President and Chief Executive Officer of a vendor of ours. Total payments to this vendor for fees and cost reimbursements were $1.2 million and $0.1 million for the first nine months of fiscal years 2024 and 2023, respectively. There were no outstanding accounts payable to that vendor as of April 30, 2024 or July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 2024, pursuant to a Stock Purchase Agreement (the “Purchase Agreement”), dated April 16, 2024, we acquired all of the issued and outstanding shares of capital stock of Ultra Pet for an aggregate cash consideration of approximately $46 million, subject to certain adjustments set forth in the Purchase Agreement, in order to enter into the crystal cat litter segment (the “Transaction”). The purchase price was financed through cash on hand, a $10 million advance under the Credit Agreement, and the issuance of $10 million in aggregate principal amount of 6.47% Series D Senior Notes due April 30, 2033 pursuant to the shelf facility provisions of the Note Agreement. Going forward, Ultra Pet will operate as a wholly-owned subsidiary of Oil-Dri.</w:t>
      </w:r>
    </w:p>
    <w:p>
      <w:pPr>
        <w:spacing w:after="0" w:line="2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Purchase Agreement and the Transaction, please see the Current Reports on Form 8-K we filed with the SEC on April 16, 2024 and May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2023. This discussion contains forward-looking statements that involve risks and uncertainties. Our actual results may differ materially from the results discussed in the forward-looking statements. Factors that might cause a difference include, but are not limited to, those discussed herein under "Forward-Looking Statements" and "Risk Factors," and those discussed under Part I, Item 1A, "Risk Factors," of our Annual Report on Form 10-K for the fiscal year ended July 31, 2023 and those discussed under Part II, Item 1A, "Risk Factors," of our Quarterly Report on Form 10-Q for the fiscal quarter ended January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("Retail and Wholesale" or "R&amp;W") and the Business to Business Products Group ("Business to Business" or "B2B"), as described in Note 11 of the Notes to the unaudited Condensed Consolidated Financial Statements. Each operating segment is discussed individually below.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three and nine months ended April 30, 2024 continued to be strong with growth in our net sales and gross profit across both the Retail and Wholesale Products Group and the Business to Business Products Group. Both operating segments grew due to higher prices and favorable mix compared to the same periods in fiscal year 2023. Consolidated net sales increased $1.4 million or 1% in the third quarter and $18.3 million or 6% in the nine months ended April 30, 2024 compared to the same periods of fiscal year 2023. Gross margin grew to 28% for the three and nine months ended April 30, 2024 compared to 26% and 24% for the three and nine months ended April 30, 2023, respectively.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Higher third quarter SG&amp;A expenses resulted in a $4.0 million decrease in consolidated income from operations for the three months ended April 30, 2024 compared to the same period in fiscal 2023. However, consolidated income from operations in the first nine months of fiscal year 2024 increased by $10.4 million compared to the same period in fiscal year 2023. Consolidated net income for the three and nine months ended April 30, 2024 was $7.8 million and $30.9 million, respectively, compared to $8.5 million and $17.6 million in the three and nine months ended April 30, 2023, respectively.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Condensed Consolidated Balance Sheet as of April 30, 2024 and our Condensed Consolidated Statement of Cash Flows for the nine months ended April 30, 2024 show an increase in total cash and cash equivalents from fiscal year-end 2023. The increase was driven by higher earnings and the issuance of a $10 million in aggregate principal amount of notes to finance a portion of the purchase price paid for the acquisition of Ultra Pet. Refer to the "Liquidity and Capital Resources" section below for more 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APRIL 30, 2024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APRIL 30,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for the nine months ended April 30, 2024 were $323.9 million, a 6% increase compared to net sales of $305.6 million for the nine months ended April 30, 2023. Net sales increased due to higher prices and improved product mix partially offset by lower volumes across both product groups.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jc w:val="both"/>
        <w:spacing w:after="0" w:line="252" w:lineRule="auto"/>
        <w:rPr>
          <w:sz w:val="20"/>
          <w:szCs w:val="20"/>
          <w:color w:val="auto"/>
        </w:rPr>
      </w:pPr>
      <w:r>
        <w:rPr>
          <w:rFonts w:ascii="Times New Roman" w:cs="Times New Roman" w:eastAsia="Times New Roman" w:hAnsi="Times New Roman"/>
          <w:sz w:val="18"/>
          <w:szCs w:val="18"/>
          <w:color w:val="auto"/>
        </w:rPr>
        <w:t>Consolidated gross profit in the nine months ended April 30, 2024 was $92.1 million, an increase of $19.3 million, or 27%, from gross profit of $72.8 million in the nine months ended April 30, 2023. Our gross margin (defined as gross profit as a percentage of net sales) in the nine months ended April 30, 2024 increased to 28% from 24% in the nine months ended April 30, 2023. Our domestic cost of goods sold per ton increased 5%, driven primarily by per ton increases in non-fuel manufacturing and freight costs offset by lower per ton natural gas and packaging costs. Non-fuel manufacturing costs per ton increased 9% during the nine months ended April 30, 2024 compared to nine months ended April 30, 2023, mainly due to higher per ton costs of labor, repairs and depreciation, offset by a reduction in purchased material costs. Domestic freight costs per ton increased 8% in the nine months ended April 30, 2024 compared to the same period of fiscal year 2023 due to a significant customer in our cat litter business that altered shipping terms in January 2023 from collect to delivered which increased our overall freight cost. Excluding the impact of this specific customer, per ton domestic freight costs would have decreased 5% in the nine months ended April 30, 2024 compared to the same period of fiscal year 2023. Ocean freight costs have also decreased due to both lower rates and export fees. In addition, our overall freight costs can vary between periods depending on the mix of products sold and the geographic distribution of our customers. Packaging costs per ton decreased 4% in the nine months ended April 30, 2024 compared to the same period of fiscal year 2023 due to lower commodity costs, particularly as it relates to resin and pallet costs. Many of our contracts for packaging purchases are subject to periodic price adjustments, which trail changes in underlying commodity prices. Per ton cost of natural gas decreased 34% in the nine months ended April 30, 2024 compared to the same period of fiscal year 2023 due to a decrease in natural gas prices.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SG&amp;A expenses of $53.3 million for the nine months ended April 30, 2024 were higher by $8.9 million, or 20%, compared to $44.5 million for the nine months ended April 30, 2023. Corporate unallocated expenses increased $4.6 million, or 20% mainly due to higher anticipated compensation costs including increased performance-based incentives and acquisition-related expenses incurred in the current period. Additional expenses related to the integration of Ultra Pet are expected to be incurred in the fourth quarter of fiscal year 2024. The discussion of the segments' operating incomes below describes the changes in SG&amp;A expenses that were allocated to the operating segments.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other expenses were $1.1 million for the nine months ended April 30, 2024 compared to $6.9 million in the same period of fiscal year 2023. The decrease was mainly due to the $4.9 million loss from the termination of the Company's pension plan in the third quarter of fiscal year 2023 and the $2.5 million accrual for the landfill modification charged in the second quarter of fiscal year 2023, partially offset by higher interest income. Refer to Note 7 of the Notes to the unaudited Condensed Consolidated Financial Statements for additional details regarding the landfill modification accrual.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income before taxes for the nine months ended April 30, 2024 was $37.7 million compared to $21.5 million for the nine months ended April 30, 2023. Results for the nine months ended April 30, 2024 were driven by the factors discussed above.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tax expense of $6.7 million for the nine months ended April 30, 2024 compared to $3.9 million for the nine months ended April 30, 2023. Our tax expense was driven primarily by higher net income. We used an estimated annual effective tax rate ("ETR") of 18% in determining our provision for income taxes, which is based on expected annual taxable income and the assessment of various tax adjustments, including depletion.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nine months ended April 30, 2024 were $111.6 million, an increase of $7.3 million, or 7%, from net sales of $104.3 million for the nine months ended April 30, 2023, driven by sales of our fluid purification products. Net sales of our fluids purification products increased $12.4 million, or 23%, in the nine months ended April 30, 2024 compared to the nine months ended April 30, 2023. The increase was primarily driven by new customers in the renewable diesel business in North America, as well as continued demand for our products used in the filtration of edible oil and jet-fuel, and to a lesser extent higher prices. Net sales increased in North America, our subsidiary in the UK, and the Asia region partially offset by a decrease in Latin America and the Europe, Middle East and Africa ("EMEA") regions. Net sales of our agricultural and horticultural chemical carrier products decreased $2.8 million, or 9%, for the nine months ended April 30, 2024 compared to the same period in fiscal year 2023 as a result of softer volumes offset partially by higher prices. This decline in volume was primarily due to reduced demand from a key customer that was still working through inventory from last year. Net sales of our animal health and nutrition products decreased $2.3 million, or 12%, during the nine months ended April 30, 2024 compared to the same period of fiscal year 2023. The decrease was driven by Latin America, our subsidiary in Mexico, and Asia (including China), partially offset by an increase in net sales in North America. Net sales were down in most regions due to softer demand, while North America sales increased due to higher prices when compared to the same period in fiscal year 2023.</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for the Business to Business Products Group decreased by $0.3 million, or 3%, for the nine months ended April 30, 2024 compared to the same period of the prior fiscal year. The decrease was mainly driven by a reduction in technical service support costs from the Innovation Center and Microbiology Lab.</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nine months ended April 30, 2024 was $32.7 million, an increase of $7.9 million, or 32%, from operating income of $24.8 million for the nine months ended April 30, 2023. The increase in operating income was mostly driven by higher sales and favorable product mix.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nine months ended April 30, 2024 were $212.3 million, an increase of $10.9 million, or 5%, from net sales of $201.4 million for the same period of fiscal year 2023, mainly driven by higher prices from our cat litter products. Total global cat litter net sales for the nine months ended April 30, 2024 increased $10.5 million, or 6%, compared to the nine months ended April 30, 2023, driven by higher pricing and favorable product mix. Domestic net sales increased across all products except for private label heavyweight litter. Net sales of co-packaged cat litter products increased $0.1 million, or 1%, compared to the same period in fiscal year 2023. The increase was driven by price as volumes were impacted by the cyberattack on one of our customers in the first quarter of fiscal year 2024. Net sales of cat litter by our subsidiary in Canada decreased slightly period over period, as discussed in "Foreign Operations" below. Net sales of our global industrial and sports products increased $0.4 million, or 1%, compared to the nine months ended April 30, 2023, primarily driven by increased demand of our synthetic absorbent products and higher prices of our clay-based floor absorbent products, partially offset by a decrease in volume of sports products. This was further supplemented by an increase in pricing of industrial products by our subsidiary in Canada.</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were $3.6 million, or 36%, higher during the nine months ended April 30, 2024 compared to the nine months ended April 30, 2023, primarily due to increased advertising spend and compensation related costs. We anticipate total advertising expense in fiscal year 2024 to be higher than fiscal year 2023 as we continue to focus on marketing our retail and wholesale product lines.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Retail and Wholesale Products Group's operating income for the nine months ended April 30, 2024 was $34.1 million, an increase of $7.1 million, or 26%, from operating income of $27.0 million for the same period of fiscal year 2023. This was driven primarily by the increase in gross margins due to price increases and favorable product mix, partially offset by higher cost of goods sold and elevated SG&amp;A expenses, as discussed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Foreign operations include our subsidiary in Canada, which is reported in the Retail and Wholesale Products Group, and our subsidiaries in the United Kingdom ("UK"), Mexico, China and Indonesia, which are reported in the Business to Business Products Group. Net sales by our foreign subsidiaries for the nine months ended April 30, 2024 were $16.0 million, a decrease of 5%, compared to net sales of $16.8 million during the nine months ended April 30, 2023. The decrease was driven by all of our foreign operations, with the exception of our subsidiary in the UK which experienced higher net sales when compared to the same period in fiscal year 2023. Net sales of our subsidiary in the UK increased by $0.5 million, or 29%, compared to net sales in the same period in fiscal year 2023. The increase was driven by a combination of higher demand of edible oil filtration products and price increases. Net sales of our subsidiary in China decreased $0.3 million, or 16%, in the nine months ended April 30, 2024 compared to the same period of fiscal year 2023 due to the sell off of all existing inventory to the new master distributor, which occurred in the first quarter of fiscal year 2024. Sales to China are now directly through the Company and not through our subsidiary in China. Total net sales of our subsidiary in Canada decreased $0.1 million, or 1%, in the nine months ended April 30, 2024 compared to the same period in fiscal year 2023, driven by softer sales volumes of cat litter partially offset by higher net sales of floor absorbents due to pricing. Net sales of our subsidiary in Mexico decreased $0.9 million, or 42% in the nine months ended April 30, 2024 compared to the same period of fiscal year 2023. Net sales by our foreign subsidiaries represented 5% of our consolidated net sales for the nine months ended April 30, 2024 and 2023.</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foreign subsidiaries reported net income of $0.6 million for the nine months ended April 30, 2024, compared to $1.1 million in the nine months ended April 30, 2023. The decrease in net income was primarily driven by revenue decreases in China and Mexico partially offset by increases in net income within Canada and the UK, as discussed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assets of our foreign subsidiaries as of April 30, 2024, were $11.1 million, compared to $14.6 million as of July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APRIL 30, 2024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APRIL 30,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net sales for the third quarter of fiscal year 2024 were $106.8 million, a 1% increase compared to net sales of $105.4 million for the third quarter of fiscal year 2023. Mainly driven by product mix and pricing in our Business to Business operating segment, and to a lesser extent higher pricing in our Retail and Wholesale operating segment, partially offset by softer volumes across both products groups. Further analysis of the segment sales are discussed below.</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Consolidated gross profit for the third quarter of fiscal year 2024 was $30.1 million, or 28% of net sales, compared to $27.5 million, or 26% of net sales, for the third quarter of fiscal year 2023. The increase was driven by higher selling prices across multiple products and improved product mix. Domestic per ton cost of goods sold increased 3%, driven primarily by per ton increases in non-fuel manufacturing and freight costs, partially offset by a decrease in natural gas and packaging costs. Per ton non-fuel manufacturing costs rose 7% in the third quarter of fiscal year 2024 compared to the third quarter of fiscal year 2023, due to higher per ton costs of labor, repairs, depreciation, and purchased materials. Domestic freight costs per ton increased 2% in the third quarter of fiscal year 2024 compared to the same period of fiscal year 2023 due to mix of products sold and additional railcar usage to support our growing renewable diesel business. Ocean freight costs have decreased due to favorable rates and reduction in export fees when compared to the same period in fiscal year 2023. In general, our overall freight costs can vary between periods depending on the mix of products sold and the geographic distribution of our customers. The cost of natural gas per ton used to operate kilns that dry our clay was 2% lower in the third quarter of fiscal year 2024 compared to the third quarter of fiscal year 2023 as fuel prices have decreased. Packaging costs per ton decreased 2% in the third quarter of fiscal year 2024 compared to the same period of fiscal year 2023 due to lower commodity costs, particularly as it relates to resin and pallet costs. Many of our contracts for packaging purchases are subject to periodic price adjustments, which trail changes in underlying commodity prices.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selling, general and administrative expenses of $19.7 million for the third quarter of fiscal year 2024 increased by 51% compared to $13.0 million for the same period of fiscal year 2023. Unallocated corporate expenses were up by $5.0 million, or 81%, compared to the same period in fiscal year 2023 due to higher anticipated compensation costs, as well as acquisition-related expenses incurred in the current period. In addition to elevated wages and benefits, the expected annual payout percentage for our performance-based incentives increased in the third quarter resulting in higher compensation costs. Additional expenses related to the integration of Ultra Pet are expected to be incurred in the fourth quarter of fiscal year 2024. The discussion of the segments' operating incomes below describes the changes in SG&amp;A expenses that were allocated to the operating segments.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net other expense of $0.3 million for the third quarter of fiscal year 2024 decreased compared to $4.5 million in the same period of fiscal year 2023 mainly due to the loss in connection with the pension termination that occurred in the third quarter of fiscal year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income before taxes for the third quarter of fiscal year 2024 was $10.1 million compared to $10.0 million for the same period of fiscal year 2023. Results for the third quarter of fiscal year 2024 were driven by the factors discussed above.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 expense was $2.4 million for the third quarter of fiscal year 2024 compared to $1.5 million for the third quarter of fiscal year 2023. The year-over-year increase in tax expense was driven primarily by the increase in the estimated annual ETR in the third quarter and higher pre-tax income. Conversely, during the third quarter of fiscal year 2023 we decreased our annual ETR which decreased tax expense for the third quarter of fiscal year 2023. We adjust our ETR quarterly based on expected annual taxable income and our assessment of various tax adjustments.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third quarter of fiscal year 2024 were $36.2 million, an increase of $0.8 million, or 2%, from net sales of $35.4 million for the third quarter of fiscal year 2023, driven by an increase in net sales of our fluid purification products. Net sales of our fluids purification products increased $4.6 million, or 26%, compared to the third quarter of fiscal year 2023 driven primarily by the North America region. The increase in North America was due to new customers using our products for renewable diesel filtration as well as higher demand by existing customers in edible oil and jet-fuel filtration. There was also an increase in EMEA driven by higher volume and timing of orders. The increase was partially offset by softer sales volumes in Latin America and Asia. Net sales of our agricultural and horticultural chemical carrier products decreased $2.6 million, or 24%, for the third quarter of fiscal year 2024 compared to the same period in fiscal year 2023, primarily due to softer volumes. This decline was primarily due to reduced demand from a key customer that was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still working through inventory from last year. Net sales of our animal health and nutrition products decreased $1.2 million, or 17%, during the third quarter of fiscal year 2024, compared to the same period in fiscal year 2023. The decrease was driven by lower demand in all regions and timing of orders to some foreign countries.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SG&amp;A expenses for the Business to Business Products Group in the third quarter of fiscal year 2024 decreased $0.3 million, or 7%, compared to the same period of fiscal year 2023. The reduction was mainly driven by a decrease in technical service support costs from the Innovation Center and Microbiology Lab offset by an increase in compensation-related expenses to teammates and consultants.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third quarter of fiscal year 2024 was $10.6 million, an increase of $0.8 million, or 8%, from operating income of $9.8 million for the third quarter of fiscal year 2023. The overall increase in operating income was primarily due to higher pricing and favorable product mix.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third quarter of fiscal year 2024 were $70.6 million, an increase of $0.6 million, or 1%, from net sales of $70.0 million for the third quarter of fiscal year 2023, driven by higher prices of domestic and co-packaged cat litter product offerings. Global cat litter net sales were $0.9 million, or 2%, higher compared to the third quarter of fiscal year 2023 driven by higher prices. Domestic cat litter net sales were $51.1 million, an increase of $1.2 million driven mainly by higher prices. Higher net sales of coarse cat litter were partially offset by softer revenue from total lightweight scoopable litter. The decline in lightweight scoopable litter sales was primarily due to reduced demand from a key customer that had temporarily increased purchases last year to avoid out-of-stock items from another supplier. However, Oil-Dri achieved lightweight litter sales gains at several new and existing customers, including the growing e-commerce, dollar, farm &amp; fleet and drug distribution channels, which partially offset these declines. Net sales of co-packaged products remained flat compared to the same period in fiscal year 2023, as higher prices offset the decrease in volume. Net sales of our global industrial and sports products were $12.4 million for third quarter of fiscal year 2024, of which $11.8 million represented domestic net sales. Domestic industrial and sports sales were down $0.4 million due to softer sales across all products except for synthetic floor absorbents, partially offset by higher prices. Net sales by our subsidiary in Canada decreased $0.3 million, as discussed below.</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increased by $1.6 million, or 51%, during the third quarter of fiscal year 2024 compared to the same period in fiscal year 2023. The increase was primarily driven by an increase in advertising spend and compensation-related expenses, partially offset by a reduction in broker commissions. We anticipate total advertising expense in fiscal year 2024 to be higher than fiscal year 2023.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Retail and Wholesale Products Group's operating income was $10.9 million for the third quarter of fiscal year 2024, an increase of $0.1 million from operating income of $10.7 million for the same period of fiscal year 2023. This was driven primarily by higher prices, partially offset by higher SG&amp;A expenses, as discussed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Foreign operations include our subsidiary in Canada, which is reported in the Retail and Wholesale Products Group, and our subsidiaries in the UK, Mexico, China and Indonesia, which are reported in the Business to Business Products Group. Net sales by our foreign subsidiaries during the third quarter of fiscal year 2024 were $4.5 million, a decrease of $1.0 million, or 19%, compared to net sales of $5.5 million during the same period of fiscal year 2023, driven primarily by decreases in net sales in China, Canada and Mexico, partially offset by an increase in net sales in the UK. Sales of our subsidiary in China were down $0.7 million as a result of transitioning to a distributor model in China rather than sales through our subsidiary. Sales to China are now sold directly through the Company and captured the Asia region, and not through our subsidiary in China. Net sales by our subsidiary in Canada decreased $0.3 million driven by lower cat litter sales, partially offset by an increase in industrial product sales when compared to the same period of fiscal year 2023. Net sales of our subsidiary in Mexico decreased during the third quarter of fiscal year 2024 compared to the same period of fiscal year 2023 by $0.2 million, or 36%, due to softer volumes. Total net sales of our subsidiary in the UK increased by $0.1 million in the third quarter of fiscal year 2024 compared to the same period in 2023 due to higher pricing. Net sales by our foreign subsidiaries represented 4% and 5% of our consolidated net sales during the third quarter of fiscal years 2024 and 2023, respectively.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foreign subsidiaries reported net loss of $0.1 million for the third quarter of fiscal year 2024 compared to net income of $0.5 million in the third quarter of fiscal year 2023. This was driven by the decrease in sales in China, Canada and Mexico, offset by the increase in net income in the UK due to higher net sales.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liquidity needs are to fund our capital requirements, including funding working capital needs; purchasing and upgrading equipment, facilities, information systems, and real estate; supporting new product development; investing in infrastructure; repurchasing stock; paying dividends; and, from time to time, business acquisitions, and funding our debt service requirements. During the nine months ended April 30, 2024, we principally funded these short and long-term capital requirements using cash from current operations as well as cash generated from previous borrowings under our Series C Senior Notes. To meet cash requirements for the Transaction we issued $10 million in aggregate principal amount of Series D Senior Notes during the third quarter of fiscal year 2024. See Note 15 of the Notes to the unaudited Condensed Consolidated Financial Statements in this Quarterly Report on Form 10-Q for further information relating to the cash requirements for the Transaction.</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anticipate cash flows from operations and our available sources of liquidity will be sufficient to meet our cash requirements. In addition, we are actively monitoring the timing and collection of our accounts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elements of our unaudited Condensed Consolidated Statements of Cash Flows (in thousands):</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9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r>
      <w:tr>
        <w:trPr>
          <w:trHeight w:val="223"/>
        </w:trPr>
        <w:tc>
          <w:tcPr>
            <w:tcW w:w="6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36,041</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flows for the nine months ended April 30, 2024 were as follows: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increased by $3.0 million in the nine months ended April 30, 2024 due to a combination of rising costs, specifically due to labor and repairs and the building of inventory levels for anticipated demand and to avoid any potential supply chain disruptions.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increased by $3.7 million in the nine months ended April 30, 2024. The increase is mainly due to the timing of income tax and insurance payments.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payable decreased by $1.0 million in the nine months ended April 30, 2024. The decrease was mainly due to the timing of payments, cost of goods and services we purchase, production volume levels and vendor payment terms.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expenses decreased $3.9 million in the nine months ended April 30, 2024. The decrease was mainly due to the payout of annual bonuses and taxes, and other miscellaneous expenses which fluctuate due to timing of payments, changes in the cost of goods and services we purchase, production volume levels and vendor payment terms including freight.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$23.5 million in the nine months ended April 30, 2024 was driven by capital expenditures. During the nine months ended April 30, 2024 we expanded our plant equipment and improved our facilities to support increased demand for our products.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$1.5 million in the nine months ended April 30, 2024 was primarily driven by the issuance of a $10 million note offset by cash used for dividend payments and treasury stock repurchases.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cash balances held by our foreign subsidiaries of $5.0 million as of April 30, 2024 decreased compared to $5.2 million as of July 31, 2023. See further discussion in "Foreign Operations" above.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2024, we had remaining authority to repurchase 380,753 shares of Common Stock and 262,092 shares of Class B Stock under a repurchase plan approved by our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Note Agreement and revolving credit facility under our Credit Agreement, current cash balances and our ability to obtain other financing, if necessary, will provide sufficient liquidity for foreseeable working capital needs, capital expenditures at existing facilities, deferred compensation payouts, dividend payments and debt service obligations for at least the next 12 months. See Note 8 of the Notes to the unaudited Condensed Consolidated Financial Statements in this Quarterly Report on Form 10-Q. We expect capital expenditures in fiscal year 2024 to be greater than in fiscal year 2023. We do not believe that these increased capital expenditures will dramatically impact our cash position; however, our cash requirements are subject to change as business conditions warrant and opportunities arise.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fiscal quarter ended April 30, 2024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and 3 of this Part II are either inapplicable or are answered in the negative and are omitted pursuant to the instructions to Part II of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of our Annual Report on Form 10-K for the fiscal year ended July 31, 2023 and in Part II, Item 1A, "Risk Factors," of our Quarterly Report on Form 10-Q for the fiscal quarter ended January 31, 2024. There have been no material changes to our risk factors since our Quarterly Report on Form 10-Q for the fiscal quarter ended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2024, we did not sell any securities which were not registered under the Securities Act of 1933, as amended. The following table summarizes our Common Stock purchases by or on behalf of the Company or any affiliated purchaser (as defined in Rule 10b-18(a)(3) under the Exchange Act) during this period.</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3"/>
          <w:szCs w:val="23"/>
          <w:b w:val="1"/>
          <w:bCs w:val="1"/>
          <w:color w:val="auto"/>
          <w:vertAlign w:val="superscript"/>
        </w:rPr>
        <w:t>1, 2</w:t>
      </w:r>
    </w:p>
    <w:tbl>
      <w:tblPr>
        <w:tblLayout w:type="fixed"/>
        <w:tblInd w:w="0" w:type="dxa"/>
        <w:tblCellMar>
          <w:top w:w="0" w:type="dxa"/>
          <w:left w:w="0" w:type="dxa"/>
          <w:bottom w:w="0" w:type="dxa"/>
          <w:right w:w="0" w:type="dxa"/>
        </w:tblCellMar>
      </w:tblPr>
      <w:tr>
        <w:trPr>
          <w:trHeight w:val="214"/>
        </w:trPr>
        <w:tc>
          <w:tcPr>
            <w:tcW w:w="20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4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20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8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Plans or</w:t>
            </w:r>
          </w:p>
        </w:tc>
        <w:tc>
          <w:tcPr>
            <w:tcW w:w="0" w:type="dxa"/>
            <w:vAlign w:val="bottom"/>
          </w:tcPr>
          <w:p>
            <w:pPr>
              <w:spacing w:after="0"/>
              <w:rPr>
                <w:sz w:val="1"/>
                <w:szCs w:val="1"/>
                <w:color w:val="auto"/>
              </w:rPr>
            </w:pPr>
          </w:p>
        </w:tc>
      </w:tr>
      <w:tr>
        <w:trPr>
          <w:trHeight w:val="243"/>
        </w:trPr>
        <w:tc>
          <w:tcPr>
            <w:tcW w:w="2080" w:type="dxa"/>
            <w:vAlign w:val="bottom"/>
            <w:tcBorders>
              <w:bottom w:val="single" w:sz="8" w:color="auto"/>
            </w:tcBorders>
            <w:vMerge w:val="continue"/>
          </w:tcPr>
          <w:p>
            <w:pPr>
              <w:spacing w:after="0"/>
              <w:rPr>
                <w:sz w:val="21"/>
                <w:szCs w:val="21"/>
                <w:color w:val="auto"/>
              </w:rPr>
            </w:pPr>
          </w:p>
        </w:tc>
        <w:tc>
          <w:tcPr>
            <w:tcW w:w="22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9"/>
              </w:rPr>
              <w:t>Purchased</w:t>
            </w:r>
            <w:r>
              <w:rPr>
                <w:rFonts w:ascii="Times New Roman" w:cs="Times New Roman" w:eastAsia="Times New Roman" w:hAnsi="Times New Roman"/>
                <w:sz w:val="23"/>
                <w:szCs w:val="23"/>
                <w:b w:val="1"/>
                <w:bCs w:val="1"/>
                <w:color w:val="auto"/>
                <w:w w:val="99"/>
                <w:vertAlign w:val="superscript"/>
              </w:rPr>
              <w:t>3</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24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3"/>
                <w:szCs w:val="23"/>
                <w:b w:val="1"/>
                <w:bCs w:val="1"/>
                <w:color w:val="auto"/>
                <w:w w:val="97"/>
                <w:vertAlign w:val="superscript"/>
              </w:rPr>
              <w:t>4</w:t>
            </w: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February 1, 2024 to</w:t>
            </w:r>
          </w:p>
        </w:tc>
        <w:tc>
          <w:tcPr>
            <w:tcW w:w="22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382,404</w:t>
            </w: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March 1, 2024 to March</w:t>
            </w:r>
          </w:p>
        </w:tc>
        <w:tc>
          <w:tcPr>
            <w:tcW w:w="2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1,651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$69.48</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380,753</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April 1, 2024 to April 30,</w:t>
            </w:r>
          </w:p>
        </w:tc>
        <w:tc>
          <w:tcPr>
            <w:tcW w:w="22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380,753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8"/>
        <w:spacing w:after="0" w:line="241" w:lineRule="auto"/>
        <w:tabs>
          <w:tab w:leader="none" w:pos="101"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table summarizes repurchases of (and remaining authority to repurchase) shares of our Common Stock. Our Board authorized the repurchase of 300,000 shares of Class B Stock on March 12, 2018, however, there have been no repurchases of Class B Stock for the three months ended April 30, 2024, and the authorized Class B Stock is not included in the table above. 262,092 shares of Class B Stock remain authorized for repurchases as of April 30, 2024. No shares of our Class A Common Stock are currently outstanding. Descriptions of our Common Stock, Class B Stock and Class A Common Stock are contained in Exhibit 4.1 of our Annual Report on Form 10-K for the fiscal year ended July 31, 2023.</w:t>
      </w:r>
    </w:p>
    <w:p>
      <w:pPr>
        <w:spacing w:after="0" w:line="226" w:lineRule="exact"/>
        <w:rPr>
          <w:sz w:val="20"/>
          <w:szCs w:val="20"/>
          <w:color w:val="auto"/>
        </w:rPr>
      </w:pPr>
    </w:p>
    <w:p>
      <w:pPr>
        <w:ind w:firstLine="8"/>
        <w:spacing w:after="0" w:line="229" w:lineRule="auto"/>
        <w:tabs>
          <w:tab w:leader="none" w:pos="8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figures in the table reflect transactions according to the settlement dates. For purposes of our unaudited Condensed Consolidated Financial Statements included in this Quarterly Report on Form 10-Q, the impact of repurchases are recorded according to the settlement dates.</w:t>
      </w:r>
    </w:p>
    <w:p>
      <w:pPr>
        <w:spacing w:after="0" w:line="195" w:lineRule="exact"/>
        <w:rPr>
          <w:sz w:val="20"/>
          <w:szCs w:val="20"/>
          <w:color w:val="auto"/>
        </w:rPr>
      </w:pPr>
    </w:p>
    <w:p>
      <w:pPr>
        <w:ind w:left="100" w:hanging="92"/>
        <w:spacing w:after="0"/>
        <w:tabs>
          <w:tab w:leader="none" w:pos="10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1,651 shares were surrendered by employees to pay taxes related to restricted stock awards.</w:t>
      </w:r>
    </w:p>
    <w:p>
      <w:pPr>
        <w:spacing w:after="0" w:line="225" w:lineRule="exact"/>
        <w:rPr>
          <w:sz w:val="20"/>
          <w:szCs w:val="20"/>
          <w:color w:val="auto"/>
        </w:rPr>
      </w:pPr>
    </w:p>
    <w:p>
      <w:pPr>
        <w:jc w:val="both"/>
        <w:ind w:firstLine="8"/>
        <w:spacing w:after="0" w:line="239" w:lineRule="auto"/>
        <w:tabs>
          <w:tab w:leader="none" w:pos="8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Board authorized the repurchase of 750,000 shares of Common Stock on March 11, 2019. This authorization does not have a stated expiration date. The share numbers in this column indicate the number of shares of Common Stock that may yet be repurchased under this authorization. Repurchases may be made on the open market (pursuant to Rule 10b5-1 plans or otherwise) or in negotiated transactions. The timing, number and manner of share repurchases will be determined by management.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are included in Exhibit 95 to this Quarterly Report on Form 10-Q.</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2024, none of our officers or directors adopted or terminated a "Rule 10b5-1 trading arrangement" or "non-Rule 10b5-1 trading arrangement" (each as defined in Item 408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Exhibit</w:t>
      </w:r>
    </w:p>
    <w:p>
      <w:pPr>
        <w:ind w:left="360"/>
        <w:spacing w:after="0"/>
        <w:tabs>
          <w:tab w:leader="none" w:pos="400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4946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91" w:lineRule="exact"/>
        <w:rPr>
          <w:sz w:val="20"/>
          <w:szCs w:val="20"/>
          <w:color w:val="auto"/>
        </w:rPr>
      </w:pPr>
    </w:p>
    <w:p>
      <w:pPr>
        <w:jc w:val="right"/>
        <w:ind w:left="6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2.1*  </w:t>
      </w:r>
      <w:hyperlink r:id="rId48">
        <w:r>
          <w:rPr>
            <w:rFonts w:ascii="Times New Roman" w:cs="Times New Roman" w:eastAsia="Times New Roman" w:hAnsi="Times New Roman"/>
            <w:sz w:val="18"/>
            <w:szCs w:val="18"/>
            <w:u w:val="single" w:color="auto"/>
            <w:color w:val="0000FF"/>
          </w:rPr>
          <w:t>Stock Purchase Agreement, dated April 16, 2024, by and among the Oil-Dri Corporation of</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FF"/>
          </w:rPr>
          <w:t>America, Ultra Pet, LLC, Ultra Pet Company, Inc., and certain equityholders of Ultra Pet,</w:t>
        </w:r>
      </w:hyperlink>
    </w:p>
    <w:p>
      <w:pPr>
        <w:spacing w:after="0" w:line="2" w:lineRule="exact"/>
        <w:rPr>
          <w:sz w:val="20"/>
          <w:szCs w:val="20"/>
          <w:color w:val="auto"/>
        </w:rPr>
      </w:pPr>
    </w:p>
    <w:p>
      <w:pPr>
        <w:ind w:left="1100"/>
        <w:spacing w:after="0"/>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LLC set forth on the signature page thereto.</w:t>
        </w:r>
      </w:hyperlink>
    </w:p>
    <w:p>
      <w:pPr>
        <w:spacing w:after="0" w:line="97" w:lineRule="exact"/>
        <w:rPr>
          <w:sz w:val="20"/>
          <w:szCs w:val="20"/>
          <w:color w:val="auto"/>
        </w:rPr>
      </w:pPr>
    </w:p>
    <w:p>
      <w:pPr>
        <w:jc w:val="right"/>
        <w:ind w:left="64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  </w:t>
      </w:r>
      <w:hyperlink r:id="rId48">
        <w:r>
          <w:rPr>
            <w:rFonts w:ascii="Times New Roman" w:cs="Times New Roman" w:eastAsia="Times New Roman" w:hAnsi="Times New Roman"/>
            <w:sz w:val="18"/>
            <w:szCs w:val="18"/>
            <w:u w:val="single" w:color="auto"/>
            <w:color w:val="0000FF"/>
          </w:rPr>
          <w:t>Seventh Amendment to Credit Agreement, dated April 16, 2024, by and between Oil-Dri</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FF"/>
          </w:rPr>
          <w:t>Corporation of America and BMO Bank N.A. (formerly known as BMO Harris Bank N.A.)</w:t>
        </w:r>
        <w:r>
          <w:rPr>
            <w:rFonts w:ascii="Times New Roman" w:cs="Times New Roman" w:eastAsia="Times New Roman" w:hAnsi="Times New Roman"/>
            <w:sz w:val="18"/>
            <w:szCs w:val="18"/>
            <w:color w:val="000000"/>
          </w:rPr>
          <w:t>.</w:t>
        </w:r>
      </w:hyperlink>
    </w:p>
    <w:p>
      <w:pPr>
        <w:spacing w:after="0" w:line="293" w:lineRule="exact"/>
        <w:rPr>
          <w:sz w:val="20"/>
          <w:szCs w:val="20"/>
          <w:color w:val="auto"/>
        </w:rPr>
      </w:pPr>
    </w:p>
    <w:p>
      <w:pPr>
        <w:ind w:left="1100" w:hanging="318"/>
        <w:spacing w:after="0" w:line="237"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pursuant to Rule 13a–14(a) or Rule 15d-14(a) under the Securities Exchange Act of 1934, as amended.</w:t>
      </w:r>
    </w:p>
    <w:p>
      <w:pPr>
        <w:spacing w:after="0" w:line="63" w:lineRule="exact"/>
        <w:rPr>
          <w:rFonts w:ascii="Times New Roman" w:cs="Times New Roman" w:eastAsia="Times New Roman" w:hAnsi="Times New Roman"/>
          <w:sz w:val="18"/>
          <w:szCs w:val="18"/>
          <w:color w:val="auto"/>
        </w:rPr>
      </w:pPr>
    </w:p>
    <w:p>
      <w:pPr>
        <w:ind w:left="1100" w:hanging="318"/>
        <w:spacing w:after="0" w:line="237"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pursuant to 18 U.S.C. Section 1350 as adopted pursuant to Section 906 of the Sarbanes-Oxley Act of 2002.</w:t>
      </w:r>
    </w:p>
    <w:p>
      <w:pPr>
        <w:spacing w:after="0" w:line="64" w:lineRule="exact"/>
        <w:rPr>
          <w:sz w:val="20"/>
          <w:szCs w:val="20"/>
          <w:color w:val="auto"/>
        </w:rPr>
      </w:pPr>
    </w:p>
    <w:p>
      <w:pPr>
        <w:ind w:left="1100" w:hanging="31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Mine Safety Disclosures</w:t>
      </w:r>
      <w:r>
        <w:rPr>
          <w:rFonts w:ascii="Times New Roman" w:cs="Times New Roman" w:eastAsia="Times New Roman" w:hAnsi="Times New Roman"/>
          <w:sz w:val="18"/>
          <w:szCs w:val="18"/>
          <w:color w:val="000000"/>
        </w:rPr>
        <w:t>.</w:t>
      </w:r>
    </w:p>
    <w:p>
      <w:pPr>
        <w:spacing w:after="0" w:line="7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101.SCH</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101.CAL</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101.LAB</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83"/>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28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2091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97"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Incorporated by reference to Exhibit 2.1 to Oil-Dri Corporation of America’s Current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on Form 8-K filed on April 16, 2024</w:t>
      </w:r>
    </w:p>
    <w:p>
      <w:pPr>
        <w:spacing w:after="0" w:line="97"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Incorporated by reference to Exhibit 2.1 to Oil-Dri Corporation of America’s Current</w:t>
      </w:r>
    </w:p>
    <w:p>
      <w:pPr>
        <w:spacing w:after="0" w:line="2" w:lineRule="exact"/>
        <w:rPr>
          <w:sz w:val="20"/>
          <w:szCs w:val="20"/>
          <w:color w:val="auto"/>
        </w:rPr>
      </w:pPr>
    </w:p>
    <w:p>
      <w:pPr>
        <w:ind w:right="140"/>
        <w:spacing w:after="0" w:line="399" w:lineRule="auto"/>
        <w:rPr>
          <w:sz w:val="20"/>
          <w:szCs w:val="20"/>
          <w:color w:val="auto"/>
        </w:rPr>
      </w:pPr>
      <w:r>
        <w:rPr>
          <w:rFonts w:ascii="Times New Roman" w:cs="Times New Roman" w:eastAsia="Times New Roman" w:hAnsi="Times New Roman"/>
          <w:sz w:val="18"/>
          <w:szCs w:val="18"/>
          <w:color w:val="auto"/>
        </w:rPr>
        <w:t>Report on Form 8-K filed on April 16, 2024 Filed herewith.</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27" w:lineRule="exact"/>
        <w:rPr>
          <w:sz w:val="20"/>
          <w:szCs w:val="20"/>
          <w:color w:val="auto"/>
        </w:rPr>
      </w:pPr>
    </w:p>
    <w:p>
      <w:pPr>
        <w:sectPr>
          <w:pgSz w:w="11900" w:h="16838" w:orient="portrait"/>
          <w:cols w:equalWidth="0" w:num="2">
            <w:col w:w="7780" w:space="140"/>
            <w:col w:w="3320"/>
          </w:cols>
          <w:pgMar w:left="320" w:top="887" w:right="339" w:bottom="1440" w:gutter="0" w:footer="0" w:header="0"/>
        </w:sectPr>
      </w:pPr>
    </w:p>
    <w:p>
      <w:pPr>
        <w:spacing w:after="0" w:line="119" w:lineRule="exact"/>
        <w:rPr>
          <w:sz w:val="20"/>
          <w:szCs w:val="20"/>
          <w:color w:val="auto"/>
        </w:rPr>
      </w:pPr>
    </w:p>
    <w:p>
      <w:pPr>
        <w:ind w:firstLine="8"/>
        <w:spacing w:after="0" w:line="282" w:lineRule="auto"/>
        <w:tabs>
          <w:tab w:leader="none" w:pos="1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similar attachments to this exhibit have been omitted pursuant to Item 601(a)(5) of Regulation S-K. The Company agrees to provide a copy of the omitted schedules and similar attachments on a supplemental basis to the Commission or its staff, if requested.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603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5392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6, 2024</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320"/>
          </w:cols>
          <w:pgMar w:left="660" w:top="891" w:right="9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13A-14(A)/15D-14(A) UNDER THE SECURITIES EXCHANGE ACT OF 1934,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Daniel S. Jaffee,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477"/>
        <w:spacing w:after="0" w:line="266" w:lineRule="auto"/>
        <w:tabs>
          <w:tab w:leader="none" w:pos="196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526"/>
        <w:spacing w:after="0" w:line="266" w:lineRule="auto"/>
        <w:tabs>
          <w:tab w:leader="none" w:pos="196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517"/>
        <w:spacing w:after="0" w:line="266" w:lineRule="auto"/>
        <w:tabs>
          <w:tab w:leader="none" w:pos="194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477"/>
        <w:spacing w:after="0" w:line="273" w:lineRule="auto"/>
        <w:tabs>
          <w:tab w:leader="none" w:pos="196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6, 2024</w:t>
            </w: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178"/>
        </w:trPr>
        <w:tc>
          <w:tcPr>
            <w:tcW w:w="840" w:type="dxa"/>
            <w:vAlign w:val="bottom"/>
          </w:tcPr>
          <w:p>
            <w:pPr>
              <w:spacing w:after="0"/>
              <w:rPr>
                <w:sz w:val="15"/>
                <w:szCs w:val="15"/>
                <w:color w:val="auto"/>
              </w:rPr>
            </w:pPr>
          </w:p>
        </w:tc>
        <w:tc>
          <w:tcPr>
            <w:tcW w:w="42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Daniel S. Jaffee</w:t>
            </w:r>
          </w:p>
        </w:tc>
      </w:tr>
      <w:tr>
        <w:trPr>
          <w:trHeight w:val="234"/>
        </w:trPr>
        <w:tc>
          <w:tcPr>
            <w:tcW w:w="8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Exhibit 31 (continued):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Susan M. Kreh,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332"/>
        <w:spacing w:after="0" w:line="266" w:lineRule="auto"/>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6, 2024</w:t>
            </w:r>
          </w:p>
        </w:tc>
      </w:tr>
      <w:tr>
        <w:trPr>
          <w:trHeight w:val="22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Susan M. Kreh</w:t>
            </w:r>
          </w:p>
        </w:tc>
      </w:tr>
      <w:tr>
        <w:trPr>
          <w:trHeight w:val="234"/>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April 30, 2024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June 6,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Daniel S. Jaffee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April 30, 2024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June 6,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Name: Susan M. Kreh</w:t>
      </w: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3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2024.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1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0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(the "Commission") as of the last day of the reporting period or the number of such cases initiated or resolved during the reporting period.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Legal Actions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Section 104</w:t>
            </w: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Total Dollar</w:t>
            </w:r>
          </w:p>
        </w:tc>
        <w:tc>
          <w:tcPr>
            <w:tcW w:w="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Section 104(d)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110(b)(2)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107(a)</w:t>
            </w:r>
          </w:p>
        </w:tc>
        <w:tc>
          <w:tcPr>
            <w:tcW w:w="1180" w:type="dxa"/>
            <w:vAlign w:val="bottom"/>
            <w:vMerge w:val="continue"/>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Mining</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Pending as</w:t>
            </w: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 and</w:t>
            </w:r>
          </w:p>
        </w:tc>
        <w:tc>
          <w:tcPr>
            <w:tcW w:w="6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Value of Proposed</w:t>
            </w:r>
          </w:p>
        </w:tc>
        <w:tc>
          <w:tcPr>
            <w:tcW w:w="7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9"/>
        </w:trPr>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Mine ID</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Mine Location</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Substantial”</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10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Citations and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Flagrant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Imminent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MSHA</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1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of Last Day Initiated During</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Violations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Orders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Violations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Danger Orders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Assessments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Fatalities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Period</w:t>
            </w:r>
          </w:p>
        </w:tc>
        <w:tc>
          <w:tcPr>
            <w:tcW w:w="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Period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During Period</w:t>
            </w: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7"/>
              </w:rPr>
              <w: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7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0900114</w:t>
            </w:r>
          </w:p>
        </w:tc>
        <w:tc>
          <w:tcPr>
            <w:tcW w:w="112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rPr>
              <w:t>Ochlocknee,</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749</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shd w:val="clear" w:color="auto" w:fill="CCEEFF"/>
          </w:tcPr>
          <w:p>
            <w:pPr>
              <w:spacing w:after="0"/>
              <w:rPr>
                <w:sz w:val="9"/>
                <w:szCs w:val="9"/>
                <w:color w:val="auto"/>
              </w:rPr>
            </w:pPr>
          </w:p>
        </w:tc>
        <w:tc>
          <w:tcPr>
            <w:tcW w:w="11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Georgia</w:t>
            </w:r>
          </w:p>
        </w:tc>
        <w:tc>
          <w:tcPr>
            <w:tcW w:w="108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6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2200035</w:t>
            </w: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Ripley,</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1,424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Mississippi</w:t>
            </w: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1102403</w:t>
            </w: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Mounds, Illinois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135"/>
        </w:trPr>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2200582</w:t>
            </w: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Blue Mountain,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630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Mississippi</w:t>
            </w: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0402964</w:t>
            </w: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Taft, California</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6,619</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39" w:name="page40"/>
    <w:bookmarkEnd w:id="39"/>
    <w:p>
      <w:pPr>
        <w:jc w:val="both"/>
        <w:spacing w:after="0" w:line="250" w:lineRule="auto"/>
        <w:rPr>
          <w:sz w:val="20"/>
          <w:szCs w:val="20"/>
          <w:color w:val="auto"/>
        </w:rPr>
      </w:pPr>
      <w:r>
        <w:rPr>
          <w:rFonts w:ascii="Times New Roman" w:cs="Times New Roman" w:eastAsia="Times New Roman" w:hAnsi="Times New Roman"/>
          <w:sz w:val="18"/>
          <w:szCs w:val="18"/>
          <w:color w:val="auto"/>
        </w:rPr>
        <w:t>During this period we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p>
      <w:pPr>
        <w:spacing w:after="0" w:line="204" w:lineRule="exact"/>
        <w:rPr>
          <w:sz w:val="20"/>
          <w:szCs w:val="20"/>
          <w:color w:val="auto"/>
        </w:rPr>
      </w:pPr>
    </w:p>
    <w:p>
      <w:pPr>
        <w:jc w:val="both"/>
        <w:ind w:right="360"/>
        <w:spacing w:after="0" w:line="236" w:lineRule="auto"/>
        <w:rPr>
          <w:sz w:val="20"/>
          <w:szCs w:val="20"/>
          <w:color w:val="auto"/>
        </w:rPr>
      </w:pPr>
      <w:r>
        <w:rPr>
          <w:rFonts w:ascii="Times New Roman" w:cs="Times New Roman" w:eastAsia="Times New Roman" w:hAnsi="Times New Roman"/>
          <w:sz w:val="18"/>
          <w:szCs w:val="18"/>
          <w:color w:val="auto"/>
        </w:rPr>
        <w:t>Legal actions pending before the Commission may involve, among other questions, challenges by operators to citations, orders and penalties they have received from MSHA or complaints of discrimination by miners under section 105 of the Mine Act. The following is a brief description of the types of legal actions that may be brought before the Commission.</w:t>
      </w:r>
    </w:p>
    <w:p>
      <w:pPr>
        <w:spacing w:after="0" w:line="213" w:lineRule="exact"/>
        <w:rPr>
          <w:sz w:val="20"/>
          <w:szCs w:val="20"/>
          <w:color w:val="auto"/>
        </w:rPr>
      </w:pPr>
    </w:p>
    <w:p>
      <w:pPr>
        <w:ind w:left="120" w:right="260"/>
        <w:spacing w:after="0" w:line="250" w:lineRule="auto"/>
        <w:rPr>
          <w:sz w:val="20"/>
          <w:szCs w:val="20"/>
          <w:color w:val="auto"/>
        </w:rPr>
      </w:pPr>
      <w:r>
        <w:rPr>
          <w:rFonts w:ascii="Times New Roman" w:cs="Times New Roman" w:eastAsia="Times New Roman" w:hAnsi="Times New Roman"/>
          <w:sz w:val="18"/>
          <w:szCs w:val="18"/>
          <w:color w:val="auto"/>
        </w:rPr>
        <w:t>Contests of Citations and Orders: A contest proceeding may be filed with the Commission by operators, miners or miners’ representatives to challenge the issuance of a citation or order issued by MSHA.</w:t>
      </w:r>
    </w:p>
    <w:p>
      <w:pPr>
        <w:spacing w:after="0" w:line="203"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Contests of Proposed Penalties (Petitions for Assessment of Penalties): A contest of a proposed penalty is an administrative proceeding before the Commission challenging a civil penalty that MSHA has proposed for the alleged violation contained in a citation or order. The validity of the citation may also be challenged in this proceeding as well.</w:t>
      </w:r>
    </w:p>
    <w:p>
      <w:pPr>
        <w:spacing w:after="0" w:line="204" w:lineRule="exact"/>
        <w:rPr>
          <w:sz w:val="20"/>
          <w:szCs w:val="20"/>
          <w:color w:val="auto"/>
        </w:rPr>
      </w:pPr>
    </w:p>
    <w:p>
      <w:pPr>
        <w:jc w:val="both"/>
        <w:ind w:left="120" w:right="380"/>
        <w:spacing w:after="0" w:line="250" w:lineRule="auto"/>
        <w:rPr>
          <w:sz w:val="20"/>
          <w:szCs w:val="20"/>
          <w:color w:val="auto"/>
        </w:rPr>
      </w:pPr>
      <w:r>
        <w:rPr>
          <w:rFonts w:ascii="Times New Roman" w:cs="Times New Roman" w:eastAsia="Times New Roman" w:hAnsi="Times New Roman"/>
          <w:sz w:val="18"/>
          <w:szCs w:val="18"/>
          <w:color w:val="auto"/>
        </w:rPr>
        <w:t>Complaints for Compensation: A complaint for compensation may be filed with the Commission by miners entitled to compensation when a mine is closed by certain withdrawal orders issued by MSHA. The purpose of the proceeding is to determine the amount of compensation, if any, due miners idled by the orders.</w:t>
      </w:r>
    </w:p>
    <w:p>
      <w:pPr>
        <w:spacing w:after="0" w:line="204" w:lineRule="exact"/>
        <w:rPr>
          <w:sz w:val="20"/>
          <w:szCs w:val="20"/>
          <w:color w:val="auto"/>
        </w:rPr>
      </w:pPr>
    </w:p>
    <w:p>
      <w:pPr>
        <w:ind w:left="120" w:right="300"/>
        <w:spacing w:after="0" w:line="296" w:lineRule="auto"/>
        <w:rPr>
          <w:sz w:val="20"/>
          <w:szCs w:val="20"/>
          <w:color w:val="auto"/>
        </w:rPr>
      </w:pPr>
      <w:r>
        <w:rPr>
          <w:rFonts w:ascii="Times New Roman" w:cs="Times New Roman" w:eastAsia="Times New Roman" w:hAnsi="Times New Roman"/>
          <w:sz w:val="17"/>
          <w:szCs w:val="17"/>
          <w:color w:val="auto"/>
        </w:rPr>
        <w:t>Complaints of Discharge, Discrimination or Interference: A discrimination proceeding is a case that involves a miner’s allegation that he or she has suffered a wrong by the operator because he or she engaged in some type of activity protected under the Mine Act, such as making a safety complaint.</w:t>
      </w:r>
    </w:p>
    <w:p>
      <w:pPr>
        <w:spacing w:after="0" w:line="16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Applications for Temporary Relief: An application for temporary relief from any modification or termination of any order or from any order issued under section 104 of the Mine Act.</w:t>
      </w:r>
    </w:p>
    <w:p>
      <w:pPr>
        <w:spacing w:after="0" w:line="189" w:lineRule="exact"/>
        <w:rPr>
          <w:sz w:val="20"/>
          <w:szCs w:val="20"/>
          <w:color w:val="auto"/>
        </w:rPr>
      </w:pPr>
    </w:p>
    <w:p>
      <w:pPr>
        <w:ind w:left="120" w:right="160"/>
        <w:spacing w:after="0" w:line="250" w:lineRule="auto"/>
        <w:rPr>
          <w:sz w:val="20"/>
          <w:szCs w:val="20"/>
          <w:color w:val="auto"/>
        </w:rPr>
      </w:pPr>
      <w:r>
        <w:rPr>
          <w:rFonts w:ascii="Times New Roman" w:cs="Times New Roman" w:eastAsia="Times New Roman" w:hAnsi="Times New Roman"/>
          <w:sz w:val="18"/>
          <w:szCs w:val="18"/>
          <w:color w:val="auto"/>
        </w:rPr>
        <w:t>Appeals of Judges’ Decisions or Orders to the Commission: A filing with the Commission of a petition for discretionary review of a Judge’s decision or order by a person who has been adversely affected or aggrieved by such decision or order.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Contests of</w:t>
            </w:r>
          </w:p>
        </w:tc>
        <w:tc>
          <w:tcPr>
            <w:tcW w:w="13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Complaints of</w:t>
            </w:r>
          </w:p>
        </w:tc>
        <w:tc>
          <w:tcPr>
            <w:tcW w:w="1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Contests of Citations</w:t>
            </w:r>
          </w:p>
        </w:tc>
        <w:tc>
          <w:tcPr>
            <w:tcW w:w="1040" w:type="dxa"/>
            <w:vAlign w:val="bottom"/>
            <w:vMerge w:val="continue"/>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Complaints for</w:t>
            </w: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Discharge,</w:t>
            </w:r>
          </w:p>
        </w:tc>
        <w:tc>
          <w:tcPr>
            <w:tcW w:w="12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Applications for</w:t>
            </w: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Appeals of Judges Decisions</w:t>
            </w:r>
          </w:p>
        </w:tc>
        <w:tc>
          <w:tcPr>
            <w:tcW w:w="0" w:type="dxa"/>
            <w:vAlign w:val="bottom"/>
          </w:tcPr>
          <w:p>
            <w:pPr>
              <w:spacing w:after="0"/>
              <w:rPr>
                <w:sz w:val="1"/>
                <w:szCs w:val="1"/>
                <w:color w:val="auto"/>
              </w:rPr>
            </w:pPr>
          </w:p>
        </w:tc>
      </w:tr>
      <w:tr>
        <w:trPr>
          <w:trHeight w:val="148"/>
        </w:trPr>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Mine ID</w:t>
            </w: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Mine location</w:t>
            </w:r>
          </w:p>
        </w:tc>
        <w:tc>
          <w:tcPr>
            <w:tcW w:w="148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Proposed</w:t>
            </w:r>
          </w:p>
        </w:tc>
        <w:tc>
          <w:tcPr>
            <w:tcW w:w="134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Discrimination or</w:t>
            </w:r>
          </w:p>
        </w:tc>
        <w:tc>
          <w:tcPr>
            <w:tcW w:w="12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00" w:type="dxa"/>
            <w:vAlign w:val="bottom"/>
            <w:tcBorders>
              <w:bottom w:val="single" w:sz="8" w:color="CCEEFF"/>
            </w:tcBorders>
            <w:vMerge w:val="continue"/>
          </w:tcPr>
          <w:p>
            <w:pPr>
              <w:spacing w:after="0"/>
              <w:rPr>
                <w:sz w:val="17"/>
                <w:szCs w:val="17"/>
                <w:color w:val="auto"/>
              </w:rPr>
            </w:pPr>
          </w:p>
        </w:tc>
        <w:tc>
          <w:tcPr>
            <w:tcW w:w="16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and Orders</w:t>
            </w: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Penalties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Compensation</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Interference</w:t>
            </w:r>
          </w:p>
        </w:tc>
        <w:tc>
          <w:tcPr>
            <w:tcW w:w="12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Temporary Relief</w:t>
            </w:r>
          </w:p>
        </w:tc>
        <w:tc>
          <w:tcPr>
            <w:tcW w:w="17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or Orders to the Commission</w:t>
            </w:r>
          </w:p>
        </w:tc>
        <w:tc>
          <w:tcPr>
            <w:tcW w:w="0" w:type="dxa"/>
            <w:vAlign w:val="bottom"/>
          </w:tcPr>
          <w:p>
            <w:pPr>
              <w:spacing w:after="0"/>
              <w:rPr>
                <w:sz w:val="1"/>
                <w:szCs w:val="1"/>
                <w:color w:val="auto"/>
              </w:rPr>
            </w:pPr>
          </w:p>
        </w:tc>
      </w:tr>
      <w:tr>
        <w:trPr>
          <w:trHeight w:val="201"/>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0900114</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Ochlocknee, Georgia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5"/>
        </w:trPr>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2200035</w:t>
            </w:r>
          </w:p>
        </w:tc>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Ripley, Mississippi</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1102403</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Mounds, Illinois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9"/>
        </w:trPr>
        <w:tc>
          <w:tcPr>
            <w:tcW w:w="9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2200582</w:t>
            </w:r>
          </w:p>
        </w:tc>
        <w:tc>
          <w:tcPr>
            <w:tcW w:w="16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Blue Mountain,</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Mississippi</w:t>
            </w:r>
          </w:p>
        </w:tc>
        <w:tc>
          <w:tcPr>
            <w:tcW w:w="14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9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0402964</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Taft, California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1"/>
      <w:numFmt w:val="decimal"/>
      <w:start w:val="31"/>
    </w:lvl>
  </w:abstractNum>
  <w:abstractNum w:abstractNumId="7">
    <w:nsid w:val="12200854"/>
    <w:multiLevelType w:val="hybridMultilevel"/>
    <w:lvl w:ilvl="0">
      <w:lvlJc w:val="left"/>
      <w:lvlText w:val="%1"/>
      <w:numFmt w:val="decimal"/>
      <w:start w:val="95"/>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0">
    <w:nsid w:val="1F16E9E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48" Type="http://schemas.openxmlformats.org/officeDocument/2006/relationships/hyperlink" Target="https://www.sec.gov/ix?doc=/Archives/edgar/data/74046/000007404624000029/odc-202404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2024-06-06T15:20:40Z</dcterms:created>
  <dcterms:modified xsi:type="dcterms:W3CDTF">2024-06-06T15:20:40Z</dcterms:modified>
</cp:coreProperties>
</file>