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October 31, 2015</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2015.</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5,053,190 Shares and Class B Stock – 2,190,994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16</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EFFE7"/>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EFFE7"/>
          </w:tcPr>
          <w:p>
            <w:pPr>
              <w:ind w:left="280"/>
              <w:spacing w:after="0" w:line="202" w:lineRule="exact"/>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shd w:val="clear" w:color="auto" w:fill="CEFFE7"/>
          </w:tcPr>
          <w:p>
            <w:pPr>
              <w:spacing w:after="0"/>
              <w:rPr>
                <w:sz w:val="21"/>
                <w:szCs w:val="21"/>
                <w:color w:val="auto"/>
              </w:rPr>
            </w:pPr>
          </w:p>
        </w:tc>
        <w:tc>
          <w:tcPr>
            <w:tcW w:w="280" w:type="dxa"/>
            <w:vAlign w:val="bottom"/>
            <w:gridSpan w:val="5"/>
            <w:shd w:val="clear" w:color="auto" w:fill="CEFFE7"/>
          </w:tcPr>
          <w:p>
            <w:pPr>
              <w:jc w:val="center"/>
              <w:ind w:left="10"/>
              <w:spacing w:after="0" w:line="202" w:lineRule="exact"/>
              <w:rPr>
                <w:rFonts w:ascii="Arial" w:cs="Arial" w:eastAsia="Arial" w:hAnsi="Arial"/>
                <w:sz w:val="18"/>
                <w:szCs w:val="18"/>
                <w:color w:val="0000EE"/>
                <w:w w:val="89"/>
                <w:shd w:val="clear" w:color="auto" w:fill="CEFFE7"/>
              </w:rPr>
            </w:pPr>
            <w:hyperlink w:anchor="page24">
              <w:r>
                <w:rPr>
                  <w:rFonts w:ascii="Arial" w:cs="Arial" w:eastAsia="Arial" w:hAnsi="Arial"/>
                  <w:sz w:val="18"/>
                  <w:szCs w:val="18"/>
                  <w:color w:val="0000EE"/>
                  <w:w w:val="89"/>
                  <w:shd w:val="clear" w:color="auto" w:fill="CEFFE7"/>
                </w:rPr>
                <w:t>24</w:t>
              </w:r>
            </w:hyperlink>
          </w:p>
        </w:tc>
        <w:tc>
          <w:tcPr>
            <w:tcW w:w="2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r>
      <w:tr>
        <w:trPr>
          <w:trHeight w:val="297"/>
        </w:trPr>
        <w:tc>
          <w:tcPr>
            <w:tcW w:w="880" w:type="dxa"/>
            <w:vAlign w:val="bottom"/>
            <w:tcBorders>
              <w:top w:val="single" w:sz="8" w:color="CEFFE7"/>
            </w:tcBorders>
          </w:tcPr>
          <w:p>
            <w:pPr>
              <w:spacing w:after="0"/>
              <w:rPr>
                <w:sz w:val="24"/>
                <w:szCs w:val="24"/>
                <w:color w:val="auto"/>
              </w:rPr>
            </w:pPr>
          </w:p>
        </w:tc>
        <w:tc>
          <w:tcPr>
            <w:tcW w:w="8280" w:type="dxa"/>
            <w:vAlign w:val="bottom"/>
            <w:tcBorders>
              <w:top w:val="single" w:sz="8" w:color="CEFFE7"/>
            </w:tcBorders>
          </w:tcPr>
          <w:p>
            <w:pPr>
              <w:spacing w:after="0"/>
              <w:rPr>
                <w:sz w:val="24"/>
                <w:szCs w:val="24"/>
                <w:color w:val="auto"/>
              </w:rPr>
            </w:pPr>
          </w:p>
        </w:tc>
        <w:tc>
          <w:tcPr>
            <w:tcW w:w="150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EFFE7"/>
            </w:tcBorders>
          </w:tcPr>
          <w:p>
            <w:pPr>
              <w:spacing w:after="0"/>
              <w:rPr>
                <w:sz w:val="24"/>
                <w:szCs w:val="24"/>
                <w:color w:val="auto"/>
              </w:rPr>
            </w:pPr>
          </w:p>
        </w:tc>
        <w:tc>
          <w:tcPr>
            <w:tcW w:w="80" w:type="dxa"/>
            <w:vAlign w:val="bottom"/>
            <w:tcBorders>
              <w:top w:val="single" w:sz="8" w:color="CEFFE7"/>
            </w:tcBorders>
          </w:tcPr>
          <w:p>
            <w:pPr>
              <w:spacing w:after="0"/>
              <w:rPr>
                <w:sz w:val="24"/>
                <w:szCs w:val="24"/>
                <w:color w:val="auto"/>
              </w:rPr>
            </w:pPr>
          </w:p>
        </w:tc>
        <w:tc>
          <w:tcPr>
            <w:tcW w:w="260" w:type="dxa"/>
            <w:vAlign w:val="bottom"/>
            <w:tcBorders>
              <w:top w:val="single" w:sz="8" w:color="CEFFE7"/>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24</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25</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2015.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3,390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$739 and $761</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at October 31, 2015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21,486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86,117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211,011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209,584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78,801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79,655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$307 and $301 at October 31, 2015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$140 and $133 at October 31, 2015 and July 31, 2015,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$2,436 and $2,094 at October 31, 2015 and July 31, 2015,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27,168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192,086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jc w:val="right"/>
              <w:ind w:right="247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w w:val="92"/>
              </w:rPr>
              <w:t>Current Liabilities</w:t>
            </w:r>
          </w:p>
        </w:tc>
        <w:tc>
          <w:tcPr>
            <w:tcW w:w="7320" w:type="dxa"/>
            <w:vAlign w:val="bottom"/>
            <w:gridSpan w:val="3"/>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73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3,083</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1,406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1,963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28,744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7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9,604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2,496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48,116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76,860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79,503</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87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Common Stock, par value $.10 per share, issued 7,974,093 shares at October 31, 2015</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760" w:type="dxa"/>
            <w:vAlign w:val="bottom"/>
            <w:gridSpan w:val="4"/>
          </w:tcPr>
          <w:p>
            <w:pPr>
              <w:ind w:left="80"/>
              <w:spacing w:after="0"/>
              <w:rPr>
                <w:sz w:val="20"/>
                <w:szCs w:val="20"/>
                <w:color w:val="auto"/>
              </w:rPr>
            </w:pPr>
            <w:r>
              <w:rPr>
                <w:rFonts w:ascii="Arial" w:cs="Arial" w:eastAsia="Arial" w:hAnsi="Arial"/>
                <w:sz w:val="18"/>
                <w:szCs w:val="18"/>
                <w:color w:val="auto"/>
              </w:rPr>
              <w:t>and 7,936,343 shares at July 31, 2015</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Class B Stock, par value $.10 per share, issued 2,515,735 shares at October 31, 2015</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2,389,735 shares at July 31, 2015</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37,622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146,080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142,095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7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(2,920,903 Common and 324,741 Class B shares at</w:t>
            </w:r>
          </w:p>
        </w:tc>
        <w:tc>
          <w:tcPr>
            <w:tcW w:w="1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(55,789)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October 31, 2015 and 2,932,796 Common and 324,741 Class B shares at July 31, 2015)</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115,226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110,528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760" w:type="dxa"/>
            <w:vAlign w:val="bottom"/>
            <w:gridSpan w:val="4"/>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192,086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jc w:val="right"/>
              <w:ind w:right="1610"/>
              <w:spacing w:after="0"/>
              <w:rPr>
                <w:sz w:val="20"/>
                <w:szCs w:val="20"/>
                <w:color w:val="auto"/>
              </w:rPr>
            </w:pPr>
            <w:r>
              <w:rPr>
                <w:rFonts w:ascii="Arial" w:cs="Arial" w:eastAsia="Arial" w:hAnsi="Arial"/>
                <w:sz w:val="18"/>
                <w:szCs w:val="18"/>
                <w:color w:val="auto"/>
                <w:w w:val="89"/>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5"/>
          </w:tcPr>
          <w:p>
            <w:pPr>
              <w:jc w:val="right"/>
              <w:ind w:right="29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October 31,</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67,795</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66,044</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(47,142)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20,653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13,769</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(10,609)</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7,776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3,160</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37"/>
        </w:trPr>
        <w:tc>
          <w:tcPr>
            <w:tcW w:w="8560" w:type="dxa"/>
            <w:vAlign w:val="bottom"/>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91"/>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7,540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2,865</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5,423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2,120</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142,095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136,039</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Cash Dividends Declared and Treasury Stock Issuances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146,080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136,846</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0.82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0.75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4,975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4,948</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7,063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7,016</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b w:val="1"/>
                <w:bCs w:val="1"/>
                <w:color w:val="auto"/>
              </w:rPr>
              <w:t>Basic Common</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0.2100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0.2000</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5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Class B</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0.1575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0.1500</w:t>
            </w:r>
          </w:p>
        </w:tc>
      </w:tr>
      <w:tr>
        <w:trPr>
          <w:trHeight w:val="27"/>
        </w:trPr>
        <w:tc>
          <w:tcPr>
            <w:tcW w:w="8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1"/>
              </w:rPr>
              <w:t>(unaudited)</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r>
      <w:tr>
        <w:trPr>
          <w:trHeight w:val="218"/>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October 31,</w:t>
            </w:r>
          </w:p>
        </w:tc>
        <w:tc>
          <w:tcPr>
            <w:tcW w:w="900" w:type="dxa"/>
            <w:vAlign w:val="bottom"/>
          </w:tcPr>
          <w:p>
            <w:pPr>
              <w:spacing w:after="0"/>
              <w:rPr>
                <w:sz w:val="20"/>
                <w:szCs w:val="20"/>
                <w:color w:val="auto"/>
              </w:rPr>
            </w:pP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34"/>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5,423</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2,120</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Unrealized Loss on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Pension and Postretirement Benefits (Net of Tax)</w:t>
            </w:r>
          </w:p>
        </w:tc>
        <w:tc>
          <w:tcPr>
            <w:tcW w:w="20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r>
      <w:tr>
        <w:trPr>
          <w:trHeight w:val="20"/>
        </w:trPr>
        <w:tc>
          <w:tcPr>
            <w:tcW w:w="8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(unaudited)</w:t>
            </w:r>
          </w:p>
        </w:tc>
        <w:tc>
          <w:tcPr>
            <w:tcW w:w="12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4"/>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3"/>
              </w:rPr>
              <w:t>For the Three Months Ended October 31,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5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7"/>
                <w:szCs w:val="17"/>
                <w:color w:val="auto"/>
              </w:rPr>
            </w:pPr>
          </w:p>
        </w:tc>
        <w:tc>
          <w:tcPr>
            <w:tcW w:w="160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630"/>
              <w:spacing w:after="0" w:line="196" w:lineRule="exact"/>
              <w:rPr>
                <w:sz w:val="20"/>
                <w:szCs w:val="20"/>
                <w:color w:val="auto"/>
              </w:rPr>
            </w:pPr>
            <w:r>
              <w:rPr>
                <w:rFonts w:ascii="Arial" w:cs="Arial" w:eastAsia="Arial" w:hAnsi="Arial"/>
                <w:sz w:val="18"/>
                <w:szCs w:val="18"/>
                <w:b w:val="1"/>
                <w:bCs w:val="1"/>
                <w:color w:val="auto"/>
              </w:rPr>
              <w:t>2014</w:t>
            </w: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750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5,423</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2,120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2,939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2,920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Amortization of investment net discount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Non-cash stock compensation expense</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332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Excess tax benefits for share-based payments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Provision for bad debts and cash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Loss on the sale of fixed assets</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Gain on sale of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(Increase) Decrease in assets: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Increase (Decrease) in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387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(1,632)</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ind w:left="800"/>
              <w:spacing w:after="0"/>
              <w:rPr>
                <w:sz w:val="20"/>
                <w:szCs w:val="20"/>
                <w:color w:val="auto"/>
              </w:rPr>
            </w:pPr>
            <w:r>
              <w:rPr>
                <w:rFonts w:ascii="Arial" w:cs="Arial" w:eastAsia="Arial" w:hAnsi="Arial"/>
                <w:sz w:val="18"/>
                <w:szCs w:val="18"/>
                <w:b w:val="1"/>
                <w:bCs w:val="1"/>
                <w:color w:val="auto"/>
              </w:rPr>
              <w:t>Total Adjustments</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37"/>
        </w:trPr>
        <w:tc>
          <w:tcPr>
            <w:tcW w:w="20" w:type="dxa"/>
            <w:vAlign w:val="bottom"/>
          </w:tcPr>
          <w:p>
            <w:pPr>
              <w:spacing w:after="0"/>
              <w:rPr>
                <w:sz w:val="20"/>
                <w:szCs w:val="20"/>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b w:val="1"/>
                <w:bCs w:val="1"/>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8,516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9"/>
        </w:trPr>
        <w:tc>
          <w:tcPr>
            <w:tcW w:w="20" w:type="dxa"/>
            <w:vAlign w:val="bottom"/>
            <w:shd w:val="clear" w:color="auto" w:fill="CCEEFF"/>
          </w:tcPr>
          <w:p>
            <w:pPr>
              <w:spacing w:after="0"/>
              <w:rPr>
                <w:sz w:val="11"/>
                <w:szCs w:val="11"/>
                <w:color w:val="auto"/>
              </w:rPr>
            </w:pPr>
          </w:p>
        </w:tc>
        <w:tc>
          <w:tcPr>
            <w:tcW w:w="3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75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Proceeds from sale of property, plant and equipment</w:t>
            </w:r>
          </w:p>
        </w:tc>
        <w:tc>
          <w:tcPr>
            <w:tcW w:w="20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Purchases of short-term investments</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Dispositions of short-term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Proceeds from sale of marketable securities</w:t>
            </w:r>
          </w:p>
        </w:tc>
        <w:tc>
          <w:tcPr>
            <w:tcW w:w="20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50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Principal payments on notes payable</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(3,484)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Purchase of treasury stock</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7500" w:type="dxa"/>
            <w:vAlign w:val="bottom"/>
            <w:gridSpan w:val="4"/>
          </w:tcPr>
          <w:p>
            <w:pPr>
              <w:ind w:left="260"/>
              <w:spacing w:after="0"/>
              <w:rPr>
                <w:sz w:val="20"/>
                <w:szCs w:val="20"/>
                <w:color w:val="auto"/>
              </w:rPr>
            </w:pPr>
            <w:r>
              <w:rPr>
                <w:rFonts w:ascii="Arial" w:cs="Arial" w:eastAsia="Arial" w:hAnsi="Arial"/>
                <w:sz w:val="18"/>
                <w:szCs w:val="18"/>
                <w:color w:val="auto"/>
              </w:rPr>
              <w:t>Excess tax benefits for share-based payments</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37"/>
        </w:trPr>
        <w:tc>
          <w:tcPr>
            <w:tcW w:w="20" w:type="dxa"/>
            <w:vAlign w:val="bottom"/>
          </w:tcPr>
          <w:p>
            <w:pPr>
              <w:spacing w:after="0"/>
              <w:rPr>
                <w:sz w:val="20"/>
                <w:szCs w:val="20"/>
                <w:color w:val="auto"/>
              </w:rPr>
            </w:pPr>
          </w:p>
        </w:tc>
        <w:tc>
          <w:tcPr>
            <w:tcW w:w="7500" w:type="dxa"/>
            <w:vAlign w:val="bottom"/>
            <w:gridSpan w:val="4"/>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(7,824)</w:t>
            </w:r>
          </w:p>
        </w:tc>
      </w:tr>
      <w:tr>
        <w:trPr>
          <w:trHeight w:val="243"/>
        </w:trPr>
        <w:tc>
          <w:tcPr>
            <w:tcW w:w="20" w:type="dxa"/>
            <w:vAlign w:val="bottom"/>
          </w:tcPr>
          <w:p>
            <w:pPr>
              <w:spacing w:after="0"/>
              <w:rPr>
                <w:sz w:val="21"/>
                <w:szCs w:val="21"/>
                <w:color w:val="auto"/>
              </w:rPr>
            </w:pPr>
          </w:p>
        </w:tc>
        <w:tc>
          <w:tcPr>
            <w:tcW w:w="750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16,230</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8,406</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580" w:right="3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20"/>
          </w:cols>
          <w:pgMar w:left="340" w:top="580"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1"/>
              </w:rPr>
              <w:t>(unaudited)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340" w:type="dxa"/>
            <w:vAlign w:val="bottom"/>
          </w:tcPr>
          <w:p>
            <w:pPr>
              <w:spacing w:after="0"/>
              <w:rPr>
                <w:sz w:val="18"/>
                <w:szCs w:val="18"/>
                <w:color w:val="auto"/>
              </w:rPr>
            </w:pPr>
          </w:p>
        </w:tc>
        <w:tc>
          <w:tcPr>
            <w:tcW w:w="30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7"/>
              </w:rPr>
              <w:t>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1,406</w:t>
            </w: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2015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months ended October 31, 2015 are not necessarily an indication of the results that may be expected for the fiscal year ending July 31, 2016.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Regulations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24"/>
                <w:szCs w:val="24"/>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1920" w:type="dxa"/>
            <w:vAlign w:val="bottom"/>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12,117</w:t>
            </w:r>
          </w:p>
        </w:tc>
      </w:tr>
      <w:tr>
        <w:trPr>
          <w:trHeight w:val="243"/>
        </w:trPr>
        <w:tc>
          <w:tcPr>
            <w:tcW w:w="1920" w:type="dxa"/>
            <w:vAlign w:val="bottom"/>
          </w:tcPr>
          <w:p>
            <w:pPr>
              <w:spacing w:after="0"/>
              <w:rPr>
                <w:sz w:val="21"/>
                <w:szCs w:val="21"/>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4,735</w:t>
            </w:r>
          </w:p>
        </w:tc>
      </w:tr>
      <w:tr>
        <w:trPr>
          <w:trHeight w:val="27"/>
        </w:trPr>
        <w:tc>
          <w:tcPr>
            <w:tcW w:w="19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r>
      <w:tr>
        <w:trPr>
          <w:trHeight w:val="257"/>
        </w:trPr>
        <w:tc>
          <w:tcPr>
            <w:tcW w:w="1920" w:type="dxa"/>
            <w:vAlign w:val="bottom"/>
          </w:tcPr>
          <w:p>
            <w:pPr>
              <w:spacing w:after="0"/>
              <w:rPr>
                <w:sz w:val="22"/>
                <w:szCs w:val="22"/>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21,486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21,369</w:t>
            </w:r>
          </w:p>
        </w:tc>
      </w:tr>
      <w:tr>
        <w:trPr>
          <w:trHeight w:val="20"/>
        </w:trPr>
        <w:tc>
          <w:tcPr>
            <w:tcW w:w="19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October 31, 2015 and July 31, 2015 were $496,000 and $521,000,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of $10,631,000 and $9,297,000 as of October 31, 2015 and July 31, 2015, respectively, were classified as Level 1. These cash instruments are primarily money market mutual funds and are included in cash and cash equivalents on the condensed Consolidated Balance Sheets.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October 31, 2015 and July 31, 2015.</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October 31, 2015 and July 31, 2015 due to the short maturity and nature of those balances.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$16,734,000 and $20,476,000 as of October 31, 2015 and July 31, 2015,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Intangible amortization expense was $363,000 and $420,000 in the first quarter of fiscal 2016 and 2015, respectively. Estimated intangible amortization for the remainder of fiscal 2016 is $1,088,000. Estimated intangible amortization for the next five fiscal years is as follows (in thousands):</w:t>
      </w:r>
    </w:p>
    <w:p>
      <w:pPr>
        <w:spacing w:after="0" w:line="80"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2017</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1,013</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annual goodwill impairment analysis was performed in the first quarter of fiscal 2016 and did not indicate any impairment.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6"/>
              </w:rPr>
              <w:t>Pension Benefits</w:t>
            </w:r>
          </w:p>
        </w:tc>
        <w:tc>
          <w:tcPr>
            <w:tcW w:w="500" w:type="dxa"/>
            <w:vAlign w:val="bottom"/>
          </w:tcPr>
          <w:p>
            <w:pPr>
              <w:spacing w:after="0"/>
              <w:rPr>
                <w:sz w:val="20"/>
                <w:szCs w:val="20"/>
                <w:color w:val="auto"/>
              </w:rPr>
            </w:pPr>
          </w:p>
        </w:tc>
      </w:tr>
      <w:tr>
        <w:trPr>
          <w:trHeight w:val="270"/>
        </w:trPr>
        <w:tc>
          <w:tcPr>
            <w:tcW w:w="4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3"/>
                <w:szCs w:val="23"/>
                <w:color w:val="auto"/>
              </w:rPr>
            </w:pPr>
          </w:p>
        </w:tc>
      </w:tr>
      <w:tr>
        <w:trPr>
          <w:trHeight w:val="27"/>
        </w:trPr>
        <w:tc>
          <w:tcPr>
            <w:tcW w:w="4840" w:type="dxa"/>
            <w:vAlign w:val="bottom"/>
          </w:tcPr>
          <w:p>
            <w:pPr>
              <w:spacing w:after="0"/>
              <w:rPr>
                <w:sz w:val="2"/>
                <w:szCs w:val="2"/>
                <w:color w:val="auto"/>
              </w:rPr>
            </w:pPr>
          </w:p>
        </w:tc>
        <w:tc>
          <w:tcPr>
            <w:tcW w:w="3100" w:type="dxa"/>
            <w:vAlign w:val="bottom"/>
            <w:tcBorders>
              <w:bottom w:val="single" w:sz="8" w:color="auto"/>
            </w:tcBorders>
            <w:gridSpan w:val="6"/>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3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10"/>
              <w:spacing w:after="0"/>
              <w:rPr>
                <w:sz w:val="20"/>
                <w:szCs w:val="20"/>
                <w:color w:val="auto"/>
              </w:rPr>
            </w:pPr>
            <w:r>
              <w:rPr>
                <w:rFonts w:ascii="Arial" w:cs="Arial" w:eastAsia="Arial" w:hAnsi="Arial"/>
                <w:sz w:val="18"/>
                <w:szCs w:val="18"/>
                <w:b w:val="1"/>
                <w:bCs w:val="1"/>
                <w:color w:val="auto"/>
                <w:w w:val="87"/>
              </w:rPr>
              <w:t>31,</w:t>
            </w:r>
          </w:p>
        </w:tc>
        <w:tc>
          <w:tcPr>
            <w:tcW w:w="50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468</w:t>
            </w:r>
          </w:p>
        </w:tc>
      </w:tr>
      <w:tr>
        <w:trPr>
          <w:trHeight w:val="27"/>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4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w:t>
            </w:r>
          </w:p>
        </w:tc>
        <w:tc>
          <w:tcPr>
            <w:tcW w:w="4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r>
      <w:tr>
        <w:trPr>
          <w:trHeight w:val="20"/>
        </w:trPr>
        <w:tc>
          <w:tcPr>
            <w:tcW w:w="4840" w:type="dxa"/>
            <w:vAlign w:val="bottom"/>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68"/>
        </w:trPr>
        <w:tc>
          <w:tcPr>
            <w:tcW w:w="4840" w:type="dxa"/>
            <w:vAlign w:val="bottom"/>
          </w:tcPr>
          <w:p>
            <w:pPr>
              <w:spacing w:after="0"/>
              <w:rPr>
                <w:sz w:val="24"/>
                <w:szCs w:val="24"/>
                <w:color w:val="auto"/>
              </w:rPr>
            </w:pPr>
          </w:p>
        </w:tc>
        <w:tc>
          <w:tcPr>
            <w:tcW w:w="3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Postretirement Health Benefits</w:t>
            </w:r>
          </w:p>
        </w:tc>
      </w:tr>
      <w:tr>
        <w:trPr>
          <w:trHeight w:val="270"/>
        </w:trPr>
        <w:tc>
          <w:tcPr>
            <w:tcW w:w="48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88"/>
              </w:rPr>
              <w:t>(in thousands)</w:t>
            </w:r>
          </w:p>
        </w:tc>
        <w:tc>
          <w:tcPr>
            <w:tcW w:w="500" w:type="dxa"/>
            <w:vAlign w:val="bottom"/>
          </w:tcPr>
          <w:p>
            <w:pPr>
              <w:spacing w:after="0"/>
              <w:rPr>
                <w:sz w:val="23"/>
                <w:szCs w:val="23"/>
                <w:color w:val="auto"/>
              </w:rPr>
            </w:pPr>
          </w:p>
        </w:tc>
      </w:tr>
      <w:tr>
        <w:trPr>
          <w:trHeight w:val="27"/>
        </w:trPr>
        <w:tc>
          <w:tcPr>
            <w:tcW w:w="4840" w:type="dxa"/>
            <w:vAlign w:val="bottom"/>
          </w:tcPr>
          <w:p>
            <w:pPr>
              <w:spacing w:after="0"/>
              <w:rPr>
                <w:sz w:val="2"/>
                <w:szCs w:val="2"/>
                <w:color w:val="auto"/>
              </w:rPr>
            </w:pPr>
          </w:p>
        </w:tc>
        <w:tc>
          <w:tcPr>
            <w:tcW w:w="3100" w:type="dxa"/>
            <w:vAlign w:val="bottom"/>
            <w:tcBorders>
              <w:bottom w:val="single" w:sz="8" w:color="auto"/>
            </w:tcBorders>
            <w:gridSpan w:val="6"/>
          </w:tcPr>
          <w:p>
            <w:pPr>
              <w:spacing w:after="0"/>
              <w:rPr>
                <w:sz w:val="2"/>
                <w:szCs w:val="2"/>
                <w:color w:val="auto"/>
              </w:rPr>
            </w:pPr>
          </w:p>
        </w:tc>
      </w:tr>
      <w:tr>
        <w:trPr>
          <w:trHeight w:val="218"/>
        </w:trPr>
        <w:tc>
          <w:tcPr>
            <w:tcW w:w="4840" w:type="dxa"/>
            <w:vAlign w:val="bottom"/>
          </w:tcPr>
          <w:p>
            <w:pPr>
              <w:spacing w:after="0"/>
              <w:rPr>
                <w:sz w:val="18"/>
                <w:szCs w:val="18"/>
                <w:color w:val="auto"/>
              </w:rPr>
            </w:pPr>
          </w:p>
        </w:tc>
        <w:tc>
          <w:tcPr>
            <w:tcW w:w="31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4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3"/>
          </w:tcPr>
          <w:p>
            <w:pPr>
              <w:jc w:val="center"/>
              <w:ind w:right="810"/>
              <w:spacing w:after="0"/>
              <w:rPr>
                <w:sz w:val="20"/>
                <w:szCs w:val="20"/>
                <w:color w:val="auto"/>
              </w:rPr>
            </w:pPr>
            <w:r>
              <w:rPr>
                <w:rFonts w:ascii="Arial" w:cs="Arial" w:eastAsia="Arial" w:hAnsi="Arial"/>
                <w:sz w:val="18"/>
                <w:szCs w:val="18"/>
                <w:b w:val="1"/>
                <w:bCs w:val="1"/>
                <w:color w:val="auto"/>
                <w:w w:val="87"/>
              </w:rPr>
              <w:t>31,</w:t>
            </w:r>
          </w:p>
        </w:tc>
        <w:tc>
          <w:tcPr>
            <w:tcW w:w="500" w:type="dxa"/>
            <w:vAlign w:val="bottom"/>
          </w:tcPr>
          <w:p>
            <w:pPr>
              <w:spacing w:after="0"/>
              <w:rPr>
                <w:sz w:val="20"/>
                <w:szCs w:val="20"/>
                <w:color w:val="auto"/>
              </w:rPr>
            </w:pPr>
          </w:p>
        </w:tc>
      </w:tr>
      <w:tr>
        <w:trPr>
          <w:trHeight w:val="27"/>
        </w:trPr>
        <w:tc>
          <w:tcPr>
            <w:tcW w:w="4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160" w:type="dxa"/>
            <w:vAlign w:val="bottom"/>
            <w:tcBorders>
              <w:bottom w:val="single" w:sz="8" w:color="CCEEFF"/>
            </w:tcBorders>
            <w:gridSpan w:val="3"/>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4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r>
      <w:tr>
        <w:trPr>
          <w:trHeight w:val="20"/>
        </w:trPr>
        <w:tc>
          <w:tcPr>
            <w:tcW w:w="48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$284,000 to our pension plan during the first quarter of fiscal 2016. We estimate contributions will be $994,000 for the remainder of fiscal 2016. See Item 3. "Quantitative and Qualitative Disclosures About Market Risk" for a discussion of the potential impact of financial market fluctuations on pension plan assets and future funding contributions.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w w:val="94"/>
              </w:rPr>
              <w:t>Assumptions used in the previous calculations were as follows: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4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4"/>
          </w:tcPr>
          <w:p>
            <w:pPr>
              <w:ind w:left="52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For the Three Months Ended October 31,</w:t>
            </w:r>
          </w:p>
        </w:tc>
        <w:tc>
          <w:tcPr>
            <w:tcW w:w="10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ind w:left="220"/>
              <w:spacing w:after="0"/>
              <w:rPr>
                <w:sz w:val="20"/>
                <w:szCs w:val="20"/>
                <w:color w:val="auto"/>
              </w:rPr>
            </w:pPr>
            <w:r>
              <w:rPr>
                <w:rFonts w:ascii="Arial" w:cs="Arial" w:eastAsia="Arial" w:hAnsi="Arial"/>
                <w:sz w:val="18"/>
                <w:szCs w:val="18"/>
                <w:b w:val="1"/>
                <w:bCs w:val="1"/>
                <w:color w:val="auto"/>
              </w:rPr>
              <w:t>2015</w:t>
            </w: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w w:val="97"/>
              </w:rPr>
              <w:t>4.22%</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243"/>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040" w:type="dxa"/>
            <w:vAlign w:val="bottom"/>
          </w:tcPr>
          <w:p>
            <w:pPr>
              <w:ind w:left="520"/>
              <w:spacing w:after="0"/>
              <w:rPr>
                <w:sz w:val="20"/>
                <w:szCs w:val="20"/>
                <w:color w:val="auto"/>
              </w:rPr>
            </w:pPr>
            <w:r>
              <w:rPr>
                <w:rFonts w:ascii="Arial" w:cs="Arial" w:eastAsia="Arial" w:hAnsi="Arial"/>
                <w:sz w:val="18"/>
                <w:szCs w:val="18"/>
                <w:b w:val="1"/>
                <w:bCs w:val="1"/>
                <w:color w:val="auto"/>
                <w:w w:val="97"/>
              </w:rPr>
              <w:t>3.50%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7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w w:val="97"/>
              </w:rPr>
              <w:t>7.50%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 The graded trend rate is expected to decrease to an ultimate rate of 4.0% in fiscal 2035.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2015.</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2015</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55,767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95,570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96,043</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38,221</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192,086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190,031</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1"/>
              </w:rPr>
              <w:t>For the Three Months Ended October 31,</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25,821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41,974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42,396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5,402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886</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67,795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 transactions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2015</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43"/>
        </w:trPr>
        <w:tc>
          <w:tcPr>
            <w:tcW w:w="8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October 31, 2015</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cash received from the exercise of stock options during the first three months of fiscal 2016 was $185,000 and the related tax benefit was $28,000. The amount of cash received from the exercise of stock options during the first three months of fiscal 2015 was $15,000 and the related tax benefit was $3,000.</w:t>
      </w:r>
    </w:p>
    <w:p>
      <w:pPr>
        <w:sectPr>
          <w:pgSz w:w="11900" w:h="16838" w:orient="portrait"/>
          <w:cols w:equalWidth="0" w:num="1">
            <w:col w:w="11420"/>
          </w:cols>
          <w:pgMar w:left="240" w:top="74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4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 stock options were granted in the first three months of either fiscal 2016 or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of our non-vested restricted stock as of October 31, 2015 was issued under the 2006 Plan with vesting periods between two years and five years.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2006 Plan, 37,000 restricted shares of Common Stock were granted in the first quarter of fiscal year 2016. There were 9,000 restricted shares of Common Stock granted in the first quarter of fiscal 2015. Also in the first quarter of fiscal year 2016, 126,000 shares of restricted Common Class B stock were granted.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related to non-vested restricted stock in the first quarter of fiscal years 2016 and 2015 was $332,000 and $308,000,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2015</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24.79</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r>
      <w:tr>
        <w:trPr>
          <w:trHeight w:val="257"/>
        </w:trPr>
        <w:tc>
          <w:tcPr>
            <w:tcW w:w="8160" w:type="dxa"/>
            <w:vAlign w:val="bottom"/>
          </w:tcPr>
          <w:p>
            <w:pPr>
              <w:ind w:left="40"/>
              <w:spacing w:after="0"/>
              <w:rPr>
                <w:sz w:val="20"/>
                <w:szCs w:val="20"/>
                <w:color w:val="auto"/>
              </w:rPr>
            </w:pPr>
            <w:r>
              <w:rPr>
                <w:rFonts w:ascii="Arial" w:cs="Arial" w:eastAsia="Arial" w:hAnsi="Arial"/>
                <w:sz w:val="18"/>
                <w:szCs w:val="18"/>
                <w:color w:val="auto"/>
              </w:rPr>
              <w:t>Non-vested restricted stock outstanding at October 31, 2015</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26.42</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October 31, 2015 (in thousands):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32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(loss),</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w:t>
            </w:r>
          </w:p>
        </w:tc>
        <w:tc>
          <w:tcPr>
            <w:tcW w:w="600" w:type="dxa"/>
            <w:vAlign w:val="bottom"/>
          </w:tcPr>
          <w:p>
            <w:pPr>
              <w:spacing w:after="0"/>
              <w:rPr>
                <w:sz w:val="20"/>
                <w:szCs w:val="20"/>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167</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October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is net of tax expense of $109,000. Amount is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2015.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2015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sales for the three months ended October 31, 2015 were $67,795,000, an increase of 3% from net sales of $66,044,000 for the three months ended October 31, 2014. Net sales were up for our Business to Business Products Group and down slightly for our Retail and Wholesale Products Group. Consolidated net income for the first quarter of fiscal 2016 was $5,423,000, compared to $2,120,000 for the first quarter of fiscal 2015. Operating income increased for both our Retail and Wholesale Products Group and our Business to Business Products Group. Diluted net income per share was $0.75 for the first quarter of fiscal 2016, compared to $0.30 for the first quarter of fiscal 2015.</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consolidated gross profit as a percentage of net sales for the first quarter of fiscal 2016 was 30%, compared to 21% for the first quarter of fiscal 2015. Gross profit was positively impacted by a 22% decline in the cost per manufactured ton for natural gas used to operate kilns that dry our clay and by a slight decline in other manufacturing costs per ton produced. Gross profit further benefited from lower freight and packaging costs per ton produced. Freight costs declined due to lower diesel fuel costs, as well as additional capacity and some relief from unfavorable regulations in the truck freight industry. A significant amount of our packaging purchases are subject to contractual price adjustments throughout the year based on underlying commodity prices. The lower packaging costs reflected favorable price adjustments as commodity prices have declined, particularly for resin and paper-based packaging.</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selling, general and administrative expenses were higher for the first quarter of fiscal 2016 compared to the first quarter of fiscal 2015. The discussion of the segments' operating incomes below describes the selling, general and administrative expenses allocated to the operating segments. The remaining unallocated corporate expenses in the first quarter of fiscal 2016 included a higher estimated annual incentive bonus accrual compared to the first quarter in the prior fiscal year. The incentive bonus accruals were based on performance targets established for each fiscal year.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$123,000 lower for the first quarter of fiscal 2016 compared to the same period in fiscal 2015 due primarily to a reduction of notes payable.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effective tax rate was 28% of pre-tax income in the first quarter of fiscal 2016, compared to 26% in the first quarter of fiscal 2015. Our effective tax rate was based on the estimated level of our taxable income for the year and the assessment of various tax deductions, including depletion.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first quarter of fiscal 2016 were $25,821,000, an increase of $2,173,000, or 9%, from net sales of $23,648,000 for the first quarter of fiscal 2015. Net sales of our agricultural chemical carrier products increased approximately 38% due to more tons sold and a favorable product sales mix. Sales increased for both our standard and engineered granule products used by agricultural and horticultural chemical manufacturers. Net sales of fluid purification products were approximately 3% higher primarily as a result of more tons sold. Sales to petroleum oil processors were higher due to normal fluctuations in industry ordering patterns. Domestic sales to edible oil producers improved, while sales in foreign markets continued to be challenged by the strength of the U.S. Dollar relative to various foreign currencies, which effectively increased the prices of our products compared to foreign competitors' products. Sales of our co-packaged coarse cat litter were up approximately 2% compared to the first quarter of fiscal 2015. In addition, sales of animal health and nutrition products were down approximately 1% as sales improved in some countries but declined to a greater extent in other foreign markets faced with currency exchange rate challenges.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10% of sales in the first quarter of fiscal 2016 compared to 9% in the first quarter of fiscal 2015 due primarily to additional expenses to promote our new animal health and nutrition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quarter of fiscal 2016 was $9,169,000, an increase of $2,298,000, or 33%, from operating income of $6,871,000 in the first quarter of fiscal 2015. Operating income was positively impacted by the higher sales, lower cost per manufactured ton for natural gas used to operate kilns that dry our clay and by reduced freight and packaging costs. See further discussion of freight and packaging costs in “Consolidated Results”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Retail and Wholesale Products Group for the first quarter of fiscal 2016 were $41,974,000, a decrease of $422,000, or 1%, from net sales of $42,396,000 for the first quarter of fiscal 2015. Net sales increased for our cat litter and industrial absorbent products; however, these increases were more than offset by lower sales for our subsidiaries in Canada and the United Kingdom. Our foreign subsidiaries are discussed under “Foreign Operations” below. Overall cat litter net sales were up approximately 1% compared to the first quarter of the prior year driven by a favorable product sales mix and higher selling prices, which outweighed a decline in tons sold. Private label cat litter sales benefited from new business for our lightweight scoopable private label products, although sales for our traditional private label products declined. A sales decrease of approximately 3% for branded cat litter was attributed to lower sales of our traditional Cat's Pride cat litter, which was partially offset by higher sales of our Fresh &amp; Light lightweight cat litter. We expect to significantly increase expenditures for advertising and trade promotions of our lightweight branded cat litter in the second half of fiscal 2016. Sales of our floor absorbent products were up 1% compared to the first quarter of fiscal 2015.</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Retail and Wholesale Products Group were 11% lower than the first quarter of fiscal 2015 due primarily to lower advertising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 reported operating income of $5,402,000 for the first quarter of fiscal 2016, an increase of $4,516,000 from a operating income of $886,000 for the first quarter of fiscal 2015. The improved operating income was driven by a favorable product sales mix, lower cost per manufactured ton for natural gas used to operate kilns that dry our clay, reduced freight and packaging costs and lower advertising expense. See further discussion of freight and packaging costs in “Consolidated Results”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quarter of fiscal 2016 were $2,513,000, a 19% decrease compared to net sales of $3,121,000 during the first quarter of fiscal 2015 due primarily to lower sales by our Canadian subsidiary. Strong competition and loss of a private label customer contributed to lower sales of cat litter by our subsidiary in Canada. Higher sales by our subsidiary in China moderated the overall sales decline. Net sales by our foreign subsidiaries represented approximately 4% and 5% of our consolidated net sales during the first quarters of fiscal 2016 and 2015, respectively.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a net loss of $467,000 for the first quarter of fiscal 2016 compared to a net loss of $242,000 for the first quarter of fiscal 2015. The net loss increased due primarily to greater reported losses for our subsidiary in China, which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is still growing its share in the China market, and for our subsidiary in Canada, which incurred higher costs for items purchased from the United States due to the weakness of the local currency compared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and real estate; supporting new product development; investing in infrastructure; repurchasing Common Stock; paying dividends; and business acquisitions. During the first three months of fiscal 2016, we principally used cash generated from operations and from previous debt issuances to fund these requirements. We also have the ability to borrow under our revolving credit agreement with BMO Harris Bank N.A. (“BMO Harris”), as described further below, however we have not borrowed under the credit agreement in recent years. Cash and cash equivalents increased $873,000 during the first three months of fiscal 2016 to $21,011,000 as of October 31,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For the Three Months Ended October</w:t>
      </w:r>
    </w:p>
    <w:p>
      <w:pPr>
        <w:spacing w:after="0" w:line="27" w:lineRule="exact"/>
        <w:rPr>
          <w:sz w:val="20"/>
          <w:szCs w:val="20"/>
          <w:color w:val="auto"/>
        </w:rPr>
      </w:pPr>
    </w:p>
    <w:p>
      <w:pPr>
        <w:jc w:val="center"/>
        <w:ind w:left="658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22860</wp:posOffset>
            </wp:positionV>
            <wp:extent cx="1920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8"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(4,825)</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three months of fiscal years 2016 and 2015 were as follows: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Accounts receivable, less allowance for doubtful accounts, increased $436,000 in the first three months of fiscal 2016 compared to an increase of $896,000 in the first three months of fiscal 2015. The change in both periods is subject to the level and timing of sales and collections, as well as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increased $862,000 in the first three months of fiscal 2016 compared to a decrease of $1,308,000 in the first three months of fiscal 2015. Payment of annual insurance premiums resulted in an increase in prepaid insurance in the first three months of fiscal 2016. Prepaid expenses decreased in the first three months of fiscal 2015 due primarily to reclassification of prepaid rents and royalties to other long-term assets and a decrease in prepaid income taxes, which were partially offset by an increase in prepaid insurance.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assets increased $47,000 in the first three months of fiscal 2016 compared to an increase of $1,173,000 in the first three months of fiscal 2015. The cash surrender value of life insurance on former key employees increased in both periods. The increase in the first three months of fiscal 2015 also included the reclassification of prepaid rents and royalties from current prepaid expenses.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payable increased $387,000 in the first three months of fiscal 2016 compared to a decrease of $1,632,000 in the first three months of fiscal 2015. Trade and freight payables varied in both periods due to timing of payments, fluctuations in the cost of goods and services we purchased, production volume levels and vendor payment terms. The increase in the first three months of fiscal 2016 also included higher accrued income taxes. The decrease in the first three months of fiscal 2015 included lower accrued freight due to a change in vendor payment terms.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Accrued expenses increased $33,000 in the first three months of fiscal 2016 compared to a decrease of $2,000,000 in the first three months of fiscal 2015. Accrued salaries included the discretionary incentive bonus accrual, which in the first three months of both fiscal 2016 and 2015 decreased by the payout of the prior fiscal year's bonus and increased by the amount of the fiscal year's first three months' accrual. The estimated incentive bonus accrued for the first quarter of fiscal 2016 was higher than the payout based on the financial results. The purchase of plant equipment previously under a capital lease significantly reduced accrued expense in the first three months of fiscal 2015. Accrued trade promotions and advertising in the first three months of both fiscal 2016 and 2015 varied due to the timing of marketing programs. In addition, similar to accounts payable, accrued plant expenses fluctuated due to timing of payments, changes in the cost of goods and services we purchased, production volume levels and vendor payment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was $2,965,000 in the first three months of fiscal 2016 compared to cash used in investing activities of $4,825,000 in the first three months of fiscal 2015. Cash used for capital expenditures was $1,765,000 and $5,717,000 in the first three months of fiscal 2016 and 2015, respectively. Major initiatives for new processing and packaging equipment and capacity expansion projects were substantially completed during fiscal 2015. Net purchases of short-term investments used cash of $1,200,000 in the first three months of fiscal 2016, while net dispositions provided cash of $740,000 in the first three months of fiscal 2015. Purchases and dispositions of investment securities in both periods are subject to variations in the timing of investment maturities and the operating cash needs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$4,677,000 in the first three months of fiscal 2016 compared to cash used in financing activities of $4,786,000 in the first three months of fiscal 2015. Scheduled payments on long-term debt were $3,484,000 and $3,500,000 in the first three months of fiscal 2016 and 2015, respectively. Dividend payments in the first three months of fiscal 2016 were $1,377,000 compared to $1,311,000 paid during the same period of fiscal 2015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$1,366,000 as of October 31, 2015 were lower than the October 31, 2014 balances of $1,376,000. See further discussion in “Foreign Operations” above.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 BMO Harris, including the provision that we may select a variable rate based on either the BMO Harris prime rate or a LIBOR-based rate, plus a margin which varies depending on our debt to earnings ratio, or a fixed rate as agreed between us and BMO Harris. At October 31, 2015, the variable rates would have been 3.25% for the BMO Harris prime-based rate or 1.32%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three months ended October 31, 2015 and 2014, and we were in compliance with its covenants.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2015, we had remaining authority to repurchase 305,361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Our cash requirements are subject to change as business conditions warrant and opportunities arise. We expect to significantly increase expenditures for advertising and trade promotions in the second half of fiscal 2016.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(in thousands) as of October 31, 2015 for the time-frames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15,692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9,760</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32,950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8,359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9,760</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$284,000 during the first three months of fiscal 2016. We estimate contributions of approximately $994,000 will be made during the remainder of fiscal 2016.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34,402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Regulations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Transition options include either a full or modified retrospective approach and early adoption is permitted. The implementation date for this guidance was recently deferred and will now be effective at the beginning of our first quarter of fiscal year 2019. We are currently evaluating the impact of the adoption of this requirement on our Consolidated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our fiscal year ending July 31, 2017. We are currently evaluating the impact of the adoption of this requirement on our Consolidated Financial Statements.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to be presented in the balance sheet as a direct deduction from the carrying amount of the associated debt liability, rather than as an asset. This guidance is effective for our first quarter of fiscal year 2017 and early adoption is permitted. The guidance must be applied on a retrospective basis. We are currently evaluating the impact of the adoption of this requirement on our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67" w:right="239" w:bottom="1440" w:gutter="0" w:footer="0" w:header="0"/>
        </w:sectPr>
      </w:pPr>
    </w:p>
    <w:bookmarkStart w:id="20" w:name="page21"/>
    <w:bookmarkEnd w:id="20"/>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sales or net income. In addition, the portion of our consolidated accounts receivable denominated in foreign currencies is not significant. Finally, foreign sales of our products may be influenced by the relative strength or weakness of the U.S. Dollar compared to various other currencies, which makes our products relatively more or less expensive than our foreign competitors' products in local marketplaces. Foreign currency fluctuations had some bearing on our operating results in the first three months of fiscal 2016; however, historically the overall foreign currency fluctuation risk has not been material to our Consolidated Financial Statements and in the first three months of fiscal 2016 we did not enter into any hedge contracts in an attempt to offset any adverse effect of changes in currency exchange rates.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We have not purchased any natural gas contracts for our planned kiln fuel needs for fiscal 2016. We continue to purchase natural gas at spot rates on a month to month basis.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2015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three months ended October 31, 2015,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2"/>
              </w:rPr>
              <w:t>Ended October 31, 2015</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August 1, 2015 to August</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31, 2015</w:t>
            </w:r>
          </w:p>
        </w:tc>
        <w:tc>
          <w:tcPr>
            <w:tcW w:w="12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305,968</w:t>
            </w: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1, 2015 to</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September 30, 2015</w:t>
            </w: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305,968</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2015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31, 2015</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607</w:t>
            </w: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$30.30</w:t>
            </w:r>
          </w:p>
        </w:tc>
        <w:tc>
          <w:tcPr>
            <w:tcW w:w="20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607</w:t>
            </w:r>
          </w:p>
        </w:tc>
        <w:tc>
          <w:tcPr>
            <w:tcW w:w="220" w:type="dxa"/>
            <w:vAlign w:val="bottom"/>
            <w:shd w:val="clear" w:color="auto" w:fill="CCEEFF"/>
          </w:tcPr>
          <w:p>
            <w:pPr>
              <w:spacing w:after="0"/>
              <w:rPr>
                <w:sz w:val="20"/>
                <w:szCs w:val="20"/>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305,361</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2" w:lineRule="auto"/>
        <w:tabs>
          <w:tab w:leader="none" w:pos="108"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We did not repurchase any shares of our Class B Stock during the period in question, and no shares of our Class A Common Stock are currently outstanding. Descriptions of our Common Stock, Class B Stock and Class A Common Stock are contained in the notes to the Consolidated Financial Statements included in our Annual Report on Form 10-K for the fiscal year ended July 31, 2015 filed with the SEC.</w:t>
      </w:r>
    </w:p>
    <w:p>
      <w:pPr>
        <w:spacing w:after="0" w:line="202" w:lineRule="exact"/>
        <w:rPr>
          <w:sz w:val="20"/>
          <w:szCs w:val="20"/>
          <w:color w:val="auto"/>
        </w:rPr>
      </w:pPr>
    </w:p>
    <w:p>
      <w:pPr>
        <w:jc w:val="both"/>
        <w:ind w:firstLine="8"/>
        <w:spacing w:after="0" w:line="232" w:lineRule="auto"/>
        <w:tabs>
          <w:tab w:leader="none" w:pos="112"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repurchases of 250,000 shares on March 11, 2011 and authorized the repurchase of an additional 250,000 shares on June 14, 2012. These authorizations do not have a stated expiration date. The share numbers in this column indicate the number of shares of Common Stock that may yet be repurchased under these authorizations. We do not have any current authorization from our Board of Directors to repurchase shares of Class B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456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4, 2015</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20"/>
          </w:cols>
          <w:pgMar w:left="580" w:top="584" w:right="9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19"/>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For the Three Months Ended</w:t>
      </w:r>
    </w:p>
    <w:p>
      <w:pPr>
        <w:spacing w:after="0" w:line="39" w:lineRule="exact"/>
        <w:rPr>
          <w:sz w:val="20"/>
          <w:szCs w:val="20"/>
          <w:color w:val="auto"/>
        </w:rPr>
      </w:pPr>
    </w:p>
    <w:p>
      <w:pPr>
        <w:jc w:val="center"/>
        <w:ind w:left="662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22860</wp:posOffset>
            </wp:positionV>
            <wp:extent cx="15093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8" w:lineRule="exact"/>
        <w:rPr>
          <w:sz w:val="20"/>
          <w:szCs w:val="20"/>
          <w:color w:val="auto"/>
        </w:rPr>
      </w:pPr>
    </w:p>
    <w:tbl>
      <w:tblPr>
        <w:tblLayout w:type="fixed"/>
        <w:tblInd w:w="12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26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29"/>
        </w:trPr>
        <w:tc>
          <w:tcPr>
            <w:tcW w:w="4180" w:type="dxa"/>
            <w:vAlign w:val="bottom"/>
            <w:gridSpan w:val="3"/>
          </w:tcPr>
          <w:p>
            <w:pPr>
              <w:ind w:left="20"/>
              <w:spacing w:after="0"/>
              <w:rPr>
                <w:sz w:val="20"/>
                <w:szCs w:val="20"/>
                <w:color w:val="auto"/>
              </w:rPr>
            </w:pPr>
            <w:r>
              <w:rPr>
                <w:rFonts w:ascii="Arial" w:cs="Arial" w:eastAsia="Arial" w:hAnsi="Arial"/>
                <w:sz w:val="18"/>
                <w:szCs w:val="18"/>
                <w:color w:val="auto"/>
                <w:w w:val="96"/>
              </w:rPr>
              <w:t>Less: Distributed and undistributed earnings allocated</w:t>
            </w: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2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2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Shares Calculation</w:t>
            </w:r>
          </w:p>
        </w:tc>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80" w:type="dxa"/>
            <w:vAlign w:val="bottom"/>
            <w:gridSpan w:val="3"/>
            <w:vMerge w:val="continue"/>
          </w:tcPr>
          <w:p>
            <w:pPr>
              <w:spacing w:after="0"/>
              <w:rPr>
                <w:sz w:val="16"/>
                <w:szCs w:val="16"/>
                <w:color w:val="auto"/>
              </w:rPr>
            </w:pPr>
          </w:p>
        </w:tc>
        <w:tc>
          <w:tcPr>
            <w:tcW w:w="2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2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4,975</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43"/>
        </w:trPr>
        <w:tc>
          <w:tcPr>
            <w:tcW w:w="4180" w:type="dxa"/>
            <w:vAlign w:val="bottom"/>
            <w:gridSpan w:val="3"/>
          </w:tcPr>
          <w:p>
            <w:pPr>
              <w:ind w:left="20"/>
              <w:spacing w:after="0"/>
              <w:rPr>
                <w:sz w:val="20"/>
                <w:szCs w:val="20"/>
                <w:color w:val="auto"/>
              </w:rPr>
            </w:pPr>
            <w:r>
              <w:rPr>
                <w:rFonts w:ascii="Arial" w:cs="Arial" w:eastAsia="Arial" w:hAnsi="Arial"/>
                <w:sz w:val="18"/>
                <w:szCs w:val="18"/>
                <w:color w:val="auto"/>
                <w:w w:val="96"/>
              </w:rPr>
              <w:t>Average shares outstanding - Basic Class B Common</w:t>
            </w:r>
          </w:p>
        </w:tc>
        <w:tc>
          <w:tcPr>
            <w:tcW w:w="2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2,037</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6"/>
              </w:rPr>
              <w:t>Potential Common Stock relating to stock options and</w:t>
            </w:r>
          </w:p>
        </w:tc>
        <w:tc>
          <w:tcPr>
            <w:tcW w:w="2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24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97"/>
        </w:trPr>
        <w:tc>
          <w:tcPr>
            <w:tcW w:w="4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24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7,063</w:t>
            </w: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51"/>
        </w:trPr>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Common</w:t>
            </w:r>
          </w:p>
        </w:tc>
        <w:tc>
          <w:tcPr>
            <w:tcW w:w="2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2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51"/>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Diluted</w:t>
            </w:r>
          </w:p>
        </w:tc>
        <w:tc>
          <w:tcPr>
            <w:tcW w:w="2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1970"/>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December 4, 2015</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4, 2015</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4,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4,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October 31, 2015.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ind w:left="340"/>
              <w:spacing w:after="0"/>
              <w:rPr>
                <w:sz w:val="20"/>
                <w:szCs w:val="20"/>
                <w:color w:val="auto"/>
              </w:rPr>
            </w:pPr>
            <w:r>
              <w:rPr>
                <w:rFonts w:ascii="Arial" w:cs="Arial" w:eastAsia="Arial" w:hAnsi="Arial"/>
                <w:sz w:val="18"/>
                <w:szCs w:val="18"/>
                <w:color w:val="auto"/>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4,314</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802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917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824</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1,647</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2015.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decimal"/>
      <w:start w:val="31"/>
    </w:lvl>
  </w:abstractNum>
  <w:abstractNum w:abstractNumId="6">
    <w:nsid w:val="79E2A9E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7">
    <w:nsid w:val="7545E146"/>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2020-01-25T10:44:33Z</dcterms:created>
  <dcterms:modified xsi:type="dcterms:W3CDTF">2020-01-25T10:44:33Z</dcterms:modified>
</cp:coreProperties>
</file>