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serif" w:hAnsi="serif"/>
          <w:sz w:val="20"/>
        </w:rPr>
      </w:pPr>
      <w:bookmarkStart w:id="0" w:name="oildri_nps.htm"/>
      <w:bookmarkStart w:id="1" w:name="ksoildri_nps"/>
      <w:bookmarkEnd w:id="0"/>
      <w:bookmarkEnd w:id="1"/>
      <w:r>
        <w:rPr>
          <w:rFonts w:ascii="serif" w:hAnsi="serif"/>
          <w:sz w:val="20"/>
        </w:rPr>
        <w:t>SCHEDULE 14A</w:t>
      </w:r>
    </w:p>
    <w:p>
      <w:pPr>
        <w:pStyle w:val="TextBody"/>
        <w:jc w:val="center"/>
        <w:rPr/>
      </w:pPr>
      <w:r>
        <w:rPr>
          <w:rFonts w:ascii="serif" w:hAnsi="serif"/>
          <w:sz w:val="20"/>
        </w:rPr>
        <w:t>(Rule 14a-101)</w:t>
      </w:r>
      <w:r>
        <w:rPr/>
        <w:t xml:space="preserve"> </w:t>
      </w:r>
    </w:p>
    <w:p>
      <w:pPr>
        <w:pStyle w:val="TextBody"/>
        <w:jc w:val="center"/>
        <w:rPr/>
      </w:pPr>
      <w:r>
        <w:rPr>
          <w:rFonts w:ascii="serif" w:hAnsi="serif"/>
          <w:sz w:val="20"/>
        </w:rPr>
        <w:t>INFORMATION REQUIRED IN PROXY STATEMENT</w:t>
      </w:r>
      <w:r>
        <w:rPr/>
        <w:t xml:space="preserve"> </w:t>
      </w:r>
    </w:p>
    <w:p>
      <w:pPr>
        <w:pStyle w:val="TextBody"/>
        <w:jc w:val="center"/>
        <w:rPr/>
      </w:pPr>
      <w:r>
        <w:rPr>
          <w:rFonts w:ascii="serif" w:hAnsi="serif"/>
          <w:sz w:val="20"/>
        </w:rPr>
        <w:t>SCHEDULE 14A INFORMATION</w:t>
      </w:r>
      <w:r>
        <w:rPr/>
        <w:t xml:space="preserve"> </w:t>
      </w:r>
    </w:p>
    <w:p>
      <w:pPr>
        <w:pStyle w:val="TextBody"/>
        <w:jc w:val="center"/>
        <w:rPr>
          <w:rFonts w:ascii="serif" w:hAnsi="serif"/>
          <w:sz w:val="20"/>
        </w:rPr>
      </w:pPr>
      <w:r>
        <w:rPr>
          <w:rFonts w:ascii="serif" w:hAnsi="serif"/>
          <w:sz w:val="20"/>
        </w:rPr>
        <w:t>Proxy Statement Pursuant to Section 14(a) of the</w:t>
        <w:br/>
        <w:t>Securities Exchange Act of 1934 (Amendment No. )</w:t>
      </w:r>
    </w:p>
    <w:p>
      <w:pPr>
        <w:pStyle w:val="TextBody"/>
        <w:jc w:val="left"/>
        <w:rPr>
          <w:rFonts w:ascii="serif" w:hAnsi="serif"/>
          <w:sz w:val="20"/>
        </w:rPr>
      </w:pPr>
      <w:r>
        <w:rPr>
          <w:rFonts w:ascii="serif" w:hAnsi="serif"/>
          <w:sz w:val="20"/>
        </w:rPr>
        <w:t>Filed by the Registrant [x]</w:t>
        <w:br/>
        <w:t>Filed by a Party other than the Registrant [_]</w:t>
        <w:br/>
        <w:br/>
        <w:t>Check the appropriate box:</w:t>
        <w:br/>
        <w:t>[_]  Preliminary Proxy Statement                  [_] Soliciting Material Under Rule</w:t>
        <w:br/>
        <w:t xml:space="preserve">[_]  Confidential, For Use of the                        14a-12 </w:t>
        <w:br/>
        <w:t xml:space="preserve">       Commission Only (as permitted </w:t>
        <w:br/>
        <w:t xml:space="preserve">       by Rule 14a-6(e)(2)) </w:t>
        <w:br/>
        <w:t xml:space="preserve">[x]  Definitive Proxy Statement </w:t>
        <w:br/>
        <w:t>[_]  Definitive Additional Materials</w:t>
      </w:r>
    </w:p>
    <w:p>
      <w:pPr>
        <w:pStyle w:val="TextBody"/>
        <w:jc w:val="center"/>
        <w:rPr>
          <w:rFonts w:ascii="serif" w:hAnsi="serif"/>
          <w:sz w:val="20"/>
        </w:rPr>
      </w:pPr>
      <w:r>
        <w:rPr>
          <w:rFonts w:ascii="serif" w:hAnsi="serif"/>
          <w:sz w:val="20"/>
        </w:rPr>
        <w:t>OIL-DRI CORPORATION OF AMERICA </w:t>
        <w:br/>
        <w:t>------------------------------------------------------------------------------------------------------------------------------------------------------</w:t>
      </w:r>
    </w:p>
    <w:p>
      <w:pPr>
        <w:pStyle w:val="TextBody"/>
        <w:jc w:val="center"/>
        <w:rPr>
          <w:rFonts w:ascii="serif" w:hAnsi="serif"/>
          <w:sz w:val="20"/>
        </w:rPr>
      </w:pPr>
      <w:r>
        <w:rPr>
          <w:rFonts w:ascii="serif" w:hAnsi="serif"/>
          <w:sz w:val="20"/>
        </w:rPr>
        <w:t>(Name of Registrant as Specified In Its Charter)</w:t>
      </w:r>
    </w:p>
    <w:p>
      <w:pPr>
        <w:pStyle w:val="TextBody"/>
        <w:jc w:val="center"/>
        <w:rPr>
          <w:rFonts w:ascii="serif" w:hAnsi="serif"/>
          <w:sz w:val="20"/>
        </w:rPr>
      </w:pPr>
      <w:r>
        <w:rPr>
          <w:rFonts w:ascii="serif" w:hAnsi="serif"/>
          <w:sz w:val="20"/>
        </w:rPr>
        <w:t>------------------------------------------------------------------------------------------------------------------------------------------------------</w:t>
      </w:r>
    </w:p>
    <w:p>
      <w:pPr>
        <w:pStyle w:val="TextBody"/>
        <w:jc w:val="center"/>
        <w:rPr>
          <w:rFonts w:ascii="serif" w:hAnsi="serif"/>
          <w:sz w:val="20"/>
        </w:rPr>
      </w:pPr>
      <w:r>
        <w:rPr>
          <w:rFonts w:ascii="serif" w:hAnsi="serif"/>
          <w:sz w:val="20"/>
        </w:rPr>
        <w:t>(Name of Person(s) Filing Proxy Statement, if Other Than the Registrant)</w:t>
      </w:r>
    </w:p>
    <w:p>
      <w:pPr>
        <w:pStyle w:val="TextBody"/>
        <w:jc w:val="both"/>
        <w:rPr>
          <w:rFonts w:ascii="serif" w:hAnsi="serif"/>
          <w:sz w:val="20"/>
        </w:rPr>
      </w:pPr>
      <w:r>
        <w:rPr>
          <w:rFonts w:ascii="serif" w:hAnsi="serif"/>
          <w:sz w:val="20"/>
        </w:rPr>
        <w:t>Payment of Filing Fee (Check the appropriate box):</w:t>
        <w:br/>
        <w:t>[x]  No fee required.</w:t>
        <w:br/>
        <w:t>[_] Fee computed on table below per Exchange Act Rules 14a-6(i)(4) and 0-11.</w:t>
      </w:r>
    </w:p>
    <w:p>
      <w:pPr>
        <w:pStyle w:val="TextBody"/>
        <w:jc w:val="both"/>
        <w:rPr/>
      </w:pPr>
      <w:r>
        <w:rPr>
          <w:rFonts w:ascii="serif" w:hAnsi="serif"/>
          <w:sz w:val="20"/>
        </w:rPr>
        <w:t>1)  Title of each class of securities to which transaction applies:</w:t>
      </w:r>
      <w:r>
        <w:rPr/>
        <w:t xml:space="preserve"> </w:t>
      </w:r>
      <w:r>
        <w:rPr>
          <w:rFonts w:ascii="serif" w:hAnsi="serif"/>
        </w:rPr>
        <w:br/>
        <w:t>____________________________________________________________________________________</w:t>
        <w:br/>
      </w:r>
      <w:r>
        <w:rPr>
          <w:rFonts w:ascii="serif" w:hAnsi="serif"/>
          <w:sz w:val="20"/>
        </w:rPr>
        <w:t>2)  Aggregate number of securities to which transaction applies:</w:t>
      </w:r>
      <w:r>
        <w:rPr/>
        <w:t xml:space="preserve"> </w:t>
      </w:r>
      <w:r>
        <w:rPr>
          <w:rFonts w:ascii="serif" w:hAnsi="serif"/>
        </w:rPr>
        <w:br/>
      </w:r>
      <w:r>
        <w:rPr>
          <w:rFonts w:ascii="serif" w:hAnsi="serif"/>
          <w:sz w:val="20"/>
        </w:rPr>
        <w:t>3)  Per unit price or other underlying value of transaction computed pursuant</w:t>
      </w:r>
      <w:r>
        <w:rPr/>
        <w:t xml:space="preserve"> </w:t>
      </w:r>
      <w:r>
        <w:rPr>
          <w:rFonts w:ascii="serif" w:hAnsi="serif"/>
          <w:sz w:val="20"/>
        </w:rPr>
        <w:t xml:space="preserve">to Exchange Act Rule 0-11 (set forth the </w:t>
        <w:br/>
        <w:t>     amount on which the filing fee is</w:t>
      </w:r>
      <w:r>
        <w:rPr/>
        <w:t xml:space="preserve"> </w:t>
      </w:r>
      <w:r>
        <w:rPr>
          <w:rFonts w:ascii="serif" w:hAnsi="serif"/>
          <w:sz w:val="20"/>
        </w:rPr>
        <w:t>calculated and state how it was determined):</w:t>
      </w:r>
      <w:r>
        <w:rPr/>
        <w:t xml:space="preserve"> </w:t>
      </w:r>
      <w:r>
        <w:rPr>
          <w:rFonts w:ascii="serif" w:hAnsi="serif"/>
        </w:rPr>
        <w:br/>
      </w:r>
      <w:r>
        <w:rPr>
          <w:rFonts w:ascii="serif" w:hAnsi="serif"/>
          <w:sz w:val="20"/>
        </w:rPr>
        <w:t>4)  Proposed maximum aggregate value of transaction:</w:t>
      </w:r>
      <w:r>
        <w:rPr/>
        <w:t xml:space="preserve"> </w:t>
      </w:r>
      <w:r>
        <w:rPr>
          <w:rFonts w:ascii="serif" w:hAnsi="serif"/>
        </w:rPr>
        <w:br/>
        <w:t>____________________________________________________________________________________</w:t>
        <w:br/>
      </w:r>
      <w:r>
        <w:rPr>
          <w:rFonts w:ascii="serif" w:hAnsi="serif"/>
          <w:sz w:val="20"/>
        </w:rPr>
        <w:t>5)  Total fee paid:</w:t>
        <w:br/>
        <w:t>[_] Fee paid previously with preliminary materials:</w:t>
      </w:r>
      <w:r>
        <w:rPr/>
        <w:t xml:space="preserve"> </w:t>
      </w:r>
      <w:r>
        <w:rPr>
          <w:rFonts w:ascii="serif" w:hAnsi="serif"/>
        </w:rPr>
        <w:br/>
      </w:r>
      <w:r>
        <w:rPr>
          <w:rFonts w:ascii="serif" w:hAnsi="serif"/>
          <w:sz w:val="20"/>
        </w:rPr>
        <w:t>[_] Check box if any part of the fee is offset as provided by Exchange Act Rule</w:t>
      </w:r>
      <w:r>
        <w:rPr/>
        <w:t xml:space="preserve"> </w:t>
      </w:r>
      <w:r>
        <w:rPr>
          <w:rFonts w:ascii="serif" w:hAnsi="serif"/>
          <w:sz w:val="20"/>
        </w:rPr>
        <w:t>0-11(a)(2) and identify the filing for which</w:t>
        <w:br/>
        <w:t>      the offsetting fee was paid</w:t>
      </w:r>
      <w:r>
        <w:rPr/>
        <w:t xml:space="preserve"> </w:t>
      </w:r>
      <w:r>
        <w:rPr>
          <w:rFonts w:ascii="serif" w:hAnsi="serif"/>
          <w:sz w:val="20"/>
        </w:rPr>
        <w:t>previously. Identify the previous filing by registration statement number,</w:t>
      </w:r>
      <w:r>
        <w:rPr/>
        <w:t xml:space="preserve"> </w:t>
      </w:r>
      <w:r>
        <w:rPr>
          <w:rFonts w:ascii="serif" w:hAnsi="serif"/>
          <w:sz w:val="20"/>
        </w:rPr>
        <w:t>or the form or</w:t>
        <w:br/>
        <w:t>      schedule and the date of its filing.</w:t>
      </w:r>
      <w:r>
        <w:rPr/>
        <w:t xml:space="preserve"> </w:t>
      </w:r>
      <w:r>
        <w:rPr>
          <w:rFonts w:ascii="serif" w:hAnsi="serif"/>
        </w:rPr>
        <w:br/>
        <w:t>____________________________________________________________________________________</w:t>
        <w:br/>
      </w:r>
      <w:r>
        <w:rPr/>
        <w:t>      </w:t>
      </w:r>
      <w:r>
        <w:rPr>
          <w:rFonts w:ascii="serif" w:hAnsi="serif"/>
          <w:sz w:val="20"/>
        </w:rPr>
        <w:t>1) Amount previously paid:</w:t>
        <w:br/>
      </w:r>
      <w:r>
        <w:rPr>
          <w:rFonts w:ascii="serif" w:hAnsi="serif"/>
          <w:sz w:val="24"/>
        </w:rPr>
        <w:t>____________________________________________________________________________________</w:t>
      </w:r>
      <w:r>
        <w:rPr>
          <w:rFonts w:ascii="serif" w:hAnsi="serif"/>
          <w:sz w:val="20"/>
        </w:rPr>
        <w:br/>
      </w:r>
      <w:r>
        <w:rPr/>
        <w:t>      </w:t>
      </w:r>
      <w:r>
        <w:rPr>
          <w:rFonts w:ascii="serif" w:hAnsi="serif"/>
          <w:sz w:val="20"/>
        </w:rPr>
        <w:t>2) Form, Schedule or Registration Statement No.:</w:t>
      </w:r>
      <w:r>
        <w:rPr/>
        <w:t xml:space="preserve"> </w:t>
      </w:r>
      <w:r>
        <w:rPr>
          <w:rFonts w:ascii="serif" w:hAnsi="serif"/>
        </w:rPr>
        <w:br/>
        <w:t>____________________________________________________________________________________</w:t>
        <w:br/>
      </w:r>
      <w:r>
        <w:rPr/>
        <w:t>      </w:t>
      </w:r>
      <w:r>
        <w:rPr>
          <w:rFonts w:ascii="serif" w:hAnsi="serif"/>
          <w:sz w:val="20"/>
        </w:rPr>
        <w:t>3) Filing Party:</w:t>
        <w:br/>
      </w:r>
      <w:r>
        <w:rPr>
          <w:rFonts w:ascii="serif" w:hAnsi="serif"/>
          <w:sz w:val="24"/>
        </w:rPr>
        <w:t>____________________________________________________________________________________</w:t>
      </w:r>
      <w:r>
        <w:rPr>
          <w:rFonts w:ascii="serif" w:hAnsi="serif"/>
          <w:sz w:val="20"/>
        </w:rPr>
        <w:br/>
      </w:r>
      <w:r>
        <w:rPr/>
        <w:t>      </w:t>
      </w:r>
      <w:r>
        <w:rPr>
          <w:rFonts w:ascii="serif" w:hAnsi="serif"/>
          <w:sz w:val="20"/>
        </w:rPr>
        <w:t>4) Date Filed:</w:t>
      </w:r>
    </w:p>
    <w:p>
      <w:pPr>
        <w:pStyle w:val="HorizontalLine"/>
        <w:pBdr>
          <w:bottom w:val="single" w:sz="12" w:space="0" w:color="808080"/>
        </w:pBdr>
        <w:rPr/>
      </w:pPr>
      <w:r>
        <w:rPr/>
      </w:r>
    </w:p>
    <w:p>
      <w:pPr>
        <w:pStyle w:val="TextBody"/>
        <w:jc w:val="center"/>
        <w:rPr/>
      </w:pPr>
      <w:r>
        <w:rPr/>
        <w:drawing>
          <wp:inline distT="0" distB="0" distL="0" distR="0">
            <wp:extent cx="18954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781050"/>
                    </a:xfrm>
                    <a:prstGeom prst="rect">
                      <a:avLst/>
                    </a:prstGeom>
                  </pic:spPr>
                </pic:pic>
              </a:graphicData>
            </a:graphic>
          </wp:inline>
        </w:drawing>
      </w:r>
    </w:p>
    <w:p>
      <w:pPr>
        <w:pStyle w:val="TextBody"/>
        <w:jc w:val="right"/>
        <w:rPr>
          <w:rFonts w:ascii="serif" w:hAnsi="serif"/>
          <w:sz w:val="20"/>
        </w:rPr>
      </w:pPr>
      <w:r>
        <w:rPr>
          <w:rFonts w:ascii="serif" w:hAnsi="serif"/>
          <w:sz w:val="20"/>
        </w:rPr>
        <w:t>October 31, 2007</w:t>
      </w:r>
    </w:p>
    <w:p>
      <w:pPr>
        <w:pStyle w:val="TextBody"/>
        <w:jc w:val="both"/>
        <w:rPr>
          <w:rFonts w:ascii="serif" w:hAnsi="serif"/>
          <w:sz w:val="20"/>
        </w:rPr>
      </w:pPr>
      <w:r>
        <w:rPr>
          <w:rFonts w:ascii="serif" w:hAnsi="serif"/>
          <w:sz w:val="20"/>
        </w:rPr>
        <w:t>Dear Stockholder:</w:t>
      </w:r>
    </w:p>
    <w:p>
      <w:pPr>
        <w:pStyle w:val="TextBody"/>
        <w:jc w:val="both"/>
        <w:rPr/>
      </w:pPr>
      <w:r>
        <w:rPr/>
        <w:t xml:space="preserve">     </w:t>
      </w:r>
      <w:r>
        <w:rPr>
          <w:rFonts w:ascii="serif" w:hAnsi="serif"/>
          <w:sz w:val="20"/>
        </w:rPr>
        <w:t>The Board of Directors and all of us on the management team cordially invite you to attend the 2007 Annual Meeting of Stockholders on December 4, 2007, at 9:00 a.m., local time, at The Standard Club, 320 South Plymouth Court, Chicago, Illinois, 60604-3802.</w:t>
      </w:r>
    </w:p>
    <w:p>
      <w:pPr>
        <w:pStyle w:val="TextBody"/>
        <w:jc w:val="both"/>
        <w:rPr/>
      </w:pPr>
      <w:r>
        <w:rPr/>
        <w:t xml:space="preserve">     </w:t>
      </w:r>
      <w:r>
        <w:rPr>
          <w:rFonts w:ascii="serif" w:hAnsi="serif"/>
          <w:sz w:val="20"/>
        </w:rPr>
        <w:t>The matters expected to be acted on in the meeting are described in the attached Proxy Statement. We are recommending a slate of eight directors for re-election. Their biographies appear in the Proxy Statement. In addition, we ask that you ratify the appointment of PricewaterhouseCoopers LLP as our independent auditor for the fiscal year ending July 31, 2008. Included with the Proxy Statement is a copy of our Annual Report on Form 10-K for fiscal year 2007. We encourage you to read the Form 10-K. It includes information on our operations, markets, products and services, as well as our audited financial statements.</w:t>
      </w:r>
    </w:p>
    <w:p>
      <w:pPr>
        <w:pStyle w:val="TextBody"/>
        <w:jc w:val="both"/>
        <w:rPr/>
      </w:pPr>
      <w:r>
        <w:rPr/>
        <w:t xml:space="preserve">     </w:t>
      </w:r>
      <w:r>
        <w:rPr>
          <w:rFonts w:ascii="serif" w:hAnsi="serif"/>
          <w:sz w:val="20"/>
        </w:rPr>
        <w:t>Immediately following adjournment of the annual meeting, we will review the results of the past year and look at some of the potential opportunities which lie ahead.</w:t>
      </w:r>
    </w:p>
    <w:p>
      <w:pPr>
        <w:pStyle w:val="TextBody"/>
        <w:jc w:val="both"/>
        <w:rPr/>
      </w:pPr>
      <w:r>
        <w:rPr/>
        <w:t xml:space="preserve">     </w:t>
      </w:r>
      <w:r>
        <w:rPr>
          <w:rFonts w:ascii="serif" w:hAnsi="serif"/>
          <w:sz w:val="20"/>
        </w:rPr>
        <w:t>We look forward to seeing you at the annual meeting. Whether or not you plan to attend, you can be sure your shares are represented at the meeting by promptly voting and submitting your proxy by Internet, by telephone or by mailing your proxy card in the enclosed envelope provided for this purpose.</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pPr>
            <w:r>
              <w:rPr/>
              <w:t> </w:t>
            </w:r>
            <w:r>
              <w:rPr>
                <w:rFonts w:ascii="serif" w:hAnsi="serif"/>
                <w:sz w:val="20"/>
              </w:rPr>
              <w:t>Sincerely,</w:t>
            </w:r>
            <w:r>
              <w:rPr/>
              <w:t> </w:t>
            </w:r>
          </w:p>
        </w:tc>
      </w:tr>
      <w:tr>
        <w:trPr/>
        <w:tc>
          <w:tcPr>
            <w:tcW w:w="5102" w:type="dxa"/>
            <w:tcBorders/>
            <w:shd w:fill="auto" w:val="clear"/>
            <w:vAlign w:val="center"/>
          </w:tcPr>
          <w:p>
            <w:pPr>
              <w:pStyle w:val="TableContents"/>
              <w:spacing w:before="0" w:after="283"/>
              <w:jc w:val="left"/>
              <w:rPr/>
            </w:pPr>
            <w:r>
              <w:rPr/>
              <w:t> </w:t>
            </w:r>
          </w:p>
        </w:tc>
        <w:tc>
          <w:tcPr>
            <w:tcW w:w="5103" w:type="dxa"/>
            <w:tcBorders/>
            <w:shd w:fill="auto" w:val="clear"/>
            <w:vAlign w:val="center"/>
          </w:tcPr>
          <w:p>
            <w:pPr>
              <w:pStyle w:val="TableContents"/>
              <w:spacing w:before="0" w:after="283"/>
              <w:jc w:val="left"/>
              <w:rPr/>
            </w:pPr>
            <w:r>
              <w:rPr/>
              <w:t> </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left"/>
              <w:rPr/>
            </w:pPr>
            <w:r>
              <w:rPr/>
              <w:drawing>
                <wp:inline distT="0" distB="0" distL="0" distR="0">
                  <wp:extent cx="160972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504825"/>
                          </a:xfrm>
                          <a:prstGeom prst="rect">
                            <a:avLst/>
                          </a:prstGeom>
                        </pic:spPr>
                      </pic:pic>
                    </a:graphicData>
                  </a:graphic>
                </wp:inline>
              </w:drawing>
            </w:r>
          </w:p>
        </w:tc>
      </w:tr>
      <w:tr>
        <w:trPr/>
        <w:tc>
          <w:tcPr>
            <w:tcW w:w="5102" w:type="dxa"/>
            <w:tcBorders/>
            <w:shd w:fill="auto" w:val="clear"/>
            <w:vAlign w:val="center"/>
          </w:tcPr>
          <w:p>
            <w:pPr>
              <w:pStyle w:val="TableContents"/>
              <w:spacing w:before="0" w:after="283"/>
              <w:jc w:val="left"/>
              <w:rPr/>
            </w:pPr>
            <w:r>
              <w:rPr/>
              <w:t> </w:t>
            </w:r>
          </w:p>
        </w:tc>
        <w:tc>
          <w:tcPr>
            <w:tcW w:w="5103" w:type="dxa"/>
            <w:tcBorders/>
            <w:shd w:fill="auto" w:val="clear"/>
            <w:vAlign w:val="center"/>
          </w:tcPr>
          <w:p>
            <w:pPr>
              <w:pStyle w:val="TableContents"/>
              <w:spacing w:before="0" w:after="283"/>
              <w:jc w:val="left"/>
              <w:rPr/>
            </w:pPr>
            <w:r>
              <w:rPr/>
              <w:t> </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left"/>
              <w:rPr/>
            </w:pPr>
            <w:r>
              <w:rPr/>
              <w:t> </w:t>
            </w:r>
            <w:r>
              <w:rPr>
                <w:sz w:val="20"/>
              </w:rPr>
              <w:t>DANIEL S. JAFFEE</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both"/>
              <w:rPr/>
            </w:pPr>
            <w:r>
              <w:rPr/>
              <w:t> </w:t>
            </w:r>
            <w:r>
              <w:rPr>
                <w:rFonts w:ascii="serif" w:hAnsi="serif"/>
                <w:i/>
                <w:sz w:val="20"/>
              </w:rPr>
              <w:t>President and Chief Executive Officer</w:t>
            </w:r>
          </w:p>
        </w:tc>
      </w:tr>
    </w:tbl>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9883"/>
        <w:gridCol w:w="322"/>
      </w:tblGrid>
      <w:tr>
        <w:trPr/>
        <w:tc>
          <w:tcPr>
            <w:tcW w:w="10205" w:type="dxa"/>
            <w:gridSpan w:val="2"/>
            <w:tcBorders/>
            <w:shd w:fill="C0C0C0" w:val="clear"/>
            <w:vAlign w:val="bottom"/>
          </w:tcPr>
          <w:p>
            <w:pPr>
              <w:pStyle w:val="TableContents"/>
              <w:spacing w:before="0" w:after="283"/>
              <w:jc w:val="center"/>
              <w:rPr/>
            </w:pPr>
            <w:r>
              <w:rPr/>
              <w:t xml:space="preserve">  </w:t>
            </w:r>
            <w:r>
              <w:rPr>
                <w:rFonts w:ascii="serif" w:hAnsi="serif"/>
                <w:b/>
                <w:sz w:val="36"/>
              </w:rPr>
              <w:t>Table of Contents</w:t>
            </w:r>
            <w:r>
              <w:rPr/>
              <w:t>   </w:t>
            </w:r>
          </w:p>
        </w:tc>
      </w:tr>
      <w:tr>
        <w:trPr/>
        <w:tc>
          <w:tcPr>
            <w:tcW w:w="9883" w:type="dxa"/>
            <w:tcBorders/>
            <w:shd w:fill="auto" w:val="clear"/>
            <w:vAlign w:val="center"/>
          </w:tcPr>
          <w:p>
            <w:pPr>
              <w:pStyle w:val="TableContents"/>
              <w:spacing w:before="0" w:after="283"/>
              <w:jc w:val="left"/>
              <w:rPr/>
            </w:pPr>
            <w:r>
              <w:rPr/>
              <w:t> </w:t>
            </w:r>
          </w:p>
        </w:tc>
        <w:tc>
          <w:tcPr>
            <w:tcW w:w="322" w:type="dxa"/>
            <w:tcBorders/>
            <w:shd w:fill="auto" w:val="clear"/>
            <w:vAlign w:val="center"/>
          </w:tcPr>
          <w:p>
            <w:pPr>
              <w:pStyle w:val="TableContents"/>
              <w:spacing w:before="0" w:after="283"/>
              <w:rPr>
                <w:sz w:val="4"/>
                <w:szCs w:val="4"/>
              </w:rPr>
            </w:pPr>
            <w:r>
              <w:rPr>
                <w:sz w:val="4"/>
                <w:szCs w:val="4"/>
              </w:rPr>
            </w:r>
          </w:p>
        </w:tc>
      </w:tr>
      <w:tr>
        <w:trPr/>
        <w:tc>
          <w:tcPr>
            <w:tcW w:w="9883" w:type="dxa"/>
            <w:tcBorders/>
            <w:shd w:fill="C0C0C0" w:val="clear"/>
            <w:vAlign w:val="bottom"/>
          </w:tcPr>
          <w:p>
            <w:pPr>
              <w:pStyle w:val="TableContents"/>
              <w:spacing w:before="0" w:after="283"/>
              <w:jc w:val="left"/>
              <w:rPr/>
            </w:pPr>
            <w:r>
              <w:rPr>
                <w:rFonts w:ascii="serif" w:hAnsi="serif"/>
                <w:sz w:val="20"/>
              </w:rPr>
              <w:t>NOTICE OF ANNUAL MEETING OF STOCKHOLDERS</w:t>
            </w:r>
            <w:r>
              <w:rPr/>
              <w:t> </w:t>
            </w:r>
          </w:p>
        </w:tc>
        <w:tc>
          <w:tcPr>
            <w:tcW w:w="322" w:type="dxa"/>
            <w:tcBorders/>
            <w:shd w:fill="C0C0C0" w:val="clear"/>
            <w:vAlign w:val="bottom"/>
          </w:tcPr>
          <w:p>
            <w:pPr>
              <w:pStyle w:val="TableContents"/>
              <w:spacing w:before="0" w:after="283"/>
              <w:jc w:val="right"/>
              <w:rPr>
                <w:rFonts w:ascii="serif" w:hAnsi="serif"/>
                <w:sz w:val="20"/>
              </w:rPr>
            </w:pPr>
            <w:r>
              <w:rPr>
                <w:rFonts w:ascii="serif" w:hAnsi="serif"/>
                <w:sz w:val="20"/>
              </w:rPr>
              <w:t>i  </w:t>
            </w:r>
          </w:p>
        </w:tc>
      </w:tr>
      <w:tr>
        <w:trPr/>
        <w:tc>
          <w:tcPr>
            <w:tcW w:w="9883" w:type="dxa"/>
            <w:tcBorders/>
            <w:shd w:fill="auto" w:val="clear"/>
            <w:vAlign w:val="bottom"/>
          </w:tcPr>
          <w:p>
            <w:pPr>
              <w:pStyle w:val="TableContents"/>
              <w:spacing w:before="0" w:after="283"/>
              <w:jc w:val="left"/>
              <w:rPr/>
            </w:pPr>
            <w:r>
              <w:rPr>
                <w:rFonts w:ascii="serif" w:hAnsi="serif"/>
                <w:sz w:val="20"/>
              </w:rPr>
              <w:t>Commonly Asked Questions and Answers About the Proxy Statement and the Annual Meeting</w:t>
            </w:r>
            <w:r>
              <w:rPr/>
              <w:t> </w:t>
            </w:r>
          </w:p>
        </w:tc>
        <w:tc>
          <w:tcPr>
            <w:tcW w:w="322" w:type="dxa"/>
            <w:tcBorders/>
            <w:shd w:fill="auto" w:val="clear"/>
            <w:vAlign w:val="bottom"/>
          </w:tcPr>
          <w:p>
            <w:pPr>
              <w:pStyle w:val="TableContents"/>
              <w:spacing w:before="0" w:after="283"/>
              <w:jc w:val="right"/>
              <w:rPr/>
            </w:pPr>
            <w:r>
              <w:rPr>
                <w:rFonts w:ascii="serif" w:hAnsi="serif"/>
                <w:sz w:val="20"/>
              </w:rPr>
              <w:t>1</w:t>
            </w:r>
            <w:r>
              <w:rPr/>
              <w:t> </w:t>
            </w:r>
          </w:p>
        </w:tc>
      </w:tr>
      <w:tr>
        <w:trPr/>
        <w:tc>
          <w:tcPr>
            <w:tcW w:w="9883" w:type="dxa"/>
            <w:tcBorders/>
            <w:shd w:fill="C0C0C0" w:val="clear"/>
            <w:vAlign w:val="bottom"/>
          </w:tcPr>
          <w:p>
            <w:pPr>
              <w:pStyle w:val="TableContents"/>
              <w:spacing w:before="0" w:after="283"/>
              <w:jc w:val="left"/>
              <w:rPr/>
            </w:pPr>
            <w:r>
              <w:rPr>
                <w:rFonts w:ascii="serif" w:hAnsi="serif"/>
                <w:sz w:val="20"/>
              </w:rPr>
              <w:t>PROPOSALS</w:t>
            </w:r>
            <w:r>
              <w:rPr/>
              <w:t> </w:t>
            </w:r>
          </w:p>
        </w:tc>
        <w:tc>
          <w:tcPr>
            <w:tcW w:w="322" w:type="dxa"/>
            <w:tcBorders/>
            <w:shd w:fill="C0C0C0" w:val="clear"/>
            <w:vAlign w:val="bottom"/>
          </w:tcPr>
          <w:p>
            <w:pPr>
              <w:pStyle w:val="TableContents"/>
              <w:spacing w:before="0" w:after="283"/>
              <w:jc w:val="right"/>
              <w:rPr/>
            </w:pPr>
            <w:r>
              <w:rPr>
                <w:rFonts w:ascii="serif" w:hAnsi="serif"/>
                <w:sz w:val="20"/>
              </w:rPr>
              <w:t>5</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1.  Election of Directors</w:t>
            </w:r>
            <w:r>
              <w:rPr/>
              <w:t> </w:t>
            </w:r>
          </w:p>
        </w:tc>
        <w:tc>
          <w:tcPr>
            <w:tcW w:w="322" w:type="dxa"/>
            <w:tcBorders/>
            <w:shd w:fill="auto" w:val="clear"/>
            <w:vAlign w:val="bottom"/>
          </w:tcPr>
          <w:p>
            <w:pPr>
              <w:pStyle w:val="TableContents"/>
              <w:spacing w:before="0" w:after="283"/>
              <w:jc w:val="right"/>
              <w:rPr/>
            </w:pPr>
            <w:r>
              <w:rPr>
                <w:rFonts w:ascii="serif" w:hAnsi="serif"/>
                <w:sz w:val="20"/>
              </w:rPr>
              <w:t>5</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2.  Ratification of Appointment of Independent Auditor</w:t>
            </w:r>
            <w:r>
              <w:rPr/>
              <w:t> </w:t>
            </w:r>
          </w:p>
        </w:tc>
        <w:tc>
          <w:tcPr>
            <w:tcW w:w="322" w:type="dxa"/>
            <w:tcBorders/>
            <w:shd w:fill="C0C0C0" w:val="clear"/>
            <w:vAlign w:val="bottom"/>
          </w:tcPr>
          <w:p>
            <w:pPr>
              <w:pStyle w:val="TableContents"/>
              <w:spacing w:before="0" w:after="283"/>
              <w:jc w:val="right"/>
              <w:rPr/>
            </w:pPr>
            <w:r>
              <w:rPr>
                <w:rFonts w:ascii="serif" w:hAnsi="serif"/>
                <w:sz w:val="20"/>
              </w:rPr>
              <w:t>8</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3.  Other Matters</w:t>
            </w:r>
            <w:r>
              <w:rPr/>
              <w:t> </w:t>
            </w:r>
          </w:p>
        </w:tc>
        <w:tc>
          <w:tcPr>
            <w:tcW w:w="322" w:type="dxa"/>
            <w:tcBorders/>
            <w:shd w:fill="auto" w:val="clear"/>
            <w:vAlign w:val="bottom"/>
          </w:tcPr>
          <w:p>
            <w:pPr>
              <w:pStyle w:val="TableContents"/>
              <w:spacing w:before="0" w:after="283"/>
              <w:jc w:val="right"/>
              <w:rPr/>
            </w:pPr>
            <w:r>
              <w:rPr>
                <w:rFonts w:ascii="serif" w:hAnsi="serif"/>
                <w:sz w:val="20"/>
              </w:rPr>
              <w:t>9</w:t>
            </w:r>
            <w:r>
              <w:rPr/>
              <w:t> </w:t>
            </w:r>
          </w:p>
        </w:tc>
      </w:tr>
      <w:tr>
        <w:trPr/>
        <w:tc>
          <w:tcPr>
            <w:tcW w:w="9883" w:type="dxa"/>
            <w:tcBorders/>
            <w:shd w:fill="C0C0C0" w:val="clear"/>
            <w:vAlign w:val="bottom"/>
          </w:tcPr>
          <w:p>
            <w:pPr>
              <w:pStyle w:val="TableContents"/>
              <w:spacing w:before="0" w:after="283"/>
              <w:jc w:val="left"/>
              <w:rPr/>
            </w:pPr>
            <w:r>
              <w:rPr>
                <w:rFonts w:ascii="serif" w:hAnsi="serif"/>
                <w:sz w:val="20"/>
              </w:rPr>
              <w:t>CORPORATE GOVERNANCE MATTERS</w:t>
            </w:r>
            <w:r>
              <w:rPr/>
              <w:t> </w:t>
            </w:r>
          </w:p>
        </w:tc>
        <w:tc>
          <w:tcPr>
            <w:tcW w:w="322" w:type="dxa"/>
            <w:tcBorders/>
            <w:shd w:fill="C0C0C0" w:val="clear"/>
            <w:vAlign w:val="bottom"/>
          </w:tcPr>
          <w:p>
            <w:pPr>
              <w:pStyle w:val="TableContents"/>
              <w:spacing w:before="0" w:after="283"/>
              <w:jc w:val="right"/>
              <w:rPr/>
            </w:pPr>
            <w:r>
              <w:rPr>
                <w:rFonts w:ascii="serif" w:hAnsi="serif"/>
                <w:sz w:val="20"/>
              </w:rPr>
              <w:t>10</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Controlled Company Status</w:t>
            </w:r>
            <w:r>
              <w:rPr/>
              <w:t> </w:t>
            </w:r>
          </w:p>
        </w:tc>
        <w:tc>
          <w:tcPr>
            <w:tcW w:w="322" w:type="dxa"/>
            <w:tcBorders/>
            <w:shd w:fill="auto" w:val="clear"/>
            <w:vAlign w:val="bottom"/>
          </w:tcPr>
          <w:p>
            <w:pPr>
              <w:pStyle w:val="TableContents"/>
              <w:spacing w:before="0" w:after="283"/>
              <w:jc w:val="right"/>
              <w:rPr/>
            </w:pPr>
            <w:r>
              <w:rPr>
                <w:rFonts w:ascii="serif" w:hAnsi="serif"/>
                <w:sz w:val="20"/>
              </w:rPr>
              <w:t>10</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Director Independence</w:t>
            </w:r>
            <w:r>
              <w:rPr/>
              <w:t> </w:t>
            </w:r>
          </w:p>
        </w:tc>
        <w:tc>
          <w:tcPr>
            <w:tcW w:w="322" w:type="dxa"/>
            <w:tcBorders/>
            <w:shd w:fill="C0C0C0" w:val="clear"/>
            <w:vAlign w:val="bottom"/>
          </w:tcPr>
          <w:p>
            <w:pPr>
              <w:pStyle w:val="TableContents"/>
              <w:spacing w:before="0" w:after="283"/>
              <w:jc w:val="right"/>
              <w:rPr/>
            </w:pPr>
            <w:r>
              <w:rPr>
                <w:rFonts w:ascii="serif" w:hAnsi="serif"/>
                <w:sz w:val="20"/>
              </w:rPr>
              <w:t>10</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Executive Sessions of Non-Management Directors</w:t>
            </w:r>
            <w:r>
              <w:rPr/>
              <w:t> </w:t>
            </w:r>
          </w:p>
        </w:tc>
        <w:tc>
          <w:tcPr>
            <w:tcW w:w="322" w:type="dxa"/>
            <w:tcBorders/>
            <w:shd w:fill="auto" w:val="clear"/>
            <w:vAlign w:val="bottom"/>
          </w:tcPr>
          <w:p>
            <w:pPr>
              <w:pStyle w:val="TableContents"/>
              <w:spacing w:before="0" w:after="283"/>
              <w:jc w:val="right"/>
              <w:rPr/>
            </w:pPr>
            <w:r>
              <w:rPr>
                <w:rFonts w:ascii="serif" w:hAnsi="serif"/>
                <w:sz w:val="20"/>
              </w:rPr>
              <w:t>10</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Board of Directors Committee Membership and Meetings</w:t>
            </w:r>
            <w:r>
              <w:rPr/>
              <w:t> </w:t>
            </w:r>
          </w:p>
        </w:tc>
        <w:tc>
          <w:tcPr>
            <w:tcW w:w="322" w:type="dxa"/>
            <w:tcBorders/>
            <w:shd w:fill="C0C0C0" w:val="clear"/>
            <w:vAlign w:val="bottom"/>
          </w:tcPr>
          <w:p>
            <w:pPr>
              <w:pStyle w:val="TableContents"/>
              <w:spacing w:before="0" w:after="283"/>
              <w:jc w:val="right"/>
              <w:rPr/>
            </w:pPr>
            <w:r>
              <w:rPr>
                <w:rFonts w:ascii="serif" w:hAnsi="serif"/>
                <w:sz w:val="20"/>
              </w:rPr>
              <w:t>11</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Compensation Committee Interlocks and Insider Participation</w:t>
            </w:r>
            <w:r>
              <w:rPr/>
              <w:t> </w:t>
            </w:r>
          </w:p>
        </w:tc>
        <w:tc>
          <w:tcPr>
            <w:tcW w:w="322" w:type="dxa"/>
            <w:tcBorders/>
            <w:shd w:fill="auto" w:val="clear"/>
            <w:vAlign w:val="bottom"/>
          </w:tcPr>
          <w:p>
            <w:pPr>
              <w:pStyle w:val="TableContents"/>
              <w:spacing w:before="0" w:after="283"/>
              <w:jc w:val="right"/>
              <w:rPr/>
            </w:pPr>
            <w:r>
              <w:rPr>
                <w:rFonts w:ascii="serif" w:hAnsi="serif"/>
                <w:sz w:val="20"/>
              </w:rPr>
              <w:t>12</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Director Nominations</w:t>
            </w:r>
            <w:r>
              <w:rPr/>
              <w:t> </w:t>
            </w:r>
          </w:p>
        </w:tc>
        <w:tc>
          <w:tcPr>
            <w:tcW w:w="322" w:type="dxa"/>
            <w:tcBorders/>
            <w:shd w:fill="C0C0C0" w:val="clear"/>
            <w:vAlign w:val="bottom"/>
          </w:tcPr>
          <w:p>
            <w:pPr>
              <w:pStyle w:val="TableContents"/>
              <w:spacing w:before="0" w:after="283"/>
              <w:jc w:val="right"/>
              <w:rPr/>
            </w:pPr>
            <w:r>
              <w:rPr>
                <w:rFonts w:ascii="serif" w:hAnsi="serif"/>
                <w:sz w:val="20"/>
              </w:rPr>
              <w:t>13</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Communication with the Board of Directors</w:t>
            </w:r>
            <w:r>
              <w:rPr/>
              <w:t> </w:t>
            </w:r>
          </w:p>
        </w:tc>
        <w:tc>
          <w:tcPr>
            <w:tcW w:w="322" w:type="dxa"/>
            <w:tcBorders/>
            <w:shd w:fill="auto" w:val="clear"/>
            <w:vAlign w:val="bottom"/>
          </w:tcPr>
          <w:p>
            <w:pPr>
              <w:pStyle w:val="TableContents"/>
              <w:spacing w:before="0" w:after="283"/>
              <w:jc w:val="right"/>
              <w:rPr/>
            </w:pPr>
            <w:r>
              <w:rPr>
                <w:rFonts w:ascii="serif" w:hAnsi="serif"/>
                <w:sz w:val="20"/>
              </w:rPr>
              <w:t>14</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Compensation of Directors</w:t>
            </w:r>
            <w:r>
              <w:rPr/>
              <w:t> </w:t>
            </w:r>
          </w:p>
        </w:tc>
        <w:tc>
          <w:tcPr>
            <w:tcW w:w="322" w:type="dxa"/>
            <w:tcBorders/>
            <w:shd w:fill="C0C0C0" w:val="clear"/>
            <w:vAlign w:val="bottom"/>
          </w:tcPr>
          <w:p>
            <w:pPr>
              <w:pStyle w:val="TableContents"/>
              <w:spacing w:before="0" w:after="283"/>
              <w:jc w:val="right"/>
              <w:rPr/>
            </w:pPr>
            <w:r>
              <w:rPr>
                <w:rFonts w:ascii="serif" w:hAnsi="serif"/>
                <w:sz w:val="20"/>
              </w:rPr>
              <w:t>14</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Corporate Governance</w:t>
            </w:r>
            <w:r>
              <w:rPr/>
              <w:t> </w:t>
            </w:r>
          </w:p>
        </w:tc>
        <w:tc>
          <w:tcPr>
            <w:tcW w:w="322" w:type="dxa"/>
            <w:tcBorders/>
            <w:shd w:fill="auto" w:val="clear"/>
            <w:vAlign w:val="bottom"/>
          </w:tcPr>
          <w:p>
            <w:pPr>
              <w:pStyle w:val="TableContents"/>
              <w:spacing w:before="0" w:after="283"/>
              <w:jc w:val="right"/>
              <w:rPr/>
            </w:pPr>
            <w:r>
              <w:rPr>
                <w:rFonts w:ascii="serif" w:hAnsi="serif"/>
                <w:sz w:val="20"/>
              </w:rPr>
              <w:t>16</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Certain Relationships and Related Party Transactions</w:t>
            </w:r>
            <w:r>
              <w:rPr/>
              <w:t> </w:t>
            </w:r>
          </w:p>
        </w:tc>
        <w:tc>
          <w:tcPr>
            <w:tcW w:w="322" w:type="dxa"/>
            <w:tcBorders/>
            <w:shd w:fill="C0C0C0" w:val="clear"/>
            <w:vAlign w:val="bottom"/>
          </w:tcPr>
          <w:p>
            <w:pPr>
              <w:pStyle w:val="TableContents"/>
              <w:spacing w:before="0" w:after="283"/>
              <w:jc w:val="right"/>
              <w:rPr/>
            </w:pPr>
            <w:r>
              <w:rPr>
                <w:rFonts w:ascii="serif" w:hAnsi="serif"/>
                <w:sz w:val="20"/>
              </w:rPr>
              <w:t>16</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Report of the Audit Committee of the Board of Directors</w:t>
            </w:r>
            <w:r>
              <w:rPr/>
              <w:t> </w:t>
            </w:r>
          </w:p>
        </w:tc>
        <w:tc>
          <w:tcPr>
            <w:tcW w:w="322" w:type="dxa"/>
            <w:tcBorders/>
            <w:shd w:fill="auto" w:val="clear"/>
            <w:vAlign w:val="bottom"/>
          </w:tcPr>
          <w:p>
            <w:pPr>
              <w:pStyle w:val="TableContents"/>
              <w:spacing w:before="0" w:after="283"/>
              <w:jc w:val="right"/>
              <w:rPr/>
            </w:pPr>
            <w:r>
              <w:rPr>
                <w:rFonts w:ascii="serif" w:hAnsi="serif"/>
                <w:sz w:val="20"/>
              </w:rPr>
              <w:t>17</w:t>
            </w:r>
            <w:r>
              <w:rPr/>
              <w:t> </w:t>
            </w:r>
          </w:p>
        </w:tc>
      </w:tr>
      <w:tr>
        <w:trPr/>
        <w:tc>
          <w:tcPr>
            <w:tcW w:w="9883" w:type="dxa"/>
            <w:tcBorders/>
            <w:shd w:fill="C0C0C0" w:val="clear"/>
            <w:vAlign w:val="bottom"/>
          </w:tcPr>
          <w:p>
            <w:pPr>
              <w:pStyle w:val="TableContents"/>
              <w:spacing w:before="0" w:after="283"/>
              <w:jc w:val="left"/>
              <w:rPr/>
            </w:pPr>
            <w:r>
              <w:rPr>
                <w:rFonts w:ascii="serif" w:hAnsi="serif"/>
                <w:sz w:val="20"/>
              </w:rPr>
              <w:t>EXECUTIVE OFFICERS OF OIL-DRI</w:t>
            </w:r>
            <w:r>
              <w:rPr/>
              <w:t> </w:t>
            </w:r>
          </w:p>
        </w:tc>
        <w:tc>
          <w:tcPr>
            <w:tcW w:w="322" w:type="dxa"/>
            <w:tcBorders/>
            <w:shd w:fill="C0C0C0" w:val="clear"/>
            <w:vAlign w:val="bottom"/>
          </w:tcPr>
          <w:p>
            <w:pPr>
              <w:pStyle w:val="TableContents"/>
              <w:spacing w:before="0" w:after="283"/>
              <w:jc w:val="right"/>
              <w:rPr/>
            </w:pPr>
            <w:r>
              <w:rPr>
                <w:rFonts w:ascii="serif" w:hAnsi="serif"/>
                <w:sz w:val="20"/>
              </w:rPr>
              <w:t>19</w:t>
            </w:r>
            <w:r>
              <w:rPr/>
              <w:t> </w:t>
            </w:r>
          </w:p>
        </w:tc>
      </w:tr>
      <w:tr>
        <w:trPr/>
        <w:tc>
          <w:tcPr>
            <w:tcW w:w="9883" w:type="dxa"/>
            <w:tcBorders/>
            <w:shd w:fill="auto" w:val="clear"/>
            <w:vAlign w:val="bottom"/>
          </w:tcPr>
          <w:p>
            <w:pPr>
              <w:pStyle w:val="TableContents"/>
              <w:spacing w:before="0" w:after="283"/>
              <w:jc w:val="left"/>
              <w:rPr/>
            </w:pPr>
            <w:r>
              <w:rPr>
                <w:rFonts w:ascii="serif" w:hAnsi="serif"/>
                <w:sz w:val="20"/>
              </w:rPr>
              <w:t>EXECUTIVE COMPENSATION</w:t>
            </w:r>
            <w:r>
              <w:rPr/>
              <w:t> </w:t>
            </w:r>
          </w:p>
        </w:tc>
        <w:tc>
          <w:tcPr>
            <w:tcW w:w="322" w:type="dxa"/>
            <w:tcBorders/>
            <w:shd w:fill="auto" w:val="clear"/>
            <w:vAlign w:val="bottom"/>
          </w:tcPr>
          <w:p>
            <w:pPr>
              <w:pStyle w:val="TableContents"/>
              <w:spacing w:before="0" w:after="283"/>
              <w:jc w:val="right"/>
              <w:rPr/>
            </w:pPr>
            <w:r>
              <w:rPr>
                <w:rFonts w:ascii="serif" w:hAnsi="serif"/>
                <w:sz w:val="20"/>
              </w:rPr>
              <w:t>20</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Report of the Compensation Committee of the Board of Directors</w:t>
            </w:r>
            <w:r>
              <w:rPr/>
              <w:t> </w:t>
            </w:r>
          </w:p>
        </w:tc>
        <w:tc>
          <w:tcPr>
            <w:tcW w:w="322" w:type="dxa"/>
            <w:tcBorders/>
            <w:shd w:fill="C0C0C0" w:val="clear"/>
            <w:vAlign w:val="bottom"/>
          </w:tcPr>
          <w:p>
            <w:pPr>
              <w:pStyle w:val="TableContents"/>
              <w:spacing w:before="0" w:after="283"/>
              <w:jc w:val="right"/>
              <w:rPr/>
            </w:pPr>
            <w:r>
              <w:rPr>
                <w:rFonts w:ascii="serif" w:hAnsi="serif"/>
                <w:sz w:val="20"/>
              </w:rPr>
              <w:t>20</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Compensation Discussion and Analysis</w:t>
            </w:r>
            <w:r>
              <w:rPr/>
              <w:t> </w:t>
            </w:r>
          </w:p>
        </w:tc>
        <w:tc>
          <w:tcPr>
            <w:tcW w:w="322" w:type="dxa"/>
            <w:tcBorders/>
            <w:shd w:fill="auto" w:val="clear"/>
            <w:vAlign w:val="bottom"/>
          </w:tcPr>
          <w:p>
            <w:pPr>
              <w:pStyle w:val="TableContents"/>
              <w:spacing w:before="0" w:after="283"/>
              <w:jc w:val="right"/>
              <w:rPr/>
            </w:pPr>
            <w:r>
              <w:rPr>
                <w:rFonts w:ascii="serif" w:hAnsi="serif"/>
                <w:sz w:val="20"/>
              </w:rPr>
              <w:t>20</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Tax and Accounting Implications</w:t>
            </w:r>
            <w:r>
              <w:rPr/>
              <w:t> </w:t>
            </w:r>
          </w:p>
        </w:tc>
        <w:tc>
          <w:tcPr>
            <w:tcW w:w="322" w:type="dxa"/>
            <w:tcBorders/>
            <w:shd w:fill="C0C0C0" w:val="clear"/>
            <w:vAlign w:val="bottom"/>
          </w:tcPr>
          <w:p>
            <w:pPr>
              <w:pStyle w:val="TableContents"/>
              <w:spacing w:before="0" w:after="283"/>
              <w:jc w:val="right"/>
              <w:rPr/>
            </w:pPr>
            <w:r>
              <w:rPr>
                <w:rFonts w:ascii="serif" w:hAnsi="serif"/>
                <w:sz w:val="20"/>
              </w:rPr>
              <w:t>27</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Summary Compensation Table</w:t>
            </w:r>
            <w:r>
              <w:rPr/>
              <w:t> </w:t>
            </w:r>
          </w:p>
        </w:tc>
        <w:tc>
          <w:tcPr>
            <w:tcW w:w="322" w:type="dxa"/>
            <w:tcBorders/>
            <w:shd w:fill="auto" w:val="clear"/>
            <w:vAlign w:val="bottom"/>
          </w:tcPr>
          <w:p>
            <w:pPr>
              <w:pStyle w:val="TableContents"/>
              <w:spacing w:before="0" w:after="283"/>
              <w:jc w:val="right"/>
              <w:rPr/>
            </w:pPr>
            <w:r>
              <w:rPr>
                <w:rFonts w:ascii="serif" w:hAnsi="serif"/>
                <w:sz w:val="20"/>
              </w:rPr>
              <w:t>28</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All Other Compensation Table</w:t>
            </w:r>
            <w:r>
              <w:rPr/>
              <w:t> </w:t>
            </w:r>
          </w:p>
        </w:tc>
        <w:tc>
          <w:tcPr>
            <w:tcW w:w="322" w:type="dxa"/>
            <w:tcBorders/>
            <w:shd w:fill="C0C0C0" w:val="clear"/>
            <w:vAlign w:val="bottom"/>
          </w:tcPr>
          <w:p>
            <w:pPr>
              <w:pStyle w:val="TableContents"/>
              <w:spacing w:before="0" w:after="283"/>
              <w:jc w:val="right"/>
              <w:rPr/>
            </w:pPr>
            <w:r>
              <w:rPr>
                <w:rFonts w:ascii="serif" w:hAnsi="serif"/>
                <w:sz w:val="20"/>
              </w:rPr>
              <w:t>29</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Grants of Plan-Based Awards during Fiscal Year 2007</w:t>
            </w:r>
            <w:r>
              <w:rPr/>
              <w:t> </w:t>
            </w:r>
          </w:p>
        </w:tc>
        <w:tc>
          <w:tcPr>
            <w:tcW w:w="322" w:type="dxa"/>
            <w:tcBorders/>
            <w:shd w:fill="auto" w:val="clear"/>
            <w:vAlign w:val="bottom"/>
          </w:tcPr>
          <w:p>
            <w:pPr>
              <w:pStyle w:val="TableContents"/>
              <w:spacing w:before="0" w:after="283"/>
              <w:jc w:val="right"/>
              <w:rPr/>
            </w:pPr>
            <w:r>
              <w:rPr>
                <w:rFonts w:ascii="serif" w:hAnsi="serif"/>
                <w:sz w:val="20"/>
              </w:rPr>
              <w:t>30</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Outstanding Equity Awards at Fiscal 2007 Year-End</w:t>
            </w:r>
            <w:r>
              <w:rPr/>
              <w:t> </w:t>
            </w:r>
          </w:p>
        </w:tc>
        <w:tc>
          <w:tcPr>
            <w:tcW w:w="322" w:type="dxa"/>
            <w:tcBorders/>
            <w:shd w:fill="C0C0C0" w:val="clear"/>
            <w:vAlign w:val="bottom"/>
          </w:tcPr>
          <w:p>
            <w:pPr>
              <w:pStyle w:val="TableContents"/>
              <w:spacing w:before="0" w:after="283"/>
              <w:jc w:val="right"/>
              <w:rPr/>
            </w:pPr>
            <w:r>
              <w:rPr>
                <w:rFonts w:ascii="serif" w:hAnsi="serif"/>
                <w:sz w:val="20"/>
              </w:rPr>
              <w:t>31</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Option Exercises and Stock Vested for Fiscal 2007</w:t>
            </w:r>
            <w:r>
              <w:rPr/>
              <w:t> </w:t>
            </w:r>
          </w:p>
        </w:tc>
        <w:tc>
          <w:tcPr>
            <w:tcW w:w="322" w:type="dxa"/>
            <w:tcBorders/>
            <w:shd w:fill="auto" w:val="clear"/>
            <w:vAlign w:val="bottom"/>
          </w:tcPr>
          <w:p>
            <w:pPr>
              <w:pStyle w:val="TableContents"/>
              <w:spacing w:before="0" w:after="283"/>
              <w:jc w:val="right"/>
              <w:rPr/>
            </w:pPr>
            <w:r>
              <w:rPr>
                <w:rFonts w:ascii="serif" w:hAnsi="serif"/>
                <w:sz w:val="20"/>
              </w:rPr>
              <w:t>32</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Pension Benefits for Fiscal 2007</w:t>
            </w:r>
            <w:r>
              <w:rPr/>
              <w:t> </w:t>
            </w:r>
          </w:p>
        </w:tc>
        <w:tc>
          <w:tcPr>
            <w:tcW w:w="322" w:type="dxa"/>
            <w:tcBorders/>
            <w:shd w:fill="C0C0C0" w:val="clear"/>
            <w:vAlign w:val="bottom"/>
          </w:tcPr>
          <w:p>
            <w:pPr>
              <w:pStyle w:val="TableContents"/>
              <w:spacing w:before="0" w:after="283"/>
              <w:jc w:val="right"/>
              <w:rPr/>
            </w:pPr>
            <w:r>
              <w:rPr>
                <w:rFonts w:ascii="serif" w:hAnsi="serif"/>
                <w:sz w:val="20"/>
              </w:rPr>
              <w:t>32</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Nonqualified Deferred Compensation for Fiscal 2007</w:t>
            </w:r>
            <w:r>
              <w:rPr/>
              <w:t> </w:t>
            </w:r>
          </w:p>
        </w:tc>
        <w:tc>
          <w:tcPr>
            <w:tcW w:w="322" w:type="dxa"/>
            <w:tcBorders/>
            <w:shd w:fill="auto" w:val="clear"/>
            <w:vAlign w:val="bottom"/>
          </w:tcPr>
          <w:p>
            <w:pPr>
              <w:pStyle w:val="TableContents"/>
              <w:spacing w:before="0" w:after="283"/>
              <w:jc w:val="right"/>
              <w:rPr/>
            </w:pPr>
            <w:r>
              <w:rPr>
                <w:rFonts w:ascii="serif" w:hAnsi="serif"/>
                <w:sz w:val="20"/>
              </w:rPr>
              <w:t>34</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Equity Compensation Plans</w:t>
            </w:r>
            <w:r>
              <w:rPr/>
              <w:t> </w:t>
            </w:r>
          </w:p>
        </w:tc>
        <w:tc>
          <w:tcPr>
            <w:tcW w:w="322" w:type="dxa"/>
            <w:tcBorders/>
            <w:shd w:fill="C0C0C0" w:val="clear"/>
            <w:vAlign w:val="bottom"/>
          </w:tcPr>
          <w:p>
            <w:pPr>
              <w:pStyle w:val="TableContents"/>
              <w:spacing w:before="0" w:after="283"/>
              <w:jc w:val="right"/>
              <w:rPr/>
            </w:pPr>
            <w:r>
              <w:rPr>
                <w:rFonts w:ascii="serif" w:hAnsi="serif"/>
                <w:sz w:val="20"/>
              </w:rPr>
              <w:t>35</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Benefits upon Termination or Change in Control</w:t>
            </w:r>
            <w:r>
              <w:rPr/>
              <w:t> </w:t>
            </w:r>
          </w:p>
        </w:tc>
        <w:tc>
          <w:tcPr>
            <w:tcW w:w="322" w:type="dxa"/>
            <w:tcBorders/>
            <w:shd w:fill="auto" w:val="clear"/>
            <w:vAlign w:val="bottom"/>
          </w:tcPr>
          <w:p>
            <w:pPr>
              <w:pStyle w:val="TableContents"/>
              <w:spacing w:before="0" w:after="283"/>
              <w:jc w:val="right"/>
              <w:rPr/>
            </w:pPr>
            <w:r>
              <w:rPr>
                <w:rFonts w:ascii="serif" w:hAnsi="serif"/>
                <w:sz w:val="20"/>
              </w:rPr>
              <w:t>36</w:t>
            </w:r>
            <w:r>
              <w:rPr/>
              <w:t> </w:t>
            </w:r>
          </w:p>
        </w:tc>
      </w:tr>
      <w:tr>
        <w:trPr/>
        <w:tc>
          <w:tcPr>
            <w:tcW w:w="9883" w:type="dxa"/>
            <w:tcBorders/>
            <w:shd w:fill="C0C0C0" w:val="clear"/>
            <w:vAlign w:val="bottom"/>
          </w:tcPr>
          <w:p>
            <w:pPr>
              <w:pStyle w:val="TableContents"/>
              <w:spacing w:before="0" w:after="283"/>
              <w:jc w:val="left"/>
              <w:rPr/>
            </w:pPr>
            <w:r>
              <w:rPr>
                <w:rFonts w:ascii="serif" w:hAnsi="serif"/>
                <w:sz w:val="20"/>
              </w:rPr>
              <w:t>STOCK OWNERSHIP</w:t>
            </w:r>
            <w:r>
              <w:rPr/>
              <w:t> </w:t>
            </w:r>
          </w:p>
        </w:tc>
        <w:tc>
          <w:tcPr>
            <w:tcW w:w="322" w:type="dxa"/>
            <w:tcBorders/>
            <w:shd w:fill="C0C0C0" w:val="clear"/>
            <w:vAlign w:val="bottom"/>
          </w:tcPr>
          <w:p>
            <w:pPr>
              <w:pStyle w:val="TableContents"/>
              <w:spacing w:before="0" w:after="283"/>
              <w:jc w:val="right"/>
              <w:rPr/>
            </w:pPr>
            <w:r>
              <w:rPr>
                <w:rFonts w:ascii="serif" w:hAnsi="serif"/>
                <w:sz w:val="20"/>
              </w:rPr>
              <w:t>38</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Principal Stockholders</w:t>
            </w:r>
            <w:r>
              <w:rPr/>
              <w:t> </w:t>
            </w:r>
          </w:p>
        </w:tc>
        <w:tc>
          <w:tcPr>
            <w:tcW w:w="322" w:type="dxa"/>
            <w:tcBorders/>
            <w:shd w:fill="auto" w:val="clear"/>
            <w:vAlign w:val="bottom"/>
          </w:tcPr>
          <w:p>
            <w:pPr>
              <w:pStyle w:val="TableContents"/>
              <w:spacing w:before="0" w:after="283"/>
              <w:jc w:val="right"/>
              <w:rPr/>
            </w:pPr>
            <w:r>
              <w:rPr>
                <w:rFonts w:ascii="serif" w:hAnsi="serif"/>
                <w:sz w:val="20"/>
              </w:rPr>
              <w:t>38</w:t>
            </w:r>
            <w:r>
              <w:rPr/>
              <w:t> </w:t>
            </w:r>
          </w:p>
        </w:tc>
      </w:tr>
      <w:tr>
        <w:trPr/>
        <w:tc>
          <w:tcPr>
            <w:tcW w:w="9883" w:type="dxa"/>
            <w:tcBorders/>
            <w:shd w:fill="C0C0C0" w:val="clear"/>
            <w:vAlign w:val="bottom"/>
          </w:tcPr>
          <w:p>
            <w:pPr>
              <w:pStyle w:val="TableContents"/>
              <w:spacing w:before="0" w:after="283"/>
              <w:jc w:val="left"/>
              <w:rPr/>
            </w:pPr>
            <w:r>
              <w:rPr/>
              <w:t xml:space="preserve">          </w:t>
            </w:r>
            <w:r>
              <w:rPr>
                <w:rFonts w:ascii="serif" w:hAnsi="serif"/>
                <w:sz w:val="20"/>
              </w:rPr>
              <w:t>Security Ownership of Management</w:t>
            </w:r>
            <w:r>
              <w:rPr/>
              <w:t> </w:t>
            </w:r>
          </w:p>
        </w:tc>
        <w:tc>
          <w:tcPr>
            <w:tcW w:w="322" w:type="dxa"/>
            <w:tcBorders/>
            <w:shd w:fill="C0C0C0" w:val="clear"/>
            <w:vAlign w:val="bottom"/>
          </w:tcPr>
          <w:p>
            <w:pPr>
              <w:pStyle w:val="TableContents"/>
              <w:spacing w:before="0" w:after="283"/>
              <w:jc w:val="right"/>
              <w:rPr/>
            </w:pPr>
            <w:r>
              <w:rPr>
                <w:rFonts w:ascii="serif" w:hAnsi="serif"/>
                <w:sz w:val="20"/>
              </w:rPr>
              <w:t>41</w:t>
            </w:r>
            <w:r>
              <w:rPr/>
              <w:t> </w:t>
            </w:r>
          </w:p>
        </w:tc>
      </w:tr>
      <w:tr>
        <w:trPr/>
        <w:tc>
          <w:tcPr>
            <w:tcW w:w="9883" w:type="dxa"/>
            <w:tcBorders/>
            <w:shd w:fill="auto" w:val="clear"/>
            <w:vAlign w:val="bottom"/>
          </w:tcPr>
          <w:p>
            <w:pPr>
              <w:pStyle w:val="TableContents"/>
              <w:spacing w:before="0" w:after="283"/>
              <w:jc w:val="left"/>
              <w:rPr/>
            </w:pPr>
            <w:r>
              <w:rPr/>
              <w:t xml:space="preserve">          </w:t>
            </w:r>
            <w:r>
              <w:rPr>
                <w:rFonts w:ascii="serif" w:hAnsi="serif"/>
                <w:sz w:val="20"/>
              </w:rPr>
              <w:t>Section 16(a) Beneficial Ownership Reporting Compliance</w:t>
            </w:r>
            <w:r>
              <w:rPr/>
              <w:t> </w:t>
            </w:r>
          </w:p>
        </w:tc>
        <w:tc>
          <w:tcPr>
            <w:tcW w:w="322" w:type="dxa"/>
            <w:tcBorders/>
            <w:shd w:fill="auto" w:val="clear"/>
            <w:vAlign w:val="bottom"/>
          </w:tcPr>
          <w:p>
            <w:pPr>
              <w:pStyle w:val="TableContents"/>
              <w:spacing w:before="0" w:after="283"/>
              <w:jc w:val="right"/>
              <w:rPr/>
            </w:pPr>
            <w:r>
              <w:rPr>
                <w:rFonts w:ascii="serif" w:hAnsi="serif"/>
                <w:sz w:val="20"/>
              </w:rPr>
              <w:t>42</w:t>
            </w:r>
            <w:r>
              <w:rPr/>
              <w:t> </w:t>
            </w:r>
          </w:p>
        </w:tc>
      </w:tr>
    </w:tbl>
    <w:p>
      <w:pPr>
        <w:pStyle w:val="TextBody"/>
        <w:spacing w:before="0" w:after="0"/>
        <w:rPr/>
      </w:pPr>
      <w:r>
        <w:rPr/>
      </w:r>
    </w:p>
    <w:p>
      <w:pPr>
        <w:pStyle w:val="HorizontalLine"/>
        <w:pBdr>
          <w:bottom w:val="single" w:sz="12" w:space="0" w:color="808080"/>
        </w:pBdr>
        <w:rPr/>
      </w:pPr>
      <w:r>
        <w:rPr/>
      </w:r>
    </w:p>
    <w:p>
      <w:pPr>
        <w:pStyle w:val="TextBody"/>
        <w:jc w:val="center"/>
        <w:rPr>
          <w:rFonts w:ascii="serif" w:hAnsi="serif"/>
          <w:b/>
          <w:sz w:val="28"/>
        </w:rPr>
      </w:pPr>
      <w:r>
        <w:rPr>
          <w:rFonts w:ascii="serif" w:hAnsi="serif"/>
          <w:b/>
          <w:sz w:val="28"/>
        </w:rPr>
        <w:t>OIL-DRI CORPORATION OF AMERICA</w:t>
      </w:r>
    </w:p>
    <w:p>
      <w:pPr>
        <w:pStyle w:val="TextBody"/>
        <w:jc w:val="center"/>
        <w:rPr/>
      </w:pPr>
      <w:r>
        <w:rPr>
          <w:rFonts w:ascii="serif" w:hAnsi="serif"/>
          <w:b/>
          <w:sz w:val="28"/>
        </w:rPr>
        <w:t>NOTICE OF ANNUAL MEETING OF STOCKHOLDERS</w:t>
        <w:br/>
      </w:r>
      <w:r>
        <w:rPr>
          <w:rFonts w:ascii="serif" w:hAnsi="serif"/>
          <w:b/>
        </w:rPr>
        <w:t>To be held on December 4, 2007</w:t>
      </w:r>
    </w:p>
    <w:p>
      <w:pPr>
        <w:pStyle w:val="TextBody"/>
        <w:jc w:val="both"/>
        <w:rPr>
          <w:rFonts w:ascii="serif" w:hAnsi="serif"/>
          <w:sz w:val="20"/>
        </w:rPr>
      </w:pPr>
      <w:r>
        <w:rPr>
          <w:rFonts w:ascii="serif" w:hAnsi="serif"/>
          <w:sz w:val="20"/>
        </w:rPr>
        <w:t xml:space="preserve">To the Stockholders of </w:t>
        <w:br/>
        <w:t>Oil-Dri Corporation of America:</w:t>
      </w:r>
    </w:p>
    <w:p>
      <w:pPr>
        <w:pStyle w:val="TextBody"/>
        <w:jc w:val="both"/>
        <w:rPr/>
      </w:pPr>
      <w:r>
        <w:rPr/>
        <w:t xml:space="preserve">      </w:t>
      </w:r>
      <w:r>
        <w:rPr>
          <w:rFonts w:ascii="serif" w:hAnsi="serif"/>
          <w:sz w:val="20"/>
        </w:rPr>
        <w:t>The 2007 Annual Meeting of Stockholders of Oil-Dri Corporation of America, a Delaware corporation, will be held at 9:00 a.m. local time, on December 4, 2007, at The Standard Club, located at 320 South Plymouth Court, Chicago, Illinois, 60604-3802.</w:t>
      </w:r>
    </w:p>
    <w:p>
      <w:pPr>
        <w:pStyle w:val="TextBody"/>
        <w:jc w:val="both"/>
        <w:rPr/>
      </w:pPr>
      <w:r>
        <w:rPr/>
        <w:t xml:space="preserve">      </w:t>
      </w:r>
      <w:r>
        <w:rPr>
          <w:rFonts w:ascii="serif" w:hAnsi="serif"/>
          <w:sz w:val="20"/>
        </w:rPr>
        <w:t>The meeting will be held for the following purposes:</w:t>
      </w:r>
    </w:p>
    <w:tbl>
      <w:tblPr>
        <w:tblW w:w="10205" w:type="dxa"/>
        <w:jc w:val="left"/>
        <w:tblInd w:w="0" w:type="dxa"/>
        <w:tblCellMar>
          <w:top w:w="0" w:type="dxa"/>
          <w:left w:w="0" w:type="dxa"/>
          <w:bottom w:w="0" w:type="dxa"/>
          <w:right w:w="0" w:type="dxa"/>
        </w:tblCellMar>
      </w:tblPr>
      <w:tblGrid>
        <w:gridCol w:w="360"/>
        <w:gridCol w:w="200"/>
        <w:gridCol w:w="360"/>
        <w:gridCol w:w="9285"/>
      </w:tblGrid>
      <w:tr>
        <w:trPr/>
        <w:tc>
          <w:tcPr>
            <w:tcW w:w="360" w:type="dxa"/>
            <w:tcBorders/>
            <w:shd w:fill="auto" w:val="clear"/>
          </w:tcPr>
          <w:p>
            <w:pPr>
              <w:pStyle w:val="TableContents"/>
              <w:spacing w:before="0" w:after="283"/>
              <w:rPr/>
            </w:pPr>
            <w:r>
              <w:rPr/>
              <w:t>      </w:t>
            </w:r>
          </w:p>
        </w:tc>
        <w:tc>
          <w:tcPr>
            <w:tcW w:w="200" w:type="dxa"/>
            <w:tcBorders/>
            <w:shd w:fill="auto" w:val="clear"/>
          </w:tcPr>
          <w:p>
            <w:pPr>
              <w:pStyle w:val="TableContents"/>
              <w:spacing w:before="0" w:after="283"/>
              <w:rPr>
                <w:rFonts w:ascii="serif" w:hAnsi="serif"/>
                <w:sz w:val="20"/>
              </w:rPr>
            </w:pPr>
            <w:r>
              <w:rPr>
                <w:rFonts w:ascii="serif" w:hAnsi="serif"/>
                <w:sz w:val="20"/>
              </w:rPr>
              <w:t>1.</w:t>
            </w:r>
          </w:p>
        </w:tc>
        <w:tc>
          <w:tcPr>
            <w:tcW w:w="360" w:type="dxa"/>
            <w:tcBorders/>
            <w:shd w:fill="auto" w:val="clear"/>
          </w:tcPr>
          <w:p>
            <w:pPr>
              <w:pStyle w:val="TableContents"/>
              <w:spacing w:before="0" w:after="283"/>
              <w:rPr/>
            </w:pPr>
            <w:r>
              <w:rPr/>
              <w:t>      </w:t>
            </w:r>
          </w:p>
        </w:tc>
        <w:tc>
          <w:tcPr>
            <w:tcW w:w="9285" w:type="dxa"/>
            <w:tcBorders/>
            <w:shd w:fill="auto" w:val="clear"/>
            <w:vAlign w:val="center"/>
          </w:tcPr>
          <w:p>
            <w:pPr>
              <w:pStyle w:val="TableContents"/>
              <w:spacing w:before="0" w:after="283"/>
              <w:jc w:val="both"/>
              <w:rPr>
                <w:rFonts w:ascii="serif" w:hAnsi="serif"/>
                <w:sz w:val="20"/>
              </w:rPr>
            </w:pPr>
            <w:r>
              <w:rPr>
                <w:rFonts w:ascii="serif" w:hAnsi="serif"/>
                <w:sz w:val="20"/>
              </w:rPr>
              <w:t>To elect eight directors;</w:t>
            </w:r>
          </w:p>
        </w:tc>
      </w:tr>
      <w:tr>
        <w:trPr/>
        <w:tc>
          <w:tcPr>
            <w:tcW w:w="360" w:type="dxa"/>
            <w:tcBorders/>
            <w:shd w:fill="auto" w:val="clear"/>
            <w:vAlign w:val="center"/>
          </w:tcPr>
          <w:p>
            <w:pPr>
              <w:pStyle w:val="TableContents"/>
              <w:spacing w:before="0" w:after="283"/>
              <w:rPr>
                <w:sz w:val="4"/>
                <w:szCs w:val="4"/>
              </w:rPr>
            </w:pPr>
            <w:r>
              <w:rPr>
                <w:sz w:val="4"/>
                <w:szCs w:val="4"/>
              </w:rPr>
            </w:r>
          </w:p>
        </w:tc>
        <w:tc>
          <w:tcPr>
            <w:tcW w:w="9845" w:type="dxa"/>
            <w:gridSpan w:val="3"/>
            <w:tcBorders/>
            <w:shd w:fill="auto" w:val="clear"/>
            <w:vAlign w:val="center"/>
          </w:tcPr>
          <w:p>
            <w:pPr>
              <w:pStyle w:val="TableContents"/>
              <w:spacing w:before="0" w:after="283"/>
              <w:rPr/>
            </w:pPr>
            <w:r>
              <w:rPr/>
              <w:t> </w:t>
            </w:r>
          </w:p>
        </w:tc>
      </w:tr>
      <w:tr>
        <w:trPr/>
        <w:tc>
          <w:tcPr>
            <w:tcW w:w="360" w:type="dxa"/>
            <w:tcBorders/>
            <w:shd w:fill="auto" w:val="clear"/>
          </w:tcPr>
          <w:p>
            <w:pPr>
              <w:pStyle w:val="TableContents"/>
              <w:spacing w:before="0" w:after="283"/>
              <w:rPr>
                <w:sz w:val="4"/>
                <w:szCs w:val="4"/>
              </w:rPr>
            </w:pPr>
            <w:r>
              <w:rPr>
                <w:sz w:val="4"/>
                <w:szCs w:val="4"/>
              </w:rPr>
            </w:r>
          </w:p>
        </w:tc>
        <w:tc>
          <w:tcPr>
            <w:tcW w:w="200" w:type="dxa"/>
            <w:tcBorders/>
            <w:shd w:fill="auto" w:val="clear"/>
          </w:tcPr>
          <w:p>
            <w:pPr>
              <w:pStyle w:val="TableContents"/>
              <w:spacing w:before="0" w:after="283"/>
              <w:rPr>
                <w:rFonts w:ascii="serif" w:hAnsi="serif"/>
                <w:sz w:val="20"/>
              </w:rPr>
            </w:pPr>
            <w:r>
              <w:rPr>
                <w:rFonts w:ascii="serif" w:hAnsi="serif"/>
                <w:sz w:val="20"/>
              </w:rPr>
              <w:t>2.</w:t>
            </w:r>
          </w:p>
        </w:tc>
        <w:tc>
          <w:tcPr>
            <w:tcW w:w="360" w:type="dxa"/>
            <w:tcBorders/>
            <w:shd w:fill="auto" w:val="clear"/>
          </w:tcPr>
          <w:p>
            <w:pPr>
              <w:pStyle w:val="TableContents"/>
              <w:spacing w:before="0" w:after="283"/>
              <w:rPr>
                <w:sz w:val="4"/>
                <w:szCs w:val="4"/>
              </w:rPr>
            </w:pPr>
            <w:r>
              <w:rPr>
                <w:sz w:val="4"/>
                <w:szCs w:val="4"/>
              </w:rPr>
            </w:r>
          </w:p>
        </w:tc>
        <w:tc>
          <w:tcPr>
            <w:tcW w:w="9285" w:type="dxa"/>
            <w:tcBorders/>
            <w:shd w:fill="auto" w:val="clear"/>
            <w:vAlign w:val="center"/>
          </w:tcPr>
          <w:p>
            <w:pPr>
              <w:pStyle w:val="TableContents"/>
              <w:spacing w:before="0" w:after="283"/>
              <w:jc w:val="both"/>
              <w:rPr>
                <w:rFonts w:ascii="serif" w:hAnsi="serif"/>
                <w:sz w:val="20"/>
              </w:rPr>
            </w:pPr>
            <w:r>
              <w:rPr>
                <w:rFonts w:ascii="serif" w:hAnsi="serif"/>
                <w:sz w:val="20"/>
              </w:rPr>
              <w:t>To ratify the appointment of PricewaterhouseCoopers LLP as the Companys independent auditor for the fiscal year ending July 31, 2008; and</w:t>
            </w:r>
          </w:p>
        </w:tc>
      </w:tr>
      <w:tr>
        <w:trPr/>
        <w:tc>
          <w:tcPr>
            <w:tcW w:w="360" w:type="dxa"/>
            <w:tcBorders/>
            <w:shd w:fill="auto" w:val="clear"/>
            <w:vAlign w:val="center"/>
          </w:tcPr>
          <w:p>
            <w:pPr>
              <w:pStyle w:val="TableContents"/>
              <w:spacing w:before="0" w:after="283"/>
              <w:rPr>
                <w:sz w:val="4"/>
                <w:szCs w:val="4"/>
              </w:rPr>
            </w:pPr>
            <w:r>
              <w:rPr>
                <w:sz w:val="4"/>
                <w:szCs w:val="4"/>
              </w:rPr>
            </w:r>
          </w:p>
        </w:tc>
        <w:tc>
          <w:tcPr>
            <w:tcW w:w="9845" w:type="dxa"/>
            <w:gridSpan w:val="3"/>
            <w:tcBorders/>
            <w:shd w:fill="auto" w:val="clear"/>
            <w:vAlign w:val="center"/>
          </w:tcPr>
          <w:p>
            <w:pPr>
              <w:pStyle w:val="TableContents"/>
              <w:spacing w:before="0" w:after="283"/>
              <w:rPr/>
            </w:pPr>
            <w:r>
              <w:rPr/>
              <w:t> </w:t>
            </w:r>
          </w:p>
        </w:tc>
      </w:tr>
      <w:tr>
        <w:trPr/>
        <w:tc>
          <w:tcPr>
            <w:tcW w:w="360" w:type="dxa"/>
            <w:tcBorders/>
            <w:shd w:fill="auto" w:val="clear"/>
          </w:tcPr>
          <w:p>
            <w:pPr>
              <w:pStyle w:val="TableContents"/>
              <w:spacing w:before="0" w:after="283"/>
              <w:rPr>
                <w:sz w:val="4"/>
                <w:szCs w:val="4"/>
              </w:rPr>
            </w:pPr>
            <w:r>
              <w:rPr>
                <w:sz w:val="4"/>
                <w:szCs w:val="4"/>
              </w:rPr>
            </w:r>
          </w:p>
        </w:tc>
        <w:tc>
          <w:tcPr>
            <w:tcW w:w="200" w:type="dxa"/>
            <w:tcBorders/>
            <w:shd w:fill="auto" w:val="clear"/>
          </w:tcPr>
          <w:p>
            <w:pPr>
              <w:pStyle w:val="TableContents"/>
              <w:spacing w:before="0" w:after="283"/>
              <w:rPr>
                <w:rFonts w:ascii="serif" w:hAnsi="serif"/>
                <w:sz w:val="20"/>
              </w:rPr>
            </w:pPr>
            <w:r>
              <w:rPr>
                <w:rFonts w:ascii="serif" w:hAnsi="serif"/>
                <w:sz w:val="20"/>
              </w:rPr>
              <w:t>3.</w:t>
            </w:r>
          </w:p>
        </w:tc>
        <w:tc>
          <w:tcPr>
            <w:tcW w:w="360" w:type="dxa"/>
            <w:tcBorders/>
            <w:shd w:fill="auto" w:val="clear"/>
          </w:tcPr>
          <w:p>
            <w:pPr>
              <w:pStyle w:val="TableContents"/>
              <w:spacing w:before="0" w:after="283"/>
              <w:rPr>
                <w:sz w:val="4"/>
                <w:szCs w:val="4"/>
              </w:rPr>
            </w:pPr>
            <w:r>
              <w:rPr>
                <w:sz w:val="4"/>
                <w:szCs w:val="4"/>
              </w:rPr>
            </w:r>
          </w:p>
        </w:tc>
        <w:tc>
          <w:tcPr>
            <w:tcW w:w="9285" w:type="dxa"/>
            <w:tcBorders/>
            <w:shd w:fill="auto" w:val="clear"/>
            <w:vAlign w:val="center"/>
          </w:tcPr>
          <w:p>
            <w:pPr>
              <w:pStyle w:val="TableContents"/>
              <w:spacing w:before="0" w:after="283"/>
              <w:jc w:val="both"/>
              <w:rPr>
                <w:rFonts w:ascii="serif" w:hAnsi="serif"/>
                <w:sz w:val="20"/>
              </w:rPr>
            </w:pPr>
            <w:r>
              <w:rPr>
                <w:rFonts w:ascii="serif" w:hAnsi="serif"/>
                <w:sz w:val="20"/>
              </w:rPr>
              <w:t>To transact such other business as may properly come before the meeting and any adjournment thereof.</w:t>
            </w:r>
          </w:p>
        </w:tc>
      </w:tr>
    </w:tbl>
    <w:p>
      <w:pPr>
        <w:pStyle w:val="TextBody"/>
        <w:jc w:val="both"/>
        <w:rPr/>
      </w:pPr>
      <w:r>
        <w:rPr/>
        <w:t xml:space="preserve">      </w:t>
      </w:r>
      <w:r>
        <w:rPr>
          <w:rFonts w:ascii="serif" w:hAnsi="serif"/>
          <w:sz w:val="20"/>
        </w:rPr>
        <w:t>The Board of Directors has determined that only holders of record of outstanding shares of Common Stock and Class B Stock at the close of business on October 10, 2007, are entitled to notice of, and to vote at, the meeting and any adjournment thereof.</w:t>
      </w:r>
    </w:p>
    <w:p>
      <w:pPr>
        <w:pStyle w:val="TextBody"/>
        <w:jc w:val="both"/>
        <w:rPr/>
      </w:pPr>
      <w:r>
        <w:rPr/>
        <w:t xml:space="preserve">      </w:t>
      </w:r>
      <w:r>
        <w:rPr>
          <w:rFonts w:ascii="serif" w:hAnsi="serif"/>
          <w:sz w:val="20"/>
        </w:rPr>
        <w:t>Your vote is very important. Whether or not you intend to be present at the meeting, you are encouraged to vote. Please follow the instructions on the enclosed proxy card for voting by Internet, telephone or mail.</w:t>
      </w:r>
    </w:p>
    <w:p>
      <w:pPr>
        <w:pStyle w:val="TextBody"/>
        <w:jc w:val="both"/>
        <w:rPr/>
      </w:pPr>
      <w:r>
        <w:rPr/>
        <w:t xml:space="preserve">      </w:t>
      </w:r>
      <w:r>
        <w:rPr>
          <w:rFonts w:ascii="serif" w:hAnsi="serif"/>
          <w:sz w:val="20"/>
        </w:rPr>
        <w:t>For further information relating to the meeting, please see the following pages.</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By Order of the Board of Directors,</w:t>
            </w:r>
            <w:r>
              <w:rPr/>
              <w:t> </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left"/>
              <w:rPr/>
            </w:pPr>
            <w:r>
              <w:rPr/>
              <w:drawing>
                <wp:inline distT="0" distB="0" distL="0" distR="0">
                  <wp:extent cx="27527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52725" cy="390525"/>
                          </a:xfrm>
                          <a:prstGeom prst="rect">
                            <a:avLst/>
                          </a:prstGeom>
                        </pic:spPr>
                      </pic:pic>
                    </a:graphicData>
                  </a:graphic>
                </wp:inline>
              </w:drawing>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left"/>
              <w:rPr>
                <w:sz w:val="20"/>
              </w:rPr>
            </w:pPr>
            <w:r>
              <w:rPr>
                <w:sz w:val="20"/>
              </w:rPr>
              <w:t>CHARLES P. BRISSMAN</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jc w:val="left"/>
              <w:rPr>
                <w:i/>
                <w:sz w:val="20"/>
              </w:rPr>
            </w:pPr>
            <w:r>
              <w:rPr>
                <w:i/>
                <w:sz w:val="20"/>
              </w:rPr>
              <w:t>Secretary</w:t>
            </w:r>
          </w:p>
        </w:tc>
      </w:tr>
    </w:tbl>
    <w:p>
      <w:pPr>
        <w:pStyle w:val="TextBody"/>
        <w:jc w:val="left"/>
        <w:rPr>
          <w:rFonts w:ascii="serif" w:hAnsi="serif"/>
          <w:sz w:val="20"/>
        </w:rPr>
      </w:pPr>
      <w:r>
        <w:rPr>
          <w:rFonts w:ascii="serif" w:hAnsi="serif"/>
          <w:sz w:val="20"/>
        </w:rPr>
        <w:t>Chicago, Illinois</w:t>
        <w:br/>
        <w:t>October 31, 2007</w:t>
      </w:r>
    </w:p>
    <w:p>
      <w:pPr>
        <w:pStyle w:val="TextBody"/>
        <w:jc w:val="center"/>
        <w:rPr>
          <w:rFonts w:ascii="serif" w:hAnsi="serif"/>
          <w:sz w:val="20"/>
        </w:rPr>
      </w:pPr>
      <w:r>
        <w:rPr>
          <w:rFonts w:ascii="serif" w:hAnsi="serif"/>
          <w:sz w:val="20"/>
        </w:rPr>
        <w:t>i</w:t>
      </w:r>
    </w:p>
    <w:p>
      <w:pPr>
        <w:pStyle w:val="HorizontalLine"/>
        <w:pBdr>
          <w:bottom w:val="single" w:sz="12" w:space="0" w:color="808080"/>
        </w:pBdr>
        <w:rPr/>
      </w:pPr>
      <w:r>
        <w:rPr/>
      </w:r>
    </w:p>
    <w:p>
      <w:pPr>
        <w:pStyle w:val="TextBody"/>
        <w:jc w:val="center"/>
        <w:rPr>
          <w:rFonts w:ascii="serif" w:hAnsi="serif"/>
          <w:b/>
          <w:sz w:val="28"/>
        </w:rPr>
      </w:pPr>
      <w:r>
        <w:rPr>
          <w:rFonts w:ascii="serif" w:hAnsi="serif"/>
          <w:b/>
          <w:sz w:val="28"/>
        </w:rPr>
        <w:t>OIL-DRI CORPORATION OF AMERICA</w:t>
      </w:r>
    </w:p>
    <w:p>
      <w:pPr>
        <w:pStyle w:val="TextBody"/>
        <w:jc w:val="center"/>
        <w:rPr/>
      </w:pPr>
      <w:r>
        <w:rPr>
          <w:rFonts w:ascii="serif" w:hAnsi="serif"/>
          <w:b/>
        </w:rPr>
        <w:t>410 North Michigan Avenue</w:t>
        <w:br/>
        <w:t>Suite 400</w:t>
        <w:br/>
        <w:t xml:space="preserve">Chicago, Illinois 60611-4213 </w:t>
        <w:br/>
      </w:r>
      <w:r>
        <w:rPr>
          <w:rFonts w:ascii="serif" w:hAnsi="serif"/>
          <w:b/>
          <w:sz w:val="28"/>
        </w:rPr>
        <w:t>______________</w:t>
        <w:br/>
        <w:t> </w:t>
        <w:br/>
        <w:t>PROXY STATEMENT</w:t>
      </w:r>
      <w:r>
        <w:rPr/>
        <w:t xml:space="preserve"> </w:t>
      </w:r>
      <w:r>
        <w:rPr>
          <w:rFonts w:ascii="serif" w:hAnsi="serif"/>
          <w:sz w:val="20"/>
        </w:rPr>
        <w:br/>
      </w:r>
      <w:r>
        <w:rPr>
          <w:rFonts w:ascii="serif" w:hAnsi="serif"/>
          <w:b/>
          <w:sz w:val="28"/>
        </w:rPr>
        <w:t>______________</w:t>
      </w:r>
    </w:p>
    <w:p>
      <w:pPr>
        <w:pStyle w:val="TextBody"/>
        <w:jc w:val="center"/>
        <w:rPr>
          <w:rFonts w:ascii="serif" w:hAnsi="serif"/>
          <w:b/>
        </w:rPr>
      </w:pPr>
      <w:r>
        <w:rPr>
          <w:rFonts w:ascii="serif" w:hAnsi="serif"/>
          <w:b/>
        </w:rPr>
        <w:t>GENERAL</w:t>
      </w:r>
    </w:p>
    <w:p>
      <w:pPr>
        <w:pStyle w:val="TextBody"/>
        <w:jc w:val="both"/>
        <w:rPr/>
      </w:pPr>
      <w:r>
        <w:rPr/>
        <w:t xml:space="preserve">      </w:t>
      </w:r>
      <w:r>
        <w:rPr>
          <w:rFonts w:ascii="serif" w:hAnsi="serif"/>
          <w:sz w:val="20"/>
        </w:rPr>
        <w:t>We are mailing you this Proxy Statement and the accompanying proxy for the first time on or about October 31, 2007. The Board of Directors is soliciting your vote to use at the 2007 Annual Meeting of Stockholders, notice of which accompanies this Proxy Statement, and at any adjournment of the meeting. Whenever we refer in the Proxy Statement to the Annual Meeting, we are also referring to any meeting that results from an adjournment of the Annual Meeting.</w:t>
      </w:r>
    </w:p>
    <w:p>
      <w:pPr>
        <w:pStyle w:val="TextBody"/>
        <w:jc w:val="center"/>
        <w:rPr>
          <w:rFonts w:ascii="serif" w:hAnsi="serif"/>
          <w:b/>
          <w:sz w:val="28"/>
        </w:rPr>
      </w:pPr>
      <w:r>
        <w:rPr>
          <w:rFonts w:ascii="serif" w:hAnsi="serif"/>
          <w:b/>
          <w:sz w:val="28"/>
        </w:rPr>
        <w:t>Commonly Asked Questions and Answers About the Proxy Statement and the</w:t>
        <w:br/>
        <w:t>Annual Meeting</w:t>
      </w:r>
    </w:p>
    <w:p>
      <w:pPr>
        <w:pStyle w:val="TextBody"/>
        <w:jc w:val="both"/>
        <w:rPr>
          <w:rFonts w:ascii="serif" w:hAnsi="serif"/>
          <w:b/>
          <w:sz w:val="20"/>
        </w:rPr>
      </w:pPr>
      <w:r>
        <w:rPr>
          <w:rFonts w:ascii="serif" w:hAnsi="serif"/>
          <w:b/>
          <w:sz w:val="20"/>
        </w:rPr>
        <w:t>1. Who is entitled to vote at the 2007 Annual Meeting?</w:t>
      </w:r>
    </w:p>
    <w:p>
      <w:pPr>
        <w:pStyle w:val="TextBody"/>
        <w:jc w:val="both"/>
        <w:rPr>
          <w:rFonts w:ascii="serif" w:hAnsi="serif"/>
          <w:sz w:val="20"/>
        </w:rPr>
      </w:pPr>
      <w:r>
        <w:rPr>
          <w:rFonts w:ascii="serif" w:hAnsi="serif"/>
          <w:sz w:val="20"/>
        </w:rPr>
        <w:t>Oil-Dris Board of Directors has established the close of business on October 10, 2007, as the record date for the 2007 Annual Meeting of Stockholders. Only stockholders of record at the close of business on the record date are entitled to receive this notice and to vote at the 2007 Annual Meeting.</w:t>
      </w:r>
    </w:p>
    <w:p>
      <w:pPr>
        <w:pStyle w:val="TextBody"/>
        <w:jc w:val="both"/>
        <w:rPr>
          <w:rFonts w:ascii="serif" w:hAnsi="serif"/>
          <w:sz w:val="20"/>
        </w:rPr>
      </w:pPr>
      <w:r>
        <w:rPr>
          <w:rFonts w:ascii="serif" w:hAnsi="serif"/>
          <w:sz w:val="20"/>
        </w:rPr>
        <w:t>Holders of Common Stock are entitled to one vote per share and holders of Class B Stock are entitled to 10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Common Stock or Class B Stock requires the separate approval of the affected class as well as the approval of both classes voting together). Holders of Class B Stock are entitled to convert any and all of such stock into Common Stock on a share-for-share basis at any time and are subject to mandatory conversion under certain circumstances. As of the record date, 5,019,595 shares of Common Stock and 1,909,797 shares of Class B Stock were outstanding.</w:t>
      </w:r>
    </w:p>
    <w:p>
      <w:pPr>
        <w:pStyle w:val="TextBody"/>
        <w:jc w:val="both"/>
        <w:rPr>
          <w:rFonts w:ascii="serif" w:hAnsi="serif"/>
          <w:b/>
          <w:sz w:val="20"/>
        </w:rPr>
      </w:pPr>
      <w:r>
        <w:rPr>
          <w:rFonts w:ascii="serif" w:hAnsi="serif"/>
          <w:b/>
          <w:sz w:val="20"/>
        </w:rPr>
        <w:t>2. What proposals are being voted on at the 2007 Annual Meeting?</w:t>
      </w:r>
    </w:p>
    <w:p>
      <w:pPr>
        <w:pStyle w:val="TextBody"/>
        <w:jc w:val="both"/>
        <w:rPr>
          <w:rFonts w:ascii="serif" w:hAnsi="serif"/>
          <w:sz w:val="20"/>
        </w:rPr>
      </w:pPr>
      <w:r>
        <w:rPr>
          <w:rFonts w:ascii="serif" w:hAnsi="serif"/>
          <w:sz w:val="20"/>
        </w:rPr>
        <w:t>Stockholders are being asked to vote upon the following items of business at the 2007 Annual Meeting:</w:t>
      </w:r>
    </w:p>
    <w:tbl>
      <w:tblPr>
        <w:tblW w:w="10205" w:type="dxa"/>
        <w:jc w:val="left"/>
        <w:tblInd w:w="0" w:type="dxa"/>
        <w:tblCellMar>
          <w:top w:w="0" w:type="dxa"/>
          <w:left w:w="0" w:type="dxa"/>
          <w:bottom w:w="0" w:type="dxa"/>
          <w:right w:w="0" w:type="dxa"/>
        </w:tblCellMar>
      </w:tblPr>
      <w:tblGrid>
        <w:gridCol w:w="300"/>
        <w:gridCol w:w="200"/>
        <w:gridCol w:w="300"/>
        <w:gridCol w:w="9405"/>
      </w:tblGrid>
      <w:tr>
        <w:trPr/>
        <w:tc>
          <w:tcPr>
            <w:tcW w:w="300" w:type="dxa"/>
            <w:tcBorders/>
            <w:shd w:fill="auto" w:val="clear"/>
          </w:tcPr>
          <w:p>
            <w:pPr>
              <w:pStyle w:val="TableContents"/>
              <w:spacing w:before="0" w:after="283"/>
              <w:rPr/>
            </w:pPr>
            <w:r>
              <w:rPr/>
              <w:t>     </w:t>
            </w:r>
          </w:p>
        </w:tc>
        <w:tc>
          <w:tcPr>
            <w:tcW w:w="200" w:type="dxa"/>
            <w:tcBorders/>
            <w:shd w:fill="auto" w:val="clear"/>
          </w:tcPr>
          <w:p>
            <w:pPr>
              <w:pStyle w:val="TableContents"/>
              <w:spacing w:before="0" w:after="283"/>
              <w:rPr>
                <w:rFonts w:ascii="serif" w:hAnsi="serif"/>
                <w:sz w:val="20"/>
              </w:rPr>
            </w:pPr>
            <w:r>
              <w:rPr>
                <w:rFonts w:ascii="serif" w:hAnsi="serif"/>
                <w:sz w:val="20"/>
              </w:rPr>
              <w:t>1.</w:t>
            </w:r>
          </w:p>
        </w:tc>
        <w:tc>
          <w:tcPr>
            <w:tcW w:w="300" w:type="dxa"/>
            <w:tcBorders/>
            <w:shd w:fill="auto" w:val="clear"/>
          </w:tcPr>
          <w:p>
            <w:pPr>
              <w:pStyle w:val="TableContents"/>
              <w:spacing w:before="0" w:after="283"/>
              <w:rPr/>
            </w:pPr>
            <w:r>
              <w:rPr/>
              <w:t>     </w:t>
            </w:r>
          </w:p>
        </w:tc>
        <w:tc>
          <w:tcPr>
            <w:tcW w:w="9405" w:type="dxa"/>
            <w:tcBorders/>
            <w:shd w:fill="auto" w:val="clear"/>
            <w:vAlign w:val="center"/>
          </w:tcPr>
          <w:p>
            <w:pPr>
              <w:pStyle w:val="TableContents"/>
              <w:spacing w:before="0" w:after="283"/>
              <w:jc w:val="both"/>
              <w:rPr>
                <w:rFonts w:ascii="serif" w:hAnsi="serif"/>
                <w:sz w:val="20"/>
              </w:rPr>
            </w:pPr>
            <w:r>
              <w:rPr>
                <w:rFonts w:ascii="serif" w:hAnsi="serif"/>
                <w:sz w:val="20"/>
              </w:rPr>
              <w:t>the election of eight directors, each to hold office for a one-year term ending at our 2008 Annual Meeting;</w:t>
            </w:r>
          </w:p>
        </w:tc>
      </w:tr>
      <w:tr>
        <w:trPr/>
        <w:tc>
          <w:tcPr>
            <w:tcW w:w="300" w:type="dxa"/>
            <w:tcBorders/>
            <w:shd w:fill="auto" w:val="clear"/>
            <w:vAlign w:val="center"/>
          </w:tcPr>
          <w:p>
            <w:pPr>
              <w:pStyle w:val="TableContents"/>
              <w:spacing w:before="0" w:after="283"/>
              <w:rPr>
                <w:sz w:val="4"/>
                <w:szCs w:val="4"/>
              </w:rPr>
            </w:pPr>
            <w:r>
              <w:rPr>
                <w:sz w:val="4"/>
                <w:szCs w:val="4"/>
              </w:rPr>
            </w:r>
          </w:p>
        </w:tc>
        <w:tc>
          <w:tcPr>
            <w:tcW w:w="9905" w:type="dxa"/>
            <w:gridSpan w:val="3"/>
            <w:tcBorders/>
            <w:shd w:fill="auto" w:val="clear"/>
            <w:vAlign w:val="center"/>
          </w:tcPr>
          <w:p>
            <w:pPr>
              <w:pStyle w:val="TableContents"/>
              <w:spacing w:before="0" w:after="283"/>
              <w:rPr/>
            </w:pPr>
            <w:r>
              <w:rPr/>
              <w:t> </w:t>
            </w:r>
          </w:p>
        </w:tc>
      </w:tr>
      <w:tr>
        <w:trPr/>
        <w:tc>
          <w:tcPr>
            <w:tcW w:w="300" w:type="dxa"/>
            <w:tcBorders/>
            <w:shd w:fill="auto" w:val="clear"/>
          </w:tcPr>
          <w:p>
            <w:pPr>
              <w:pStyle w:val="TableContents"/>
              <w:spacing w:before="0" w:after="283"/>
              <w:rPr>
                <w:sz w:val="4"/>
                <w:szCs w:val="4"/>
              </w:rPr>
            </w:pPr>
            <w:r>
              <w:rPr>
                <w:sz w:val="4"/>
                <w:szCs w:val="4"/>
              </w:rPr>
            </w:r>
          </w:p>
        </w:tc>
        <w:tc>
          <w:tcPr>
            <w:tcW w:w="200" w:type="dxa"/>
            <w:tcBorders/>
            <w:shd w:fill="auto" w:val="clear"/>
          </w:tcPr>
          <w:p>
            <w:pPr>
              <w:pStyle w:val="TableContents"/>
              <w:spacing w:before="0" w:after="283"/>
              <w:rPr>
                <w:rFonts w:ascii="serif" w:hAnsi="serif"/>
                <w:sz w:val="20"/>
              </w:rPr>
            </w:pPr>
            <w:r>
              <w:rPr>
                <w:rFonts w:ascii="serif" w:hAnsi="serif"/>
                <w:sz w:val="20"/>
              </w:rPr>
              <w:t>2.</w:t>
            </w:r>
          </w:p>
        </w:tc>
        <w:tc>
          <w:tcPr>
            <w:tcW w:w="300" w:type="dxa"/>
            <w:tcBorders/>
            <w:shd w:fill="auto" w:val="clear"/>
          </w:tcPr>
          <w:p>
            <w:pPr>
              <w:pStyle w:val="TableContents"/>
              <w:spacing w:before="0" w:after="283"/>
              <w:rPr>
                <w:sz w:val="4"/>
                <w:szCs w:val="4"/>
              </w:rPr>
            </w:pPr>
            <w:r>
              <w:rPr>
                <w:sz w:val="4"/>
                <w:szCs w:val="4"/>
              </w:rPr>
            </w:r>
          </w:p>
        </w:tc>
        <w:tc>
          <w:tcPr>
            <w:tcW w:w="9405" w:type="dxa"/>
            <w:tcBorders/>
            <w:shd w:fill="auto" w:val="clear"/>
            <w:vAlign w:val="center"/>
          </w:tcPr>
          <w:p>
            <w:pPr>
              <w:pStyle w:val="TableContents"/>
              <w:spacing w:before="0" w:after="283"/>
              <w:jc w:val="both"/>
              <w:rPr>
                <w:rFonts w:ascii="serif" w:hAnsi="serif"/>
                <w:sz w:val="20"/>
              </w:rPr>
            </w:pPr>
            <w:r>
              <w:rPr>
                <w:rFonts w:ascii="serif" w:hAnsi="serif"/>
                <w:sz w:val="20"/>
              </w:rPr>
              <w:t>the ratification of the appointment of PricewaterhouseCoopers LLP as our independent auditor for the fiscal year ending July 31, 2008;</w:t>
            </w:r>
          </w:p>
        </w:tc>
      </w:tr>
    </w:tbl>
    <w:p>
      <w:pPr>
        <w:pStyle w:val="TextBody"/>
        <w:jc w:val="both"/>
        <w:rPr>
          <w:rFonts w:ascii="serif" w:hAnsi="serif"/>
          <w:sz w:val="20"/>
        </w:rPr>
      </w:pPr>
      <w:r>
        <w:rPr>
          <w:rFonts w:ascii="serif" w:hAnsi="serif"/>
          <w:sz w:val="20"/>
        </w:rPr>
        <w:t>and to transact such other business as may properly come before the meeting and any adjournment thereof.</w:t>
      </w:r>
    </w:p>
    <w:p>
      <w:pPr>
        <w:pStyle w:val="TextBody"/>
        <w:jc w:val="both"/>
        <w:rPr>
          <w:rFonts w:ascii="serif" w:hAnsi="serif"/>
          <w:sz w:val="20"/>
        </w:rPr>
      </w:pPr>
      <w:r>
        <w:rPr>
          <w:rFonts w:ascii="serif" w:hAnsi="serif"/>
          <w:sz w:val="20"/>
        </w:rPr>
        <w:t>The Board of Directors knows of no other items of business that will be presented for consideration at the Annual Meeting other than those described in this Proxy Statement. In addition, no stockholder proposal or nomination was received prior to the deadline specified in our Amended and Restated By-Laws, so no such matters may be brought to a vote at the Annual Meeting.</w:t>
      </w:r>
    </w:p>
    <w:p>
      <w:pPr>
        <w:pStyle w:val="TextBody"/>
        <w:jc w:val="center"/>
        <w:rPr>
          <w:rFonts w:ascii="serif" w:hAnsi="serif"/>
          <w:sz w:val="20"/>
        </w:rPr>
      </w:pPr>
      <w:r>
        <w:rPr>
          <w:rFonts w:ascii="serif" w:hAnsi="serif"/>
          <w:sz w:val="20"/>
        </w:rPr>
        <w:t>1</w:t>
      </w:r>
    </w:p>
    <w:p>
      <w:pPr>
        <w:pStyle w:val="HorizontalLine"/>
        <w:pBdr>
          <w:bottom w:val="single" w:sz="12" w:space="0" w:color="808080"/>
        </w:pBdr>
        <w:rPr/>
      </w:pPr>
      <w:r>
        <w:rPr/>
      </w:r>
    </w:p>
    <w:p>
      <w:pPr>
        <w:pStyle w:val="TextBody"/>
        <w:jc w:val="both"/>
        <w:rPr>
          <w:rFonts w:ascii="serif" w:hAnsi="serif"/>
          <w:b/>
          <w:sz w:val="20"/>
        </w:rPr>
      </w:pPr>
      <w:r>
        <w:rPr>
          <w:rFonts w:ascii="serif" w:hAnsi="serif"/>
          <w:b/>
          <w:sz w:val="20"/>
        </w:rPr>
        <w:t>3. What are the voting recommendations of Oil-Dris Board of Directors?</w:t>
      </w:r>
    </w:p>
    <w:p>
      <w:pPr>
        <w:pStyle w:val="TextBody"/>
        <w:jc w:val="both"/>
        <w:rPr>
          <w:rFonts w:ascii="serif" w:hAnsi="serif"/>
          <w:sz w:val="20"/>
        </w:rPr>
      </w:pPr>
      <w:r>
        <w:rPr>
          <w:rFonts w:ascii="serif" w:hAnsi="serif"/>
          <w:sz w:val="20"/>
        </w:rPr>
        <w:t>Oil-Dris Board of Directors recommends that you vote your shares as follows:</w:t>
      </w:r>
    </w:p>
    <w:p>
      <w:pPr>
        <w:pStyle w:val="TextBody"/>
        <w:numPr>
          <w:ilvl w:val="0"/>
          <w:numId w:val="2"/>
        </w:numPr>
        <w:tabs>
          <w:tab w:val="clear" w:pos="1134"/>
          <w:tab w:val="left" w:pos="707" w:leader="none"/>
        </w:tabs>
        <w:ind w:left="707" w:hanging="283"/>
        <w:jc w:val="both"/>
        <w:rPr>
          <w:rFonts w:ascii="serif" w:hAnsi="serif"/>
          <w:sz w:val="20"/>
        </w:rPr>
      </w:pPr>
      <w:r>
        <w:rPr>
          <w:rFonts w:ascii="serif" w:hAnsi="serif"/>
          <w:sz w:val="20"/>
        </w:rPr>
        <w:t>FOR the election of each of the eight nominees to the Board;</w:t>
      </w:r>
    </w:p>
    <w:p>
      <w:pPr>
        <w:pStyle w:val="TextBody"/>
        <w:numPr>
          <w:ilvl w:val="0"/>
          <w:numId w:val="2"/>
        </w:numPr>
        <w:tabs>
          <w:tab w:val="clear" w:pos="1134"/>
          <w:tab w:val="left" w:pos="707" w:leader="none"/>
        </w:tabs>
        <w:ind w:left="707" w:hanging="283"/>
        <w:jc w:val="both"/>
        <w:rPr>
          <w:rFonts w:ascii="serif" w:hAnsi="serif"/>
          <w:sz w:val="20"/>
        </w:rPr>
      </w:pPr>
      <w:r>
        <w:rPr>
          <w:rFonts w:ascii="serif" w:hAnsi="serif"/>
          <w:sz w:val="20"/>
        </w:rPr>
        <w:t>FOR the ratification of the appointment of PricewaterhouseCoopers LLP as Oil-Dris independent auditor for the fiscal year ending July 31, 2008.</w:t>
      </w:r>
    </w:p>
    <w:p>
      <w:pPr>
        <w:pStyle w:val="TextBody"/>
        <w:jc w:val="both"/>
        <w:rPr>
          <w:rFonts w:ascii="serif" w:hAnsi="serif"/>
          <w:b/>
          <w:sz w:val="20"/>
        </w:rPr>
      </w:pPr>
      <w:r>
        <w:rPr>
          <w:rFonts w:ascii="serif" w:hAnsi="serif"/>
          <w:b/>
          <w:sz w:val="20"/>
        </w:rPr>
        <w:t>4. How do I cast my vote?</w:t>
      </w:r>
    </w:p>
    <w:p>
      <w:pPr>
        <w:pStyle w:val="TextBody"/>
        <w:jc w:val="both"/>
        <w:rPr>
          <w:rFonts w:ascii="serif" w:hAnsi="serif"/>
          <w:sz w:val="20"/>
        </w:rPr>
      </w:pPr>
      <w:r>
        <w:rPr>
          <w:rFonts w:ascii="serif" w:hAnsi="serif"/>
          <w:sz w:val="20"/>
        </w:rPr>
        <w:t>You may vote in several different ways:</w:t>
      </w:r>
    </w:p>
    <w:p>
      <w:pPr>
        <w:pStyle w:val="TextBody"/>
        <w:jc w:val="both"/>
        <w:rPr>
          <w:rFonts w:ascii="serif" w:hAnsi="serif"/>
          <w:i/>
          <w:sz w:val="20"/>
          <w:u w:val="single"/>
        </w:rPr>
      </w:pPr>
      <w:r>
        <w:rPr>
          <w:rFonts w:ascii="serif" w:hAnsi="serif"/>
          <w:i/>
          <w:sz w:val="20"/>
          <w:u w:val="single"/>
        </w:rPr>
        <w:t>In person at the 2007 Annual Meeting</w:t>
      </w:r>
    </w:p>
    <w:p>
      <w:pPr>
        <w:pStyle w:val="TextBody"/>
        <w:jc w:val="both"/>
        <w:rPr>
          <w:rFonts w:ascii="serif" w:hAnsi="serif"/>
          <w:sz w:val="20"/>
        </w:rPr>
      </w:pPr>
      <w:r>
        <w:rPr>
          <w:rFonts w:ascii="serif" w:hAnsi="serif"/>
          <w:sz w:val="20"/>
        </w:rPr>
        <w:t>You may vote in person at the 2007 Annual Meeting. You may also be represented by another person at the meeting by executing a proxy properly designating that person. If you are the beneficial owner of shares held in street name, you must obtain a legal proxy from your broker, bank, or other holder of record and present it to the Inspector of Election with your ballot to be able to vote at the meeting.</w:t>
      </w:r>
    </w:p>
    <w:p>
      <w:pPr>
        <w:pStyle w:val="TextBody"/>
        <w:jc w:val="both"/>
        <w:rPr>
          <w:rFonts w:ascii="serif" w:hAnsi="serif"/>
          <w:i/>
          <w:sz w:val="20"/>
          <w:u w:val="single"/>
        </w:rPr>
      </w:pPr>
      <w:r>
        <w:rPr>
          <w:rFonts w:ascii="serif" w:hAnsi="serif"/>
          <w:i/>
          <w:sz w:val="20"/>
          <w:u w:val="single"/>
        </w:rPr>
        <w:t>By mail</w:t>
      </w:r>
    </w:p>
    <w:p>
      <w:pPr>
        <w:pStyle w:val="TextBody"/>
        <w:jc w:val="both"/>
        <w:rPr>
          <w:rFonts w:ascii="serif" w:hAnsi="serif"/>
          <w:sz w:val="20"/>
        </w:rPr>
      </w:pPr>
      <w:r>
        <w:rPr>
          <w:rFonts w:ascii="serif" w:hAnsi="serif"/>
          <w:sz w:val="20"/>
        </w:rPr>
        <w:t>You may vote by completing, signing, dating and returning the enclosed proxy card(s) in the postage-paid envelope we have provided.</w:t>
      </w:r>
    </w:p>
    <w:p>
      <w:pPr>
        <w:pStyle w:val="TextBody"/>
        <w:jc w:val="both"/>
        <w:rPr>
          <w:rFonts w:ascii="serif" w:hAnsi="serif"/>
          <w:i/>
          <w:sz w:val="20"/>
          <w:u w:val="single"/>
        </w:rPr>
      </w:pPr>
      <w:r>
        <w:rPr>
          <w:rFonts w:ascii="serif" w:hAnsi="serif"/>
          <w:i/>
          <w:sz w:val="20"/>
          <w:u w:val="single"/>
        </w:rPr>
        <w:t>By telephone</w:t>
      </w:r>
    </w:p>
    <w:p>
      <w:pPr>
        <w:pStyle w:val="TextBody"/>
        <w:jc w:val="both"/>
        <w:rPr>
          <w:rFonts w:ascii="serif" w:hAnsi="serif"/>
          <w:sz w:val="20"/>
        </w:rPr>
      </w:pPr>
      <w:r>
        <w:rPr>
          <w:rFonts w:ascii="serif" w:hAnsi="serif"/>
          <w:sz w:val="20"/>
        </w:rPr>
        <w:t>You may vote by calling one of the telephone numbers on your proxy card. Please have your proxy card handy when you call and use any touch-tone phone to transmit your voting instructions.</w:t>
      </w:r>
    </w:p>
    <w:p>
      <w:pPr>
        <w:pStyle w:val="TextBody"/>
        <w:jc w:val="both"/>
        <w:rPr>
          <w:rFonts w:ascii="serif" w:hAnsi="serif"/>
          <w:i/>
          <w:sz w:val="20"/>
          <w:u w:val="single"/>
        </w:rPr>
      </w:pPr>
      <w:r>
        <w:rPr>
          <w:rFonts w:ascii="serif" w:hAnsi="serif"/>
          <w:i/>
          <w:sz w:val="20"/>
          <w:u w:val="single"/>
        </w:rPr>
        <w:t>By Internet</w:t>
      </w:r>
    </w:p>
    <w:p>
      <w:pPr>
        <w:pStyle w:val="TextBody"/>
        <w:jc w:val="both"/>
        <w:rPr/>
      </w:pPr>
      <w:r>
        <w:rPr>
          <w:rFonts w:ascii="serif" w:hAnsi="serif"/>
          <w:sz w:val="20"/>
        </w:rPr>
        <w:t xml:space="preserve">You may vote using the Internet by submitting your voting instructions at </w:t>
      </w:r>
      <w:r>
        <w:rPr>
          <w:rFonts w:ascii="serif" w:hAnsi="serif"/>
          <w:i/>
          <w:sz w:val="20"/>
        </w:rPr>
        <w:t>www.proxyvote.com</w:t>
      </w:r>
      <w:r>
        <w:rPr>
          <w:rFonts w:ascii="serif" w:hAnsi="serif"/>
          <w:sz w:val="20"/>
        </w:rPr>
        <w:t>. You should have your proxy card handy when you go online. If you vote on the Internet, you may also request electronic delivery of future proxy materials.</w:t>
      </w:r>
    </w:p>
    <w:p>
      <w:pPr>
        <w:pStyle w:val="TextBody"/>
        <w:jc w:val="both"/>
        <w:rPr>
          <w:rFonts w:ascii="serif" w:hAnsi="serif"/>
          <w:sz w:val="20"/>
        </w:rPr>
      </w:pPr>
      <w:r>
        <w:rPr>
          <w:rFonts w:ascii="serif" w:hAnsi="serif"/>
          <w:sz w:val="20"/>
        </w:rPr>
        <w:t>Telephone and Internet voting for stockholders of record will be available until 11:59 p.m. Eastern Time on December 3, 2007. The availability of telephone and Internet voting for beneficial owners of shares held in street name will depend on your broker, bank or other holder of record. We recommend that you follow the voting instructions on the materials you receive from that entity.</w:t>
      </w:r>
    </w:p>
    <w:p>
      <w:pPr>
        <w:pStyle w:val="TextBody"/>
        <w:jc w:val="both"/>
        <w:rPr>
          <w:rFonts w:ascii="serif" w:hAnsi="serif"/>
          <w:sz w:val="20"/>
        </w:rPr>
      </w:pPr>
      <w:r>
        <w:rPr>
          <w:rFonts w:ascii="serif" w:hAnsi="serif"/>
          <w:sz w:val="20"/>
        </w:rPr>
        <w:t>Unless you decide to change your vote, use only one method to send us your vote. If you vote by telephone or by Internet, you do not have to return your proxy card or voting instruction card. However, even if you plan to attend the 2007 Annual Meeting, we recommend that you vote your shares in advance so that your vote will be counted if you later decide not to attend the meeting.</w:t>
      </w:r>
    </w:p>
    <w:p>
      <w:pPr>
        <w:pStyle w:val="TextBody"/>
        <w:jc w:val="both"/>
        <w:rPr>
          <w:rFonts w:ascii="serif" w:hAnsi="serif"/>
          <w:sz w:val="20"/>
        </w:rPr>
      </w:pPr>
      <w:r>
        <w:rPr>
          <w:rFonts w:ascii="serif" w:hAnsi="serif"/>
          <w:sz w:val="20"/>
        </w:rPr>
        <w:t>If no contrary instruction is indicated in the proxy, each proxy will be voted FOR the election of the eight nominees named below to the Board of Directors and FOR the ratification of the appointment of PricewaterhouseCoopers LLP as our independent auditor for the fiscal year ending July 31, 2008. In their discretion, the named proxy holders are authorized to vote on any other matters that may properly come before the Annual Meeting.</w:t>
      </w:r>
    </w:p>
    <w:p>
      <w:pPr>
        <w:pStyle w:val="TextBody"/>
        <w:jc w:val="both"/>
        <w:rPr>
          <w:rFonts w:ascii="serif" w:hAnsi="serif"/>
          <w:b/>
          <w:sz w:val="20"/>
        </w:rPr>
      </w:pPr>
      <w:r>
        <w:rPr>
          <w:rFonts w:ascii="serif" w:hAnsi="serif"/>
          <w:b/>
          <w:sz w:val="20"/>
        </w:rPr>
        <w:t>5. Can I change my vote?</w:t>
      </w:r>
    </w:p>
    <w:p>
      <w:pPr>
        <w:pStyle w:val="TextBody"/>
        <w:jc w:val="both"/>
        <w:rPr>
          <w:rFonts w:ascii="serif" w:hAnsi="serif"/>
          <w:sz w:val="20"/>
        </w:rPr>
      </w:pPr>
      <w:r>
        <w:rPr>
          <w:rFonts w:ascii="serif" w:hAnsi="serif"/>
          <w:sz w:val="20"/>
        </w:rPr>
        <w:t>Yes, if you vote by proxy, you may revoke that proxy at any time before it is voted at the meeting.</w:t>
      </w:r>
    </w:p>
    <w:p>
      <w:pPr>
        <w:pStyle w:val="TextBody"/>
        <w:jc w:val="both"/>
        <w:rPr>
          <w:rFonts w:ascii="serif" w:hAnsi="serif"/>
          <w:sz w:val="20"/>
        </w:rPr>
      </w:pPr>
      <w:r>
        <w:rPr>
          <w:rFonts w:ascii="serif" w:hAnsi="serif"/>
          <w:sz w:val="20"/>
        </w:rPr>
        <w:t>You may do this by:</w:t>
      </w:r>
    </w:p>
    <w:p>
      <w:pPr>
        <w:pStyle w:val="TextBody"/>
        <w:numPr>
          <w:ilvl w:val="0"/>
          <w:numId w:val="3"/>
        </w:numPr>
        <w:tabs>
          <w:tab w:val="clear" w:pos="1134"/>
          <w:tab w:val="left" w:pos="707" w:leader="none"/>
        </w:tabs>
        <w:ind w:left="707" w:hanging="283"/>
        <w:jc w:val="both"/>
        <w:rPr>
          <w:rFonts w:ascii="serif" w:hAnsi="serif"/>
          <w:sz w:val="20"/>
        </w:rPr>
      </w:pPr>
      <w:r>
        <w:rPr>
          <w:rFonts w:ascii="serif" w:hAnsi="serif"/>
          <w:sz w:val="20"/>
        </w:rPr>
        <w:t>voting again on the Internet or by telephone prior to the meeting;</w:t>
      </w:r>
    </w:p>
    <w:p>
      <w:pPr>
        <w:pStyle w:val="TextBody"/>
        <w:numPr>
          <w:ilvl w:val="0"/>
          <w:numId w:val="3"/>
        </w:numPr>
        <w:tabs>
          <w:tab w:val="clear" w:pos="1134"/>
          <w:tab w:val="left" w:pos="707" w:leader="none"/>
        </w:tabs>
        <w:ind w:left="707" w:hanging="283"/>
        <w:jc w:val="both"/>
        <w:rPr>
          <w:rFonts w:ascii="serif" w:hAnsi="serif"/>
          <w:sz w:val="20"/>
        </w:rPr>
      </w:pPr>
      <w:r>
        <w:rPr>
          <w:rFonts w:ascii="serif" w:hAnsi="serif"/>
          <w:sz w:val="20"/>
        </w:rPr>
        <w:t>signing another proxy card with a later date and mailing it to Broadridge Financial Solutions, Inc., 51 Mercedes Way, Edgewood, NY 11717, prior to the meeting; or</w:t>
      </w:r>
    </w:p>
    <w:p>
      <w:pPr>
        <w:pStyle w:val="TextBody"/>
        <w:numPr>
          <w:ilvl w:val="0"/>
          <w:numId w:val="3"/>
        </w:numPr>
        <w:tabs>
          <w:tab w:val="clear" w:pos="1134"/>
          <w:tab w:val="left" w:pos="707" w:leader="none"/>
        </w:tabs>
        <w:ind w:left="707" w:hanging="283"/>
        <w:jc w:val="both"/>
        <w:rPr>
          <w:rFonts w:ascii="serif" w:hAnsi="serif"/>
          <w:sz w:val="20"/>
        </w:rPr>
      </w:pPr>
      <w:r>
        <w:rPr>
          <w:rFonts w:ascii="serif" w:hAnsi="serif"/>
          <w:sz w:val="20"/>
        </w:rPr>
        <w:t>attending the meeting in person and delivering your proxy or casting a ballot.</w:t>
      </w:r>
    </w:p>
    <w:p>
      <w:pPr>
        <w:pStyle w:val="TextBody"/>
        <w:numPr>
          <w:ilvl w:val="0"/>
          <w:numId w:val="0"/>
        </w:numPr>
        <w:ind w:left="707" w:hanging="0"/>
        <w:rPr/>
      </w:pPr>
      <w:r>
        <w:rPr/>
      </w:r>
    </w:p>
    <w:p>
      <w:pPr>
        <w:pStyle w:val="TextBody"/>
        <w:numPr>
          <w:ilvl w:val="0"/>
          <w:numId w:val="0"/>
        </w:numPr>
        <w:ind w:left="707" w:hanging="0"/>
        <w:jc w:val="center"/>
        <w:rPr>
          <w:rFonts w:ascii="serif" w:hAnsi="serif"/>
          <w:sz w:val="20"/>
        </w:rPr>
      </w:pPr>
      <w:r>
        <w:rPr>
          <w:rFonts w:ascii="serif" w:hAnsi="serif"/>
          <w:sz w:val="20"/>
        </w:rPr>
        <w:t>2</w:t>
      </w:r>
    </w:p>
    <w:p>
      <w:pPr>
        <w:pStyle w:val="HorizontalLine"/>
        <w:pBdr>
          <w:bottom w:val="single" w:sz="12" w:space="0" w:color="808080"/>
        </w:pBdr>
        <w:rPr/>
      </w:pPr>
      <w:r>
        <w:rPr/>
      </w:r>
    </w:p>
    <w:p>
      <w:pPr>
        <w:pStyle w:val="TextBody"/>
        <w:jc w:val="both"/>
        <w:rPr>
          <w:rFonts w:ascii="serif" w:hAnsi="serif"/>
          <w:b/>
          <w:sz w:val="20"/>
        </w:rPr>
      </w:pPr>
      <w:r>
        <w:rPr>
          <w:rFonts w:ascii="serif" w:hAnsi="serif"/>
          <w:b/>
          <w:sz w:val="20"/>
        </w:rPr>
        <w:t>6. What constitutes a quorum at the 2007 Annual Meeting?</w:t>
      </w:r>
    </w:p>
    <w:p>
      <w:pPr>
        <w:pStyle w:val="TextBody"/>
        <w:jc w:val="both"/>
        <w:rPr>
          <w:rFonts w:ascii="serif" w:hAnsi="serif"/>
          <w:sz w:val="20"/>
        </w:rPr>
      </w:pPr>
      <w:r>
        <w:rPr>
          <w:rFonts w:ascii="serif" w:hAnsi="serif"/>
          <w:sz w:val="20"/>
        </w:rPr>
        <w:t>A majority of all outstanding shares of Common Stock and Class B Stock entitled to vote at the Annual Meeting constitutes a quorum, which is the minimum number of shares that must be present or represented by proxy at the Annual Meeting in order to transact business. Abstentions and broker non-votes will be counted for purposes of determining whether a quorum is present. Generally, broker non-votes occur when brokerage firms return proxies for which no voting instructions have been received from beneficial owners and the broker does not have discretionary authority to vote on the proposal. Once a share is represented for any purpose at the Annual Meeting, it will be deemed present for quorum purposes for the remainder of the meeting (including any meeting resulting from an adjournment of the Annual Meeting, unless a new record date is set).</w:t>
      </w:r>
    </w:p>
    <w:p>
      <w:pPr>
        <w:pStyle w:val="TextBody"/>
        <w:jc w:val="both"/>
        <w:rPr>
          <w:rFonts w:ascii="serif" w:hAnsi="serif"/>
          <w:b/>
          <w:sz w:val="20"/>
        </w:rPr>
      </w:pPr>
      <w:r>
        <w:rPr>
          <w:rFonts w:ascii="serif" w:hAnsi="serif"/>
          <w:b/>
          <w:sz w:val="20"/>
        </w:rPr>
        <w:t>7. How many votes are needed to approve the proposals?</w:t>
      </w:r>
    </w:p>
    <w:p>
      <w:pPr>
        <w:pStyle w:val="TextBody"/>
        <w:jc w:val="both"/>
        <w:rPr>
          <w:rFonts w:ascii="serif" w:hAnsi="serif"/>
          <w:sz w:val="20"/>
        </w:rPr>
      </w:pPr>
      <w:r>
        <w:rPr>
          <w:rFonts w:ascii="serif" w:hAnsi="serif"/>
          <w:sz w:val="20"/>
        </w:rPr>
        <w:t>A director may only be elected by a plurality of votes cast. Accordingly, we count proxies and ballots marked for all nominees listed (including executed proxies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are elected. Abstentions and broker non-votes have no effect on the outcome of the election of directors. An affirmative majority of the votes present at the meeting or represented by proxy is necessary for ratification of the appointment of PricewaterhouseCoopers LLP as our independent auditor. Any abstention by those present or represented by proxy has the same legal effect as a vote against ratification. Broker non-votes regarding the ratification of the appointment of our independent auditor are deemed not to have been entitled to vote at the meeting and therefore will have no effect on the outcome.</w:t>
      </w:r>
    </w:p>
    <w:p>
      <w:pPr>
        <w:pStyle w:val="TextBody"/>
        <w:jc w:val="both"/>
        <w:rPr>
          <w:rFonts w:ascii="serif" w:hAnsi="serif"/>
          <w:b/>
          <w:sz w:val="20"/>
        </w:rPr>
      </w:pPr>
      <w:r>
        <w:rPr>
          <w:rFonts w:ascii="serif" w:hAnsi="serif"/>
          <w:b/>
          <w:sz w:val="20"/>
        </w:rPr>
        <w:t>8. Who will count the vote?</w:t>
      </w:r>
    </w:p>
    <w:p>
      <w:pPr>
        <w:pStyle w:val="TextBody"/>
        <w:jc w:val="both"/>
        <w:rPr/>
      </w:pPr>
      <w:r>
        <w:rPr>
          <w:rFonts w:ascii="serif" w:hAnsi="serif"/>
          <w:sz w:val="20"/>
        </w:rPr>
        <w:t xml:space="preserve">We have retained Broadridge Financial Solutions, Inc., formerly named ADP Investor Communication Services, to tabulate the vote and act as Inspector of Election. Information about Broadridge is available at </w:t>
      </w:r>
      <w:r>
        <w:rPr>
          <w:rFonts w:ascii="serif" w:hAnsi="serif"/>
          <w:i/>
          <w:sz w:val="20"/>
        </w:rPr>
        <w:t>www.broadridge.com</w:t>
      </w:r>
      <w:r>
        <w:rPr>
          <w:rFonts w:ascii="serif" w:hAnsi="serif"/>
          <w:sz w:val="20"/>
        </w:rPr>
        <w:t>. Proxies and ballots that identify the votes of individual stockholders are kept confidential from the Companys management and directors. Only Broadridge, as the proxy solicitor, proxy tabulator and Inspector of Election, has access to the ballots, proxy forms and voting instructions. Broadridge will disclose information taken from the ballots, proxy forms and voting instructions only in the event of a proxy contest or as otherwise required by law.</w:t>
      </w:r>
    </w:p>
    <w:p>
      <w:pPr>
        <w:pStyle w:val="TextBody"/>
        <w:jc w:val="both"/>
        <w:rPr>
          <w:rFonts w:ascii="serif" w:hAnsi="serif"/>
          <w:b/>
          <w:sz w:val="20"/>
        </w:rPr>
      </w:pPr>
      <w:r>
        <w:rPr>
          <w:rFonts w:ascii="serif" w:hAnsi="serif"/>
          <w:b/>
          <w:sz w:val="20"/>
        </w:rPr>
        <w:t>9. Where can I find the voting results of the 2007 Annual Meeting?</w:t>
      </w:r>
    </w:p>
    <w:p>
      <w:pPr>
        <w:pStyle w:val="TextBody"/>
        <w:jc w:val="both"/>
        <w:rPr>
          <w:rFonts w:ascii="serif" w:hAnsi="serif"/>
          <w:sz w:val="20"/>
        </w:rPr>
      </w:pPr>
      <w:r>
        <w:rPr>
          <w:rFonts w:ascii="serif" w:hAnsi="serif"/>
          <w:sz w:val="20"/>
        </w:rPr>
        <w:t>We intend to announce preliminary voting results at the 2007 Annual Meeting and publish final results in our Quarterly Report on Form 10-Q for the fiscal quarter ending January 31, 2008.</w:t>
      </w:r>
    </w:p>
    <w:p>
      <w:pPr>
        <w:pStyle w:val="TextBody"/>
        <w:jc w:val="both"/>
        <w:rPr>
          <w:rFonts w:ascii="serif" w:hAnsi="serif"/>
          <w:b/>
          <w:sz w:val="20"/>
        </w:rPr>
      </w:pPr>
      <w:r>
        <w:rPr>
          <w:rFonts w:ascii="serif" w:hAnsi="serif"/>
          <w:b/>
          <w:sz w:val="20"/>
        </w:rPr>
        <w:t>10. How does a stockholder propose actions for consideration at next years annual meeting of stockholders?</w:t>
      </w:r>
    </w:p>
    <w:p>
      <w:pPr>
        <w:pStyle w:val="TextBody"/>
        <w:jc w:val="both"/>
        <w:rPr>
          <w:rFonts w:ascii="serif" w:hAnsi="serif"/>
          <w:sz w:val="20"/>
        </w:rPr>
      </w:pPr>
      <w:r>
        <w:rPr>
          <w:rFonts w:ascii="serif" w:hAnsi="serif"/>
          <w:sz w:val="20"/>
        </w:rPr>
        <w:t>For your proposal to be considered for inclusion in our proxy statement for next years annual meeting, we must receive your written proposal no later than July 3, 2008. Your proposal should be addressed to the Corporate Secretary, Oil-Dri Corporation of America, 410 North Michigan Avenue, Suite 400, Chicago, Illinois 60611-4213. In addition, be aware that your proposal must comply with Securities and Exchange Commission (SEC) regulations regarding inclusion of stockholder proposals in company-sponsored proxy materials and other applicable laws. Although the Board will consider all proposals, it has the right to omit any proposals it is not required to include.</w:t>
      </w:r>
    </w:p>
    <w:p>
      <w:pPr>
        <w:pStyle w:val="TextBody"/>
        <w:jc w:val="both"/>
        <w:rPr>
          <w:rFonts w:ascii="serif" w:hAnsi="serif"/>
          <w:sz w:val="20"/>
        </w:rPr>
      </w:pPr>
      <w:r>
        <w:rPr>
          <w:rFonts w:ascii="serif" w:hAnsi="serif"/>
          <w:sz w:val="20"/>
        </w:rPr>
        <w:t>Similarly, in order for you to raise a proposal (including director nominations) at next years meeting that will not be included in our proxy statement, we must receive written notice of the proposal between July 3, 2008 and August 2, 2008 (assuming such meeting is not more than 30 days from December 4, 2008). All such proposals should be addressed to: the Corporate Secretary, Oil-Dri Corporation of America, 410 North Michigan Avenue, Suite 400, Chicago, Illinois 60611-4213. In addition, the notice must satisfy all of the requirements set forth in our Amended and Restated By-Laws and applicable laws.</w:t>
      </w:r>
    </w:p>
    <w:p>
      <w:pPr>
        <w:pStyle w:val="TextBody"/>
        <w:jc w:val="center"/>
        <w:rPr>
          <w:rFonts w:ascii="serif" w:hAnsi="serif"/>
          <w:sz w:val="20"/>
        </w:rPr>
      </w:pPr>
      <w:r>
        <w:rPr>
          <w:rFonts w:ascii="serif" w:hAnsi="serif"/>
          <w:sz w:val="20"/>
        </w:rPr>
        <w:t>3</w:t>
      </w:r>
    </w:p>
    <w:p>
      <w:pPr>
        <w:pStyle w:val="HorizontalLine"/>
        <w:pBdr>
          <w:bottom w:val="single" w:sz="12" w:space="0" w:color="808080"/>
        </w:pBdr>
        <w:rPr/>
      </w:pPr>
      <w:r>
        <w:rPr/>
      </w:r>
    </w:p>
    <w:p>
      <w:pPr>
        <w:pStyle w:val="TextBody"/>
        <w:jc w:val="both"/>
        <w:rPr>
          <w:rFonts w:ascii="serif" w:hAnsi="serif"/>
          <w:b/>
          <w:sz w:val="20"/>
        </w:rPr>
      </w:pPr>
      <w:r>
        <w:rPr>
          <w:rFonts w:ascii="serif" w:hAnsi="serif"/>
          <w:b/>
          <w:sz w:val="20"/>
        </w:rPr>
        <w:t>11. Can I receive future proxy solicitations on-line?</w:t>
      </w:r>
    </w:p>
    <w:p>
      <w:pPr>
        <w:pStyle w:val="TextBody"/>
        <w:jc w:val="both"/>
        <w:rPr>
          <w:rFonts w:ascii="serif" w:hAnsi="serif"/>
          <w:sz w:val="20"/>
        </w:rPr>
      </w:pPr>
      <w:r>
        <w:rPr>
          <w:rFonts w:ascii="serif" w:hAnsi="serif"/>
          <w:sz w:val="20"/>
        </w:rPr>
        <w:t>Yes, you can consent to receiving all future Proxy Statements and Annual Reports via e-mail or the Internet. If you choose this option, you will not receive paper copies of these stockholder communications in the mail. To sign up for electronic delivery, follow the instructions on the enclosed proxy card under the heading: ELECTRONIC DELIVERY OF FUTURE STOCKHOLDER COMMUNICATIONS to indicate that you agree to receive or access stockholder communications electronically in future years. If you hold your stock in the Company through a broker, bank or other holder of record, contact that entity for information as to whether and how you can elect electronic delivery.</w:t>
      </w:r>
    </w:p>
    <w:p>
      <w:pPr>
        <w:pStyle w:val="TextBody"/>
        <w:jc w:val="both"/>
        <w:rPr>
          <w:rFonts w:ascii="serif" w:hAnsi="serif"/>
          <w:b/>
          <w:sz w:val="20"/>
        </w:rPr>
      </w:pPr>
      <w:r>
        <w:rPr>
          <w:rFonts w:ascii="serif" w:hAnsi="serif"/>
          <w:b/>
          <w:sz w:val="20"/>
        </w:rPr>
        <w:t>12. Who may solicit proxies?</w:t>
      </w:r>
    </w:p>
    <w:p>
      <w:pPr>
        <w:pStyle w:val="TextBody"/>
        <w:jc w:val="both"/>
        <w:rPr>
          <w:rFonts w:ascii="serif" w:hAnsi="serif"/>
          <w:sz w:val="20"/>
        </w:rPr>
      </w:pPr>
      <w:r>
        <w:rPr>
          <w:rFonts w:ascii="serif" w:hAnsi="serif"/>
          <w:sz w:val="20"/>
        </w:rPr>
        <w:t>Our directors, officers and employees may solicit proxies on behalf of the Board via mail, telephone, facsimile, electronic communications and personal contact. Our directors, officers and employees will receive no additional compensation for soliciting proxies.</w:t>
      </w:r>
    </w:p>
    <w:p>
      <w:pPr>
        <w:pStyle w:val="TextBody"/>
        <w:jc w:val="both"/>
        <w:rPr>
          <w:rFonts w:ascii="serif" w:hAnsi="serif"/>
          <w:b/>
          <w:sz w:val="20"/>
        </w:rPr>
      </w:pPr>
      <w:r>
        <w:rPr>
          <w:rFonts w:ascii="serif" w:hAnsi="serif"/>
          <w:b/>
          <w:sz w:val="20"/>
        </w:rPr>
        <w:t>13. Who pays for the cost of this proxy solicitation?</w:t>
      </w:r>
    </w:p>
    <w:p>
      <w:pPr>
        <w:pStyle w:val="TextBody"/>
        <w:jc w:val="both"/>
        <w:rPr>
          <w:rFonts w:ascii="serif" w:hAnsi="serif"/>
          <w:sz w:val="20"/>
        </w:rPr>
      </w:pPr>
      <w:r>
        <w:rPr>
          <w:rFonts w:ascii="serif" w:hAnsi="serif"/>
          <w:sz w:val="20"/>
        </w:rPr>
        <w:t>We will bear the cost of this proxy solicitation, including reimbursing banks and brokers for reasonable expenses of sending out proxy materials to beneficial stockholders.</w:t>
      </w:r>
    </w:p>
    <w:p>
      <w:pPr>
        <w:pStyle w:val="TextBody"/>
        <w:jc w:val="both"/>
        <w:rPr>
          <w:rFonts w:ascii="serif" w:hAnsi="serif"/>
          <w:b/>
          <w:sz w:val="20"/>
        </w:rPr>
      </w:pPr>
      <w:r>
        <w:rPr>
          <w:rFonts w:ascii="serif" w:hAnsi="serif"/>
          <w:b/>
          <w:sz w:val="20"/>
        </w:rPr>
        <w:t>14. Why did I receive more than one package of proxy materials?</w:t>
      </w:r>
    </w:p>
    <w:p>
      <w:pPr>
        <w:pStyle w:val="TextBody"/>
        <w:jc w:val="both"/>
        <w:rPr>
          <w:rFonts w:ascii="serif" w:hAnsi="serif"/>
          <w:sz w:val="20"/>
        </w:rPr>
      </w:pPr>
      <w:r>
        <w:rPr>
          <w:rFonts w:ascii="serif" w:hAnsi="serif"/>
          <w:sz w:val="20"/>
        </w:rPr>
        <w:t>This means that you have multiple accounts holding Oil-Dri shares. These may include accounts with our transfer agent, Computershare Investor Services, and accounts with a broker, bank or other holder of record. Please vote all proxy cards and voting instruction forms that you receive with each package of proxy materials to ensure that all of your shares are voted.</w:t>
      </w:r>
    </w:p>
    <w:p>
      <w:pPr>
        <w:pStyle w:val="TextBody"/>
        <w:jc w:val="both"/>
        <w:rPr>
          <w:rFonts w:ascii="serif" w:hAnsi="serif"/>
          <w:b/>
          <w:sz w:val="20"/>
        </w:rPr>
      </w:pPr>
      <w:r>
        <w:rPr>
          <w:rFonts w:ascii="serif" w:hAnsi="serif"/>
          <w:b/>
          <w:sz w:val="20"/>
        </w:rPr>
        <w:t>15. What if I have additional questions not addressed here?</w:t>
      </w:r>
    </w:p>
    <w:p>
      <w:pPr>
        <w:pStyle w:val="TextBody"/>
        <w:jc w:val="both"/>
        <w:rPr/>
      </w:pPr>
      <w:r>
        <w:rPr>
          <w:rFonts w:ascii="serif" w:hAnsi="serif"/>
          <w:sz w:val="20"/>
        </w:rPr>
        <w:t xml:space="preserve">You may call Investor Relations at 312-706-3232 or e-mail Investor Relations at </w:t>
      </w:r>
      <w:r>
        <w:rPr>
          <w:rFonts w:ascii="serif" w:hAnsi="serif"/>
          <w:i/>
          <w:sz w:val="20"/>
        </w:rPr>
        <w:t>info@oildri.com.</w:t>
      </w:r>
      <w:r>
        <w:rPr/>
        <w:t xml:space="preserve"> </w:t>
      </w:r>
    </w:p>
    <w:p>
      <w:pPr>
        <w:pStyle w:val="TextBody"/>
        <w:jc w:val="center"/>
        <w:rPr>
          <w:rFonts w:ascii="serif" w:hAnsi="serif"/>
          <w:sz w:val="20"/>
        </w:rPr>
      </w:pPr>
      <w:r>
        <w:rPr>
          <w:rFonts w:ascii="serif" w:hAnsi="serif"/>
          <w:sz w:val="20"/>
        </w:rPr>
        <w:t>4</w:t>
      </w:r>
    </w:p>
    <w:p>
      <w:pPr>
        <w:pStyle w:val="HorizontalLine"/>
        <w:pBdr>
          <w:bottom w:val="single" w:sz="12" w:space="0" w:color="808080"/>
        </w:pBdr>
        <w:rPr/>
      </w:pPr>
      <w:r>
        <w:rPr/>
      </w:r>
    </w:p>
    <w:p>
      <w:pPr>
        <w:pStyle w:val="TextBody"/>
        <w:jc w:val="center"/>
        <w:rPr>
          <w:rFonts w:ascii="serif" w:hAnsi="serif"/>
          <w:b/>
          <w:sz w:val="28"/>
        </w:rPr>
      </w:pPr>
      <w:r>
        <w:rPr>
          <w:rFonts w:ascii="serif" w:hAnsi="serif"/>
          <w:b/>
          <w:sz w:val="28"/>
        </w:rPr>
        <w:t>PROPOSALS</w:t>
      </w:r>
    </w:p>
    <w:p>
      <w:pPr>
        <w:pStyle w:val="TextBody"/>
        <w:jc w:val="center"/>
        <w:rPr>
          <w:rFonts w:ascii="serif" w:hAnsi="serif"/>
          <w:b/>
        </w:rPr>
      </w:pPr>
      <w:r>
        <w:rPr>
          <w:rFonts w:ascii="serif" w:hAnsi="serif"/>
          <w:b/>
        </w:rPr>
        <w:t>1. Election of Directors</w:t>
      </w:r>
    </w:p>
    <w:p>
      <w:pPr>
        <w:pStyle w:val="TextBody"/>
        <w:jc w:val="both"/>
        <w:rPr/>
      </w:pPr>
      <w:r>
        <w:rPr/>
        <w:t xml:space="preserve">     </w:t>
      </w:r>
      <w:r>
        <w:rPr>
          <w:rFonts w:ascii="serif" w:hAnsi="serif"/>
          <w:sz w:val="20"/>
        </w:rPr>
        <w:t>The Company proposes that the following eight individuals be elected to our Board of Directors. Each nominee currently serves as a director. If any nominee should be unable or unwilling to serve, which is not now contemplated, the proxy holders may, but will not be bound to, vote for a substitute nominee.</w:t>
      </w:r>
    </w:p>
    <w:p>
      <w:pPr>
        <w:pStyle w:val="TextBody"/>
        <w:jc w:val="both"/>
        <w:rPr/>
      </w:pPr>
      <w:r>
        <w:rPr/>
        <w:t xml:space="preserve">     </w:t>
      </w:r>
      <w:r>
        <w:rPr>
          <w:rFonts w:ascii="serif" w:hAnsi="serif"/>
          <w:b/>
          <w:sz w:val="20"/>
        </w:rPr>
        <w:t>THE BOARD OF DIRECTORS RECOMMENDS A VOTE FOR THE ELECTION OF THE FOLLOWING NOMINEES AS DIRECTORS.</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rFonts w:ascii="serif" w:hAnsi="serif"/>
                <w:sz w:val="20"/>
              </w:rPr>
            </w:pPr>
            <w: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62025" cy="121920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62025" cy="1219200"/>
                          </a:xfrm>
                          <a:prstGeom prst="rect">
                            <a:avLst/>
                          </a:prstGeom>
                        </pic:spPr>
                      </pic:pic>
                    </a:graphicData>
                  </a:graphic>
                </wp:anchor>
              </w:drawing>
            </w:r>
            <w:r>
              <w:rPr>
                <w:rFonts w:ascii="serif" w:hAnsi="serif"/>
                <w:sz w:val="20"/>
              </w:rPr>
              <w:t>Richard M. Jaffee               Age 71               Director since 1958</w:t>
              <w:br/>
            </w:r>
            <w:r>
              <w:rPr>
                <w:rFonts w:ascii="serif" w:hAnsi="serif"/>
                <w:i/>
                <w:sz w:val="20"/>
              </w:rPr>
              <w:t>Chairman of the Board of the Company</w:t>
              <w:br/>
              <w:br/>
            </w:r>
            <w:r>
              <w:rPr>
                <w:rFonts w:ascii="serif" w:hAnsi="serif"/>
                <w:sz w:val="20"/>
              </w:rPr>
              <w:t>Mr. Jaffee received a degree from the University of Wisconsin School of Business in 1957 and earned his CPA certificate in that same year. He worked briefly for the public accounting firm of Touche Niven, et al. After service as an officer in the United States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served as director of Harris Financial Corp., a subsidiary of Bank of Montreal, until his retirement from the board in May 2006. Harris Financial Corp. provides banking and related services to the Company on customary terms. Mr. Jaffee is a member of the advisory board of Gold Eagle Corporation. He is a trustee, vice chairman and a member of the executive and finance committees of Rush University Medical Center; and a trustee and member of the executive committee of the Illinois Institute of Technology. In addition, Mr. Jaffee is a trustee of the Chicago Museum of Science and Industry and the Chicago History Museum. Mr. Jaffee is also a member of the Advisory Council on Agriculture, Small Business and Labor for the Federal Reserve Bank of Chicago. Mr. Jaffee received an honorary Doctor of Human Letters degree from the Illinois Institute of Technology in 2001. In March 2005, Mr. Jaffee was appointed to the SEC Advisory Committee on Smaller Public Companies, which was established to examine the impact of the Sarbanes-Oxley Act and other aspects of the federal securities laws on smaller companies.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rFonts w:ascii="serif" w:hAnsi="serif"/>
                <w:sz w:val="20"/>
              </w:rPr>
            </w:pPr>
            <w: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71550" cy="1209675"/>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71550" cy="1209675"/>
                          </a:xfrm>
                          <a:prstGeom prst="rect">
                            <a:avLst/>
                          </a:prstGeom>
                        </pic:spPr>
                      </pic:pic>
                    </a:graphicData>
                  </a:graphic>
                </wp:anchor>
              </w:drawing>
            </w:r>
            <w:r>
              <w:rPr>
                <w:rFonts w:ascii="serif" w:hAnsi="serif"/>
                <w:sz w:val="20"/>
              </w:rPr>
              <w:t>Daniel S. Jaffee                   Age 43               Director since 1992</w:t>
              <w:br/>
            </w:r>
            <w:r>
              <w:rPr>
                <w:rFonts w:ascii="serif" w:hAnsi="serif"/>
                <w:i/>
                <w:sz w:val="20"/>
              </w:rPr>
              <w:t>President and Chief Executive Officer of the Company</w:t>
              <w:br/>
              <w:br/>
            </w:r>
            <w:r>
              <w:rPr>
                <w:rFonts w:ascii="serif" w:hAnsi="serif"/>
                <w:sz w:val="20"/>
              </w:rPr>
              <w:t>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an M.B.A. from the Kellogg Graduate School of Management of Northwestern University in 2004. Mr. Jaffees civic activities include the Anti-Cruelty Society of Chicago, of which he is the chairman of the board of directors, and the Chicago Foundation for Education.</w:t>
            </w:r>
          </w:p>
        </w:tc>
      </w:tr>
    </w:tbl>
    <w:p>
      <w:pPr>
        <w:pStyle w:val="TextBody"/>
        <w:rPr/>
      </w:pPr>
      <w:r>
        <w:rPr/>
      </w:r>
    </w:p>
    <w:p>
      <w:pPr>
        <w:pStyle w:val="TextBody"/>
        <w:jc w:val="center"/>
        <w:rPr>
          <w:rFonts w:ascii="serif" w:hAnsi="serif"/>
          <w:sz w:val="20"/>
        </w:rPr>
      </w:pPr>
      <w:r>
        <w:rPr>
          <w:rFonts w:ascii="serif" w:hAnsi="serif"/>
          <w:sz w:val="20"/>
        </w:rPr>
        <w:t>5</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rFonts w:ascii="serif" w:hAnsi="serif"/>
                <w:sz w:val="20"/>
              </w:rPr>
            </w:pPr>
            <w: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81075" cy="1190625"/>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81075" cy="1190625"/>
                          </a:xfrm>
                          <a:prstGeom prst="rect">
                            <a:avLst/>
                          </a:prstGeom>
                        </pic:spPr>
                      </pic:pic>
                    </a:graphicData>
                  </a:graphic>
                </wp:anchor>
              </w:drawing>
            </w:r>
            <w:r>
              <w:rPr>
                <w:rFonts w:ascii="serif" w:hAnsi="serif"/>
                <w:sz w:val="20"/>
              </w:rPr>
              <w:t>J. Steven Cole                     Age 73               Director since 1981</w:t>
              <w:br/>
            </w:r>
            <w:r>
              <w:rPr>
                <w:rFonts w:ascii="serif" w:hAnsi="serif"/>
                <w:i/>
                <w:sz w:val="20"/>
              </w:rPr>
              <w:t>President, Cole and Associates</w:t>
              <w:br/>
              <w:br/>
            </w:r>
            <w:r>
              <w:rPr>
                <w:rFonts w:ascii="serif" w:hAnsi="serif"/>
                <w:sz w:val="20"/>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 Cole also became president of Cole and Associates, an international consulting firm. Mr. Cole is also a director of Aculux, Inc. He serves on the board of Beat-The-Streets, an organization providing opportunity and direction to under-privileged youth.</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rFonts w:ascii="serif" w:hAnsi="serif"/>
                <w:sz w:val="20"/>
              </w:rPr>
            </w:pPr>
            <w: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71550" cy="1190625"/>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71550" cy="1190625"/>
                          </a:xfrm>
                          <a:prstGeom prst="rect">
                            <a:avLst/>
                          </a:prstGeom>
                        </pic:spPr>
                      </pic:pic>
                    </a:graphicData>
                  </a:graphic>
                </wp:anchor>
              </w:drawing>
            </w:r>
            <w:r>
              <w:rPr>
                <w:rFonts w:ascii="serif" w:hAnsi="serif"/>
                <w:sz w:val="20"/>
              </w:rPr>
              <w:t>Arnold W. Donald              Age 52               Director since 1997</w:t>
              <w:br/>
            </w:r>
            <w:r>
              <w:rPr>
                <w:rFonts w:ascii="serif" w:hAnsi="serif"/>
                <w:i/>
                <w:sz w:val="20"/>
              </w:rPr>
              <w:t>President and Chief Executive Officer, Juvenile Diabetes Research Foundation International</w:t>
              <w:br/>
              <w:br/>
            </w:r>
            <w:r>
              <w:rPr>
                <w:rFonts w:ascii="serif" w:hAnsi="serif"/>
                <w:sz w:val="20"/>
              </w:rPr>
              <w:t>Mr. Donald received a B.A. degree in economics from Carleton College in 1976, earned a B.S. degree in mechanical engineering from Washington University in St. Louis in 1977, and an M.B.A. from the University of Chicago Graduate School of Business in 1980. Mr. Donald joined Monsanto Company in 1977, and became President of Monsantos Agricultural Group in 1995. In 1998, he was named Corporate Senior Vice President, and in 1999, he also assumed the position of President, Nutrition and Consumer Sector. He served in these positions until 2000, when he became Chairman and Chief Executive Officer of Merisant Company, whose products include tabletop sweeteners. He served as CEO of Merisant until July 2003 and Chairman until May 2005. In January 2006, Mr. Donald assumed the position of President and Chief Executive Officer of the Juvenile Diabetes Research Foundation International. Mr. Donald serves on the non-profit boards of Carleton College, Washington University, Dillard University, Barnes-Jewish Hospital, Opera Theatre of St. Louis, St. Louis Art Museum, and the St. Louis Science Center. Mr. Donald also serves as a director of Carnival Corporation, The Scotts Company, Crown Holdings Inc., DHR International, The Laclede Group, Merisant Company and Atlas Holdings. In 1998, Mr. Donald was appointed by President Clinton to serve on the Presidents Export Council for international trade for a five-year term; he was reappointed by President Bush to a second term in February 2003.</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rFonts w:ascii="serif" w:hAnsi="serif"/>
                <w:sz w:val="20"/>
              </w:rPr>
            </w:pPr>
            <w:r>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23925" cy="116205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23925" cy="1162050"/>
                          </a:xfrm>
                          <a:prstGeom prst="rect">
                            <a:avLst/>
                          </a:prstGeom>
                        </pic:spPr>
                      </pic:pic>
                    </a:graphicData>
                  </a:graphic>
                </wp:anchor>
              </w:drawing>
            </w:r>
            <w:r>
              <w:rPr>
                <w:rFonts w:ascii="serif" w:hAnsi="serif"/>
                <w:sz w:val="20"/>
              </w:rPr>
              <w:t>Joseph C. Miller                     Age 65               Director since 1989</w:t>
              <w:br/>
            </w:r>
            <w:r>
              <w:rPr>
                <w:rFonts w:ascii="serif" w:hAnsi="serif"/>
                <w:i/>
                <w:sz w:val="20"/>
              </w:rPr>
              <w:t>Vice Chairman of the Board of the Company</w:t>
              <w:br/>
              <w:t>Independent Consultant</w:t>
              <w:br/>
              <w:br/>
            </w:r>
            <w:r>
              <w:rPr>
                <w:rFonts w:ascii="serif" w:hAnsi="serif"/>
                <w:sz w:val="20"/>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served as an employee of the Company until 2000, when he became an independent consultant specializing in strategic planning. Mr. Miller is a director of Prandium, Inc. and a member of the board of advisors of Powell Kleinschmidt, Global Access Point, Deluxe Sheet Metal, Inc. and Union Station Properties.</w:t>
            </w:r>
          </w:p>
        </w:tc>
      </w:tr>
    </w:tbl>
    <w:p>
      <w:pPr>
        <w:pStyle w:val="TextBody"/>
        <w:rPr/>
      </w:pPr>
      <w:r>
        <w:rPr/>
      </w:r>
    </w:p>
    <w:p>
      <w:pPr>
        <w:pStyle w:val="TextBody"/>
        <w:jc w:val="center"/>
        <w:rPr>
          <w:rFonts w:ascii="serif" w:hAnsi="serif"/>
          <w:sz w:val="20"/>
        </w:rPr>
      </w:pPr>
      <w:r>
        <w:rPr>
          <w:rFonts w:ascii="serif" w:hAnsi="serif"/>
          <w:sz w:val="20"/>
        </w:rPr>
        <w:t>6</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pPr>
            <w:r>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028700" cy="1304925"/>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28700" cy="1304925"/>
                          </a:xfrm>
                          <a:prstGeom prst="rect">
                            <a:avLst/>
                          </a:prstGeom>
                        </pic:spPr>
                      </pic:pic>
                    </a:graphicData>
                  </a:graphic>
                </wp:anchor>
              </w:drawing>
            </w:r>
            <w:r>
              <w:rPr>
                <w:rFonts w:ascii="serif" w:hAnsi="serif"/>
                <w:sz w:val="20"/>
              </w:rPr>
              <w:t>Michael A. Nemeroff               Age 44               Director since 2006</w:t>
              <w:br/>
            </w:r>
            <w:r>
              <w:rPr>
                <w:rFonts w:ascii="serif" w:hAnsi="serif"/>
                <w:i/>
                <w:sz w:val="20"/>
              </w:rPr>
              <w:t>President, Vedder, Price, Kaufman &amp; Kammholz, P.C.</w:t>
              <w:br/>
              <w:br/>
            </w:r>
            <w:r>
              <w:rPr>
                <w:rFonts w:ascii="serif" w:hAnsi="serif"/>
                <w:sz w:val="20"/>
              </w:rPr>
              <w:t>Mr. Nemeroff received a bachelors degree from the State University of New York at Binghampton and earned a J.D. from the National Law Center of George Washington University in 1988. He joined the law firm of Vedder, Price, Kaufman &amp; Kammholz, P.C. (Vedder Price) in 1988 and has been the Chairman of the firms Finance &amp; Transaction Group and an equity partner since 1995. Since 1998, he has served on the firms Board of Directors. Since 2005, Mr. Nemeroff has served as President of Vedder Price and a member of the Executive Committee of the firms Board of Directors. Vedder Price serves as a counsel to the Company. Mr. Nemeroff serves as a legal advisor to the G100, an elite international organization of leading Chief Executive Officers from Fortune 500 publicly traded corporations. He also serves on the Board of Directors of Chicago Childrens Choir, a not-for-profit organization making a difference in the lives of children through musical excellence.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rFonts w:ascii="serif" w:hAnsi="serif"/>
                <w:sz w:val="20"/>
              </w:rPr>
            </w:pPr>
            <w:r>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62025" cy="1200150"/>
                  <wp:effectExtent l="0" t="0" r="0" b="0"/>
                  <wp:wrapSquare wrapText="largest"/>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62025" cy="1200150"/>
                          </a:xfrm>
                          <a:prstGeom prst="rect">
                            <a:avLst/>
                          </a:prstGeom>
                        </pic:spPr>
                      </pic:pic>
                    </a:graphicData>
                  </a:graphic>
                </wp:anchor>
              </w:drawing>
            </w:r>
            <w:r>
              <w:rPr>
                <w:rFonts w:ascii="serif" w:hAnsi="serif"/>
                <w:sz w:val="20"/>
              </w:rPr>
              <w:t>Allan H. Selig               Age 73               Director since 1969</w:t>
              <w:br/>
            </w:r>
            <w:r>
              <w:rPr>
                <w:rFonts w:ascii="serif" w:hAnsi="serif"/>
                <w:i/>
                <w:sz w:val="20"/>
              </w:rPr>
              <w:t xml:space="preserve">Commissioner of Major League Baseball </w:t>
              <w:br/>
              <w:t>President and Chairman of the Board, Selig Lease Company</w:t>
              <w:br/>
              <w:br/>
            </w:r>
            <w:r>
              <w:rPr>
                <w:rFonts w:ascii="serif" w:hAnsi="serif"/>
                <w:sz w:val="20"/>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 Baseball from 1992 to 1998. Mr. Selig is a director of Marcus Corporation and a director emeritus of the Green Bay Packers. In addition, he is a director of the Greater Milwaukee Committee and the Milwaukee Club and a trustee of the Boys and Girls Clubs of Greater Milwaukee. He is a founder and vice chairman of Athletes for Youth and co-founder of the Child Abuse Prevention Fund.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both"/>
              <w:rPr>
                <w:rFonts w:ascii="serif" w:hAnsi="serif"/>
                <w:sz w:val="20"/>
              </w:rPr>
            </w:pPr>
            <w:r>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52500" cy="1190625"/>
                  <wp:effectExtent l="0" t="0" r="0" b="0"/>
                  <wp:wrapSquare wrapText="largest"/>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2500" cy="1190625"/>
                          </a:xfrm>
                          <a:prstGeom prst="rect">
                            <a:avLst/>
                          </a:prstGeom>
                        </pic:spPr>
                      </pic:pic>
                    </a:graphicData>
                  </a:graphic>
                </wp:anchor>
              </w:drawing>
            </w:r>
            <w:r>
              <w:rPr>
                <w:rFonts w:ascii="serif" w:hAnsi="serif"/>
                <w:sz w:val="20"/>
              </w:rPr>
              <w:t>Paul E. Suckow               Age 60               Director since 2005</w:t>
              <w:br/>
            </w:r>
            <w:r>
              <w:rPr>
                <w:rFonts w:ascii="serif" w:hAnsi="serif"/>
                <w:i/>
                <w:sz w:val="20"/>
              </w:rPr>
              <w:t>Business Fellow and Adjunct Professor, Finance and Economics, Villanova University</w:t>
              <w:br/>
              <w:br/>
            </w:r>
            <w:r>
              <w:rPr>
                <w:rFonts w:ascii="serif" w:hAnsi="serif"/>
                <w:sz w:val="20"/>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Mr. Suckow is a director of Prandium, Inc. Since 1978, he has been a Chartered Financial Analyst (CFA) and is a member of the CFA Institute.</w:t>
            </w:r>
          </w:p>
        </w:tc>
      </w:tr>
    </w:tbl>
    <w:p>
      <w:pPr>
        <w:pStyle w:val="TextBody"/>
        <w:rPr/>
      </w:pPr>
      <w:r>
        <w:rPr/>
      </w:r>
    </w:p>
    <w:p>
      <w:pPr>
        <w:pStyle w:val="TextBody"/>
        <w:jc w:val="center"/>
        <w:rPr>
          <w:rFonts w:ascii="serif" w:hAnsi="serif"/>
          <w:sz w:val="20"/>
        </w:rPr>
      </w:pPr>
      <w:r>
        <w:rPr>
          <w:rFonts w:ascii="serif" w:hAnsi="serif"/>
          <w:sz w:val="20"/>
        </w:rPr>
        <w:t>7</w:t>
      </w:r>
    </w:p>
    <w:p>
      <w:pPr>
        <w:pStyle w:val="HorizontalLine"/>
        <w:pBdr>
          <w:bottom w:val="single" w:sz="12" w:space="0" w:color="808080"/>
        </w:pBdr>
        <w:rPr/>
      </w:pPr>
      <w:r>
        <w:rPr/>
      </w:r>
    </w:p>
    <w:p>
      <w:pPr>
        <w:pStyle w:val="TextBody"/>
        <w:jc w:val="center"/>
        <w:rPr>
          <w:rFonts w:ascii="serif" w:hAnsi="serif"/>
          <w:b/>
          <w:sz w:val="24"/>
        </w:rPr>
      </w:pPr>
      <w:r>
        <w:rPr>
          <w:rFonts w:ascii="serif" w:hAnsi="serif"/>
          <w:b/>
          <w:sz w:val="24"/>
        </w:rPr>
        <w:t>2. Ratification of Appointment of Independent Auditor</w:t>
      </w:r>
    </w:p>
    <w:p>
      <w:pPr>
        <w:pStyle w:val="TextBody"/>
        <w:jc w:val="both"/>
        <w:rPr/>
      </w:pPr>
      <w:r>
        <w:rPr/>
        <w:t>     </w:t>
      </w:r>
      <w:r>
        <w:rPr>
          <w:rFonts w:ascii="serif" w:hAnsi="serif"/>
          <w:sz w:val="20"/>
        </w:rPr>
        <w:t>The Audit Committee of the Board of Directors has appointed PricewaterhouseCoopers LLP as the Companys independent auditor for the fiscal year ending July 31, 2008, and has further directed that we submit the appointment of the independent auditor for ratification by the stockholders at the 2007 Annual Meeting. PricewaterhouseCoopers LLP audited the Companys financial statements for the fiscal year ended July 31, 2007. A representative of PricewaterhouseCoopers LLP is expected to be present at the 2007 Annual Meeting and will have an opportunity to make a statement if he or she so desires and will be available to respond to appropriate questions.</w:t>
      </w:r>
    </w:p>
    <w:p>
      <w:pPr>
        <w:pStyle w:val="TextBody"/>
        <w:jc w:val="both"/>
        <w:rPr/>
      </w:pPr>
      <w:r>
        <w:rPr/>
        <w:t>     </w:t>
      </w:r>
      <w:r>
        <w:rPr>
          <w:rFonts w:ascii="serif" w:hAnsi="serif"/>
          <w:sz w:val="20"/>
        </w:rPr>
        <w:t>Stockholder ratification of the appointment of PricewaterhouseCoopers LLP as the Companys independent auditor is not required by the Companys Amended and Restated By-Laws or otherwise; however, the Board is submitting the appointment of PricewaterhouseCoopers LLP to the stockholders for ratification as a matter of responsible corporate practice. If the stockholders fail to ratify the appointment, the Audit Committee will reconsider whether to retain that firm. Even if the appointment is ratified, the Audit Committee in its discretion may direct the appointment of a different independent auditor at any time during the year if the Audit Committee determines that such a change would be in the best interests of the Company and its stockholders.</w:t>
      </w:r>
    </w:p>
    <w:p>
      <w:pPr>
        <w:pStyle w:val="TextBody"/>
        <w:jc w:val="both"/>
        <w:rPr/>
      </w:pPr>
      <w:r>
        <w:rPr/>
        <w:t>     </w:t>
      </w:r>
      <w:r>
        <w:rPr>
          <w:rFonts w:ascii="serif" w:hAnsi="serif"/>
          <w:b/>
          <w:sz w:val="20"/>
        </w:rPr>
        <w:t>THE BOARD OF DIRECTORS RECOMMENDS A VOTE FOR RATIFICATION OF THE APPOINTMENT OF PRICEWATERHOUSECOOPERS LLP AS INDEPENDENT AUDITOR.</w:t>
      </w:r>
    </w:p>
    <w:p>
      <w:pPr>
        <w:pStyle w:val="TextBody"/>
        <w:jc w:val="both"/>
        <w:rPr>
          <w:rFonts w:ascii="serif" w:hAnsi="serif"/>
          <w:b/>
          <w:sz w:val="20"/>
        </w:rPr>
      </w:pPr>
      <w:r>
        <w:rPr>
          <w:rFonts w:ascii="serif" w:hAnsi="serif"/>
          <w:b/>
          <w:sz w:val="20"/>
        </w:rPr>
        <w:t>Auditor Fees</w:t>
      </w:r>
    </w:p>
    <w:p>
      <w:pPr>
        <w:pStyle w:val="TextBody"/>
        <w:jc w:val="both"/>
        <w:rPr/>
      </w:pPr>
      <w:r>
        <w:rPr/>
        <w:t>     </w:t>
      </w:r>
      <w:r>
        <w:rPr>
          <w:rFonts w:ascii="serif" w:hAnsi="serif"/>
          <w:sz w:val="20"/>
        </w:rPr>
        <w:t>The aggregate fees, including expenses reimbursed, billed by PricewaterhouseCoopers LLP for professional services rendered for the audit of the Companys annual financial statements for the fiscal years ended July 31, 2007 and 2006, respectively, and for the reviews of the financial statements included in our quarterly reports on Form 10-Q for those fiscal years are shown below.</w:t>
      </w:r>
    </w:p>
    <w:p>
      <w:pPr>
        <w:pStyle w:val="TextBody"/>
        <w:jc w:val="both"/>
        <w:rPr/>
      </w:pPr>
      <w:r>
        <w:rPr/>
        <w:t>     </w:t>
      </w:r>
      <w:r>
        <w:rPr>
          <w:rFonts w:ascii="serif" w:hAnsi="serif"/>
          <w:sz w:val="20"/>
        </w:rPr>
        <w:t>The aggregate fees for professional services by PricewaterhouseCoopers LLP in the fiscal years ended July 31, 2007 and 2006, respectively, were:</w:t>
      </w:r>
    </w:p>
    <w:tbl>
      <w:tblPr>
        <w:tblW w:w="5245" w:type="dxa"/>
        <w:jc w:val="center"/>
        <w:tblInd w:w="0" w:type="dxa"/>
        <w:tblCellMar>
          <w:top w:w="0" w:type="dxa"/>
          <w:left w:w="0" w:type="dxa"/>
          <w:bottom w:w="28" w:type="dxa"/>
          <w:right w:w="0" w:type="dxa"/>
        </w:tblCellMar>
      </w:tblPr>
      <w:tblGrid>
        <w:gridCol w:w="2465"/>
        <w:gridCol w:w="260"/>
        <w:gridCol w:w="1100"/>
        <w:gridCol w:w="240"/>
        <w:gridCol w:w="260"/>
        <w:gridCol w:w="920"/>
      </w:tblGrid>
      <w:tr>
        <w:trPr/>
        <w:tc>
          <w:tcPr>
            <w:tcW w:w="2465" w:type="dxa"/>
            <w:tcBorders>
              <w:bottom w:val="single" w:sz="8" w:space="0" w:color="000000"/>
            </w:tcBorders>
            <w:shd w:fill="auto" w:val="clear"/>
            <w:vAlign w:val="bottom"/>
          </w:tcPr>
          <w:p>
            <w:pPr>
              <w:pStyle w:val="TableContents"/>
              <w:spacing w:before="0" w:after="283"/>
              <w:jc w:val="left"/>
              <w:rPr/>
            </w:pPr>
            <w:r>
              <w:rPr/>
              <w:t>     </w:t>
            </w:r>
            <w:r>
              <w:rPr>
                <w:rFonts w:ascii="serif" w:hAnsi="serif"/>
                <w:b/>
                <w:sz w:val="20"/>
              </w:rPr>
              <w:t>Type of Fees</w:t>
            </w:r>
            <w:r>
              <w:rPr/>
              <w:t> </w:t>
            </w:r>
          </w:p>
        </w:tc>
        <w:tc>
          <w:tcPr>
            <w:tcW w:w="1360" w:type="dxa"/>
            <w:gridSpan w:val="2"/>
            <w:tcBorders>
              <w:bottom w:val="single" w:sz="8" w:space="0" w:color="000000"/>
            </w:tcBorders>
            <w:shd w:fill="auto" w:val="clear"/>
            <w:vAlign w:val="bottom"/>
          </w:tcPr>
          <w:p>
            <w:pPr>
              <w:pStyle w:val="TableContents"/>
              <w:spacing w:before="0" w:after="283"/>
              <w:jc w:val="center"/>
              <w:rPr>
                <w:rFonts w:ascii="serif" w:hAnsi="serif"/>
                <w:b/>
                <w:sz w:val="20"/>
              </w:rPr>
            </w:pPr>
            <w:r>
              <w:rPr>
                <w:rFonts w:ascii="serif" w:hAnsi="serif"/>
                <w:b/>
                <w:sz w:val="20"/>
              </w:rPr>
              <w:t>2007</w:t>
            </w:r>
          </w:p>
        </w:tc>
        <w:tc>
          <w:tcPr>
            <w:tcW w:w="240" w:type="dxa"/>
            <w:tcBorders>
              <w:bottom w:val="single" w:sz="8" w:space="0" w:color="000000"/>
            </w:tcBorders>
            <w:shd w:fill="auto" w:val="clear"/>
            <w:vAlign w:val="bottom"/>
          </w:tcPr>
          <w:p>
            <w:pPr>
              <w:pStyle w:val="TableContents"/>
              <w:spacing w:before="0" w:after="283"/>
              <w:jc w:val="center"/>
              <w:rPr/>
            </w:pPr>
            <w:r>
              <w:rPr/>
              <w:t>    </w:t>
            </w:r>
          </w:p>
        </w:tc>
        <w:tc>
          <w:tcPr>
            <w:tcW w:w="1180" w:type="dxa"/>
            <w:gridSpan w:val="2"/>
            <w:tcBorders>
              <w:bottom w:val="single" w:sz="8" w:space="0" w:color="000000"/>
            </w:tcBorders>
            <w:shd w:fill="auto" w:val="clear"/>
            <w:vAlign w:val="bottom"/>
          </w:tcPr>
          <w:p>
            <w:pPr>
              <w:pStyle w:val="TableContents"/>
              <w:spacing w:before="0" w:after="283"/>
              <w:jc w:val="center"/>
              <w:rPr>
                <w:rFonts w:ascii="serif" w:hAnsi="serif"/>
                <w:b/>
                <w:sz w:val="20"/>
              </w:rPr>
            </w:pPr>
            <w:r>
              <w:rPr>
                <w:rFonts w:ascii="serif" w:hAnsi="serif"/>
                <w:b/>
                <w:sz w:val="20"/>
              </w:rPr>
              <w:t>2006</w:t>
            </w:r>
          </w:p>
        </w:tc>
      </w:tr>
      <w:tr>
        <w:trPr/>
        <w:tc>
          <w:tcPr>
            <w:tcW w:w="2465" w:type="dxa"/>
            <w:tcBorders/>
            <w:shd w:fill="C0C0C0" w:val="clear"/>
            <w:tcMar>
              <w:bottom w:w="0" w:type="dxa"/>
            </w:tcMar>
            <w:vAlign w:val="bottom"/>
          </w:tcPr>
          <w:p>
            <w:pPr>
              <w:pStyle w:val="TableContents"/>
              <w:spacing w:before="0" w:after="283"/>
              <w:jc w:val="left"/>
              <w:rPr/>
            </w:pPr>
            <w:r>
              <w:rPr/>
              <w:t>     </w:t>
            </w:r>
            <w:r>
              <w:rPr>
                <w:rFonts w:ascii="serif" w:hAnsi="serif"/>
                <w:sz w:val="20"/>
              </w:rPr>
              <w:t>Audit fees (1)</w:t>
            </w:r>
            <w:r>
              <w:rPr/>
              <w:t> </w:t>
            </w:r>
          </w:p>
        </w:tc>
        <w:tc>
          <w:tcPr>
            <w:tcW w:w="260" w:type="dxa"/>
            <w:tcBorders/>
            <w:shd w:fill="C0C0C0" w:val="clear"/>
            <w:tcMar>
              <w:bottom w:w="0" w:type="dxa"/>
            </w:tcMar>
            <w:vAlign w:val="bottom"/>
          </w:tcPr>
          <w:p>
            <w:pPr>
              <w:pStyle w:val="TableContents"/>
              <w:spacing w:before="0" w:after="283"/>
              <w:jc w:val="right"/>
              <w:rPr>
                <w:rFonts w:ascii="serif" w:hAnsi="serif"/>
                <w:sz w:val="20"/>
              </w:rPr>
            </w:pPr>
            <w:r>
              <w:rPr>
                <w:rFonts w:ascii="serif" w:hAnsi="serif"/>
                <w:sz w:val="20"/>
              </w:rPr>
              <w:t>$</w:t>
            </w:r>
          </w:p>
        </w:tc>
        <w:tc>
          <w:tcPr>
            <w:tcW w:w="1100" w:type="dxa"/>
            <w:tcBorders/>
            <w:shd w:fill="C0C0C0" w:val="clear"/>
            <w:tcMar>
              <w:bottom w:w="0" w:type="dxa"/>
            </w:tcMar>
            <w:vAlign w:val="bottom"/>
          </w:tcPr>
          <w:p>
            <w:pPr>
              <w:pStyle w:val="TableContents"/>
              <w:spacing w:before="0" w:after="283"/>
              <w:jc w:val="right"/>
              <w:rPr/>
            </w:pPr>
            <w:r>
              <w:rPr>
                <w:rFonts w:ascii="serif" w:hAnsi="serif"/>
                <w:sz w:val="20"/>
              </w:rPr>
              <w:t>827,693</w:t>
            </w:r>
            <w:r>
              <w:rPr/>
              <w:t> </w:t>
            </w:r>
          </w:p>
        </w:tc>
        <w:tc>
          <w:tcPr>
            <w:tcW w:w="240" w:type="dxa"/>
            <w:tcBorders/>
            <w:shd w:fill="C0C0C0" w:val="clear"/>
            <w:tcMar>
              <w:bottom w:w="0" w:type="dxa"/>
            </w:tcMar>
            <w:vAlign w:val="bottom"/>
          </w:tcPr>
          <w:p>
            <w:pPr>
              <w:pStyle w:val="TableContents"/>
              <w:spacing w:before="0" w:after="283"/>
              <w:rPr>
                <w:sz w:val="4"/>
                <w:szCs w:val="4"/>
              </w:rPr>
            </w:pPr>
            <w:r>
              <w:rPr>
                <w:sz w:val="4"/>
                <w:szCs w:val="4"/>
              </w:rPr>
            </w:r>
          </w:p>
        </w:tc>
        <w:tc>
          <w:tcPr>
            <w:tcW w:w="260" w:type="dxa"/>
            <w:tcBorders/>
            <w:shd w:fill="C0C0C0" w:val="clear"/>
            <w:tcMar>
              <w:bottom w:w="0" w:type="dxa"/>
            </w:tcMar>
            <w:vAlign w:val="bottom"/>
          </w:tcPr>
          <w:p>
            <w:pPr>
              <w:pStyle w:val="TableContents"/>
              <w:spacing w:before="0" w:after="283"/>
              <w:jc w:val="right"/>
              <w:rPr/>
            </w:pPr>
            <w:r>
              <w:rPr/>
              <w:t xml:space="preserve">  </w:t>
            </w:r>
            <w:r>
              <w:rPr>
                <w:rFonts w:ascii="serif" w:hAnsi="serif"/>
                <w:sz w:val="20"/>
              </w:rPr>
              <w:t>$</w:t>
            </w:r>
          </w:p>
        </w:tc>
        <w:tc>
          <w:tcPr>
            <w:tcW w:w="920" w:type="dxa"/>
            <w:tcBorders/>
            <w:shd w:fill="C0C0C0" w:val="clear"/>
            <w:tcMar>
              <w:bottom w:w="0" w:type="dxa"/>
            </w:tcMar>
            <w:vAlign w:val="bottom"/>
          </w:tcPr>
          <w:p>
            <w:pPr>
              <w:pStyle w:val="TableContents"/>
              <w:spacing w:before="0" w:after="283"/>
              <w:jc w:val="right"/>
              <w:rPr/>
            </w:pPr>
            <w:r>
              <w:rPr>
                <w:rFonts w:ascii="serif" w:hAnsi="serif"/>
                <w:sz w:val="20"/>
              </w:rPr>
              <w:t>304,000</w:t>
            </w:r>
            <w:r>
              <w:rPr/>
              <w:t> </w:t>
            </w:r>
          </w:p>
        </w:tc>
      </w:tr>
      <w:tr>
        <w:trPr/>
        <w:tc>
          <w:tcPr>
            <w:tcW w:w="2465" w:type="dxa"/>
            <w:tcBorders/>
            <w:shd w:fill="auto" w:val="clear"/>
            <w:tcMar>
              <w:bottom w:w="0" w:type="dxa"/>
            </w:tcMar>
            <w:vAlign w:val="bottom"/>
          </w:tcPr>
          <w:p>
            <w:pPr>
              <w:pStyle w:val="TableContents"/>
              <w:spacing w:before="0" w:after="283"/>
              <w:jc w:val="left"/>
              <w:rPr/>
            </w:pPr>
            <w:r>
              <w:rPr/>
              <w:t>     </w:t>
            </w:r>
            <w:r>
              <w:rPr>
                <w:rFonts w:ascii="serif" w:hAnsi="serif"/>
                <w:sz w:val="20"/>
              </w:rPr>
              <w:t>Audit-related fees (2)</w:t>
            </w:r>
            <w:r>
              <w:rPr/>
              <w:t> </w:t>
            </w:r>
          </w:p>
        </w:tc>
        <w:tc>
          <w:tcPr>
            <w:tcW w:w="260" w:type="dxa"/>
            <w:tcBorders/>
            <w:shd w:fill="auto" w:val="clear"/>
            <w:tcMar>
              <w:bottom w:w="0" w:type="dxa"/>
            </w:tcMar>
            <w:vAlign w:val="bottom"/>
          </w:tcPr>
          <w:p>
            <w:pPr>
              <w:pStyle w:val="TableContents"/>
              <w:spacing w:before="0" w:after="283"/>
              <w:jc w:val="right"/>
              <w:rPr/>
            </w:pPr>
            <w:r>
              <w:rPr/>
              <w:t> </w:t>
            </w:r>
          </w:p>
        </w:tc>
        <w:tc>
          <w:tcPr>
            <w:tcW w:w="1100" w:type="dxa"/>
            <w:tcBorders/>
            <w:shd w:fill="auto" w:val="clear"/>
            <w:tcMar>
              <w:bottom w:w="0" w:type="dxa"/>
            </w:tcMar>
            <w:vAlign w:val="bottom"/>
          </w:tcPr>
          <w:p>
            <w:pPr>
              <w:pStyle w:val="TableContents"/>
              <w:spacing w:before="0" w:after="283"/>
              <w:jc w:val="right"/>
              <w:rPr/>
            </w:pPr>
            <w:r>
              <w:rPr>
                <w:rFonts w:ascii="serif" w:hAnsi="serif"/>
                <w:sz w:val="20"/>
              </w:rPr>
              <w:t>14,000</w:t>
            </w:r>
            <w:r>
              <w:rPr/>
              <w:t> </w:t>
            </w:r>
          </w:p>
        </w:tc>
        <w:tc>
          <w:tcPr>
            <w:tcW w:w="240" w:type="dxa"/>
            <w:tcBorders/>
            <w:shd w:fill="auto" w:val="clear"/>
            <w:tcMar>
              <w:bottom w:w="0" w:type="dxa"/>
            </w:tcMar>
            <w:vAlign w:val="bottom"/>
          </w:tcPr>
          <w:p>
            <w:pPr>
              <w:pStyle w:val="TableContents"/>
              <w:spacing w:before="0" w:after="283"/>
              <w:rPr>
                <w:sz w:val="4"/>
                <w:szCs w:val="4"/>
              </w:rPr>
            </w:pPr>
            <w:r>
              <w:rPr>
                <w:sz w:val="4"/>
                <w:szCs w:val="4"/>
              </w:rPr>
            </w:r>
          </w:p>
        </w:tc>
        <w:tc>
          <w:tcPr>
            <w:tcW w:w="260" w:type="dxa"/>
            <w:tcBorders/>
            <w:shd w:fill="auto" w:val="clear"/>
            <w:tcMar>
              <w:bottom w:w="0" w:type="dxa"/>
            </w:tcMar>
            <w:vAlign w:val="bottom"/>
          </w:tcPr>
          <w:p>
            <w:pPr>
              <w:pStyle w:val="TableContents"/>
              <w:spacing w:before="0" w:after="283"/>
              <w:jc w:val="right"/>
              <w:rPr/>
            </w:pPr>
            <w:r>
              <w:rPr/>
              <w:t> </w:t>
            </w:r>
          </w:p>
        </w:tc>
        <w:tc>
          <w:tcPr>
            <w:tcW w:w="920" w:type="dxa"/>
            <w:tcBorders/>
            <w:shd w:fill="auto" w:val="clear"/>
            <w:tcMar>
              <w:bottom w:w="0" w:type="dxa"/>
            </w:tcMar>
            <w:vAlign w:val="bottom"/>
          </w:tcPr>
          <w:p>
            <w:pPr>
              <w:pStyle w:val="TableContents"/>
              <w:spacing w:before="0" w:after="283"/>
              <w:jc w:val="right"/>
              <w:rPr/>
            </w:pPr>
            <w:r>
              <w:rPr>
                <w:rFonts w:ascii="serif" w:hAnsi="serif"/>
                <w:sz w:val="20"/>
              </w:rPr>
              <w:t>20,950</w:t>
            </w:r>
            <w:r>
              <w:rPr/>
              <w:t> </w:t>
            </w:r>
          </w:p>
        </w:tc>
      </w:tr>
      <w:tr>
        <w:trPr/>
        <w:tc>
          <w:tcPr>
            <w:tcW w:w="2465" w:type="dxa"/>
            <w:tcBorders/>
            <w:shd w:fill="C0C0C0" w:val="clear"/>
            <w:tcMar>
              <w:bottom w:w="0" w:type="dxa"/>
            </w:tcMar>
            <w:vAlign w:val="bottom"/>
          </w:tcPr>
          <w:p>
            <w:pPr>
              <w:pStyle w:val="TableContents"/>
              <w:spacing w:before="0" w:after="283"/>
              <w:jc w:val="left"/>
              <w:rPr/>
            </w:pPr>
            <w:r>
              <w:rPr/>
              <w:t>     </w:t>
            </w:r>
            <w:r>
              <w:rPr>
                <w:rFonts w:ascii="serif" w:hAnsi="serif"/>
                <w:sz w:val="20"/>
              </w:rPr>
              <w:t>Tax fees (3)</w:t>
            </w:r>
            <w:r>
              <w:rPr/>
              <w:t> </w:t>
            </w:r>
          </w:p>
        </w:tc>
        <w:tc>
          <w:tcPr>
            <w:tcW w:w="260" w:type="dxa"/>
            <w:tcBorders/>
            <w:shd w:fill="C0C0C0" w:val="clear"/>
            <w:tcMar>
              <w:bottom w:w="0" w:type="dxa"/>
            </w:tcMar>
            <w:vAlign w:val="bottom"/>
          </w:tcPr>
          <w:p>
            <w:pPr>
              <w:pStyle w:val="TableContents"/>
              <w:spacing w:before="0" w:after="283"/>
              <w:jc w:val="right"/>
              <w:rPr/>
            </w:pPr>
            <w:r>
              <w:rPr/>
              <w:t> </w:t>
            </w:r>
          </w:p>
        </w:tc>
        <w:tc>
          <w:tcPr>
            <w:tcW w:w="1100" w:type="dxa"/>
            <w:tcBorders/>
            <w:shd w:fill="C0C0C0" w:val="clear"/>
            <w:tcMar>
              <w:bottom w:w="0" w:type="dxa"/>
            </w:tcMar>
            <w:vAlign w:val="bottom"/>
          </w:tcPr>
          <w:p>
            <w:pPr>
              <w:pStyle w:val="TableContents"/>
              <w:spacing w:before="0" w:after="283"/>
              <w:jc w:val="left"/>
              <w:rPr/>
            </w:pPr>
            <w:r>
              <w:rPr/>
              <w:t> </w:t>
            </w:r>
          </w:p>
        </w:tc>
        <w:tc>
          <w:tcPr>
            <w:tcW w:w="240" w:type="dxa"/>
            <w:tcBorders/>
            <w:shd w:fill="C0C0C0" w:val="clear"/>
            <w:tcMar>
              <w:bottom w:w="0" w:type="dxa"/>
            </w:tcMar>
            <w:vAlign w:val="bottom"/>
          </w:tcPr>
          <w:p>
            <w:pPr>
              <w:pStyle w:val="TableContents"/>
              <w:spacing w:before="0" w:after="283"/>
              <w:rPr>
                <w:sz w:val="4"/>
                <w:szCs w:val="4"/>
              </w:rPr>
            </w:pPr>
            <w:r>
              <w:rPr>
                <w:sz w:val="4"/>
                <w:szCs w:val="4"/>
              </w:rPr>
            </w:r>
          </w:p>
        </w:tc>
        <w:tc>
          <w:tcPr>
            <w:tcW w:w="260" w:type="dxa"/>
            <w:tcBorders/>
            <w:shd w:fill="C0C0C0" w:val="clear"/>
            <w:tcMar>
              <w:bottom w:w="0" w:type="dxa"/>
            </w:tcMar>
            <w:vAlign w:val="bottom"/>
          </w:tcPr>
          <w:p>
            <w:pPr>
              <w:pStyle w:val="TableContents"/>
              <w:spacing w:before="0" w:after="283"/>
              <w:jc w:val="right"/>
              <w:rPr/>
            </w:pPr>
            <w:r>
              <w:rPr/>
              <w:t> </w:t>
            </w:r>
          </w:p>
        </w:tc>
        <w:tc>
          <w:tcPr>
            <w:tcW w:w="920" w:type="dxa"/>
            <w:tcBorders/>
            <w:shd w:fill="C0C0C0" w:val="clear"/>
            <w:tcMar>
              <w:bottom w:w="0" w:type="dxa"/>
            </w:tcMar>
            <w:vAlign w:val="bottom"/>
          </w:tcPr>
          <w:p>
            <w:pPr>
              <w:pStyle w:val="TableContents"/>
              <w:spacing w:before="0" w:after="283"/>
              <w:jc w:val="left"/>
              <w:rPr/>
            </w:pPr>
            <w:r>
              <w:rPr/>
              <w:t> </w:t>
            </w:r>
          </w:p>
        </w:tc>
      </w:tr>
      <w:tr>
        <w:trPr/>
        <w:tc>
          <w:tcPr>
            <w:tcW w:w="2465" w:type="dxa"/>
            <w:tcBorders/>
            <w:shd w:fill="auto" w:val="clear"/>
            <w:tcMar>
              <w:bottom w:w="0" w:type="dxa"/>
            </w:tcMar>
            <w:vAlign w:val="bottom"/>
          </w:tcPr>
          <w:p>
            <w:pPr>
              <w:pStyle w:val="TableContents"/>
              <w:spacing w:before="0" w:after="283"/>
              <w:jc w:val="left"/>
              <w:rPr/>
            </w:pPr>
            <w:r>
              <w:rPr/>
              <w:t>          </w:t>
            </w:r>
            <w:r>
              <w:rPr>
                <w:rFonts w:ascii="serif" w:hAnsi="serif"/>
                <w:sz w:val="20"/>
              </w:rPr>
              <w:t>Tax compliance</w:t>
            </w:r>
            <w:r>
              <w:rPr/>
              <w:t> </w:t>
            </w:r>
          </w:p>
        </w:tc>
        <w:tc>
          <w:tcPr>
            <w:tcW w:w="260" w:type="dxa"/>
            <w:tcBorders/>
            <w:shd w:fill="auto" w:val="clear"/>
            <w:tcMar>
              <w:bottom w:w="0" w:type="dxa"/>
            </w:tcMar>
            <w:vAlign w:val="bottom"/>
          </w:tcPr>
          <w:p>
            <w:pPr>
              <w:pStyle w:val="TableContents"/>
              <w:spacing w:before="0" w:after="283"/>
              <w:jc w:val="right"/>
              <w:rPr/>
            </w:pPr>
            <w:r>
              <w:rPr/>
              <w:t> </w:t>
            </w:r>
          </w:p>
        </w:tc>
        <w:tc>
          <w:tcPr>
            <w:tcW w:w="1100" w:type="dxa"/>
            <w:tcBorders/>
            <w:shd w:fill="auto" w:val="clear"/>
            <w:tcMar>
              <w:bottom w:w="0" w:type="dxa"/>
            </w:tcMar>
            <w:vAlign w:val="bottom"/>
          </w:tcPr>
          <w:p>
            <w:pPr>
              <w:pStyle w:val="TableContents"/>
              <w:spacing w:before="0" w:after="283"/>
              <w:jc w:val="right"/>
              <w:rPr/>
            </w:pPr>
            <w:r>
              <w:rPr>
                <w:rFonts w:ascii="serif" w:hAnsi="serif"/>
                <w:sz w:val="20"/>
              </w:rPr>
              <w:t>282,387</w:t>
            </w:r>
            <w:r>
              <w:rPr/>
              <w:t> </w:t>
            </w:r>
          </w:p>
        </w:tc>
        <w:tc>
          <w:tcPr>
            <w:tcW w:w="240" w:type="dxa"/>
            <w:tcBorders/>
            <w:shd w:fill="auto" w:val="clear"/>
            <w:tcMar>
              <w:bottom w:w="0" w:type="dxa"/>
            </w:tcMar>
            <w:vAlign w:val="bottom"/>
          </w:tcPr>
          <w:p>
            <w:pPr>
              <w:pStyle w:val="TableContents"/>
              <w:spacing w:before="0" w:after="283"/>
              <w:rPr>
                <w:sz w:val="4"/>
                <w:szCs w:val="4"/>
              </w:rPr>
            </w:pPr>
            <w:r>
              <w:rPr>
                <w:sz w:val="4"/>
                <w:szCs w:val="4"/>
              </w:rPr>
            </w:r>
          </w:p>
        </w:tc>
        <w:tc>
          <w:tcPr>
            <w:tcW w:w="260" w:type="dxa"/>
            <w:tcBorders/>
            <w:shd w:fill="auto" w:val="clear"/>
            <w:tcMar>
              <w:bottom w:w="0" w:type="dxa"/>
            </w:tcMar>
            <w:vAlign w:val="bottom"/>
          </w:tcPr>
          <w:p>
            <w:pPr>
              <w:pStyle w:val="TableContents"/>
              <w:spacing w:before="0" w:after="283"/>
              <w:jc w:val="right"/>
              <w:rPr/>
            </w:pPr>
            <w:r>
              <w:rPr/>
              <w:t> </w:t>
            </w:r>
          </w:p>
        </w:tc>
        <w:tc>
          <w:tcPr>
            <w:tcW w:w="920" w:type="dxa"/>
            <w:tcBorders/>
            <w:shd w:fill="auto" w:val="clear"/>
            <w:tcMar>
              <w:bottom w:w="0" w:type="dxa"/>
            </w:tcMar>
            <w:vAlign w:val="bottom"/>
          </w:tcPr>
          <w:p>
            <w:pPr>
              <w:pStyle w:val="TableContents"/>
              <w:spacing w:before="0" w:after="283"/>
              <w:jc w:val="right"/>
              <w:rPr/>
            </w:pPr>
            <w:r>
              <w:rPr>
                <w:rFonts w:ascii="serif" w:hAnsi="serif"/>
                <w:sz w:val="20"/>
              </w:rPr>
              <w:t>131,242</w:t>
            </w:r>
            <w:r>
              <w:rPr/>
              <w:t> </w:t>
            </w:r>
          </w:p>
        </w:tc>
      </w:tr>
      <w:tr>
        <w:trPr/>
        <w:tc>
          <w:tcPr>
            <w:tcW w:w="2465" w:type="dxa"/>
            <w:tcBorders/>
            <w:shd w:fill="C0C0C0" w:val="clear"/>
            <w:tcMar>
              <w:bottom w:w="0" w:type="dxa"/>
            </w:tcMar>
            <w:vAlign w:val="bottom"/>
          </w:tcPr>
          <w:p>
            <w:pPr>
              <w:pStyle w:val="TableContents"/>
              <w:spacing w:before="0" w:after="283"/>
              <w:jc w:val="left"/>
              <w:rPr/>
            </w:pPr>
            <w:r>
              <w:rPr/>
              <w:t>          </w:t>
            </w:r>
            <w:r>
              <w:rPr>
                <w:rFonts w:ascii="serif" w:hAnsi="serif"/>
                <w:sz w:val="20"/>
              </w:rPr>
              <w:t>Tax planning</w:t>
            </w:r>
            <w:r>
              <w:rPr/>
              <w:t> </w:t>
            </w:r>
          </w:p>
        </w:tc>
        <w:tc>
          <w:tcPr>
            <w:tcW w:w="260" w:type="dxa"/>
            <w:tcBorders/>
            <w:shd w:fill="C0C0C0" w:val="clear"/>
            <w:tcMar>
              <w:bottom w:w="0" w:type="dxa"/>
            </w:tcMar>
            <w:vAlign w:val="bottom"/>
          </w:tcPr>
          <w:p>
            <w:pPr>
              <w:pStyle w:val="TableContents"/>
              <w:spacing w:before="0" w:after="283"/>
              <w:jc w:val="right"/>
              <w:rPr/>
            </w:pPr>
            <w:r>
              <w:rPr/>
              <w:t> </w:t>
            </w:r>
          </w:p>
        </w:tc>
        <w:tc>
          <w:tcPr>
            <w:tcW w:w="1100" w:type="dxa"/>
            <w:tcBorders/>
            <w:shd w:fill="C0C0C0" w:val="clear"/>
            <w:tcMar>
              <w:bottom w:w="0" w:type="dxa"/>
            </w:tcMar>
            <w:vAlign w:val="bottom"/>
          </w:tcPr>
          <w:p>
            <w:pPr>
              <w:pStyle w:val="TableContents"/>
              <w:spacing w:before="0" w:after="283"/>
              <w:jc w:val="right"/>
              <w:rPr/>
            </w:pPr>
            <w:r>
              <w:rPr>
                <w:rFonts w:ascii="serif" w:hAnsi="serif"/>
                <w:sz w:val="20"/>
              </w:rPr>
              <w:t>125,725</w:t>
            </w:r>
            <w:r>
              <w:rPr/>
              <w:t> </w:t>
            </w:r>
          </w:p>
        </w:tc>
        <w:tc>
          <w:tcPr>
            <w:tcW w:w="240" w:type="dxa"/>
            <w:tcBorders/>
            <w:shd w:fill="C0C0C0" w:val="clear"/>
            <w:tcMar>
              <w:bottom w:w="0" w:type="dxa"/>
            </w:tcMar>
            <w:vAlign w:val="bottom"/>
          </w:tcPr>
          <w:p>
            <w:pPr>
              <w:pStyle w:val="TableContents"/>
              <w:spacing w:before="0" w:after="283"/>
              <w:rPr>
                <w:sz w:val="4"/>
                <w:szCs w:val="4"/>
              </w:rPr>
            </w:pPr>
            <w:r>
              <w:rPr>
                <w:sz w:val="4"/>
                <w:szCs w:val="4"/>
              </w:rPr>
            </w:r>
          </w:p>
        </w:tc>
        <w:tc>
          <w:tcPr>
            <w:tcW w:w="260" w:type="dxa"/>
            <w:tcBorders/>
            <w:shd w:fill="C0C0C0" w:val="clear"/>
            <w:tcMar>
              <w:bottom w:w="0" w:type="dxa"/>
            </w:tcMar>
            <w:vAlign w:val="bottom"/>
          </w:tcPr>
          <w:p>
            <w:pPr>
              <w:pStyle w:val="TableContents"/>
              <w:spacing w:before="0" w:after="283"/>
              <w:jc w:val="right"/>
              <w:rPr/>
            </w:pPr>
            <w:r>
              <w:rPr/>
              <w:t> </w:t>
            </w:r>
          </w:p>
        </w:tc>
        <w:tc>
          <w:tcPr>
            <w:tcW w:w="920" w:type="dxa"/>
            <w:tcBorders/>
            <w:shd w:fill="C0C0C0" w:val="clear"/>
            <w:tcMar>
              <w:bottom w:w="0" w:type="dxa"/>
            </w:tcMar>
            <w:vAlign w:val="bottom"/>
          </w:tcPr>
          <w:p>
            <w:pPr>
              <w:pStyle w:val="TableContents"/>
              <w:spacing w:before="0" w:after="283"/>
              <w:jc w:val="right"/>
              <w:rPr/>
            </w:pPr>
            <w:r>
              <w:rPr>
                <w:rFonts w:ascii="serif" w:hAnsi="serif"/>
                <w:sz w:val="20"/>
              </w:rPr>
              <w:t>117,250</w:t>
            </w:r>
            <w:r>
              <w:rPr/>
              <w:t> </w:t>
            </w:r>
          </w:p>
        </w:tc>
      </w:tr>
      <w:tr>
        <w:trPr/>
        <w:tc>
          <w:tcPr>
            <w:tcW w:w="2465" w:type="dxa"/>
            <w:tcBorders/>
            <w:shd w:fill="auto" w:val="clear"/>
            <w:tcMar>
              <w:bottom w:w="0" w:type="dxa"/>
            </w:tcMar>
            <w:vAlign w:val="bottom"/>
          </w:tcPr>
          <w:p>
            <w:pPr>
              <w:pStyle w:val="TableContents"/>
              <w:spacing w:before="0" w:after="283"/>
              <w:jc w:val="left"/>
              <w:rPr/>
            </w:pPr>
            <w:r>
              <w:rPr/>
              <w:t>     </w:t>
            </w:r>
            <w:r>
              <w:rPr>
                <w:rFonts w:ascii="serif" w:hAnsi="serif"/>
                <w:sz w:val="20"/>
              </w:rPr>
              <w:t>All other fees (4)</w:t>
            </w:r>
            <w:r>
              <w:rPr/>
              <w:t> </w:t>
            </w:r>
          </w:p>
        </w:tc>
        <w:tc>
          <w:tcPr>
            <w:tcW w:w="260" w:type="dxa"/>
            <w:tcBorders>
              <w:bottom w:val="single" w:sz="8" w:space="0" w:color="000000"/>
            </w:tcBorders>
            <w:shd w:fill="auto" w:val="clear"/>
            <w:vAlign w:val="bottom"/>
          </w:tcPr>
          <w:p>
            <w:pPr>
              <w:pStyle w:val="TableContents"/>
              <w:spacing w:before="0" w:after="283"/>
              <w:jc w:val="right"/>
              <w:rPr/>
            </w:pPr>
            <w:r>
              <w:rPr/>
              <w:t> </w:t>
            </w:r>
          </w:p>
        </w:tc>
        <w:tc>
          <w:tcPr>
            <w:tcW w:w="1100" w:type="dxa"/>
            <w:tcBorders>
              <w:bottom w:val="single" w:sz="8" w:space="0" w:color="000000"/>
            </w:tcBorders>
            <w:shd w:fill="auto" w:val="clear"/>
            <w:vAlign w:val="bottom"/>
          </w:tcPr>
          <w:p>
            <w:pPr>
              <w:pStyle w:val="TableContents"/>
              <w:spacing w:before="0" w:after="283"/>
              <w:jc w:val="right"/>
              <w:rPr/>
            </w:pPr>
            <w:r>
              <w:rPr>
                <w:rFonts w:ascii="serif" w:hAnsi="serif"/>
                <w:sz w:val="20"/>
              </w:rPr>
              <w:t>4,350</w:t>
            </w:r>
            <w:r>
              <w:rPr/>
              <w:t> </w:t>
            </w:r>
          </w:p>
        </w:tc>
        <w:tc>
          <w:tcPr>
            <w:tcW w:w="240" w:type="dxa"/>
            <w:tcBorders>
              <w:bottom w:val="single" w:sz="8" w:space="0" w:color="000000"/>
            </w:tcBorders>
            <w:shd w:fill="auto" w:val="clear"/>
            <w:vAlign w:val="bottom"/>
          </w:tcPr>
          <w:p>
            <w:pPr>
              <w:pStyle w:val="TableContents"/>
              <w:spacing w:before="0" w:after="283"/>
              <w:jc w:val="left"/>
              <w:rPr/>
            </w:pPr>
            <w:r>
              <w:rPr/>
              <w:t> </w:t>
            </w:r>
          </w:p>
        </w:tc>
        <w:tc>
          <w:tcPr>
            <w:tcW w:w="260" w:type="dxa"/>
            <w:tcBorders>
              <w:bottom w:val="single" w:sz="8" w:space="0" w:color="000000"/>
            </w:tcBorders>
            <w:shd w:fill="auto" w:val="clear"/>
            <w:vAlign w:val="bottom"/>
          </w:tcPr>
          <w:p>
            <w:pPr>
              <w:pStyle w:val="TableContents"/>
              <w:spacing w:before="0" w:after="283"/>
              <w:jc w:val="right"/>
              <w:rPr/>
            </w:pPr>
            <w:r>
              <w:rPr/>
              <w:t> </w:t>
            </w:r>
          </w:p>
        </w:tc>
        <w:tc>
          <w:tcPr>
            <w:tcW w:w="920" w:type="dxa"/>
            <w:tcBorders>
              <w:bottom w:val="single" w:sz="8" w:space="0" w:color="000000"/>
            </w:tcBorders>
            <w:shd w:fill="auto" w:val="clear"/>
            <w:vAlign w:val="bottom"/>
          </w:tcPr>
          <w:p>
            <w:pPr>
              <w:pStyle w:val="TableContents"/>
              <w:spacing w:before="0" w:after="283"/>
              <w:jc w:val="right"/>
              <w:rPr/>
            </w:pPr>
            <w:r>
              <w:rPr>
                <w:rFonts w:ascii="serif" w:hAnsi="serif"/>
                <w:sz w:val="20"/>
              </w:rPr>
              <w:t>--</w:t>
            </w:r>
            <w:r>
              <w:rPr/>
              <w:t> </w:t>
            </w:r>
          </w:p>
        </w:tc>
      </w:tr>
      <w:tr>
        <w:trPr/>
        <w:tc>
          <w:tcPr>
            <w:tcW w:w="2465" w:type="dxa"/>
            <w:tcBorders/>
            <w:shd w:fill="C0C0C0" w:val="clear"/>
            <w:tcMar>
              <w:bottom w:w="0" w:type="dxa"/>
            </w:tcMar>
            <w:vAlign w:val="bottom"/>
          </w:tcPr>
          <w:p>
            <w:pPr>
              <w:pStyle w:val="TableContents"/>
              <w:spacing w:before="0" w:after="283"/>
              <w:jc w:val="left"/>
              <w:rPr/>
            </w:pPr>
            <w:r>
              <w:rPr/>
              <w:t>     </w:t>
            </w:r>
            <w:r>
              <w:rPr>
                <w:rFonts w:ascii="serif" w:hAnsi="serif"/>
                <w:sz w:val="20"/>
              </w:rPr>
              <w:t>Total</w:t>
            </w:r>
            <w:r>
              <w:rPr/>
              <w:t> </w:t>
            </w:r>
          </w:p>
        </w:tc>
        <w:tc>
          <w:tcPr>
            <w:tcW w:w="260" w:type="dxa"/>
            <w:tcBorders/>
            <w:shd w:fill="C0C0C0" w:val="clear"/>
            <w:tcMar>
              <w:bottom w:w="0" w:type="dxa"/>
            </w:tcMar>
            <w:vAlign w:val="bottom"/>
          </w:tcPr>
          <w:p>
            <w:pPr>
              <w:pStyle w:val="TableContents"/>
              <w:spacing w:before="0" w:after="283"/>
              <w:jc w:val="right"/>
              <w:rPr/>
            </w:pPr>
            <w:r>
              <w:rPr/>
              <w:t xml:space="preserve">  </w:t>
            </w:r>
            <w:r>
              <w:rPr>
                <w:rFonts w:ascii="serif" w:hAnsi="serif"/>
                <w:sz w:val="20"/>
              </w:rPr>
              <w:t>$</w:t>
            </w:r>
          </w:p>
        </w:tc>
        <w:tc>
          <w:tcPr>
            <w:tcW w:w="1100" w:type="dxa"/>
            <w:tcBorders/>
            <w:shd w:fill="C0C0C0" w:val="clear"/>
            <w:tcMar>
              <w:bottom w:w="0" w:type="dxa"/>
            </w:tcMar>
            <w:vAlign w:val="bottom"/>
          </w:tcPr>
          <w:p>
            <w:pPr>
              <w:pStyle w:val="TableContents"/>
              <w:spacing w:before="0" w:after="283"/>
              <w:jc w:val="right"/>
              <w:rPr/>
            </w:pPr>
            <w:r>
              <w:rPr/>
              <w:t> </w:t>
            </w:r>
            <w:r>
              <w:rPr>
                <w:rFonts w:ascii="serif" w:hAnsi="serif"/>
                <w:sz w:val="20"/>
              </w:rPr>
              <w:t>1,254,155</w:t>
            </w:r>
            <w:r>
              <w:rPr/>
              <w:t> </w:t>
            </w:r>
          </w:p>
        </w:tc>
        <w:tc>
          <w:tcPr>
            <w:tcW w:w="240" w:type="dxa"/>
            <w:tcBorders/>
            <w:shd w:fill="C0C0C0" w:val="clear"/>
            <w:tcMar>
              <w:bottom w:w="0" w:type="dxa"/>
            </w:tcMar>
            <w:vAlign w:val="bottom"/>
          </w:tcPr>
          <w:p>
            <w:pPr>
              <w:pStyle w:val="TableContents"/>
              <w:spacing w:before="0" w:after="283"/>
              <w:rPr>
                <w:sz w:val="4"/>
                <w:szCs w:val="4"/>
              </w:rPr>
            </w:pPr>
            <w:r>
              <w:rPr>
                <w:sz w:val="4"/>
                <w:szCs w:val="4"/>
              </w:rPr>
            </w:r>
          </w:p>
        </w:tc>
        <w:tc>
          <w:tcPr>
            <w:tcW w:w="260" w:type="dxa"/>
            <w:tcBorders/>
            <w:shd w:fill="C0C0C0" w:val="clear"/>
            <w:tcMar>
              <w:bottom w:w="0" w:type="dxa"/>
            </w:tcM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tcMar>
              <w:bottom w:w="0" w:type="dxa"/>
            </w:tcMar>
            <w:vAlign w:val="bottom"/>
          </w:tcPr>
          <w:p>
            <w:pPr>
              <w:pStyle w:val="TableContents"/>
              <w:spacing w:before="0" w:after="283"/>
              <w:jc w:val="right"/>
              <w:rPr/>
            </w:pPr>
            <w:r>
              <w:rPr/>
              <w:t> </w:t>
            </w:r>
            <w:r>
              <w:rPr>
                <w:rFonts w:ascii="serif" w:hAnsi="serif"/>
                <w:sz w:val="20"/>
              </w:rPr>
              <w:t>573,442</w:t>
            </w: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39"/>
        <w:gridCol w:w="300"/>
        <w:gridCol w:w="9666"/>
      </w:tblGrid>
      <w:tr>
        <w:trPr/>
        <w:tc>
          <w:tcPr>
            <w:tcW w:w="239" w:type="dxa"/>
            <w:tcBorders/>
            <w:shd w:fill="auto" w:val="clear"/>
          </w:tcPr>
          <w:p>
            <w:pPr>
              <w:pStyle w:val="TableContents"/>
              <w:spacing w:before="0" w:after="283"/>
              <w:jc w:val="left"/>
              <w:rPr>
                <w:rFonts w:ascii="serif" w:hAnsi="serif"/>
                <w:sz w:val="20"/>
              </w:rPr>
            </w:pPr>
            <w:r>
              <w:rPr>
                <w:rFonts w:ascii="serif" w:hAnsi="serif"/>
                <w:sz w:val="20"/>
              </w:rPr>
              <w:t>(1)</w:t>
            </w:r>
          </w:p>
        </w:tc>
        <w:tc>
          <w:tcPr>
            <w:tcW w:w="300" w:type="dxa"/>
            <w:tcBorders/>
            <w:shd w:fill="auto" w:val="clear"/>
          </w:tcPr>
          <w:p>
            <w:pPr>
              <w:pStyle w:val="TableContents"/>
              <w:spacing w:before="0" w:after="283"/>
              <w:rPr>
                <w:sz w:val="4"/>
                <w:szCs w:val="4"/>
              </w:rPr>
            </w:pPr>
            <w:r>
              <w:rPr>
                <w:sz w:val="4"/>
                <w:szCs w:val="4"/>
              </w:rPr>
            </w:r>
          </w:p>
        </w:tc>
        <w:tc>
          <w:tcPr>
            <w:tcW w:w="9666" w:type="dxa"/>
            <w:tcBorders/>
            <w:shd w:fill="auto" w:val="clear"/>
          </w:tcPr>
          <w:p>
            <w:pPr>
              <w:pStyle w:val="TableContents"/>
              <w:spacing w:before="0" w:after="283"/>
              <w:jc w:val="both"/>
              <w:rPr>
                <w:rFonts w:ascii="serif" w:hAnsi="serif"/>
                <w:sz w:val="20"/>
              </w:rPr>
            </w:pPr>
            <w:r>
              <w:rPr>
                <w:rFonts w:ascii="serif" w:hAnsi="serif"/>
                <w:sz w:val="20"/>
              </w:rPr>
              <w:t>Audit fees represent fees for professional services provided in connection with the audit of our annual financial statements and review of our quarterly financial statements and audit services provided in connection with other statutory or regulatory filings.</w:t>
            </w:r>
          </w:p>
        </w:tc>
      </w:tr>
      <w:tr>
        <w:trPr/>
        <w:tc>
          <w:tcPr>
            <w:tcW w:w="239" w:type="dxa"/>
            <w:tcBorders/>
            <w:shd w:fill="auto" w:val="clear"/>
          </w:tcPr>
          <w:p>
            <w:pPr>
              <w:pStyle w:val="TableContents"/>
              <w:spacing w:before="0" w:after="283"/>
              <w:rPr>
                <w:sz w:val="4"/>
                <w:szCs w:val="4"/>
              </w:rPr>
            </w:pPr>
            <w:r>
              <w:rPr>
                <w:sz w:val="4"/>
                <w:szCs w:val="4"/>
              </w:rPr>
            </w:r>
          </w:p>
        </w:tc>
        <w:tc>
          <w:tcPr>
            <w:tcW w:w="300" w:type="dxa"/>
            <w:tcBorders/>
            <w:shd w:fill="auto" w:val="clear"/>
          </w:tcPr>
          <w:p>
            <w:pPr>
              <w:pStyle w:val="TableContents"/>
              <w:spacing w:before="0" w:after="283"/>
              <w:jc w:val="left"/>
              <w:rPr/>
            </w:pPr>
            <w:r>
              <w:rPr/>
              <w:t>     </w:t>
            </w:r>
          </w:p>
        </w:tc>
        <w:tc>
          <w:tcPr>
            <w:tcW w:w="9666" w:type="dxa"/>
            <w:tcBorders/>
            <w:shd w:fill="auto" w:val="clear"/>
          </w:tcPr>
          <w:p>
            <w:pPr>
              <w:pStyle w:val="TableContents"/>
              <w:spacing w:before="0" w:after="283"/>
              <w:jc w:val="left"/>
              <w:rPr/>
            </w:pPr>
            <w:r>
              <w:rPr/>
              <w:t> </w:t>
            </w:r>
          </w:p>
        </w:tc>
      </w:tr>
      <w:tr>
        <w:trPr/>
        <w:tc>
          <w:tcPr>
            <w:tcW w:w="239" w:type="dxa"/>
            <w:tcBorders/>
            <w:shd w:fill="auto" w:val="clear"/>
          </w:tcPr>
          <w:p>
            <w:pPr>
              <w:pStyle w:val="TableContents"/>
              <w:spacing w:before="0" w:after="283"/>
              <w:jc w:val="left"/>
              <w:rPr>
                <w:rFonts w:ascii="serif" w:hAnsi="serif"/>
                <w:sz w:val="20"/>
              </w:rPr>
            </w:pPr>
            <w:r>
              <w:rPr>
                <w:rFonts w:ascii="serif" w:hAnsi="serif"/>
                <w:sz w:val="20"/>
              </w:rPr>
              <w:t>(2)</w:t>
            </w:r>
          </w:p>
        </w:tc>
        <w:tc>
          <w:tcPr>
            <w:tcW w:w="300" w:type="dxa"/>
            <w:tcBorders/>
            <w:shd w:fill="auto" w:val="clear"/>
          </w:tcPr>
          <w:p>
            <w:pPr>
              <w:pStyle w:val="TableContents"/>
              <w:spacing w:before="0" w:after="283"/>
              <w:rPr>
                <w:sz w:val="4"/>
                <w:szCs w:val="4"/>
              </w:rPr>
            </w:pPr>
            <w:r>
              <w:rPr>
                <w:sz w:val="4"/>
                <w:szCs w:val="4"/>
              </w:rPr>
            </w:r>
          </w:p>
        </w:tc>
        <w:tc>
          <w:tcPr>
            <w:tcW w:w="9666" w:type="dxa"/>
            <w:tcBorders/>
            <w:shd w:fill="auto" w:val="clear"/>
          </w:tcPr>
          <w:p>
            <w:pPr>
              <w:pStyle w:val="TableContents"/>
              <w:spacing w:before="0" w:after="283"/>
              <w:jc w:val="both"/>
              <w:rPr>
                <w:rFonts w:ascii="serif" w:hAnsi="serif"/>
                <w:sz w:val="20"/>
              </w:rPr>
            </w:pPr>
            <w:r>
              <w:rPr>
                <w:rFonts w:ascii="serif" w:hAnsi="serif"/>
                <w:sz w:val="20"/>
              </w:rPr>
              <w:t>Audit-related fees represent fees for advice on the accounting treatment of certain items and discussions of SEC rules related to those items.</w:t>
            </w:r>
          </w:p>
        </w:tc>
      </w:tr>
    </w:tbl>
    <w:p>
      <w:pPr>
        <w:pStyle w:val="TextBody"/>
        <w:rPr/>
      </w:pPr>
      <w:r>
        <w:rPr/>
      </w:r>
    </w:p>
    <w:p>
      <w:pPr>
        <w:pStyle w:val="TextBody"/>
        <w:jc w:val="center"/>
        <w:rPr>
          <w:rFonts w:ascii="serif" w:hAnsi="serif"/>
          <w:sz w:val="20"/>
        </w:rPr>
      </w:pPr>
      <w:r>
        <w:rPr>
          <w:rFonts w:ascii="serif" w:hAnsi="serif"/>
          <w:sz w:val="20"/>
        </w:rPr>
        <w:t>8</w:t>
      </w:r>
    </w:p>
    <w:p>
      <w:pPr>
        <w:pStyle w:val="HorizontalLine"/>
        <w:pBdr>
          <w:bottom w:val="single" w:sz="12" w:space="0" w:color="808080"/>
        </w:pBdr>
        <w:rPr/>
      </w:pPr>
      <w:r>
        <w:rPr/>
      </w:r>
    </w:p>
    <w:tbl>
      <w:tblPr>
        <w:tblW w:w="5000" w:type="pct"/>
        <w:jc w:val="left"/>
        <w:tblInd w:w="0" w:type="dxa"/>
        <w:tblCellMar>
          <w:top w:w="0" w:type="dxa"/>
          <w:left w:w="0" w:type="dxa"/>
          <w:bottom w:w="0" w:type="dxa"/>
          <w:right w:w="0" w:type="dxa"/>
        </w:tblCellMar>
      </w:tblPr>
      <w:tblGrid>
        <w:gridCol w:w="249"/>
        <w:gridCol w:w="314"/>
        <w:gridCol w:w="9642"/>
      </w:tblGrid>
      <w:tr>
        <w:trPr/>
        <w:tc>
          <w:tcPr>
            <w:tcW w:w="249" w:type="dxa"/>
            <w:tcBorders/>
            <w:shd w:fill="auto" w:val="clear"/>
          </w:tcPr>
          <w:p>
            <w:pPr>
              <w:pStyle w:val="TableContents"/>
              <w:spacing w:before="0" w:after="283"/>
              <w:jc w:val="both"/>
              <w:rPr>
                <w:rFonts w:ascii="serif" w:hAnsi="serif"/>
                <w:sz w:val="20"/>
              </w:rPr>
            </w:pPr>
            <w:r>
              <w:rPr>
                <w:rFonts w:ascii="serif" w:hAnsi="serif"/>
                <w:sz w:val="20"/>
              </w:rPr>
              <w:t>(3)</w:t>
            </w:r>
          </w:p>
        </w:tc>
        <w:tc>
          <w:tcPr>
            <w:tcW w:w="314" w:type="dxa"/>
            <w:tcBorders/>
            <w:shd w:fill="auto" w:val="clear"/>
          </w:tcPr>
          <w:p>
            <w:pPr>
              <w:pStyle w:val="TableContents"/>
              <w:spacing w:before="0" w:after="283"/>
              <w:rPr>
                <w:sz w:val="4"/>
                <w:szCs w:val="4"/>
              </w:rPr>
            </w:pPr>
            <w:r>
              <w:rPr>
                <w:sz w:val="4"/>
                <w:szCs w:val="4"/>
              </w:rPr>
            </w:r>
          </w:p>
        </w:tc>
        <w:tc>
          <w:tcPr>
            <w:tcW w:w="9642" w:type="dxa"/>
            <w:tcBorders/>
            <w:shd w:fill="auto" w:val="clear"/>
          </w:tcPr>
          <w:p>
            <w:pPr>
              <w:pStyle w:val="TableContents"/>
              <w:spacing w:before="0" w:after="283"/>
              <w:jc w:val="both"/>
              <w:rPr>
                <w:rFonts w:ascii="serif" w:hAnsi="serif"/>
                <w:sz w:val="20"/>
              </w:rPr>
            </w:pPr>
            <w:r>
              <w:rPr>
                <w:rFonts w:ascii="serif" w:hAnsi="serif"/>
                <w:sz w:val="20"/>
              </w:rPr>
              <w:t>Tax fees consist generally of the two categories of tax compliance and statutory filing preparation (tax compliance), and of tax planning and advice, both international and domestic (tax planning). The tax compliance services consisted primarily of the preparation of original and amended tax returns, claims for refunds, and support during any income tax audit or inquiries.</w:t>
            </w:r>
          </w:p>
        </w:tc>
      </w:tr>
      <w:tr>
        <w:trPr/>
        <w:tc>
          <w:tcPr>
            <w:tcW w:w="249" w:type="dxa"/>
            <w:tcBorders/>
            <w:shd w:fill="auto" w:val="clear"/>
          </w:tcPr>
          <w:p>
            <w:pPr>
              <w:pStyle w:val="TableContents"/>
              <w:spacing w:before="0" w:after="283"/>
              <w:rPr>
                <w:sz w:val="4"/>
                <w:szCs w:val="4"/>
              </w:rPr>
            </w:pPr>
            <w:r>
              <w:rPr>
                <w:sz w:val="4"/>
                <w:szCs w:val="4"/>
              </w:rPr>
            </w:r>
          </w:p>
        </w:tc>
        <w:tc>
          <w:tcPr>
            <w:tcW w:w="314" w:type="dxa"/>
            <w:tcBorders/>
            <w:shd w:fill="auto" w:val="clear"/>
          </w:tcPr>
          <w:p>
            <w:pPr>
              <w:pStyle w:val="TableContents"/>
              <w:spacing w:before="0" w:after="283"/>
              <w:jc w:val="both"/>
              <w:rPr/>
            </w:pPr>
            <w:r>
              <w:rPr/>
              <w:t>     </w:t>
            </w:r>
          </w:p>
        </w:tc>
        <w:tc>
          <w:tcPr>
            <w:tcW w:w="9642" w:type="dxa"/>
            <w:tcBorders/>
            <w:shd w:fill="auto" w:val="clear"/>
          </w:tcPr>
          <w:p>
            <w:pPr>
              <w:pStyle w:val="TableContents"/>
              <w:spacing w:before="0" w:after="283"/>
              <w:jc w:val="both"/>
              <w:rPr/>
            </w:pPr>
            <w:r>
              <w:rPr/>
              <w:t> </w:t>
            </w:r>
          </w:p>
        </w:tc>
      </w:tr>
      <w:tr>
        <w:trPr/>
        <w:tc>
          <w:tcPr>
            <w:tcW w:w="249" w:type="dxa"/>
            <w:tcBorders/>
            <w:shd w:fill="auto" w:val="clear"/>
          </w:tcPr>
          <w:p>
            <w:pPr>
              <w:pStyle w:val="TableContents"/>
              <w:spacing w:before="0" w:after="283"/>
              <w:jc w:val="both"/>
              <w:rPr>
                <w:rFonts w:ascii="serif" w:hAnsi="serif"/>
                <w:sz w:val="20"/>
              </w:rPr>
            </w:pPr>
            <w:r>
              <w:rPr>
                <w:rFonts w:ascii="serif" w:hAnsi="serif"/>
                <w:sz w:val="20"/>
              </w:rPr>
              <w:t>(4)</w:t>
            </w:r>
          </w:p>
        </w:tc>
        <w:tc>
          <w:tcPr>
            <w:tcW w:w="314" w:type="dxa"/>
            <w:tcBorders/>
            <w:shd w:fill="auto" w:val="clear"/>
          </w:tcPr>
          <w:p>
            <w:pPr>
              <w:pStyle w:val="TableContents"/>
              <w:spacing w:before="0" w:after="283"/>
              <w:rPr>
                <w:sz w:val="4"/>
                <w:szCs w:val="4"/>
              </w:rPr>
            </w:pPr>
            <w:r>
              <w:rPr>
                <w:sz w:val="4"/>
                <w:szCs w:val="4"/>
              </w:rPr>
            </w:r>
          </w:p>
        </w:tc>
        <w:tc>
          <w:tcPr>
            <w:tcW w:w="9642" w:type="dxa"/>
            <w:tcBorders/>
            <w:shd w:fill="auto" w:val="clear"/>
          </w:tcPr>
          <w:p>
            <w:pPr>
              <w:pStyle w:val="TableContents"/>
              <w:spacing w:before="0" w:after="283"/>
              <w:jc w:val="both"/>
              <w:rPr>
                <w:rFonts w:ascii="serif" w:hAnsi="serif"/>
                <w:sz w:val="20"/>
              </w:rPr>
            </w:pPr>
            <w:r>
              <w:rPr>
                <w:rFonts w:ascii="serif" w:hAnsi="serif"/>
                <w:sz w:val="20"/>
              </w:rPr>
              <w:t>All other fees are primarily related to an equity incentive plan registration statement on SEC Form S-8.</w:t>
            </w:r>
          </w:p>
        </w:tc>
      </w:tr>
    </w:tbl>
    <w:p>
      <w:pPr>
        <w:pStyle w:val="TextBody"/>
        <w:jc w:val="both"/>
        <w:rPr>
          <w:rFonts w:ascii="serif" w:hAnsi="serif"/>
          <w:b/>
          <w:sz w:val="20"/>
        </w:rPr>
      </w:pPr>
      <w:r>
        <w:rPr>
          <w:rFonts w:ascii="serif" w:hAnsi="serif"/>
          <w:b/>
          <w:sz w:val="20"/>
        </w:rPr>
        <w:t>Pre-Approval of Independent Auditor Services</w:t>
      </w:r>
    </w:p>
    <w:p>
      <w:pPr>
        <w:pStyle w:val="TextBody"/>
        <w:jc w:val="both"/>
        <w:rPr/>
      </w:pPr>
      <w:r>
        <w:rPr/>
        <w:t>     </w:t>
      </w:r>
      <w:r>
        <w:rPr>
          <w:rFonts w:ascii="serif" w:hAnsi="serif"/>
          <w:sz w:val="20"/>
        </w:rPr>
        <w:t>No services specifically prohibited by the Sarbanes-Oxley Act of 2002 will be provided to the Company by the independent auditor. Permitted services must be pre-approved by the Audit Committee of the Board of Directors. PricewaterhouseCoopers LLP did not render any services relating to financial information systems design and implementation for the fiscal year ended July 31, 2007. None of the services described above were approved pursuant to the de minimus exception provided by Rule 2-01(c)(7)(i)(C) of SEC Regulation S-X.</w:t>
      </w:r>
    </w:p>
    <w:p>
      <w:pPr>
        <w:pStyle w:val="TextBody"/>
        <w:jc w:val="center"/>
        <w:rPr>
          <w:rFonts w:ascii="serif" w:hAnsi="serif"/>
          <w:b/>
          <w:sz w:val="24"/>
        </w:rPr>
      </w:pPr>
      <w:r>
        <w:rPr>
          <w:rFonts w:ascii="serif" w:hAnsi="serif"/>
          <w:b/>
          <w:sz w:val="24"/>
        </w:rPr>
        <w:t>3. Other Matters</w:t>
      </w:r>
    </w:p>
    <w:p>
      <w:pPr>
        <w:pStyle w:val="TextBody"/>
        <w:jc w:val="both"/>
        <w:rPr/>
      </w:pPr>
      <w:r>
        <w:rPr/>
        <w:t>     </w:t>
      </w:r>
      <w:r>
        <w:rPr>
          <w:rFonts w:ascii="serif" w:hAnsi="serif"/>
          <w:sz w:val="20"/>
        </w:rPr>
        <w:t>At this time, the Board of Directors is not aware of any matters not referred to herein that might be presented for action at the 2007 Annual Meeting; however, if any other business should come before the meeting, votes may be cast in respect to such matters in accordance with the best judgment of the person or persons acting under the proxies.</w:t>
      </w:r>
    </w:p>
    <w:p>
      <w:pPr>
        <w:pStyle w:val="TextBody"/>
        <w:jc w:val="center"/>
        <w:rPr>
          <w:rFonts w:ascii="serif" w:hAnsi="serif"/>
          <w:sz w:val="20"/>
        </w:rPr>
      </w:pPr>
      <w:r>
        <w:rPr>
          <w:rFonts w:ascii="serif" w:hAnsi="serif"/>
          <w:sz w:val="20"/>
        </w:rPr>
        <w:t>9</w:t>
      </w:r>
    </w:p>
    <w:p>
      <w:pPr>
        <w:pStyle w:val="HorizontalLine"/>
        <w:pBdr>
          <w:bottom w:val="single" w:sz="12" w:space="0" w:color="808080"/>
        </w:pBdr>
        <w:rPr/>
      </w:pPr>
      <w:r>
        <w:rPr/>
      </w:r>
    </w:p>
    <w:p>
      <w:pPr>
        <w:pStyle w:val="TextBody"/>
        <w:jc w:val="center"/>
        <w:rPr>
          <w:rFonts w:ascii="serif" w:hAnsi="serif"/>
          <w:b/>
        </w:rPr>
      </w:pPr>
      <w:r>
        <w:rPr>
          <w:rFonts w:ascii="serif" w:hAnsi="serif"/>
          <w:b/>
        </w:rPr>
        <w:t>CORPORATE GOVERNANCE MATTERS</w:t>
      </w:r>
    </w:p>
    <w:p>
      <w:pPr>
        <w:pStyle w:val="TextBody"/>
        <w:jc w:val="center"/>
        <w:rPr>
          <w:rFonts w:ascii="serif" w:hAnsi="serif"/>
          <w:b/>
        </w:rPr>
      </w:pPr>
      <w:r>
        <w:rPr>
          <w:rFonts w:ascii="serif" w:hAnsi="serif"/>
          <w:b/>
        </w:rPr>
        <w:t>Controlled Company Status</w:t>
      </w:r>
    </w:p>
    <w:p>
      <w:pPr>
        <w:pStyle w:val="TextBody"/>
        <w:jc w:val="both"/>
        <w:rPr/>
      </w:pPr>
      <w:r>
        <w:rPr/>
        <w:t>     </w:t>
      </w:r>
      <w:r>
        <w:rPr>
          <w:rFonts w:ascii="serif" w:hAnsi="serif"/>
          <w:sz w:val="20"/>
        </w:rPr>
        <w:t>The Board of Directors has determined that the Company is a controlled company within the meaning of the New York Stock Exchanges (NYSE) Corporate Governance Standards. This determination is based on the fact that Class B Stock having more than 50% of the aggregate voting power of our Common Stock and Class B Stock is owned by the Jaffee Investment Partnership, L. 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w:t>
      </w:r>
    </w:p>
    <w:p>
      <w:pPr>
        <w:pStyle w:val="TextBody"/>
        <w:jc w:val="both"/>
        <w:rPr/>
      </w:pPr>
      <w:r>
        <w:rPr/>
        <w:t>     </w:t>
      </w:r>
      <w:r>
        <w:rPr>
          <w:rFonts w:ascii="serif" w:hAnsi="serif"/>
          <w:sz w:val="20"/>
        </w:rPr>
        <w:t>As a controlled company, we are entitled to rely on exemptions from the NYSE Corporate Governance Standards that would otherwise require the Company (a) to maintain a board of directors having a majority of independent directors, (b) to maintain a nominating/corporate governance committee composed entirely of independent directors and (c) to maintain a compensation committee composed entirely of independent directors. We have elected to rely on all three of these exemptions.</w:t>
      </w:r>
    </w:p>
    <w:p>
      <w:pPr>
        <w:pStyle w:val="TextBody"/>
        <w:jc w:val="center"/>
        <w:rPr>
          <w:rFonts w:ascii="serif" w:hAnsi="serif"/>
          <w:b/>
        </w:rPr>
      </w:pPr>
      <w:r>
        <w:rPr>
          <w:rFonts w:ascii="serif" w:hAnsi="serif"/>
          <w:b/>
        </w:rPr>
        <w:t>Director Independence</w:t>
      </w:r>
    </w:p>
    <w:p>
      <w:pPr>
        <w:pStyle w:val="TextBody"/>
        <w:jc w:val="both"/>
        <w:rPr/>
      </w:pPr>
      <w:r>
        <w:rPr/>
        <w:t>     </w:t>
      </w:r>
      <w:r>
        <w:rPr>
          <w:rFonts w:ascii="serif" w:hAnsi="serif"/>
          <w:sz w:val="20"/>
        </w:rPr>
        <w:t>The Board has determined that the directors listed below are independent from our management within the meaning of the SECs rules and the NYSEs Corporate Governance Standards:</w:t>
      </w:r>
    </w:p>
    <w:tbl>
      <w:tblPr>
        <w:tblW w:w="5000" w:type="pct"/>
        <w:jc w:val="left"/>
        <w:tblInd w:w="0" w:type="dxa"/>
        <w:tblCellMar>
          <w:top w:w="0" w:type="dxa"/>
          <w:left w:w="0" w:type="dxa"/>
          <w:bottom w:w="0" w:type="dxa"/>
          <w:right w:w="0" w:type="dxa"/>
        </w:tblCellMar>
      </w:tblPr>
      <w:tblGrid>
        <w:gridCol w:w="3570"/>
        <w:gridCol w:w="2042"/>
        <w:gridCol w:w="4593"/>
      </w:tblGrid>
      <w:tr>
        <w:trPr/>
        <w:tc>
          <w:tcPr>
            <w:tcW w:w="3570" w:type="dxa"/>
            <w:tcBorders/>
            <w:shd w:fill="auto" w:val="clear"/>
            <w:vAlign w:val="center"/>
          </w:tcPr>
          <w:p>
            <w:pPr>
              <w:pStyle w:val="TableContents"/>
              <w:spacing w:before="0" w:after="283"/>
              <w:rPr/>
            </w:pPr>
            <w:r>
              <w:rPr/>
              <w:t> </w:t>
            </w:r>
          </w:p>
        </w:tc>
        <w:tc>
          <w:tcPr>
            <w:tcW w:w="2042" w:type="dxa"/>
            <w:tcBorders/>
            <w:shd w:fill="auto" w:val="clear"/>
            <w:vAlign w:val="center"/>
          </w:tcPr>
          <w:p>
            <w:pPr>
              <w:pStyle w:val="TableContents"/>
              <w:spacing w:before="0" w:after="283"/>
              <w:jc w:val="both"/>
              <w:rPr>
                <w:rFonts w:ascii="serif" w:hAnsi="serif"/>
                <w:sz w:val="20"/>
              </w:rPr>
            </w:pPr>
            <w:r>
              <w:rPr>
                <w:rFonts w:ascii="serif" w:hAnsi="serif"/>
                <w:sz w:val="20"/>
              </w:rPr>
              <w:t>J. Steven Cole</w:t>
            </w:r>
          </w:p>
        </w:tc>
        <w:tc>
          <w:tcPr>
            <w:tcW w:w="4593" w:type="dxa"/>
            <w:tcBorders/>
            <w:shd w:fill="auto" w:val="clear"/>
            <w:vAlign w:val="center"/>
          </w:tcPr>
          <w:p>
            <w:pPr>
              <w:pStyle w:val="TableContents"/>
              <w:spacing w:before="0" w:after="283"/>
              <w:jc w:val="both"/>
              <w:rPr>
                <w:rFonts w:ascii="serif" w:hAnsi="serif"/>
                <w:sz w:val="20"/>
              </w:rPr>
            </w:pPr>
            <w:r>
              <w:rPr>
                <w:rFonts w:ascii="serif" w:hAnsi="serif"/>
                <w:sz w:val="20"/>
              </w:rPr>
              <w:t>Allan H. Selig</w:t>
            </w:r>
          </w:p>
        </w:tc>
      </w:tr>
      <w:tr>
        <w:trPr/>
        <w:tc>
          <w:tcPr>
            <w:tcW w:w="3570" w:type="dxa"/>
            <w:tcBorders/>
            <w:shd w:fill="auto" w:val="clear"/>
            <w:vAlign w:val="center"/>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jc w:val="both"/>
              <w:rPr>
                <w:rFonts w:ascii="serif" w:hAnsi="serif"/>
                <w:sz w:val="20"/>
              </w:rPr>
            </w:pPr>
            <w:r>
              <w:rPr>
                <w:rFonts w:ascii="serif" w:hAnsi="serif"/>
                <w:sz w:val="20"/>
              </w:rPr>
              <w:t>Arnold W. Donald</w:t>
            </w:r>
          </w:p>
        </w:tc>
        <w:tc>
          <w:tcPr>
            <w:tcW w:w="4593" w:type="dxa"/>
            <w:tcBorders/>
            <w:shd w:fill="auto" w:val="clear"/>
            <w:vAlign w:val="center"/>
          </w:tcPr>
          <w:p>
            <w:pPr>
              <w:pStyle w:val="TableContents"/>
              <w:spacing w:before="0" w:after="283"/>
              <w:jc w:val="both"/>
              <w:rPr>
                <w:rFonts w:ascii="serif" w:hAnsi="serif"/>
                <w:sz w:val="20"/>
              </w:rPr>
            </w:pPr>
            <w:r>
              <w:rPr>
                <w:rFonts w:ascii="serif" w:hAnsi="serif"/>
                <w:sz w:val="20"/>
              </w:rPr>
              <w:t>Paul E. Suckow</w:t>
            </w:r>
          </w:p>
        </w:tc>
      </w:tr>
    </w:tbl>
    <w:p>
      <w:pPr>
        <w:pStyle w:val="TextBody"/>
        <w:jc w:val="both"/>
        <w:rPr/>
      </w:pPr>
      <w:r>
        <w:rPr/>
        <w:t>     </w:t>
      </w:r>
      <w:r>
        <w:rPr>
          <w:rFonts w:ascii="serif" w:hAnsi="serif"/>
          <w:sz w:val="20"/>
        </w:rPr>
        <w:t>While the Board has not adopted any categorical standards for independence, in making these determinations the Board noted that none of Messrs. Cole, Donald, Selig and Suckow:</w:t>
      </w:r>
    </w:p>
    <w:tbl>
      <w:tblPr>
        <w:tblW w:w="10205" w:type="dxa"/>
        <w:jc w:val="left"/>
        <w:tblInd w:w="0" w:type="dxa"/>
        <w:tblCellMar>
          <w:top w:w="0" w:type="dxa"/>
          <w:left w:w="0" w:type="dxa"/>
          <w:bottom w:w="0" w:type="dxa"/>
          <w:right w:w="0" w:type="dxa"/>
        </w:tblCellMar>
      </w:tblPr>
      <w:tblGrid>
        <w:gridCol w:w="300"/>
        <w:gridCol w:w="290"/>
        <w:gridCol w:w="300"/>
        <w:gridCol w:w="9315"/>
      </w:tblGrid>
      <w:tr>
        <w:trPr/>
        <w:tc>
          <w:tcPr>
            <w:tcW w:w="300" w:type="dxa"/>
            <w:tcBorders/>
            <w:shd w:fill="auto" w:val="clear"/>
          </w:tcPr>
          <w:p>
            <w:pPr>
              <w:pStyle w:val="TableContents"/>
              <w:spacing w:before="0" w:after="283"/>
              <w:rPr>
                <w:sz w:val="4"/>
                <w:szCs w:val="4"/>
              </w:rPr>
            </w:pPr>
            <w:r>
              <w:rPr>
                <w:sz w:val="4"/>
                <w:szCs w:val="4"/>
              </w:rPr>
            </w:r>
          </w:p>
        </w:tc>
        <w:tc>
          <w:tcPr>
            <w:tcW w:w="290" w:type="dxa"/>
            <w:tcBorders/>
            <w:shd w:fill="auto" w:val="clear"/>
          </w:tcPr>
          <w:p>
            <w:pPr>
              <w:pStyle w:val="TableContents"/>
              <w:spacing w:before="0" w:after="283"/>
              <w:rPr>
                <w:rFonts w:ascii="serif" w:hAnsi="serif"/>
                <w:sz w:val="20"/>
              </w:rPr>
            </w:pPr>
            <w:r>
              <w:rPr>
                <w:rFonts w:ascii="serif" w:hAnsi="serif"/>
                <w:sz w:val="20"/>
              </w:rPr>
              <w:t>(a)</w:t>
            </w:r>
          </w:p>
        </w:tc>
        <w:tc>
          <w:tcPr>
            <w:tcW w:w="300" w:type="dxa"/>
            <w:tcBorders/>
            <w:shd w:fill="auto" w:val="clear"/>
          </w:tcPr>
          <w:p>
            <w:pPr>
              <w:pStyle w:val="TableContents"/>
              <w:spacing w:before="0" w:after="283"/>
              <w:rPr>
                <w:sz w:val="4"/>
                <w:szCs w:val="4"/>
              </w:rPr>
            </w:pPr>
            <w:r>
              <w:rPr>
                <w:sz w:val="4"/>
                <w:szCs w:val="4"/>
              </w:rPr>
            </w:r>
          </w:p>
        </w:tc>
        <w:tc>
          <w:tcPr>
            <w:tcW w:w="9315" w:type="dxa"/>
            <w:tcBorders/>
            <w:shd w:fill="auto" w:val="clear"/>
            <w:vAlign w:val="center"/>
          </w:tcPr>
          <w:p>
            <w:pPr>
              <w:pStyle w:val="TableContents"/>
              <w:spacing w:before="0" w:after="283"/>
              <w:rPr>
                <w:rFonts w:ascii="serif" w:hAnsi="serif"/>
                <w:sz w:val="20"/>
              </w:rPr>
            </w:pPr>
            <w:r>
              <w:rPr>
                <w:rFonts w:ascii="serif" w:hAnsi="serif"/>
                <w:sz w:val="20"/>
              </w:rPr>
              <w:t>receives direct compensation from the Company other than director annual retainers and meeting fees paid to current directors,</w:t>
            </w:r>
          </w:p>
        </w:tc>
      </w:tr>
      <w:tr>
        <w:trPr/>
        <w:tc>
          <w:tcPr>
            <w:tcW w:w="300" w:type="dxa"/>
            <w:tcBorders/>
            <w:shd w:fill="auto" w:val="clear"/>
            <w:vAlign w:val="center"/>
          </w:tcPr>
          <w:p>
            <w:pPr>
              <w:pStyle w:val="TableContents"/>
              <w:spacing w:before="0" w:after="283"/>
              <w:rPr/>
            </w:pPr>
            <w:r>
              <w:rPr/>
              <w:t>     </w:t>
            </w:r>
          </w:p>
        </w:tc>
        <w:tc>
          <w:tcPr>
            <w:tcW w:w="9905" w:type="dxa"/>
            <w:gridSpan w:val="3"/>
            <w:tcBorders/>
            <w:shd w:fill="auto" w:val="clear"/>
            <w:vAlign w:val="center"/>
          </w:tcPr>
          <w:p>
            <w:pPr>
              <w:pStyle w:val="TableContents"/>
              <w:spacing w:before="0" w:after="283"/>
              <w:rPr/>
            </w:pPr>
            <w:r>
              <w:rPr/>
              <w:t> </w:t>
            </w:r>
          </w:p>
        </w:tc>
      </w:tr>
      <w:tr>
        <w:trPr/>
        <w:tc>
          <w:tcPr>
            <w:tcW w:w="300" w:type="dxa"/>
            <w:tcBorders/>
            <w:shd w:fill="auto" w:val="clear"/>
          </w:tcPr>
          <w:p>
            <w:pPr>
              <w:pStyle w:val="TableContents"/>
              <w:spacing w:before="0" w:after="283"/>
              <w:rPr>
                <w:sz w:val="4"/>
                <w:szCs w:val="4"/>
              </w:rPr>
            </w:pPr>
            <w:r>
              <w:rPr>
                <w:sz w:val="4"/>
                <w:szCs w:val="4"/>
              </w:rPr>
            </w:r>
          </w:p>
        </w:tc>
        <w:tc>
          <w:tcPr>
            <w:tcW w:w="290" w:type="dxa"/>
            <w:tcBorders/>
            <w:shd w:fill="auto" w:val="clear"/>
          </w:tcPr>
          <w:p>
            <w:pPr>
              <w:pStyle w:val="TableContents"/>
              <w:spacing w:before="0" w:after="283"/>
              <w:rPr>
                <w:rFonts w:ascii="serif" w:hAnsi="serif"/>
                <w:sz w:val="20"/>
              </w:rPr>
            </w:pPr>
            <w:r>
              <w:rPr>
                <w:rFonts w:ascii="serif" w:hAnsi="serif"/>
                <w:sz w:val="20"/>
              </w:rPr>
              <w:t>(b)</w:t>
            </w:r>
          </w:p>
        </w:tc>
        <w:tc>
          <w:tcPr>
            <w:tcW w:w="300" w:type="dxa"/>
            <w:tcBorders/>
            <w:shd w:fill="auto" w:val="clear"/>
          </w:tcPr>
          <w:p>
            <w:pPr>
              <w:pStyle w:val="TableContents"/>
              <w:spacing w:before="0" w:after="283"/>
              <w:rPr/>
            </w:pPr>
            <w:r>
              <w:rPr/>
              <w:t>     </w:t>
            </w:r>
          </w:p>
        </w:tc>
        <w:tc>
          <w:tcPr>
            <w:tcW w:w="9315" w:type="dxa"/>
            <w:tcBorders/>
            <w:shd w:fill="auto" w:val="clear"/>
            <w:vAlign w:val="center"/>
          </w:tcPr>
          <w:p>
            <w:pPr>
              <w:pStyle w:val="TableContents"/>
              <w:spacing w:before="0" w:after="283"/>
              <w:rPr>
                <w:rFonts w:ascii="serif" w:hAnsi="serif"/>
                <w:sz w:val="20"/>
              </w:rPr>
            </w:pPr>
            <w:r>
              <w:rPr>
                <w:rFonts w:ascii="serif" w:hAnsi="serif"/>
                <w:sz w:val="20"/>
              </w:rPr>
              <w:t>has any relationship with the Company or a third party that would preclude independence under the NYSEs Corporate Governance Standards, or</w:t>
            </w:r>
          </w:p>
        </w:tc>
      </w:tr>
      <w:tr>
        <w:trPr/>
        <w:tc>
          <w:tcPr>
            <w:tcW w:w="300" w:type="dxa"/>
            <w:tcBorders/>
            <w:shd w:fill="auto" w:val="clear"/>
            <w:vAlign w:val="center"/>
          </w:tcPr>
          <w:p>
            <w:pPr>
              <w:pStyle w:val="TableContents"/>
              <w:spacing w:before="0" w:after="283"/>
              <w:rPr>
                <w:sz w:val="4"/>
                <w:szCs w:val="4"/>
              </w:rPr>
            </w:pPr>
            <w:r>
              <w:rPr>
                <w:sz w:val="4"/>
                <w:szCs w:val="4"/>
              </w:rPr>
            </w:r>
          </w:p>
        </w:tc>
        <w:tc>
          <w:tcPr>
            <w:tcW w:w="9905" w:type="dxa"/>
            <w:gridSpan w:val="3"/>
            <w:tcBorders/>
            <w:shd w:fill="auto" w:val="clear"/>
            <w:vAlign w:val="center"/>
          </w:tcPr>
          <w:p>
            <w:pPr>
              <w:pStyle w:val="TableContents"/>
              <w:spacing w:before="0" w:after="283"/>
              <w:rPr/>
            </w:pPr>
            <w:r>
              <w:rPr/>
              <w:t> </w:t>
            </w:r>
          </w:p>
        </w:tc>
      </w:tr>
      <w:tr>
        <w:trPr/>
        <w:tc>
          <w:tcPr>
            <w:tcW w:w="300" w:type="dxa"/>
            <w:tcBorders/>
            <w:shd w:fill="auto" w:val="clear"/>
          </w:tcPr>
          <w:p>
            <w:pPr>
              <w:pStyle w:val="TableContents"/>
              <w:spacing w:before="0" w:after="283"/>
              <w:rPr>
                <w:sz w:val="4"/>
                <w:szCs w:val="4"/>
              </w:rPr>
            </w:pPr>
            <w:r>
              <w:rPr>
                <w:sz w:val="4"/>
                <w:szCs w:val="4"/>
              </w:rPr>
            </w:r>
          </w:p>
        </w:tc>
        <w:tc>
          <w:tcPr>
            <w:tcW w:w="290" w:type="dxa"/>
            <w:tcBorders/>
            <w:shd w:fill="auto" w:val="clear"/>
          </w:tcPr>
          <w:p>
            <w:pPr>
              <w:pStyle w:val="TableContents"/>
              <w:spacing w:before="0" w:after="283"/>
              <w:rPr>
                <w:rFonts w:ascii="serif" w:hAnsi="serif"/>
                <w:sz w:val="20"/>
              </w:rPr>
            </w:pPr>
            <w:r>
              <w:rPr>
                <w:rFonts w:ascii="serif" w:hAnsi="serif"/>
                <w:sz w:val="20"/>
              </w:rPr>
              <w:t>(c)</w:t>
            </w:r>
          </w:p>
        </w:tc>
        <w:tc>
          <w:tcPr>
            <w:tcW w:w="300" w:type="dxa"/>
            <w:tcBorders/>
            <w:shd w:fill="auto" w:val="clear"/>
          </w:tcPr>
          <w:p>
            <w:pPr>
              <w:pStyle w:val="TableContents"/>
              <w:spacing w:before="0" w:after="283"/>
              <w:rPr>
                <w:sz w:val="4"/>
                <w:szCs w:val="4"/>
              </w:rPr>
            </w:pPr>
            <w:r>
              <w:rPr>
                <w:sz w:val="4"/>
                <w:szCs w:val="4"/>
              </w:rPr>
            </w:r>
          </w:p>
        </w:tc>
        <w:tc>
          <w:tcPr>
            <w:tcW w:w="9315" w:type="dxa"/>
            <w:tcBorders/>
            <w:shd w:fill="auto" w:val="clear"/>
            <w:vAlign w:val="center"/>
          </w:tcPr>
          <w:p>
            <w:pPr>
              <w:pStyle w:val="TableContents"/>
              <w:spacing w:before="0" w:after="283"/>
              <w:rPr>
                <w:rFonts w:ascii="serif" w:hAnsi="serif"/>
                <w:sz w:val="20"/>
              </w:rPr>
            </w:pPr>
            <w:r>
              <w:rPr>
                <w:rFonts w:ascii="serif" w:hAnsi="serif"/>
                <w:sz w:val="20"/>
              </w:rPr>
              <w:t>has any other material relationship with the Company and its management.</w:t>
            </w:r>
          </w:p>
        </w:tc>
      </w:tr>
    </w:tbl>
    <w:p>
      <w:pPr>
        <w:pStyle w:val="TextBody"/>
        <w:jc w:val="both"/>
        <w:rPr>
          <w:rFonts w:ascii="serif" w:hAnsi="serif"/>
          <w:sz w:val="20"/>
        </w:rPr>
      </w:pPr>
      <w:r>
        <w:rPr>
          <w:rFonts w:ascii="serif" w:hAnsi="serif"/>
          <w:sz w:val="20"/>
        </w:rPr>
        <w:t>We have not made any contributions in excess of $1.0 million or 2% of our consolidated gross revenues to any tax-exempt organization in which an independent director serves as an executive officer in any of the preceding three years.</w:t>
      </w:r>
    </w:p>
    <w:p>
      <w:pPr>
        <w:pStyle w:val="TextBody"/>
        <w:jc w:val="center"/>
        <w:rPr>
          <w:rFonts w:ascii="serif" w:hAnsi="serif"/>
          <w:b/>
        </w:rPr>
      </w:pPr>
      <w:r>
        <w:rPr>
          <w:rFonts w:ascii="serif" w:hAnsi="serif"/>
          <w:b/>
        </w:rPr>
        <w:t>Executive Sessions of Non-Management Directors</w:t>
      </w:r>
    </w:p>
    <w:p>
      <w:pPr>
        <w:pStyle w:val="TextBody"/>
        <w:jc w:val="both"/>
        <w:rPr/>
      </w:pPr>
      <w:r>
        <w:rPr/>
        <w:t>     </w:t>
      </w:r>
      <w:r>
        <w:rPr>
          <w:rFonts w:ascii="serif" w:hAnsi="serif"/>
          <w:sz w:val="20"/>
        </w:rPr>
        <w:t>Non-management directors meet in executive sessions of the Board of Directors in which management directors (Messrs. Richard M. and Daniel S. Jaffee) and other members of management do not participate. These sessions are regularly scheduled for non-management directors at meetings of the Board of Directors. Under our Corporate Governance Guidelines, the chairman of the Audit Committee (currently Mr. Cole) presides at all executive sessions of non-management and independent directors unless otherwise determined by the directors attending any given executive session.</w:t>
      </w:r>
    </w:p>
    <w:p>
      <w:pPr>
        <w:pStyle w:val="TextBody"/>
        <w:jc w:val="center"/>
        <w:rPr>
          <w:rFonts w:ascii="serif" w:hAnsi="serif"/>
          <w:sz w:val="20"/>
        </w:rPr>
      </w:pPr>
      <w:r>
        <w:rPr>
          <w:rFonts w:ascii="serif" w:hAnsi="serif"/>
          <w:sz w:val="20"/>
        </w:rPr>
        <w:t>10</w:t>
      </w:r>
    </w:p>
    <w:p>
      <w:pPr>
        <w:pStyle w:val="HorizontalLine"/>
        <w:pBdr>
          <w:bottom w:val="single" w:sz="12" w:space="0" w:color="808080"/>
        </w:pBdr>
        <w:rPr/>
      </w:pPr>
      <w:r>
        <w:rPr/>
      </w:r>
    </w:p>
    <w:p>
      <w:pPr>
        <w:pStyle w:val="TextBody"/>
        <w:jc w:val="center"/>
        <w:rPr>
          <w:rFonts w:ascii="serif" w:hAnsi="serif"/>
          <w:b/>
        </w:rPr>
      </w:pPr>
      <w:r>
        <w:rPr>
          <w:rFonts w:ascii="serif" w:hAnsi="serif"/>
          <w:b/>
        </w:rPr>
        <w:t>Board of Directors Committee Membership and Meetings</w:t>
      </w:r>
    </w:p>
    <w:p>
      <w:pPr>
        <w:pStyle w:val="TextBody"/>
        <w:jc w:val="both"/>
        <w:rPr/>
      </w:pPr>
      <w:r>
        <w:rPr/>
        <w:t>     </w:t>
      </w:r>
      <w:r>
        <w:rPr>
          <w:rFonts w:ascii="serif" w:hAnsi="serif"/>
          <w:sz w:val="20"/>
        </w:rPr>
        <w:t>As of the date of this Proxy Statement, the following Board members serve on the committees indicated below.</w:t>
      </w:r>
    </w:p>
    <w:tbl>
      <w:tblPr>
        <w:tblW w:w="4000" w:type="pct"/>
        <w:jc w:val="center"/>
        <w:tblInd w:w="0" w:type="dxa"/>
        <w:tblCellMar>
          <w:top w:w="0" w:type="dxa"/>
          <w:left w:w="0" w:type="dxa"/>
          <w:bottom w:w="28" w:type="dxa"/>
          <w:right w:w="0" w:type="dxa"/>
        </w:tblCellMar>
      </w:tblPr>
      <w:tblGrid>
        <w:gridCol w:w="3876"/>
        <w:gridCol w:w="1154"/>
        <w:gridCol w:w="1980"/>
        <w:gridCol w:w="1154"/>
      </w:tblGrid>
      <w:tr>
        <w:trPr/>
        <w:tc>
          <w:tcPr>
            <w:tcW w:w="3876" w:type="dxa"/>
            <w:tcBorders>
              <w:bottom w:val="single" w:sz="8" w:space="0" w:color="000000"/>
            </w:tcBorders>
            <w:shd w:fill="auto" w:val="clear"/>
            <w:vAlign w:val="bottom"/>
          </w:tcPr>
          <w:p>
            <w:pPr>
              <w:pStyle w:val="TableContents"/>
              <w:spacing w:before="0" w:after="283"/>
              <w:jc w:val="left"/>
              <w:rPr/>
            </w:pPr>
            <w:r>
              <w:rPr/>
              <w:t xml:space="preserve">     </w:t>
            </w:r>
            <w:r>
              <w:rPr>
                <w:rFonts w:ascii="serif" w:hAnsi="serif"/>
                <w:b/>
                <w:sz w:val="20"/>
              </w:rPr>
              <w:t>Name</w:t>
            </w:r>
            <w:r>
              <w:rPr/>
              <w:t> </w:t>
            </w:r>
          </w:p>
        </w:tc>
        <w:tc>
          <w:tcPr>
            <w:tcW w:w="1154" w:type="dxa"/>
            <w:tcBorders>
              <w:bottom w:val="single" w:sz="8" w:space="0" w:color="000000"/>
            </w:tcBorders>
            <w:shd w:fill="auto" w:val="clear"/>
            <w:vAlign w:val="bottom"/>
          </w:tcPr>
          <w:p>
            <w:pPr>
              <w:pStyle w:val="TableContents"/>
              <w:spacing w:before="0" w:after="283"/>
              <w:jc w:val="center"/>
              <w:rPr>
                <w:rFonts w:ascii="serif" w:hAnsi="serif"/>
                <w:b/>
                <w:sz w:val="20"/>
              </w:rPr>
            </w:pPr>
            <w:r>
              <w:rPr>
                <w:rFonts w:ascii="serif" w:hAnsi="serif"/>
                <w:b/>
                <w:sz w:val="20"/>
              </w:rPr>
              <w:t>Audit</w:t>
            </w:r>
          </w:p>
        </w:tc>
        <w:tc>
          <w:tcPr>
            <w:tcW w:w="1980" w:type="dxa"/>
            <w:tcBorders>
              <w:bottom w:val="single" w:sz="8" w:space="0" w:color="000000"/>
            </w:tcBorders>
            <w:shd w:fill="auto" w:val="clear"/>
            <w:vAlign w:val="bottom"/>
          </w:tcPr>
          <w:p>
            <w:pPr>
              <w:pStyle w:val="TableContents"/>
              <w:spacing w:before="0" w:after="283"/>
              <w:jc w:val="center"/>
              <w:rPr>
                <w:rFonts w:ascii="serif" w:hAnsi="serif"/>
                <w:b/>
                <w:sz w:val="20"/>
              </w:rPr>
            </w:pPr>
            <w:r>
              <w:rPr>
                <w:rFonts w:ascii="serif" w:hAnsi="serif"/>
                <w:b/>
                <w:sz w:val="20"/>
              </w:rPr>
              <w:t>Compensation</w:t>
            </w:r>
          </w:p>
        </w:tc>
        <w:tc>
          <w:tcPr>
            <w:tcW w:w="1154" w:type="dxa"/>
            <w:tcBorders>
              <w:bottom w:val="single" w:sz="8" w:space="0" w:color="000000"/>
            </w:tcBorders>
            <w:shd w:fill="auto" w:val="clear"/>
            <w:vAlign w:val="bottom"/>
          </w:tcPr>
          <w:p>
            <w:pPr>
              <w:pStyle w:val="TableContents"/>
              <w:spacing w:before="0" w:after="283"/>
              <w:jc w:val="center"/>
              <w:rPr>
                <w:rFonts w:ascii="serif" w:hAnsi="serif"/>
                <w:b/>
                <w:sz w:val="20"/>
              </w:rPr>
            </w:pPr>
            <w:r>
              <w:rPr>
                <w:rFonts w:ascii="serif" w:hAnsi="serif"/>
                <w:b/>
                <w:sz w:val="20"/>
              </w:rPr>
              <w:t>Executive</w:t>
            </w:r>
          </w:p>
        </w:tc>
      </w:tr>
      <w:tr>
        <w:trPr/>
        <w:tc>
          <w:tcPr>
            <w:tcW w:w="3876"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J. Steven Cole</w:t>
            </w:r>
            <w:r>
              <w:rPr/>
              <w:t> </w:t>
            </w:r>
          </w:p>
        </w:tc>
        <w:tc>
          <w:tcPr>
            <w:tcW w:w="1154" w:type="dxa"/>
            <w:tcBorders/>
            <w:shd w:fill="C0C0C0" w:val="clear"/>
            <w:tcMar>
              <w:bottom w:w="0" w:type="dxa"/>
            </w:tcMar>
            <w:vAlign w:val="bottom"/>
          </w:tcPr>
          <w:p>
            <w:pPr>
              <w:pStyle w:val="TableContents"/>
              <w:spacing w:before="0" w:after="283"/>
              <w:jc w:val="center"/>
              <w:rPr/>
            </w:pPr>
            <w:r>
              <w:rPr/>
              <w:t>  </w:t>
            </w:r>
            <w:r>
              <w:rPr>
                <w:rFonts w:ascii="serif" w:hAnsi="serif"/>
                <w:sz w:val="20"/>
              </w:rPr>
              <w:t>X*</w:t>
            </w:r>
          </w:p>
        </w:tc>
        <w:tc>
          <w:tcPr>
            <w:tcW w:w="1980" w:type="dxa"/>
            <w:tcBorders/>
            <w:shd w:fill="C0C0C0" w:val="clear"/>
            <w:tcMar>
              <w:bottom w:w="0" w:type="dxa"/>
            </w:tcMar>
            <w:vAlign w:val="bottom"/>
          </w:tcPr>
          <w:p>
            <w:pPr>
              <w:pStyle w:val="TableContents"/>
              <w:spacing w:before="0" w:after="283"/>
              <w:jc w:val="center"/>
              <w:rPr/>
            </w:pPr>
            <w:r>
              <w:rPr/>
              <w:t> </w:t>
            </w:r>
          </w:p>
        </w:tc>
        <w:tc>
          <w:tcPr>
            <w:tcW w:w="1154" w:type="dxa"/>
            <w:tcBorders/>
            <w:shd w:fill="C0C0C0" w:val="clear"/>
            <w:tcMar>
              <w:bottom w:w="0" w:type="dxa"/>
            </w:tcMar>
            <w:vAlign w:val="bottom"/>
          </w:tcPr>
          <w:p>
            <w:pPr>
              <w:pStyle w:val="TableContents"/>
              <w:spacing w:before="0" w:after="283"/>
              <w:jc w:val="center"/>
              <w:rPr>
                <w:rFonts w:ascii="serif" w:hAnsi="serif"/>
                <w:sz w:val="20"/>
              </w:rPr>
            </w:pPr>
            <w:r>
              <w:rPr>
                <w:rFonts w:ascii="serif" w:hAnsi="serif"/>
                <w:sz w:val="20"/>
              </w:rPr>
              <w:t>X</w:t>
            </w:r>
          </w:p>
        </w:tc>
      </w:tr>
      <w:tr>
        <w:trPr/>
        <w:tc>
          <w:tcPr>
            <w:tcW w:w="3876" w:type="dxa"/>
            <w:tcBorders/>
            <w:shd w:fill="auto" w:val="clear"/>
            <w:tcMar>
              <w:bottom w:w="0" w:type="dxa"/>
            </w:tcMar>
            <w:vAlign w:val="bottom"/>
          </w:tcPr>
          <w:p>
            <w:pPr>
              <w:pStyle w:val="TableContents"/>
              <w:spacing w:before="0" w:after="283"/>
              <w:jc w:val="left"/>
              <w:rPr/>
            </w:pPr>
            <w:r>
              <w:rPr/>
              <w:t xml:space="preserve">     </w:t>
            </w:r>
            <w:r>
              <w:rPr>
                <w:rFonts w:ascii="serif" w:hAnsi="serif"/>
                <w:sz w:val="20"/>
              </w:rPr>
              <w:t>Arnold W. Donald</w:t>
            </w:r>
            <w:r>
              <w:rPr/>
              <w:t> </w:t>
            </w:r>
          </w:p>
        </w:tc>
        <w:tc>
          <w:tcPr>
            <w:tcW w:w="1154"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X</w:t>
            </w:r>
          </w:p>
        </w:tc>
        <w:tc>
          <w:tcPr>
            <w:tcW w:w="1980" w:type="dxa"/>
            <w:tcBorders/>
            <w:shd w:fill="auto" w:val="clear"/>
            <w:tcMar>
              <w:bottom w:w="0" w:type="dxa"/>
            </w:tcMar>
            <w:vAlign w:val="bottom"/>
          </w:tcPr>
          <w:p>
            <w:pPr>
              <w:pStyle w:val="TableContents"/>
              <w:spacing w:before="0" w:after="283"/>
              <w:jc w:val="center"/>
              <w:rPr/>
            </w:pPr>
            <w:r>
              <w:rPr/>
              <w:t> </w:t>
            </w:r>
          </w:p>
        </w:tc>
        <w:tc>
          <w:tcPr>
            <w:tcW w:w="1154" w:type="dxa"/>
            <w:tcBorders/>
            <w:shd w:fill="auto" w:val="clear"/>
            <w:tcMar>
              <w:bottom w:w="0" w:type="dxa"/>
            </w:tcMar>
            <w:vAlign w:val="bottom"/>
          </w:tcPr>
          <w:p>
            <w:pPr>
              <w:pStyle w:val="TableContents"/>
              <w:spacing w:before="0" w:after="283"/>
              <w:jc w:val="center"/>
              <w:rPr/>
            </w:pPr>
            <w:r>
              <w:rPr/>
              <w:t> </w:t>
            </w:r>
          </w:p>
        </w:tc>
      </w:tr>
      <w:tr>
        <w:trPr/>
        <w:tc>
          <w:tcPr>
            <w:tcW w:w="3876"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Daniel S. Jaffee</w:t>
            </w:r>
            <w:r>
              <w:rPr/>
              <w:t> </w:t>
            </w:r>
          </w:p>
        </w:tc>
        <w:tc>
          <w:tcPr>
            <w:tcW w:w="1154" w:type="dxa"/>
            <w:tcBorders/>
            <w:shd w:fill="C0C0C0" w:val="clear"/>
            <w:tcMar>
              <w:bottom w:w="0" w:type="dxa"/>
            </w:tcMar>
            <w:vAlign w:val="bottom"/>
          </w:tcPr>
          <w:p>
            <w:pPr>
              <w:pStyle w:val="TableContents"/>
              <w:spacing w:before="0" w:after="283"/>
              <w:jc w:val="center"/>
              <w:rPr/>
            </w:pPr>
            <w:r>
              <w:rPr/>
              <w:t> </w:t>
            </w:r>
          </w:p>
        </w:tc>
        <w:tc>
          <w:tcPr>
            <w:tcW w:w="1980" w:type="dxa"/>
            <w:tcBorders/>
            <w:shd w:fill="C0C0C0" w:val="clear"/>
            <w:tcMar>
              <w:bottom w:w="0" w:type="dxa"/>
            </w:tcMar>
            <w:vAlign w:val="bottom"/>
          </w:tcPr>
          <w:p>
            <w:pPr>
              <w:pStyle w:val="TableContents"/>
              <w:spacing w:before="0" w:after="283"/>
              <w:jc w:val="center"/>
              <w:rPr/>
            </w:pPr>
            <w:r>
              <w:rPr/>
              <w:t> </w:t>
            </w:r>
          </w:p>
        </w:tc>
        <w:tc>
          <w:tcPr>
            <w:tcW w:w="1154" w:type="dxa"/>
            <w:tcBorders/>
            <w:shd w:fill="C0C0C0" w:val="clear"/>
            <w:tcMar>
              <w:bottom w:w="0" w:type="dxa"/>
            </w:tcMar>
            <w:vAlign w:val="bottom"/>
          </w:tcPr>
          <w:p>
            <w:pPr>
              <w:pStyle w:val="TableContents"/>
              <w:spacing w:before="0" w:after="283"/>
              <w:jc w:val="center"/>
              <w:rPr>
                <w:rFonts w:ascii="serif" w:hAnsi="serif"/>
                <w:sz w:val="20"/>
              </w:rPr>
            </w:pPr>
            <w:r>
              <w:rPr>
                <w:rFonts w:ascii="serif" w:hAnsi="serif"/>
                <w:sz w:val="20"/>
              </w:rPr>
              <w:t>X</w:t>
            </w:r>
          </w:p>
        </w:tc>
      </w:tr>
      <w:tr>
        <w:trPr/>
        <w:tc>
          <w:tcPr>
            <w:tcW w:w="3876" w:type="dxa"/>
            <w:tcBorders/>
            <w:shd w:fill="auto" w:val="clear"/>
            <w:tcMar>
              <w:bottom w:w="0" w:type="dxa"/>
            </w:tcMar>
            <w:vAlign w:val="bottom"/>
          </w:tcPr>
          <w:p>
            <w:pPr>
              <w:pStyle w:val="TableContents"/>
              <w:spacing w:before="0" w:after="283"/>
              <w:jc w:val="left"/>
              <w:rPr/>
            </w:pPr>
            <w:r>
              <w:rPr/>
              <w:t xml:space="preserve">     </w:t>
            </w:r>
            <w:r>
              <w:rPr>
                <w:rFonts w:ascii="serif" w:hAnsi="serif"/>
                <w:sz w:val="20"/>
              </w:rPr>
              <w:t>Richard M. Jaffee</w:t>
            </w:r>
            <w:r>
              <w:rPr/>
              <w:t> </w:t>
            </w:r>
          </w:p>
        </w:tc>
        <w:tc>
          <w:tcPr>
            <w:tcW w:w="1154" w:type="dxa"/>
            <w:tcBorders/>
            <w:shd w:fill="auto" w:val="clear"/>
            <w:tcMar>
              <w:bottom w:w="0" w:type="dxa"/>
            </w:tcMar>
            <w:vAlign w:val="bottom"/>
          </w:tcPr>
          <w:p>
            <w:pPr>
              <w:pStyle w:val="TableContents"/>
              <w:spacing w:before="0" w:after="283"/>
              <w:jc w:val="center"/>
              <w:rPr/>
            </w:pPr>
            <w:r>
              <w:rPr/>
              <w:t> </w:t>
            </w:r>
          </w:p>
        </w:tc>
        <w:tc>
          <w:tcPr>
            <w:tcW w:w="1980" w:type="dxa"/>
            <w:tcBorders/>
            <w:shd w:fill="auto" w:val="clear"/>
            <w:tcMar>
              <w:bottom w:w="0" w:type="dxa"/>
            </w:tcMar>
            <w:vAlign w:val="bottom"/>
          </w:tcPr>
          <w:p>
            <w:pPr>
              <w:pStyle w:val="TableContents"/>
              <w:spacing w:before="0" w:after="283"/>
              <w:jc w:val="center"/>
              <w:rPr/>
            </w:pPr>
            <w:r>
              <w:rPr/>
              <w:t> </w:t>
            </w:r>
          </w:p>
        </w:tc>
        <w:tc>
          <w:tcPr>
            <w:tcW w:w="1154" w:type="dxa"/>
            <w:tcBorders/>
            <w:shd w:fill="auto" w:val="clear"/>
            <w:tcMar>
              <w:bottom w:w="0" w:type="dxa"/>
            </w:tcMar>
            <w:vAlign w:val="bottom"/>
          </w:tcPr>
          <w:p>
            <w:pPr>
              <w:pStyle w:val="TableContents"/>
              <w:spacing w:before="0" w:after="283"/>
              <w:jc w:val="center"/>
              <w:rPr/>
            </w:pPr>
            <w:r>
              <w:rPr/>
              <w:t xml:space="preserve">  </w:t>
            </w:r>
            <w:r>
              <w:rPr>
                <w:rFonts w:ascii="serif" w:hAnsi="serif"/>
                <w:sz w:val="20"/>
              </w:rPr>
              <w:t>X*</w:t>
            </w:r>
          </w:p>
        </w:tc>
      </w:tr>
      <w:tr>
        <w:trPr/>
        <w:tc>
          <w:tcPr>
            <w:tcW w:w="3876"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Joseph C. Miller</w:t>
            </w:r>
            <w:r>
              <w:rPr/>
              <w:t> </w:t>
            </w:r>
          </w:p>
        </w:tc>
        <w:tc>
          <w:tcPr>
            <w:tcW w:w="1154" w:type="dxa"/>
            <w:tcBorders/>
            <w:shd w:fill="C0C0C0" w:val="clear"/>
            <w:tcMar>
              <w:bottom w:w="0" w:type="dxa"/>
            </w:tcMar>
            <w:vAlign w:val="bottom"/>
          </w:tcPr>
          <w:p>
            <w:pPr>
              <w:pStyle w:val="TableContents"/>
              <w:spacing w:before="0" w:after="283"/>
              <w:jc w:val="center"/>
              <w:rPr/>
            </w:pPr>
            <w:r>
              <w:rPr/>
              <w:t> </w:t>
            </w:r>
          </w:p>
        </w:tc>
        <w:tc>
          <w:tcPr>
            <w:tcW w:w="1980" w:type="dxa"/>
            <w:tcBorders/>
            <w:shd w:fill="C0C0C0" w:val="clear"/>
            <w:tcMar>
              <w:bottom w:w="0" w:type="dxa"/>
            </w:tcMar>
            <w:vAlign w:val="bottom"/>
          </w:tcPr>
          <w:p>
            <w:pPr>
              <w:pStyle w:val="TableContents"/>
              <w:spacing w:before="0" w:after="283"/>
              <w:jc w:val="center"/>
              <w:rPr>
                <w:rFonts w:ascii="serif" w:hAnsi="serif"/>
                <w:sz w:val="20"/>
              </w:rPr>
            </w:pPr>
            <w:r>
              <w:rPr>
                <w:rFonts w:ascii="serif" w:hAnsi="serif"/>
                <w:sz w:val="20"/>
              </w:rPr>
              <w:t>X</w:t>
            </w:r>
          </w:p>
        </w:tc>
        <w:tc>
          <w:tcPr>
            <w:tcW w:w="1154" w:type="dxa"/>
            <w:tcBorders/>
            <w:shd w:fill="C0C0C0" w:val="clear"/>
            <w:tcMar>
              <w:bottom w:w="0" w:type="dxa"/>
            </w:tcMar>
            <w:vAlign w:val="bottom"/>
          </w:tcPr>
          <w:p>
            <w:pPr>
              <w:pStyle w:val="TableContents"/>
              <w:spacing w:before="0" w:after="283"/>
              <w:jc w:val="center"/>
              <w:rPr/>
            </w:pPr>
            <w:r>
              <w:rPr/>
              <w:t> </w:t>
            </w:r>
          </w:p>
        </w:tc>
      </w:tr>
      <w:tr>
        <w:trPr/>
        <w:tc>
          <w:tcPr>
            <w:tcW w:w="3876" w:type="dxa"/>
            <w:tcBorders/>
            <w:shd w:fill="auto" w:val="clear"/>
            <w:tcMar>
              <w:bottom w:w="0" w:type="dxa"/>
            </w:tcMar>
            <w:vAlign w:val="bottom"/>
          </w:tcPr>
          <w:p>
            <w:pPr>
              <w:pStyle w:val="TableContents"/>
              <w:spacing w:before="0" w:after="283"/>
              <w:jc w:val="left"/>
              <w:rPr/>
            </w:pPr>
            <w:r>
              <w:rPr/>
              <w:t xml:space="preserve">     </w:t>
            </w:r>
            <w:r>
              <w:rPr>
                <w:rFonts w:ascii="serif" w:hAnsi="serif"/>
                <w:sz w:val="20"/>
              </w:rPr>
              <w:t>Michael A. Nemeroff</w:t>
            </w:r>
            <w:r>
              <w:rPr/>
              <w:t> </w:t>
            </w:r>
          </w:p>
        </w:tc>
        <w:tc>
          <w:tcPr>
            <w:tcW w:w="1154" w:type="dxa"/>
            <w:tcBorders/>
            <w:shd w:fill="auto" w:val="clear"/>
            <w:tcMar>
              <w:bottom w:w="0" w:type="dxa"/>
            </w:tcMar>
            <w:vAlign w:val="bottom"/>
          </w:tcPr>
          <w:p>
            <w:pPr>
              <w:pStyle w:val="TableContents"/>
              <w:spacing w:before="0" w:after="283"/>
              <w:jc w:val="center"/>
              <w:rPr/>
            </w:pPr>
            <w:r>
              <w:rPr/>
              <w:t> </w:t>
            </w:r>
          </w:p>
        </w:tc>
        <w:tc>
          <w:tcPr>
            <w:tcW w:w="1980"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X</w:t>
            </w:r>
          </w:p>
        </w:tc>
        <w:tc>
          <w:tcPr>
            <w:tcW w:w="1154" w:type="dxa"/>
            <w:tcBorders/>
            <w:shd w:fill="auto" w:val="clear"/>
            <w:tcMar>
              <w:bottom w:w="0" w:type="dxa"/>
            </w:tcMar>
            <w:vAlign w:val="bottom"/>
          </w:tcPr>
          <w:p>
            <w:pPr>
              <w:pStyle w:val="TableContents"/>
              <w:spacing w:before="0" w:after="283"/>
              <w:jc w:val="center"/>
              <w:rPr/>
            </w:pPr>
            <w:r>
              <w:rPr/>
              <w:t> </w:t>
            </w:r>
          </w:p>
        </w:tc>
      </w:tr>
      <w:tr>
        <w:trPr/>
        <w:tc>
          <w:tcPr>
            <w:tcW w:w="3876"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Allan H. Selig</w:t>
            </w:r>
            <w:r>
              <w:rPr/>
              <w:t> </w:t>
            </w:r>
          </w:p>
        </w:tc>
        <w:tc>
          <w:tcPr>
            <w:tcW w:w="1154" w:type="dxa"/>
            <w:tcBorders/>
            <w:shd w:fill="C0C0C0" w:val="clear"/>
            <w:tcMar>
              <w:bottom w:w="0" w:type="dxa"/>
            </w:tcMar>
            <w:vAlign w:val="bottom"/>
          </w:tcPr>
          <w:p>
            <w:pPr>
              <w:pStyle w:val="TableContents"/>
              <w:spacing w:before="0" w:after="283"/>
              <w:jc w:val="center"/>
              <w:rPr/>
            </w:pPr>
            <w:r>
              <w:rPr/>
              <w:t> </w:t>
            </w:r>
          </w:p>
        </w:tc>
        <w:tc>
          <w:tcPr>
            <w:tcW w:w="1980" w:type="dxa"/>
            <w:tcBorders/>
            <w:shd w:fill="C0C0C0" w:val="clear"/>
            <w:tcMar>
              <w:bottom w:w="0" w:type="dxa"/>
            </w:tcMar>
            <w:vAlign w:val="bottom"/>
          </w:tcPr>
          <w:p>
            <w:pPr>
              <w:pStyle w:val="TableContents"/>
              <w:spacing w:before="0" w:after="283"/>
              <w:jc w:val="center"/>
              <w:rPr/>
            </w:pPr>
            <w:r>
              <w:rPr/>
              <w:t xml:space="preserve">  </w:t>
            </w:r>
            <w:r>
              <w:rPr>
                <w:rFonts w:ascii="serif" w:hAnsi="serif"/>
                <w:sz w:val="20"/>
              </w:rPr>
              <w:t>X*</w:t>
            </w:r>
          </w:p>
        </w:tc>
        <w:tc>
          <w:tcPr>
            <w:tcW w:w="1154" w:type="dxa"/>
            <w:tcBorders/>
            <w:shd w:fill="C0C0C0" w:val="clear"/>
            <w:tcMar>
              <w:bottom w:w="0" w:type="dxa"/>
            </w:tcMar>
            <w:vAlign w:val="bottom"/>
          </w:tcPr>
          <w:p>
            <w:pPr>
              <w:pStyle w:val="TableContents"/>
              <w:spacing w:before="0" w:after="283"/>
              <w:jc w:val="center"/>
              <w:rPr/>
            </w:pPr>
            <w:r>
              <w:rPr/>
              <w:t> </w:t>
            </w:r>
          </w:p>
        </w:tc>
      </w:tr>
      <w:tr>
        <w:trPr/>
        <w:tc>
          <w:tcPr>
            <w:tcW w:w="3876" w:type="dxa"/>
            <w:tcBorders/>
            <w:shd w:fill="auto" w:val="clear"/>
            <w:tcMar>
              <w:bottom w:w="0" w:type="dxa"/>
            </w:tcMar>
            <w:vAlign w:val="bottom"/>
          </w:tcPr>
          <w:p>
            <w:pPr>
              <w:pStyle w:val="TableContents"/>
              <w:spacing w:before="0" w:after="283"/>
              <w:jc w:val="left"/>
              <w:rPr/>
            </w:pPr>
            <w:r>
              <w:rPr/>
              <w:t xml:space="preserve">     </w:t>
            </w:r>
            <w:r>
              <w:rPr>
                <w:rFonts w:ascii="serif" w:hAnsi="serif"/>
                <w:sz w:val="20"/>
              </w:rPr>
              <w:t>Paul E. Suckow</w:t>
            </w:r>
            <w:r>
              <w:rPr/>
              <w:t> </w:t>
            </w:r>
          </w:p>
        </w:tc>
        <w:tc>
          <w:tcPr>
            <w:tcW w:w="1154" w:type="dxa"/>
            <w:tcBorders/>
            <w:shd w:fill="auto" w:val="clear"/>
            <w:tcMar>
              <w:bottom w:w="0" w:type="dxa"/>
            </w:tcMar>
            <w:vAlign w:val="bottom"/>
          </w:tcPr>
          <w:p>
            <w:pPr>
              <w:pStyle w:val="TableContents"/>
              <w:spacing w:before="0" w:after="283"/>
              <w:jc w:val="center"/>
              <w:rPr>
                <w:rFonts w:ascii="serif" w:hAnsi="serif"/>
                <w:sz w:val="20"/>
              </w:rPr>
            </w:pPr>
            <w:r>
              <w:rPr>
                <w:rFonts w:ascii="serif" w:hAnsi="serif"/>
                <w:sz w:val="20"/>
              </w:rPr>
              <w:t>X</w:t>
            </w:r>
          </w:p>
        </w:tc>
        <w:tc>
          <w:tcPr>
            <w:tcW w:w="1980" w:type="dxa"/>
            <w:tcBorders/>
            <w:shd w:fill="auto" w:val="clear"/>
            <w:tcMar>
              <w:bottom w:w="0" w:type="dxa"/>
            </w:tcMar>
            <w:vAlign w:val="bottom"/>
          </w:tcPr>
          <w:p>
            <w:pPr>
              <w:pStyle w:val="TableContents"/>
              <w:spacing w:before="0" w:after="283"/>
              <w:jc w:val="center"/>
              <w:rPr/>
            </w:pPr>
            <w:r>
              <w:rPr/>
              <w:t> </w:t>
            </w:r>
          </w:p>
        </w:tc>
        <w:tc>
          <w:tcPr>
            <w:tcW w:w="1154" w:type="dxa"/>
            <w:tcBorders/>
            <w:shd w:fill="auto" w:val="clear"/>
            <w:tcMar>
              <w:bottom w:w="0" w:type="dxa"/>
            </w:tcMar>
            <w:vAlign w:val="bottom"/>
          </w:tcPr>
          <w:p>
            <w:pPr>
              <w:pStyle w:val="TableContents"/>
              <w:spacing w:before="0" w:after="283"/>
              <w:jc w:val="center"/>
              <w:rPr/>
            </w:pPr>
            <w:r>
              <w:rPr/>
              <w:t> </w:t>
            </w:r>
          </w:p>
        </w:tc>
      </w:tr>
      <w:tr>
        <w:trPr/>
        <w:tc>
          <w:tcPr>
            <w:tcW w:w="3876"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Number of Meetings in Fiscal 2007</w:t>
            </w:r>
            <w:r>
              <w:rPr/>
              <w:t> </w:t>
            </w:r>
          </w:p>
        </w:tc>
        <w:tc>
          <w:tcPr>
            <w:tcW w:w="1154" w:type="dxa"/>
            <w:tcBorders/>
            <w:shd w:fill="C0C0C0" w:val="clear"/>
            <w:tcMar>
              <w:bottom w:w="0" w:type="dxa"/>
            </w:tcMar>
            <w:vAlign w:val="bottom"/>
          </w:tcPr>
          <w:p>
            <w:pPr>
              <w:pStyle w:val="TableContents"/>
              <w:spacing w:before="0" w:after="283"/>
              <w:jc w:val="center"/>
              <w:rPr>
                <w:rFonts w:ascii="serif" w:hAnsi="serif"/>
                <w:sz w:val="20"/>
              </w:rPr>
            </w:pPr>
            <w:r>
              <w:rPr>
                <w:rFonts w:ascii="serif" w:hAnsi="serif"/>
                <w:sz w:val="20"/>
              </w:rPr>
              <w:t>4</w:t>
            </w:r>
          </w:p>
        </w:tc>
        <w:tc>
          <w:tcPr>
            <w:tcW w:w="1980" w:type="dxa"/>
            <w:tcBorders/>
            <w:shd w:fill="C0C0C0" w:val="clear"/>
            <w:tcMar>
              <w:bottom w:w="0" w:type="dxa"/>
            </w:tcMar>
            <w:vAlign w:val="bottom"/>
          </w:tcPr>
          <w:p>
            <w:pPr>
              <w:pStyle w:val="TableContents"/>
              <w:spacing w:before="0" w:after="283"/>
              <w:jc w:val="center"/>
              <w:rPr>
                <w:rFonts w:ascii="serif" w:hAnsi="serif"/>
                <w:sz w:val="20"/>
              </w:rPr>
            </w:pPr>
            <w:r>
              <w:rPr>
                <w:rFonts w:ascii="serif" w:hAnsi="serif"/>
                <w:sz w:val="20"/>
              </w:rPr>
              <w:t>3</w:t>
            </w:r>
          </w:p>
        </w:tc>
        <w:tc>
          <w:tcPr>
            <w:tcW w:w="1154" w:type="dxa"/>
            <w:tcBorders/>
            <w:shd w:fill="C0C0C0" w:val="clear"/>
            <w:tcMar>
              <w:bottom w:w="0" w:type="dxa"/>
            </w:tcMar>
            <w:vAlign w:val="bottom"/>
          </w:tcPr>
          <w:p>
            <w:pPr>
              <w:pStyle w:val="TableContents"/>
              <w:spacing w:before="0" w:after="283"/>
              <w:jc w:val="center"/>
              <w:rPr>
                <w:rFonts w:ascii="serif" w:hAnsi="serif"/>
                <w:sz w:val="20"/>
              </w:rPr>
            </w:pPr>
            <w:r>
              <w:rPr>
                <w:rFonts w:ascii="serif" w:hAnsi="serif"/>
                <w:sz w:val="20"/>
              </w:rPr>
              <w:t>0</w:t>
            </w:r>
          </w:p>
        </w:tc>
      </w:tr>
      <w:tr>
        <w:trPr/>
        <w:tc>
          <w:tcPr>
            <w:tcW w:w="3876" w:type="dxa"/>
            <w:tcBorders/>
            <w:shd w:fill="auto" w:val="clear"/>
            <w:tcMar>
              <w:bottom w:w="0" w:type="dxa"/>
            </w:tcMar>
            <w:vAlign w:val="bottom"/>
          </w:tcPr>
          <w:p>
            <w:pPr>
              <w:pStyle w:val="TableContents"/>
              <w:spacing w:before="0" w:after="283"/>
              <w:jc w:val="left"/>
              <w:rPr/>
            </w:pPr>
            <w:r>
              <w:rPr/>
              <w:t xml:space="preserve">     </w:t>
            </w:r>
            <w:r>
              <w:rPr>
                <w:rFonts w:ascii="serif" w:hAnsi="serif"/>
                <w:sz w:val="20"/>
              </w:rPr>
              <w:t>* Chairperson</w:t>
            </w:r>
            <w:r>
              <w:rPr/>
              <w:t> </w:t>
            </w:r>
          </w:p>
        </w:tc>
        <w:tc>
          <w:tcPr>
            <w:tcW w:w="1154" w:type="dxa"/>
            <w:tcBorders/>
            <w:shd w:fill="auto" w:val="clear"/>
            <w:tcMar>
              <w:bottom w:w="0" w:type="dxa"/>
            </w:tcMar>
            <w:vAlign w:val="bottom"/>
          </w:tcPr>
          <w:p>
            <w:pPr>
              <w:pStyle w:val="TableContents"/>
              <w:spacing w:before="0" w:after="283"/>
              <w:jc w:val="center"/>
              <w:rPr/>
            </w:pPr>
            <w:r>
              <w:rPr/>
              <w:t> </w:t>
            </w:r>
          </w:p>
        </w:tc>
        <w:tc>
          <w:tcPr>
            <w:tcW w:w="1980" w:type="dxa"/>
            <w:tcBorders/>
            <w:shd w:fill="auto" w:val="clear"/>
            <w:tcMar>
              <w:bottom w:w="0" w:type="dxa"/>
            </w:tcMar>
            <w:vAlign w:val="bottom"/>
          </w:tcPr>
          <w:p>
            <w:pPr>
              <w:pStyle w:val="TableContents"/>
              <w:spacing w:before="0" w:after="283"/>
              <w:jc w:val="center"/>
              <w:rPr/>
            </w:pPr>
            <w:r>
              <w:rPr/>
              <w:t> </w:t>
            </w:r>
          </w:p>
        </w:tc>
        <w:tc>
          <w:tcPr>
            <w:tcW w:w="1154" w:type="dxa"/>
            <w:tcBorders/>
            <w:shd w:fill="auto" w:val="clear"/>
            <w:tcMar>
              <w:bottom w:w="0" w:type="dxa"/>
            </w:tcMar>
            <w:vAlign w:val="bottom"/>
          </w:tcPr>
          <w:p>
            <w:pPr>
              <w:pStyle w:val="TableContents"/>
              <w:spacing w:before="0" w:after="283"/>
              <w:jc w:val="center"/>
              <w:rPr/>
            </w:pPr>
            <w:r>
              <w:rPr/>
              <w:t> </w:t>
            </w:r>
          </w:p>
        </w:tc>
      </w:tr>
    </w:tbl>
    <w:p>
      <w:pPr>
        <w:pStyle w:val="TextBody"/>
        <w:rPr/>
      </w:pPr>
      <w:r>
        <w:rPr/>
      </w:r>
    </w:p>
    <w:p>
      <w:pPr>
        <w:pStyle w:val="TextBody"/>
        <w:jc w:val="both"/>
        <w:rPr/>
      </w:pPr>
      <w:r>
        <w:rPr/>
        <w:t>     </w:t>
      </w:r>
      <w:r>
        <w:rPr>
          <w:rFonts w:ascii="serif" w:hAnsi="serif"/>
          <w:sz w:val="20"/>
        </w:rPr>
        <w:t>During the fiscal year ended July 31, 2007, the Board of Directors held four meetings. During the period in which he served as director, each director attended at least 75% of the aggregate of the number of meetings of the Board and the number of meetings of any Board committee on which he served.</w:t>
      </w:r>
    </w:p>
    <w:p>
      <w:pPr>
        <w:pStyle w:val="TextBody"/>
        <w:jc w:val="both"/>
        <w:rPr>
          <w:rFonts w:ascii="serif" w:hAnsi="serif"/>
          <w:b/>
          <w:i/>
          <w:sz w:val="20"/>
        </w:rPr>
      </w:pPr>
      <w:r>
        <w:rPr>
          <w:rFonts w:ascii="serif" w:hAnsi="serif"/>
          <w:b/>
          <w:i/>
          <w:sz w:val="20"/>
        </w:rPr>
        <w:t>Audit Committee</w:t>
      </w:r>
    </w:p>
    <w:p>
      <w:pPr>
        <w:pStyle w:val="TextBody"/>
        <w:jc w:val="both"/>
        <w:rPr/>
      </w:pPr>
      <w:r>
        <w:rPr/>
        <w:t>     </w:t>
      </w:r>
      <w:r>
        <w:rPr>
          <w:rFonts w:ascii="serif" w:hAnsi="serif"/>
          <w:sz w:val="20"/>
        </w:rPr>
        <w:t>The Audit Committee Charter sets out the duties and responsibilities of the Audit Committee. Those duties include:</w:t>
      </w:r>
    </w:p>
    <w:p>
      <w:pPr>
        <w:pStyle w:val="TextBody"/>
        <w:numPr>
          <w:ilvl w:val="0"/>
          <w:numId w:val="4"/>
        </w:numPr>
        <w:tabs>
          <w:tab w:val="clear" w:pos="1134"/>
          <w:tab w:val="left" w:pos="707" w:leader="none"/>
        </w:tabs>
        <w:spacing w:before="0" w:after="0"/>
        <w:ind w:left="707" w:hanging="283"/>
        <w:jc w:val="both"/>
        <w:rPr/>
      </w:pPr>
      <w:r>
        <w:rPr>
          <w:rFonts w:ascii="serif" w:hAnsi="serif"/>
          <w:sz w:val="20"/>
        </w:rPr>
        <w:t>selection and appointment of the independent auditor, review of its independence and of other services provided by it, and of the fees and other arrangements regarding its services;</w:t>
        <w:br/>
        <w:t> </w:t>
      </w:r>
      <w:r>
        <w:rPr/>
        <w:t xml:space="preserve"> </w:t>
      </w:r>
    </w:p>
    <w:p>
      <w:pPr>
        <w:pStyle w:val="TextBody"/>
        <w:numPr>
          <w:ilvl w:val="0"/>
          <w:numId w:val="4"/>
        </w:numPr>
        <w:tabs>
          <w:tab w:val="clear" w:pos="1134"/>
          <w:tab w:val="left" w:pos="707" w:leader="none"/>
        </w:tabs>
        <w:spacing w:before="0" w:after="0"/>
        <w:ind w:left="707" w:hanging="283"/>
        <w:jc w:val="both"/>
        <w:rPr/>
      </w:pPr>
      <w:r>
        <w:rPr>
          <w:rFonts w:ascii="serif" w:hAnsi="serif"/>
          <w:sz w:val="20"/>
        </w:rPr>
        <w:t>review with the independent auditor and management of the scope of the audit, and of significant financial reporting issues and judgments;</w:t>
        <w:br/>
        <w:t> </w:t>
      </w:r>
      <w:r>
        <w:rPr/>
        <w:t xml:space="preserve"> </w:t>
      </w:r>
    </w:p>
    <w:p>
      <w:pPr>
        <w:pStyle w:val="TextBody"/>
        <w:numPr>
          <w:ilvl w:val="0"/>
          <w:numId w:val="4"/>
        </w:numPr>
        <w:tabs>
          <w:tab w:val="clear" w:pos="1134"/>
          <w:tab w:val="left" w:pos="707" w:leader="none"/>
        </w:tabs>
        <w:spacing w:before="0" w:after="0"/>
        <w:ind w:left="707" w:hanging="283"/>
        <w:jc w:val="both"/>
        <w:rPr/>
      </w:pPr>
      <w:r>
        <w:rPr>
          <w:rFonts w:ascii="serif" w:hAnsi="serif"/>
          <w:sz w:val="20"/>
        </w:rPr>
        <w:t>review with the independent auditor and management of the annual audited financial statements and of the quarterly financial statements and press releases;</w:t>
        <w:br/>
        <w:t> </w:t>
      </w:r>
      <w:r>
        <w:rPr/>
        <w:t xml:space="preserve"> </w:t>
      </w:r>
    </w:p>
    <w:p>
      <w:pPr>
        <w:pStyle w:val="TextBody"/>
        <w:numPr>
          <w:ilvl w:val="0"/>
          <w:numId w:val="4"/>
        </w:numPr>
        <w:tabs>
          <w:tab w:val="clear" w:pos="1134"/>
          <w:tab w:val="left" w:pos="707" w:leader="none"/>
        </w:tabs>
        <w:spacing w:before="0" w:after="0"/>
        <w:ind w:left="707" w:hanging="283"/>
        <w:jc w:val="both"/>
        <w:rPr/>
      </w:pPr>
      <w:r>
        <w:rPr>
          <w:rFonts w:ascii="serif" w:hAnsi="serif"/>
          <w:sz w:val="20"/>
        </w:rPr>
        <w:t>review with the independent auditor and management of the quality and adequacy of internal controls; and</w:t>
        <w:br/>
        <w:t> </w:t>
      </w:r>
      <w:r>
        <w:rPr/>
        <w:t xml:space="preserve"> </w:t>
      </w:r>
    </w:p>
    <w:p>
      <w:pPr>
        <w:pStyle w:val="TextBody"/>
        <w:numPr>
          <w:ilvl w:val="0"/>
          <w:numId w:val="4"/>
        </w:numPr>
        <w:tabs>
          <w:tab w:val="clear" w:pos="1134"/>
          <w:tab w:val="left" w:pos="707" w:leader="none"/>
        </w:tabs>
        <w:ind w:left="707" w:hanging="283"/>
        <w:jc w:val="both"/>
        <w:rPr>
          <w:rFonts w:ascii="serif" w:hAnsi="serif"/>
          <w:sz w:val="20"/>
        </w:rPr>
      </w:pPr>
      <w:r>
        <w:rPr>
          <w:rFonts w:ascii="serif" w:hAnsi="serif"/>
          <w:sz w:val="20"/>
        </w:rPr>
        <w:t>preparation of the report required by the rules of the SEC to be included in this Proxy Statement.</w:t>
      </w:r>
    </w:p>
    <w:p>
      <w:pPr>
        <w:pStyle w:val="TextBody"/>
        <w:jc w:val="both"/>
        <w:rPr/>
      </w:pPr>
      <w:r>
        <w:rPr>
          <w:rFonts w:ascii="serif" w:hAnsi="serif"/>
          <w:sz w:val="20"/>
        </w:rPr>
        <w:t xml:space="preserve">A copy of the Audit Committee Charter is available on our website at </w:t>
      </w:r>
      <w:r>
        <w:rPr>
          <w:rFonts w:ascii="serif" w:hAnsi="serif"/>
          <w:i/>
          <w:sz w:val="20"/>
        </w:rPr>
        <w:t>www.oildri.com</w:t>
      </w:r>
      <w:r>
        <w:rPr/>
        <w:t xml:space="preserve"> </w:t>
      </w:r>
      <w:r>
        <w:rPr>
          <w:rFonts w:ascii="serif" w:hAnsi="serif"/>
          <w:sz w:val="20"/>
        </w:rPr>
        <w:t xml:space="preserve">and will be provided without charge to any person upon request. </w:t>
      </w:r>
    </w:p>
    <w:p>
      <w:pPr>
        <w:pStyle w:val="TextBody"/>
        <w:jc w:val="both"/>
        <w:rPr/>
      </w:pPr>
      <w:r>
        <w:rPr/>
        <w:t>     </w:t>
      </w:r>
      <w:r>
        <w:rPr>
          <w:rFonts w:ascii="serif" w:hAnsi="serif"/>
          <w:sz w:val="20"/>
        </w:rPr>
        <w:t>Each member of the Audit Committee meets the independence and experience requirements of the NYSE, as determined by the Board of Directors. The Board also has determined that Mr. Cole is an audit committee financial expert within the meaning of the rules of the SEC and that he meets the accounting or related financial management expertise standard required by NYSE rules.</w:t>
      </w:r>
    </w:p>
    <w:p>
      <w:pPr>
        <w:pStyle w:val="TextBody"/>
        <w:jc w:val="center"/>
        <w:rPr>
          <w:rFonts w:ascii="serif" w:hAnsi="serif"/>
          <w:sz w:val="20"/>
        </w:rPr>
      </w:pPr>
      <w:r>
        <w:rPr>
          <w:rFonts w:ascii="serif" w:hAnsi="serif"/>
          <w:sz w:val="20"/>
        </w:rPr>
        <w:t>11</w:t>
      </w:r>
    </w:p>
    <w:p>
      <w:pPr>
        <w:pStyle w:val="HorizontalLine"/>
        <w:pBdr>
          <w:bottom w:val="single" w:sz="12" w:space="0" w:color="808080"/>
        </w:pBdr>
        <w:rPr/>
      </w:pPr>
      <w:r>
        <w:rPr/>
      </w:r>
    </w:p>
    <w:p>
      <w:pPr>
        <w:pStyle w:val="TextBody"/>
        <w:jc w:val="both"/>
        <w:rPr>
          <w:rFonts w:ascii="serif" w:hAnsi="serif"/>
          <w:b/>
          <w:i/>
          <w:sz w:val="20"/>
        </w:rPr>
      </w:pPr>
      <w:r>
        <w:rPr>
          <w:rFonts w:ascii="serif" w:hAnsi="serif"/>
          <w:b/>
          <w:i/>
          <w:sz w:val="20"/>
        </w:rPr>
        <w:t>Compensation Committee</w:t>
      </w:r>
    </w:p>
    <w:p>
      <w:pPr>
        <w:pStyle w:val="TextBody"/>
        <w:jc w:val="both"/>
        <w:rPr/>
      </w:pPr>
      <w:r>
        <w:rPr/>
        <w:t>     </w:t>
      </w:r>
      <w:r>
        <w:rPr>
          <w:rFonts w:ascii="serif" w:hAnsi="serif"/>
          <w:sz w:val="20"/>
        </w:rPr>
        <w:t>The Compensation Committee is responsible for review and general oversight of our compensation programs, including all programs in which our executive officers participate. Specifically the Compensation Committee is responsible for:</w:t>
      </w:r>
    </w:p>
    <w:p>
      <w:pPr>
        <w:pStyle w:val="TextBody"/>
        <w:numPr>
          <w:ilvl w:val="0"/>
          <w:numId w:val="5"/>
        </w:numPr>
        <w:tabs>
          <w:tab w:val="clear" w:pos="1134"/>
          <w:tab w:val="left" w:pos="707" w:leader="none"/>
        </w:tabs>
        <w:spacing w:before="0" w:after="0"/>
        <w:ind w:left="707" w:hanging="283"/>
        <w:jc w:val="both"/>
        <w:rPr/>
      </w:pPr>
      <w:r>
        <w:rPr>
          <w:rFonts w:ascii="serif" w:hAnsi="serif"/>
          <w:sz w:val="20"/>
        </w:rPr>
        <w:t>determining the compensation, including benefits, of the Chief Executive Officer (CEO) after reviewing the recommendation of the Chairman of the Board;</w:t>
        <w:br/>
        <w:t> </w:t>
      </w:r>
      <w:r>
        <w:rPr/>
        <w:t xml:space="preserve"> </w:t>
      </w:r>
    </w:p>
    <w:p>
      <w:pPr>
        <w:pStyle w:val="TextBody"/>
        <w:numPr>
          <w:ilvl w:val="0"/>
          <w:numId w:val="5"/>
        </w:numPr>
        <w:tabs>
          <w:tab w:val="clear" w:pos="1134"/>
          <w:tab w:val="left" w:pos="707" w:leader="none"/>
        </w:tabs>
        <w:spacing w:before="0" w:after="0"/>
        <w:ind w:left="707" w:hanging="283"/>
        <w:jc w:val="both"/>
        <w:rPr/>
      </w:pPr>
      <w:r>
        <w:rPr>
          <w:rFonts w:ascii="serif" w:hAnsi="serif"/>
          <w:sz w:val="20"/>
        </w:rPr>
        <w:t>determining the reasonableness of and approving the compensation of our other executive officers, as recommended by our CEO;</w:t>
        <w:br/>
        <w:t> </w:t>
      </w:r>
      <w:r>
        <w:rPr/>
        <w:t xml:space="preserve"> </w:t>
      </w:r>
    </w:p>
    <w:p>
      <w:pPr>
        <w:pStyle w:val="TextBody"/>
        <w:numPr>
          <w:ilvl w:val="0"/>
          <w:numId w:val="5"/>
        </w:numPr>
        <w:tabs>
          <w:tab w:val="clear" w:pos="1134"/>
          <w:tab w:val="left" w:pos="707" w:leader="none"/>
        </w:tabs>
        <w:spacing w:before="0" w:after="0"/>
        <w:ind w:left="707" w:hanging="283"/>
        <w:jc w:val="both"/>
        <w:rPr/>
      </w:pPr>
      <w:r>
        <w:rPr>
          <w:rFonts w:ascii="serif" w:hAnsi="serif"/>
          <w:sz w:val="20"/>
        </w:rPr>
        <w:t>reviewing and approving the reasonableness of performance measures and payout ranges under our annual incentive plan as these relate to our executive officers and setting payout ranges for our CEO;</w:t>
        <w:br/>
        <w:t> </w:t>
      </w:r>
      <w:r>
        <w:rPr/>
        <w:t xml:space="preserve"> </w:t>
      </w:r>
    </w:p>
    <w:p>
      <w:pPr>
        <w:pStyle w:val="TextBody"/>
        <w:numPr>
          <w:ilvl w:val="0"/>
          <w:numId w:val="5"/>
        </w:numPr>
        <w:tabs>
          <w:tab w:val="clear" w:pos="1134"/>
          <w:tab w:val="left" w:pos="707" w:leader="none"/>
        </w:tabs>
        <w:spacing w:before="0" w:after="0"/>
        <w:ind w:left="707" w:hanging="283"/>
        <w:jc w:val="both"/>
        <w:rPr/>
      </w:pPr>
      <w:r>
        <w:rPr>
          <w:rFonts w:ascii="serif" w:hAnsi="serif"/>
          <w:sz w:val="20"/>
        </w:rPr>
        <w:t>administration of our equity incentive plans with assistance from our human resources staff and granting awards under those plans to employees, including grants to our executive officers, or to non-employee directors; and</w:t>
        <w:br/>
        <w:t> </w:t>
      </w:r>
      <w:r>
        <w:rPr/>
        <w:t xml:space="preserve"> </w:t>
      </w:r>
    </w:p>
    <w:p>
      <w:pPr>
        <w:pStyle w:val="TextBody"/>
        <w:numPr>
          <w:ilvl w:val="0"/>
          <w:numId w:val="5"/>
        </w:numPr>
        <w:tabs>
          <w:tab w:val="clear" w:pos="1134"/>
          <w:tab w:val="left" w:pos="707" w:leader="none"/>
        </w:tabs>
        <w:ind w:left="707" w:hanging="283"/>
        <w:jc w:val="both"/>
        <w:rPr>
          <w:rFonts w:ascii="serif" w:hAnsi="serif"/>
          <w:sz w:val="20"/>
        </w:rPr>
      </w:pPr>
      <w:r>
        <w:rPr>
          <w:rFonts w:ascii="serif" w:hAnsi="serif"/>
          <w:sz w:val="20"/>
        </w:rPr>
        <w:t>making recommendations to the Board of Directors or stockholders on compensation-related matters.</w:t>
      </w:r>
    </w:p>
    <w:p>
      <w:pPr>
        <w:pStyle w:val="TextBody"/>
        <w:jc w:val="both"/>
        <w:rPr/>
      </w:pPr>
      <w:r>
        <w:rPr/>
        <w:t>     </w:t>
      </w:r>
      <w:r>
        <w:rPr>
          <w:rFonts w:ascii="serif" w:hAnsi="serif"/>
          <w:sz w:val="20"/>
        </w:rPr>
        <w:t>In carrying out these responsibilities, the Compensation Committee acts on recommendations from and consults with the Chairman of the Board, our CEO and at times the Chief Financial Officer. Additional details of our processes and procedures for considering and determining executive compensation are in the Compensation Discussion and Analysis which is a part of the Executive Compensation section of this Proxy Statement.</w:t>
      </w:r>
    </w:p>
    <w:p>
      <w:pPr>
        <w:pStyle w:val="TextBody"/>
        <w:jc w:val="both"/>
        <w:rPr/>
      </w:pPr>
      <w:r>
        <w:rPr/>
        <w:t>     </w:t>
      </w:r>
      <w:r>
        <w:rPr>
          <w:rFonts w:ascii="serif" w:hAnsi="serif"/>
          <w:sz w:val="20"/>
        </w:rPr>
        <w:t>Two members of the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 Two members of the Compensation Committee, Messrs. Selig and Nemeroff, are outside directors for purposes of Rule 162(m) of the Internal Revenue Code of 1986, as amended, (the Code) and are authorized to act independently with respect to any compensation decisions for which Section 162(m) is a factor.</w:t>
      </w:r>
    </w:p>
    <w:p>
      <w:pPr>
        <w:pStyle w:val="TextBody"/>
        <w:jc w:val="both"/>
        <w:rPr/>
      </w:pPr>
      <w:r>
        <w:rPr/>
        <w:t>     </w:t>
      </w:r>
      <w:r>
        <w:rPr>
          <w:rFonts w:ascii="serif" w:hAnsi="serif"/>
          <w:sz w:val="20"/>
        </w:rPr>
        <w:t>As allowed by the controlled company exemption from the NYSEs Corporate Governance Standards, the Compensation Committee is not composed entirely of independent directors; two members, Messrs. Miller and Nemeroff, have not been determined by the Board of Directors to be independent directors. As also allowed by this exemption, the Compensation Committee does not have a written charter.</w:t>
      </w:r>
    </w:p>
    <w:p>
      <w:pPr>
        <w:pStyle w:val="TextBody"/>
        <w:jc w:val="center"/>
        <w:rPr>
          <w:rFonts w:ascii="serif" w:hAnsi="serif"/>
          <w:b/>
        </w:rPr>
      </w:pPr>
      <w:r>
        <w:rPr>
          <w:rFonts w:ascii="serif" w:hAnsi="serif"/>
          <w:b/>
        </w:rPr>
        <w:t>Compensation Committee Interlocks and Insider Participation</w:t>
      </w:r>
    </w:p>
    <w:p>
      <w:pPr>
        <w:pStyle w:val="TextBody"/>
        <w:jc w:val="both"/>
        <w:rPr/>
      </w:pPr>
      <w:r>
        <w:rPr/>
        <w:t>     </w:t>
      </w:r>
      <w:r>
        <w:rPr>
          <w:rFonts w:ascii="serif" w:hAnsi="serif"/>
          <w:sz w:val="20"/>
        </w:rPr>
        <w:t>None of the members of the Compensation Committee is or ever has been an executive officer or employee of the Company, except that Mr. Miller served as an officer of the Company from 1989 to 2000. Mr. Nemeroff, a member of the Compensation Committee, is President of Vedder Price, counsel to the Company. There are no Compensation Committee interlocks as defined by SEC rules.</w:t>
      </w:r>
    </w:p>
    <w:p>
      <w:pPr>
        <w:pStyle w:val="TextBody"/>
        <w:jc w:val="center"/>
        <w:rPr>
          <w:rFonts w:ascii="serif" w:hAnsi="serif"/>
          <w:sz w:val="20"/>
        </w:rPr>
      </w:pPr>
      <w:r>
        <w:rPr>
          <w:rFonts w:ascii="serif" w:hAnsi="serif"/>
          <w:sz w:val="20"/>
        </w:rPr>
        <w:t>12</w:t>
      </w:r>
    </w:p>
    <w:p>
      <w:pPr>
        <w:pStyle w:val="HorizontalLine"/>
        <w:pBdr>
          <w:bottom w:val="single" w:sz="12" w:space="0" w:color="808080"/>
        </w:pBdr>
        <w:rPr/>
      </w:pPr>
      <w:r>
        <w:rPr/>
      </w:r>
    </w:p>
    <w:p>
      <w:pPr>
        <w:pStyle w:val="TextBody"/>
        <w:jc w:val="both"/>
        <w:rPr>
          <w:rFonts w:ascii="serif" w:hAnsi="serif"/>
          <w:b/>
          <w:i/>
          <w:sz w:val="20"/>
        </w:rPr>
      </w:pPr>
      <w:r>
        <w:rPr>
          <w:rFonts w:ascii="serif" w:hAnsi="serif"/>
          <w:b/>
          <w:i/>
          <w:sz w:val="20"/>
        </w:rPr>
        <w:t>Executive Committee</w:t>
      </w:r>
    </w:p>
    <w:p>
      <w:pPr>
        <w:pStyle w:val="TextBody"/>
        <w:jc w:val="both"/>
        <w:rPr/>
      </w:pPr>
      <w:r>
        <w:rPr/>
        <w:t>     </w:t>
      </w:r>
      <w:r>
        <w:rPr>
          <w:rFonts w:ascii="serif" w:hAnsi="serif"/>
          <w:sz w:val="20"/>
        </w:rPr>
        <w:t>The Executive Committee has all of the powers and authority of the Board of Directors in the management of our business and other affairs, subject only to any limitations provided for in our Certificate of Incorporation and Amended and Restated By-Laws (each as amended from time to time) or imposed by applicable law or NYSE Corporate Governance Standards. The Executive Committee does not have a written charter. The Executive Committee did not hold any meetings during the past year and historically has only exercised its authority to act on behalf of the Board in limited circumstances.</w:t>
      </w:r>
    </w:p>
    <w:p>
      <w:pPr>
        <w:pStyle w:val="TextBody"/>
        <w:jc w:val="center"/>
        <w:rPr>
          <w:rFonts w:ascii="serif" w:hAnsi="serif"/>
          <w:b/>
        </w:rPr>
      </w:pPr>
      <w:r>
        <w:rPr>
          <w:rFonts w:ascii="serif" w:hAnsi="serif"/>
          <w:b/>
        </w:rPr>
        <w:t>Director Nominations</w:t>
      </w:r>
    </w:p>
    <w:p>
      <w:pPr>
        <w:pStyle w:val="TextBody"/>
        <w:jc w:val="both"/>
        <w:rPr/>
      </w:pPr>
      <w:r>
        <w:rPr/>
        <w:t>     </w:t>
      </w:r>
      <w:r>
        <w:rPr>
          <w:rFonts w:ascii="serif" w:hAnsi="serif"/>
          <w:sz w:val="20"/>
        </w:rPr>
        <w:t>As allowed by the controlled company exemption from the NYSE Corporate Governance Standards, we do not have a standing nominating committee or other committee of the Board performing a similar function. As a controlled company, and with six of our eight current directors having served on the Board for at least 10 years, the Board believes it is appropriate for the Company not to have a nominating committee. It has been our practice, as reflected in our Corporate Governance Guidelines, that the Chairman, Richard M. Jaffee, recommends to the entire Board candidates for nomination to the Board. Directors Richard M. Jaffee, Daniel S. Jaffee, Miller and Nemeroff, who have not been determined by the Board to be independent, participate along with the independent directors, in the nominating process. The Board may also, on a periodic basis, solicit ideas for possible candidates from a number of sources, including Oil-Dri executives, individuals personally known to members of the Board, and employment of search firms.</w:t>
      </w:r>
    </w:p>
    <w:p>
      <w:pPr>
        <w:pStyle w:val="TextBody"/>
        <w:jc w:val="both"/>
        <w:rPr/>
      </w:pPr>
      <w:r>
        <w:rPr/>
        <w:t>     </w:t>
      </w:r>
      <w:r>
        <w:rPr>
          <w:rFonts w:ascii="serif" w:hAnsi="serif"/>
          <w:sz w:val="20"/>
        </w:rPr>
        <w:t>We will consider recommendations from stockholders of potential candidates for service on the Board of Directors. Stockholder recommendations of candidates for possible nomination to the Board of Directors must be in writing and must be given either by personal delivery or by United States mail, postage prepaid, to our Corporate Secretary no later than 90 days prior to the anniversary of the date we first mailed our proxy materials for the preceding years annual meeting. The recommendation must set forth the candidates name, age, business address and residence address; the candidates principal occupation or employment; the number of shares of our Common Stock which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Board member; and any other information relating to such candidate that would be required to be disclosed in solicitations of proxies for elections of directors, or would otherwise be required, pursuant to the proxy rules of the SEC. Such recommendation must also include: the name and address, as they appear in our stock records, of the stockholder making the recommendation; the class and number of shares of our stock which are beneficially owned by the stockholder and the date such shares were acquired by the stockholder; any material interest of the stockholder in such nomination; any other information that would be required to be provided by a proponent of a stockholder proposal pursuant to the proxy rules of the SEC; and a statement from the recommending stockholder in support of the candidate, references for the candidate and an indication of the candidates willingness to serve, if elected.</w:t>
      </w:r>
    </w:p>
    <w:p>
      <w:pPr>
        <w:pStyle w:val="TextBody"/>
        <w:jc w:val="both"/>
        <w:rPr/>
      </w:pPr>
      <w:r>
        <w:rPr/>
        <w:t>     </w:t>
      </w:r>
      <w:r>
        <w:rPr>
          <w:rFonts w:ascii="serif" w:hAnsi="serif"/>
          <w:sz w:val="20"/>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candidates that are recommended internally.</w:t>
      </w:r>
    </w:p>
    <w:p>
      <w:pPr>
        <w:pStyle w:val="TextBody"/>
        <w:jc w:val="center"/>
        <w:rPr>
          <w:rFonts w:ascii="serif" w:hAnsi="serif"/>
          <w:sz w:val="20"/>
        </w:rPr>
      </w:pPr>
      <w:r>
        <w:rPr>
          <w:rFonts w:ascii="serif" w:hAnsi="serif"/>
          <w:sz w:val="20"/>
        </w:rPr>
        <w:t>13</w:t>
      </w:r>
    </w:p>
    <w:p>
      <w:pPr>
        <w:pStyle w:val="HorizontalLine"/>
        <w:pBdr>
          <w:bottom w:val="single" w:sz="12" w:space="0" w:color="808080"/>
        </w:pBdr>
        <w:rPr/>
      </w:pPr>
      <w:r>
        <w:rPr/>
      </w:r>
    </w:p>
    <w:p>
      <w:pPr>
        <w:pStyle w:val="TextBody"/>
        <w:jc w:val="both"/>
        <w:rPr/>
      </w:pPr>
      <w:r>
        <w:rPr/>
        <w:t>     </w:t>
      </w:r>
      <w:r>
        <w:rPr>
          <w:rFonts w:ascii="serif" w:hAnsi="serif"/>
          <w:sz w:val="20"/>
        </w:rPr>
        <w:t>In evaluating candidates for director, the Board seeks directors who will best represent the long-term interests of our stockholders. The Boards view is that all Oil-Dri directors should possess the highest personal and professional ethics, integrity and values. In evaluating the suitability of the candidates, the Board takes into consideration such factors as it deems appropriate. These factors may include, among other things, issues of character, judgment, independence, age, expertise, diversity of experience, absence of conflicts of interest, length of service and other commitments. The Board evaluates such factors, among others, and considers each individual candidate in the context of the current perceived needs of the Board of Directors as a whole and of committees of the Board.</w:t>
      </w:r>
    </w:p>
    <w:p>
      <w:pPr>
        <w:pStyle w:val="TextBody"/>
        <w:jc w:val="center"/>
        <w:rPr>
          <w:rFonts w:ascii="serif" w:hAnsi="serif"/>
          <w:b/>
        </w:rPr>
      </w:pPr>
      <w:r>
        <w:rPr>
          <w:rFonts w:ascii="serif" w:hAnsi="serif"/>
          <w:b/>
        </w:rPr>
        <w:t>Communication with the Board of Directors</w:t>
      </w:r>
    </w:p>
    <w:p>
      <w:pPr>
        <w:pStyle w:val="TextBody"/>
        <w:jc w:val="both"/>
        <w:rPr/>
      </w:pPr>
      <w:r>
        <w:rPr/>
        <w:t>     </w:t>
      </w:r>
      <w:r>
        <w:rPr>
          <w:rFonts w:ascii="serif" w:hAnsi="serif"/>
          <w:sz w:val="20"/>
        </w:rPr>
        <w:t>Our annual meeting of stockholders provides an opportunity each year for stockholders to ask questions of or otherwise communicate directly with members of the Board of Directors. It has been our practice, as reflected in our Corporate Governance Guidelines, that all directors attend in person each annual meeting of stockholders. Seven of the eight incumbent members of the Board attended the 2006 annual meeting in person.</w:t>
      </w:r>
    </w:p>
    <w:p>
      <w:pPr>
        <w:pStyle w:val="TextBody"/>
        <w:jc w:val="both"/>
        <w:rPr/>
      </w:pPr>
      <w:r>
        <w:rPr/>
        <w:t>     </w:t>
      </w:r>
      <w:r>
        <w:rPr>
          <w:rFonts w:ascii="serif" w:hAnsi="serif"/>
          <w:sz w:val="20"/>
        </w:rPr>
        <w:t>In addition, any stockholder or other interested party may communicate in writing with the Board of Directors, the Audit Committee, the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w:t>
      </w:r>
    </w:p>
    <w:p>
      <w:pPr>
        <w:pStyle w:val="TextBody"/>
        <w:jc w:val="center"/>
        <w:rPr>
          <w:rFonts w:ascii="serif" w:hAnsi="serif"/>
          <w:b/>
        </w:rPr>
      </w:pPr>
      <w:r>
        <w:rPr>
          <w:rFonts w:ascii="serif" w:hAnsi="serif"/>
          <w:b/>
        </w:rPr>
        <w:t>Compensation of Directors</w:t>
      </w:r>
    </w:p>
    <w:tbl>
      <w:tblPr>
        <w:tblW w:w="12725" w:type="dxa"/>
        <w:jc w:val="left"/>
        <w:tblInd w:w="0" w:type="dxa"/>
        <w:tblCellMar>
          <w:top w:w="0" w:type="dxa"/>
          <w:left w:w="0" w:type="dxa"/>
          <w:bottom w:w="0" w:type="dxa"/>
          <w:right w:w="0" w:type="dxa"/>
        </w:tblCellMar>
      </w:tblPr>
      <w:tblGrid>
        <w:gridCol w:w="2150"/>
        <w:gridCol w:w="240"/>
        <w:gridCol w:w="304"/>
        <w:gridCol w:w="796"/>
        <w:gridCol w:w="240"/>
        <w:gridCol w:w="800"/>
        <w:gridCol w:w="240"/>
        <w:gridCol w:w="260"/>
        <w:gridCol w:w="800"/>
        <w:gridCol w:w="240"/>
        <w:gridCol w:w="1565"/>
        <w:gridCol w:w="240"/>
        <w:gridCol w:w="231"/>
        <w:gridCol w:w="1334"/>
        <w:gridCol w:w="240"/>
        <w:gridCol w:w="206"/>
        <w:gridCol w:w="1359"/>
        <w:gridCol w:w="240"/>
        <w:gridCol w:w="260"/>
        <w:gridCol w:w="980"/>
      </w:tblGrid>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304" w:type="dxa"/>
            <w:tcBorders/>
            <w:shd w:fill="auto" w:val="clear"/>
            <w:vAlign w:val="bottom"/>
          </w:tcPr>
          <w:p>
            <w:pPr>
              <w:pStyle w:val="TableContents"/>
              <w:spacing w:before="0" w:after="283"/>
              <w:jc w:val="center"/>
              <w:rPr/>
            </w:pPr>
            <w:r>
              <w:rPr/>
              <w:t> </w:t>
            </w:r>
          </w:p>
        </w:tc>
        <w:tc>
          <w:tcPr>
            <w:tcW w:w="796"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Change in</w:t>
            </w:r>
          </w:p>
        </w:tc>
        <w:tc>
          <w:tcPr>
            <w:tcW w:w="24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r>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304" w:type="dxa"/>
            <w:tcBorders/>
            <w:shd w:fill="auto" w:val="clear"/>
            <w:vAlign w:val="bottom"/>
          </w:tcPr>
          <w:p>
            <w:pPr>
              <w:pStyle w:val="TableContents"/>
              <w:spacing w:before="0" w:after="283"/>
              <w:jc w:val="center"/>
              <w:rPr/>
            </w:pPr>
            <w:r>
              <w:rPr/>
              <w:t> </w:t>
            </w:r>
          </w:p>
        </w:tc>
        <w:tc>
          <w:tcPr>
            <w:tcW w:w="796"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Pension Value</w:t>
            </w:r>
          </w:p>
        </w:tc>
        <w:tc>
          <w:tcPr>
            <w:tcW w:w="24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r>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304" w:type="dxa"/>
            <w:tcBorders/>
            <w:shd w:fill="auto" w:val="clear"/>
            <w:vAlign w:val="bottom"/>
          </w:tcPr>
          <w:p>
            <w:pPr>
              <w:pStyle w:val="TableContents"/>
              <w:spacing w:before="0" w:after="283"/>
              <w:jc w:val="center"/>
              <w:rPr/>
            </w:pPr>
            <w:r>
              <w:rPr/>
              <w:t> </w:t>
            </w:r>
          </w:p>
        </w:tc>
        <w:tc>
          <w:tcPr>
            <w:tcW w:w="796"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and</w:t>
            </w:r>
          </w:p>
        </w:tc>
        <w:tc>
          <w:tcPr>
            <w:tcW w:w="24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r>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10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Fees</w:t>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Nonqualified</w:t>
            </w:r>
          </w:p>
        </w:tc>
        <w:tc>
          <w:tcPr>
            <w:tcW w:w="24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r>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10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Earned or</w:t>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Deferred</w:t>
            </w:r>
          </w:p>
        </w:tc>
        <w:tc>
          <w:tcPr>
            <w:tcW w:w="240"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r>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10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Paid in</w:t>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06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Option</w:t>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rFonts w:ascii="serif" w:hAnsi="serif"/>
                <w:b/>
                <w:sz w:val="20"/>
              </w:rPr>
            </w:pPr>
            <w:r>
              <w:rPr>
                <w:rFonts w:ascii="serif" w:hAnsi="serif"/>
                <w:b/>
                <w:sz w:val="20"/>
              </w:rPr>
              <w:t>Non-Equity</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Compensation</w:t>
            </w:r>
          </w:p>
        </w:tc>
        <w:tc>
          <w:tcPr>
            <w:tcW w:w="240" w:type="dxa"/>
            <w:tcBorders/>
            <w:shd w:fill="auto" w:val="clear"/>
            <w:vAlign w:val="bottom"/>
          </w:tcPr>
          <w:p>
            <w:pPr>
              <w:pStyle w:val="TableContents"/>
              <w:spacing w:before="0" w:after="283"/>
              <w:jc w:val="center"/>
              <w:rPr/>
            </w:pPr>
            <w:r>
              <w:rPr/>
              <w:t> </w:t>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All other</w:t>
            </w:r>
          </w:p>
        </w:tc>
        <w:tc>
          <w:tcPr>
            <w:tcW w:w="240" w:type="dxa"/>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r>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10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Cash</w:t>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rFonts w:ascii="serif" w:hAnsi="serif"/>
                <w:b/>
                <w:sz w:val="20"/>
              </w:rPr>
            </w:pPr>
            <w:r>
              <w:rPr>
                <w:rFonts w:ascii="serif" w:hAnsi="serif"/>
                <w:b/>
                <w:sz w:val="20"/>
              </w:rPr>
              <w:t>Stock</w:t>
            </w:r>
          </w:p>
        </w:tc>
        <w:tc>
          <w:tcPr>
            <w:tcW w:w="240" w:type="dxa"/>
            <w:tcBorders/>
            <w:shd w:fill="auto" w:val="clear"/>
            <w:vAlign w:val="bottom"/>
          </w:tcPr>
          <w:p>
            <w:pPr>
              <w:pStyle w:val="TableContents"/>
              <w:spacing w:before="0" w:after="283"/>
              <w:rPr>
                <w:sz w:val="4"/>
                <w:szCs w:val="4"/>
              </w:rPr>
            </w:pPr>
            <w:r>
              <w:rPr>
                <w:sz w:val="4"/>
                <w:szCs w:val="4"/>
              </w:rPr>
            </w:r>
          </w:p>
        </w:tc>
        <w:tc>
          <w:tcPr>
            <w:tcW w:w="106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Awards</w:t>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rFonts w:ascii="serif" w:hAnsi="serif"/>
                <w:b/>
                <w:sz w:val="20"/>
              </w:rPr>
            </w:pPr>
            <w:r>
              <w:rPr>
                <w:rFonts w:ascii="serif" w:hAnsi="serif"/>
                <w:b/>
                <w:sz w:val="20"/>
              </w:rPr>
              <w:t>Incentive</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Earnings</w:t>
            </w:r>
          </w:p>
        </w:tc>
        <w:tc>
          <w:tcPr>
            <w:tcW w:w="240" w:type="dxa"/>
            <w:tcBorders/>
            <w:shd w:fill="auto" w:val="clear"/>
            <w:vAlign w:val="bottom"/>
          </w:tcPr>
          <w:p>
            <w:pPr>
              <w:pStyle w:val="TableContents"/>
              <w:spacing w:before="0" w:after="283"/>
              <w:jc w:val="center"/>
              <w:rPr/>
            </w:pPr>
            <w:r>
              <w:rPr/>
              <w:t> </w:t>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Compensation</w:t>
            </w:r>
          </w:p>
        </w:tc>
        <w:tc>
          <w:tcPr>
            <w:tcW w:w="240" w:type="dxa"/>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r>
      <w:tr>
        <w:trPr/>
        <w:tc>
          <w:tcPr>
            <w:tcW w:w="215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jc w:val="center"/>
              <w:rPr/>
            </w:pPr>
            <w:r>
              <w:rPr/>
              <w:t> </w:t>
            </w:r>
          </w:p>
        </w:tc>
        <w:tc>
          <w:tcPr>
            <w:tcW w:w="110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240" w:type="dxa"/>
            <w:tcBorders/>
            <w:shd w:fill="auto" w:val="clear"/>
            <w:vAlign w:val="bottom"/>
          </w:tcPr>
          <w:p>
            <w:pPr>
              <w:pStyle w:val="TableContents"/>
              <w:spacing w:before="0" w:after="283"/>
              <w:jc w:val="center"/>
              <w:rPr/>
            </w:pPr>
            <w:r>
              <w:rPr/>
              <w:t> </w:t>
            </w:r>
          </w:p>
        </w:tc>
        <w:tc>
          <w:tcPr>
            <w:tcW w:w="800" w:type="dxa"/>
            <w:tcBorders/>
            <w:shd w:fill="auto" w:val="clear"/>
            <w:vAlign w:val="bottom"/>
          </w:tcPr>
          <w:p>
            <w:pPr>
              <w:pStyle w:val="TableContents"/>
              <w:spacing w:before="0" w:after="283"/>
              <w:jc w:val="center"/>
              <w:rPr>
                <w:rFonts w:ascii="serif" w:hAnsi="serif"/>
                <w:b/>
                <w:sz w:val="20"/>
              </w:rPr>
            </w:pPr>
            <w:r>
              <w:rPr>
                <w:rFonts w:ascii="serif" w:hAnsi="serif"/>
                <w:b/>
                <w:sz w:val="20"/>
              </w:rPr>
              <w:t>Awards</w:t>
            </w:r>
          </w:p>
        </w:tc>
        <w:tc>
          <w:tcPr>
            <w:tcW w:w="240" w:type="dxa"/>
            <w:tcBorders/>
            <w:shd w:fill="auto" w:val="clear"/>
            <w:vAlign w:val="bottom"/>
          </w:tcPr>
          <w:p>
            <w:pPr>
              <w:pStyle w:val="TableContents"/>
              <w:spacing w:before="0" w:after="283"/>
              <w:rPr>
                <w:sz w:val="4"/>
                <w:szCs w:val="4"/>
              </w:rPr>
            </w:pPr>
            <w:r>
              <w:rPr>
                <w:sz w:val="4"/>
                <w:szCs w:val="4"/>
              </w:rPr>
            </w:r>
          </w:p>
        </w:tc>
        <w:tc>
          <w:tcPr>
            <w:tcW w:w="106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240" w:type="dxa"/>
            <w:tcBorders/>
            <w:shd w:fill="auto" w:val="clear"/>
            <w:vAlign w:val="bottom"/>
          </w:tcPr>
          <w:p>
            <w:pPr>
              <w:pStyle w:val="TableContents"/>
              <w:spacing w:before="0" w:after="283"/>
              <w:jc w:val="center"/>
              <w:rPr/>
            </w:pPr>
            <w:r>
              <w:rPr/>
              <w:t> </w:t>
            </w:r>
          </w:p>
        </w:tc>
        <w:tc>
          <w:tcPr>
            <w:tcW w:w="1565" w:type="dxa"/>
            <w:tcBorders/>
            <w:shd w:fill="auto" w:val="clear"/>
            <w:vAlign w:val="bottom"/>
          </w:tcPr>
          <w:p>
            <w:pPr>
              <w:pStyle w:val="TableContents"/>
              <w:spacing w:before="0" w:after="283"/>
              <w:jc w:val="center"/>
              <w:rPr>
                <w:rFonts w:ascii="serif" w:hAnsi="serif"/>
                <w:b/>
                <w:sz w:val="20"/>
              </w:rPr>
            </w:pPr>
            <w:r>
              <w:rPr>
                <w:rFonts w:ascii="serif" w:hAnsi="serif"/>
                <w:b/>
                <w:sz w:val="20"/>
              </w:rPr>
              <w:t>Compensation</w:t>
            </w:r>
          </w:p>
        </w:tc>
        <w:tc>
          <w:tcPr>
            <w:tcW w:w="240" w:type="dxa"/>
            <w:tcBorders/>
            <w:shd w:fill="auto" w:val="clear"/>
            <w:vAlign w:val="bottom"/>
          </w:tcPr>
          <w:p>
            <w:pPr>
              <w:pStyle w:val="TableContents"/>
              <w:spacing w:before="0" w:after="283"/>
              <w:rPr>
                <w:sz w:val="4"/>
                <w:szCs w:val="4"/>
              </w:rPr>
            </w:pPr>
            <w:r>
              <w:rPr>
                <w:sz w:val="4"/>
                <w:szCs w:val="4"/>
              </w:rPr>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240" w:type="dxa"/>
            <w:tcBorders/>
            <w:shd w:fill="auto" w:val="clear"/>
            <w:vAlign w:val="bottom"/>
          </w:tcPr>
          <w:p>
            <w:pPr>
              <w:pStyle w:val="TableContents"/>
              <w:spacing w:before="0" w:after="283"/>
              <w:jc w:val="center"/>
              <w:rPr/>
            </w:pPr>
            <w:r>
              <w:rPr/>
              <w:t> </w:t>
            </w:r>
          </w:p>
        </w:tc>
        <w:tc>
          <w:tcPr>
            <w:tcW w:w="156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240" w:type="dxa"/>
            <w:tcBorders/>
            <w:shd w:fill="auto" w:val="clear"/>
            <w:vAlign w:val="bottom"/>
          </w:tcPr>
          <w:p>
            <w:pPr>
              <w:pStyle w:val="TableContents"/>
              <w:spacing w:before="0" w:after="283"/>
              <w:jc w:val="center"/>
              <w:rPr/>
            </w:pPr>
            <w:r>
              <w:rPr/>
              <w:t> </w:t>
            </w:r>
          </w:p>
        </w:tc>
        <w:tc>
          <w:tcPr>
            <w:tcW w:w="124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Total</w:t>
            </w:r>
          </w:p>
        </w:tc>
      </w:tr>
      <w:tr>
        <w:trPr/>
        <w:tc>
          <w:tcPr>
            <w:tcW w:w="215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(2)</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00"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(3)</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565"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565"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(4)</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565"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(5)</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r>
      <w:tr>
        <w:trPr/>
        <w:tc>
          <w:tcPr>
            <w:tcW w:w="2150" w:type="dxa"/>
            <w:tcBorders/>
            <w:shd w:fill="C0C0C0" w:val="clear"/>
            <w:vAlign w:val="bottom"/>
          </w:tcPr>
          <w:p>
            <w:pPr>
              <w:pStyle w:val="TableContents"/>
              <w:spacing w:before="0" w:after="283"/>
              <w:jc w:val="left"/>
              <w:rPr>
                <w:rFonts w:ascii="serif" w:hAnsi="serif"/>
                <w:sz w:val="20"/>
              </w:rPr>
            </w:pPr>
            <w:r>
              <w:rPr>
                <w:rFonts w:ascii="serif" w:hAnsi="serif"/>
                <w:sz w:val="20"/>
              </w:rPr>
              <w:t>Richard M. Jaffee</w:t>
            </w:r>
          </w:p>
        </w:tc>
        <w:tc>
          <w:tcPr>
            <w:tcW w:w="24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right"/>
              <w:rPr/>
            </w:pPr>
            <w:r>
              <w:rPr/>
              <w:t> </w:t>
            </w:r>
          </w:p>
        </w:tc>
        <w:tc>
          <w:tcPr>
            <w:tcW w:w="79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60"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1565"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334" w:type="dxa"/>
            <w:tcBorders/>
            <w:shd w:fill="C0C0C0" w:val="clear"/>
            <w:vAlign w:val="bottom"/>
          </w:tcPr>
          <w:p>
            <w:pPr>
              <w:pStyle w:val="TableContents"/>
              <w:spacing w:before="0" w:after="283"/>
              <w:jc w:val="right"/>
              <w:rPr/>
            </w:pPr>
            <w:r>
              <w:rPr/>
              <w:t xml:space="preserve">  </w:t>
            </w:r>
            <w:r>
              <w:rPr>
                <w:rFonts w:ascii="serif" w:hAnsi="serif"/>
                <w:sz w:val="20"/>
              </w:rPr>
              <w:t>15,818</w:t>
            </w:r>
          </w:p>
        </w:tc>
        <w:tc>
          <w:tcPr>
            <w:tcW w:w="240" w:type="dxa"/>
            <w:tcBorders/>
            <w:shd w:fill="C0C0C0" w:val="clear"/>
            <w:vAlign w:val="bottom"/>
          </w:tcPr>
          <w:p>
            <w:pPr>
              <w:pStyle w:val="TableContents"/>
              <w:spacing w:before="0" w:after="283"/>
              <w:jc w:val="left"/>
              <w:rPr/>
            </w:pPr>
            <w:r>
              <w:rPr/>
              <w:t> </w:t>
            </w:r>
          </w:p>
        </w:tc>
        <w:tc>
          <w:tcPr>
            <w:tcW w:w="20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359" w:type="dxa"/>
            <w:tcBorders/>
            <w:shd w:fill="C0C0C0" w:val="clear"/>
            <w:vAlign w:val="bottom"/>
          </w:tcPr>
          <w:p>
            <w:pPr>
              <w:pStyle w:val="TableContents"/>
              <w:spacing w:before="0" w:after="283"/>
              <w:jc w:val="right"/>
              <w:rPr/>
            </w:pPr>
            <w:r>
              <w:rPr/>
              <w:t>  </w:t>
            </w:r>
            <w:r>
              <w:rPr>
                <w:rFonts w:ascii="serif" w:hAnsi="serif"/>
                <w:sz w:val="20"/>
              </w:rPr>
              <w:t>185,000</w:t>
            </w:r>
          </w:p>
        </w:tc>
        <w:tc>
          <w:tcPr>
            <w:tcW w:w="240"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80" w:type="dxa"/>
            <w:tcBorders/>
            <w:shd w:fill="C0C0C0" w:val="clear"/>
            <w:vAlign w:val="bottom"/>
          </w:tcPr>
          <w:p>
            <w:pPr>
              <w:pStyle w:val="TableContents"/>
              <w:spacing w:before="0" w:after="283"/>
              <w:jc w:val="right"/>
              <w:rPr/>
            </w:pPr>
            <w:r>
              <w:rPr/>
              <w:t xml:space="preserve">  </w:t>
            </w:r>
            <w:r>
              <w:rPr>
                <w:rFonts w:ascii="serif" w:hAnsi="serif"/>
                <w:sz w:val="20"/>
              </w:rPr>
              <w:t>200,818</w:t>
            </w:r>
            <w:r>
              <w:rPr/>
              <w:t> </w:t>
            </w:r>
          </w:p>
        </w:tc>
      </w:tr>
      <w:tr>
        <w:trPr/>
        <w:tc>
          <w:tcPr>
            <w:tcW w:w="2150" w:type="dxa"/>
            <w:tcBorders/>
            <w:shd w:fill="auto" w:val="clear"/>
            <w:vAlign w:val="bottom"/>
          </w:tcPr>
          <w:p>
            <w:pPr>
              <w:pStyle w:val="TableContents"/>
              <w:spacing w:before="0" w:after="283"/>
              <w:jc w:val="left"/>
              <w:rPr>
                <w:rFonts w:ascii="serif" w:hAnsi="serif"/>
                <w:sz w:val="20"/>
              </w:rPr>
            </w:pPr>
            <w:r>
              <w:rPr>
                <w:rFonts w:ascii="serif" w:hAnsi="serif"/>
                <w:sz w:val="20"/>
              </w:rPr>
              <w:t>Daniel S. Jaffee</w:t>
            </w:r>
          </w:p>
        </w:tc>
        <w:tc>
          <w:tcPr>
            <w:tcW w:w="24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right"/>
              <w:rPr/>
            </w:pPr>
            <w:r>
              <w:rPr/>
              <w:t> </w:t>
            </w:r>
          </w:p>
        </w:tc>
        <w:tc>
          <w:tcPr>
            <w:tcW w:w="79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1565"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jc w:val="right"/>
              <w:rPr/>
            </w:pPr>
            <w:r>
              <w:rPr/>
              <w:t> </w:t>
            </w:r>
          </w:p>
        </w:tc>
        <w:tc>
          <w:tcPr>
            <w:tcW w:w="1334"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06" w:type="dxa"/>
            <w:tcBorders/>
            <w:shd w:fill="auto" w:val="clear"/>
            <w:vAlign w:val="bottom"/>
          </w:tcPr>
          <w:p>
            <w:pPr>
              <w:pStyle w:val="TableContents"/>
              <w:spacing w:before="0" w:after="283"/>
              <w:jc w:val="right"/>
              <w:rPr/>
            </w:pPr>
            <w:r>
              <w:rPr/>
              <w:t> </w:t>
            </w:r>
          </w:p>
        </w:tc>
        <w:tc>
          <w:tcPr>
            <w:tcW w:w="135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right"/>
              <w:rPr/>
            </w:pPr>
            <w:r>
              <w:rPr/>
              <w:t> </w:t>
            </w:r>
          </w:p>
        </w:tc>
        <w:tc>
          <w:tcPr>
            <w:tcW w:w="980" w:type="dxa"/>
            <w:tcBorders/>
            <w:shd w:fill="auto" w:val="clear"/>
            <w:vAlign w:val="bottom"/>
          </w:tcPr>
          <w:p>
            <w:pPr>
              <w:pStyle w:val="TableContents"/>
              <w:spacing w:before="0" w:after="283"/>
              <w:jc w:val="right"/>
              <w:rPr/>
            </w:pPr>
            <w:r>
              <w:rPr>
                <w:rFonts w:ascii="serif" w:hAnsi="serif"/>
                <w:sz w:val="20"/>
              </w:rPr>
              <w:t>--</w:t>
            </w:r>
            <w:r>
              <w:rPr/>
              <w:t> </w:t>
            </w:r>
          </w:p>
        </w:tc>
      </w:tr>
      <w:tr>
        <w:trPr/>
        <w:tc>
          <w:tcPr>
            <w:tcW w:w="2150" w:type="dxa"/>
            <w:tcBorders/>
            <w:shd w:fill="C0C0C0" w:val="clear"/>
            <w:vAlign w:val="bottom"/>
          </w:tcPr>
          <w:p>
            <w:pPr>
              <w:pStyle w:val="TableContents"/>
              <w:spacing w:before="0" w:after="283"/>
              <w:jc w:val="left"/>
              <w:rPr>
                <w:rFonts w:ascii="serif" w:hAnsi="serif"/>
                <w:sz w:val="20"/>
              </w:rPr>
            </w:pPr>
            <w:r>
              <w:rPr>
                <w:rFonts w:ascii="serif" w:hAnsi="serif"/>
                <w:sz w:val="20"/>
              </w:rPr>
              <w:t>J. Steven Cole</w:t>
            </w:r>
          </w:p>
        </w:tc>
        <w:tc>
          <w:tcPr>
            <w:tcW w:w="24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96" w:type="dxa"/>
            <w:tcBorders/>
            <w:shd w:fill="C0C0C0" w:val="clear"/>
            <w:vAlign w:val="bottom"/>
          </w:tcPr>
          <w:p>
            <w:pPr>
              <w:pStyle w:val="TableContents"/>
              <w:spacing w:before="0" w:after="283"/>
              <w:jc w:val="right"/>
              <w:rPr>
                <w:rFonts w:ascii="serif" w:hAnsi="serif"/>
                <w:sz w:val="20"/>
              </w:rPr>
            </w:pPr>
            <w:r>
              <w:rPr>
                <w:rFonts w:ascii="serif" w:hAnsi="serif"/>
                <w:sz w:val="20"/>
              </w:rPr>
              <w:t>42,500</w:t>
            </w:r>
          </w:p>
        </w:tc>
        <w:tc>
          <w:tcPr>
            <w:tcW w:w="240"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60"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1565"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33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06" w:type="dxa"/>
            <w:tcBorders/>
            <w:shd w:fill="C0C0C0" w:val="clear"/>
            <w:vAlign w:val="bottom"/>
          </w:tcPr>
          <w:p>
            <w:pPr>
              <w:pStyle w:val="TableContents"/>
              <w:spacing w:before="0" w:after="283"/>
              <w:rPr>
                <w:sz w:val="4"/>
                <w:szCs w:val="4"/>
              </w:rPr>
            </w:pPr>
            <w:r>
              <w:rPr>
                <w:sz w:val="4"/>
                <w:szCs w:val="4"/>
              </w:rPr>
            </w:r>
          </w:p>
        </w:tc>
        <w:tc>
          <w:tcPr>
            <w:tcW w:w="135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80" w:type="dxa"/>
            <w:tcBorders/>
            <w:shd w:fill="C0C0C0" w:val="clear"/>
            <w:vAlign w:val="bottom"/>
          </w:tcPr>
          <w:p>
            <w:pPr>
              <w:pStyle w:val="TableContents"/>
              <w:spacing w:before="0" w:after="283"/>
              <w:jc w:val="right"/>
              <w:rPr/>
            </w:pPr>
            <w:r>
              <w:rPr>
                <w:rFonts w:ascii="serif" w:hAnsi="serif"/>
                <w:sz w:val="20"/>
              </w:rPr>
              <w:t>42,500</w:t>
            </w:r>
            <w:r>
              <w:rPr/>
              <w:t> </w:t>
            </w:r>
          </w:p>
        </w:tc>
      </w:tr>
      <w:tr>
        <w:trPr/>
        <w:tc>
          <w:tcPr>
            <w:tcW w:w="2150" w:type="dxa"/>
            <w:tcBorders/>
            <w:shd w:fill="auto" w:val="clear"/>
            <w:vAlign w:val="bottom"/>
          </w:tcPr>
          <w:p>
            <w:pPr>
              <w:pStyle w:val="TableContents"/>
              <w:spacing w:before="0" w:after="283"/>
              <w:jc w:val="left"/>
              <w:rPr>
                <w:rFonts w:ascii="serif" w:hAnsi="serif"/>
                <w:sz w:val="20"/>
              </w:rPr>
            </w:pPr>
            <w:r>
              <w:rPr>
                <w:rFonts w:ascii="serif" w:hAnsi="serif"/>
                <w:sz w:val="20"/>
              </w:rPr>
              <w:t>Arnold W. Donald</w:t>
            </w:r>
          </w:p>
        </w:tc>
        <w:tc>
          <w:tcPr>
            <w:tcW w:w="24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96" w:type="dxa"/>
            <w:tcBorders/>
            <w:shd w:fill="auto" w:val="clear"/>
            <w:vAlign w:val="bottom"/>
          </w:tcPr>
          <w:p>
            <w:pPr>
              <w:pStyle w:val="TableContents"/>
              <w:spacing w:before="0" w:after="283"/>
              <w:jc w:val="right"/>
              <w:rPr>
                <w:rFonts w:ascii="serif" w:hAnsi="serif"/>
                <w:sz w:val="20"/>
              </w:rPr>
            </w:pPr>
            <w:r>
              <w:rPr>
                <w:rFonts w:ascii="serif" w:hAnsi="serif"/>
                <w:sz w:val="20"/>
              </w:rPr>
              <w:t>31,000</w:t>
            </w:r>
          </w:p>
        </w:tc>
        <w:tc>
          <w:tcPr>
            <w:tcW w:w="2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right"/>
              <w:rPr/>
            </w:pPr>
            <w:r>
              <w:rPr/>
              <w:t> </w:t>
            </w:r>
          </w:p>
        </w:tc>
        <w:tc>
          <w:tcPr>
            <w:tcW w:w="80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1565"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80" w:type="dxa"/>
            <w:tcBorders/>
            <w:shd w:fill="auto" w:val="clear"/>
            <w:vAlign w:val="bottom"/>
          </w:tcPr>
          <w:p>
            <w:pPr>
              <w:pStyle w:val="TableContents"/>
              <w:spacing w:before="0" w:after="283"/>
              <w:jc w:val="right"/>
              <w:rPr/>
            </w:pPr>
            <w:r>
              <w:rPr>
                <w:rFonts w:ascii="serif" w:hAnsi="serif"/>
                <w:sz w:val="20"/>
              </w:rPr>
              <w:t>31,000</w:t>
            </w:r>
            <w:r>
              <w:rPr/>
              <w:t> </w:t>
            </w:r>
          </w:p>
        </w:tc>
      </w:tr>
      <w:tr>
        <w:trPr/>
        <w:tc>
          <w:tcPr>
            <w:tcW w:w="2150" w:type="dxa"/>
            <w:tcBorders/>
            <w:shd w:fill="C0C0C0" w:val="clear"/>
            <w:vAlign w:val="bottom"/>
          </w:tcPr>
          <w:p>
            <w:pPr>
              <w:pStyle w:val="TableContents"/>
              <w:spacing w:before="0" w:after="283"/>
              <w:jc w:val="left"/>
              <w:rPr>
                <w:rFonts w:ascii="serif" w:hAnsi="serif"/>
                <w:sz w:val="20"/>
              </w:rPr>
            </w:pPr>
            <w:r>
              <w:rPr>
                <w:rFonts w:ascii="serif" w:hAnsi="serif"/>
                <w:sz w:val="20"/>
              </w:rPr>
              <w:t>Joseph C. Miller</w:t>
            </w:r>
          </w:p>
        </w:tc>
        <w:tc>
          <w:tcPr>
            <w:tcW w:w="24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96" w:type="dxa"/>
            <w:tcBorders/>
            <w:shd w:fill="C0C0C0" w:val="clear"/>
            <w:vAlign w:val="bottom"/>
          </w:tcPr>
          <w:p>
            <w:pPr>
              <w:pStyle w:val="TableContents"/>
              <w:spacing w:before="0" w:after="283"/>
              <w:jc w:val="right"/>
              <w:rPr>
                <w:rFonts w:ascii="serif" w:hAnsi="serif"/>
                <w:sz w:val="20"/>
              </w:rPr>
            </w:pPr>
            <w:r>
              <w:rPr>
                <w:rFonts w:ascii="serif" w:hAnsi="serif"/>
                <w:sz w:val="20"/>
              </w:rPr>
              <w:t>32,500</w:t>
            </w:r>
          </w:p>
        </w:tc>
        <w:tc>
          <w:tcPr>
            <w:tcW w:w="240"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60"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1565"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33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06" w:type="dxa"/>
            <w:tcBorders/>
            <w:shd w:fill="C0C0C0" w:val="clear"/>
            <w:vAlign w:val="bottom"/>
          </w:tcPr>
          <w:p>
            <w:pPr>
              <w:pStyle w:val="TableContents"/>
              <w:spacing w:before="0" w:after="283"/>
              <w:rPr>
                <w:sz w:val="4"/>
                <w:szCs w:val="4"/>
              </w:rPr>
            </w:pPr>
            <w:r>
              <w:rPr>
                <w:sz w:val="4"/>
                <w:szCs w:val="4"/>
              </w:rPr>
            </w:r>
          </w:p>
        </w:tc>
        <w:tc>
          <w:tcPr>
            <w:tcW w:w="135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80" w:type="dxa"/>
            <w:tcBorders/>
            <w:shd w:fill="C0C0C0" w:val="clear"/>
            <w:vAlign w:val="bottom"/>
          </w:tcPr>
          <w:p>
            <w:pPr>
              <w:pStyle w:val="TableContents"/>
              <w:spacing w:before="0" w:after="283"/>
              <w:jc w:val="right"/>
              <w:rPr/>
            </w:pPr>
            <w:r>
              <w:rPr>
                <w:rFonts w:ascii="serif" w:hAnsi="serif"/>
                <w:sz w:val="20"/>
              </w:rPr>
              <w:t>32,500</w:t>
            </w:r>
            <w:r>
              <w:rPr/>
              <w:t> </w:t>
            </w:r>
          </w:p>
        </w:tc>
      </w:tr>
      <w:tr>
        <w:trPr/>
        <w:tc>
          <w:tcPr>
            <w:tcW w:w="2150" w:type="dxa"/>
            <w:tcBorders/>
            <w:shd w:fill="auto" w:val="clear"/>
            <w:vAlign w:val="bottom"/>
          </w:tcPr>
          <w:p>
            <w:pPr>
              <w:pStyle w:val="TableContents"/>
              <w:spacing w:before="0" w:after="283"/>
              <w:jc w:val="left"/>
              <w:rPr>
                <w:rFonts w:ascii="serif" w:hAnsi="serif"/>
                <w:sz w:val="20"/>
              </w:rPr>
            </w:pPr>
            <w:r>
              <w:rPr>
                <w:rFonts w:ascii="serif" w:hAnsi="serif"/>
                <w:sz w:val="20"/>
              </w:rPr>
              <w:t>Michael A. Nemeroff</w:t>
            </w:r>
          </w:p>
        </w:tc>
        <w:tc>
          <w:tcPr>
            <w:tcW w:w="24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96" w:type="dxa"/>
            <w:tcBorders/>
            <w:shd w:fill="auto" w:val="clear"/>
            <w:vAlign w:val="bottom"/>
          </w:tcPr>
          <w:p>
            <w:pPr>
              <w:pStyle w:val="TableContents"/>
              <w:spacing w:before="0" w:after="283"/>
              <w:jc w:val="right"/>
              <w:rPr>
                <w:rFonts w:ascii="serif" w:hAnsi="serif"/>
                <w:sz w:val="20"/>
              </w:rPr>
            </w:pPr>
            <w:r>
              <w:rPr>
                <w:rFonts w:ascii="serif" w:hAnsi="serif"/>
                <w:sz w:val="20"/>
              </w:rPr>
              <w:t>30,000</w:t>
            </w:r>
          </w:p>
        </w:tc>
        <w:tc>
          <w:tcPr>
            <w:tcW w:w="2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00" w:type="dxa"/>
            <w:tcBorders/>
            <w:shd w:fill="auto" w:val="clear"/>
            <w:vAlign w:val="bottom"/>
          </w:tcPr>
          <w:p>
            <w:pPr>
              <w:pStyle w:val="TableContents"/>
              <w:spacing w:before="0" w:after="283"/>
              <w:jc w:val="right"/>
              <w:rPr/>
            </w:pPr>
            <w:r>
              <w:rPr/>
              <w:t xml:space="preserve">  </w:t>
            </w:r>
            <w:r>
              <w:rPr>
                <w:rFonts w:ascii="serif" w:hAnsi="serif"/>
                <w:sz w:val="20"/>
              </w:rPr>
              <w:t>36,809</w:t>
            </w:r>
          </w:p>
        </w:tc>
        <w:tc>
          <w:tcPr>
            <w:tcW w:w="240" w:type="dxa"/>
            <w:tcBorders/>
            <w:shd w:fill="auto" w:val="clear"/>
            <w:vAlign w:val="bottom"/>
          </w:tcPr>
          <w:p>
            <w:pPr>
              <w:pStyle w:val="TableContents"/>
              <w:spacing w:before="0" w:after="283"/>
              <w:jc w:val="left"/>
              <w:rPr/>
            </w:pPr>
            <w:r>
              <w:rPr/>
              <w:t> </w:t>
            </w:r>
          </w:p>
        </w:tc>
        <w:tc>
          <w:tcPr>
            <w:tcW w:w="1565"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80" w:type="dxa"/>
            <w:tcBorders/>
            <w:shd w:fill="auto" w:val="clear"/>
            <w:vAlign w:val="bottom"/>
          </w:tcPr>
          <w:p>
            <w:pPr>
              <w:pStyle w:val="TableContents"/>
              <w:spacing w:before="0" w:after="283"/>
              <w:jc w:val="right"/>
              <w:rPr/>
            </w:pPr>
            <w:r>
              <w:rPr>
                <w:rFonts w:ascii="serif" w:hAnsi="serif"/>
                <w:sz w:val="20"/>
              </w:rPr>
              <w:t>66,809</w:t>
            </w:r>
            <w:r>
              <w:rPr/>
              <w:t> </w:t>
            </w:r>
          </w:p>
        </w:tc>
      </w:tr>
      <w:tr>
        <w:trPr/>
        <w:tc>
          <w:tcPr>
            <w:tcW w:w="2150" w:type="dxa"/>
            <w:tcBorders/>
            <w:shd w:fill="C0C0C0" w:val="clear"/>
            <w:vAlign w:val="bottom"/>
          </w:tcPr>
          <w:p>
            <w:pPr>
              <w:pStyle w:val="TableContents"/>
              <w:spacing w:before="0" w:after="283"/>
              <w:jc w:val="left"/>
              <w:rPr>
                <w:rFonts w:ascii="serif" w:hAnsi="serif"/>
                <w:sz w:val="20"/>
              </w:rPr>
            </w:pPr>
            <w:r>
              <w:rPr>
                <w:rFonts w:ascii="serif" w:hAnsi="serif"/>
                <w:sz w:val="20"/>
              </w:rPr>
              <w:t>Allan H. Selig</w:t>
            </w:r>
          </w:p>
        </w:tc>
        <w:tc>
          <w:tcPr>
            <w:tcW w:w="24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96" w:type="dxa"/>
            <w:tcBorders/>
            <w:shd w:fill="C0C0C0" w:val="clear"/>
            <w:vAlign w:val="bottom"/>
          </w:tcPr>
          <w:p>
            <w:pPr>
              <w:pStyle w:val="TableContents"/>
              <w:spacing w:before="0" w:after="283"/>
              <w:jc w:val="right"/>
              <w:rPr>
                <w:rFonts w:ascii="serif" w:hAnsi="serif"/>
                <w:sz w:val="20"/>
              </w:rPr>
            </w:pPr>
            <w:r>
              <w:rPr>
                <w:rFonts w:ascii="serif" w:hAnsi="serif"/>
                <w:sz w:val="20"/>
              </w:rPr>
              <w:t>35,500</w:t>
            </w:r>
          </w:p>
        </w:tc>
        <w:tc>
          <w:tcPr>
            <w:tcW w:w="240"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60"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1565"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33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06" w:type="dxa"/>
            <w:tcBorders/>
            <w:shd w:fill="C0C0C0" w:val="clear"/>
            <w:vAlign w:val="bottom"/>
          </w:tcPr>
          <w:p>
            <w:pPr>
              <w:pStyle w:val="TableContents"/>
              <w:spacing w:before="0" w:after="283"/>
              <w:rPr>
                <w:sz w:val="4"/>
                <w:szCs w:val="4"/>
              </w:rPr>
            </w:pPr>
            <w:r>
              <w:rPr>
                <w:sz w:val="4"/>
                <w:szCs w:val="4"/>
              </w:rPr>
            </w:r>
          </w:p>
        </w:tc>
        <w:tc>
          <w:tcPr>
            <w:tcW w:w="135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80" w:type="dxa"/>
            <w:tcBorders/>
            <w:shd w:fill="C0C0C0" w:val="clear"/>
            <w:vAlign w:val="bottom"/>
          </w:tcPr>
          <w:p>
            <w:pPr>
              <w:pStyle w:val="TableContents"/>
              <w:spacing w:before="0" w:after="283"/>
              <w:jc w:val="right"/>
              <w:rPr/>
            </w:pPr>
            <w:r>
              <w:rPr>
                <w:rFonts w:ascii="serif" w:hAnsi="serif"/>
                <w:sz w:val="20"/>
              </w:rPr>
              <w:t>35,500</w:t>
            </w:r>
            <w:r>
              <w:rPr/>
              <w:t> </w:t>
            </w:r>
          </w:p>
        </w:tc>
      </w:tr>
      <w:tr>
        <w:trPr/>
        <w:tc>
          <w:tcPr>
            <w:tcW w:w="2150" w:type="dxa"/>
            <w:tcBorders/>
            <w:shd w:fill="auto" w:val="clear"/>
            <w:vAlign w:val="bottom"/>
          </w:tcPr>
          <w:p>
            <w:pPr>
              <w:pStyle w:val="TableContents"/>
              <w:spacing w:before="0" w:after="283"/>
              <w:jc w:val="left"/>
              <w:rPr>
                <w:rFonts w:ascii="serif" w:hAnsi="serif"/>
                <w:sz w:val="20"/>
              </w:rPr>
            </w:pPr>
            <w:r>
              <w:rPr>
                <w:rFonts w:ascii="serif" w:hAnsi="serif"/>
                <w:sz w:val="20"/>
              </w:rPr>
              <w:t>Paul E. Suckow</w:t>
            </w:r>
          </w:p>
        </w:tc>
        <w:tc>
          <w:tcPr>
            <w:tcW w:w="240"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96" w:type="dxa"/>
            <w:tcBorders/>
            <w:shd w:fill="auto" w:val="clear"/>
            <w:vAlign w:val="bottom"/>
          </w:tcPr>
          <w:p>
            <w:pPr>
              <w:pStyle w:val="TableContents"/>
              <w:spacing w:before="0" w:after="283"/>
              <w:jc w:val="right"/>
              <w:rPr>
                <w:rFonts w:ascii="serif" w:hAnsi="serif"/>
                <w:sz w:val="20"/>
              </w:rPr>
            </w:pPr>
            <w:r>
              <w:rPr>
                <w:rFonts w:ascii="serif" w:hAnsi="serif"/>
                <w:sz w:val="20"/>
              </w:rPr>
              <w:t>34,000</w:t>
            </w:r>
          </w:p>
        </w:tc>
        <w:tc>
          <w:tcPr>
            <w:tcW w:w="2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jc w:val="right"/>
              <w:rPr/>
            </w:pPr>
            <w:r>
              <w:rPr/>
              <w:t xml:space="preserve">  </w:t>
            </w:r>
            <w:r>
              <w:rPr>
                <w:rFonts w:ascii="serif" w:hAnsi="serif"/>
                <w:sz w:val="20"/>
              </w:rPr>
              <w:t>$</w:t>
            </w:r>
          </w:p>
        </w:tc>
        <w:tc>
          <w:tcPr>
            <w:tcW w:w="800" w:type="dxa"/>
            <w:tcBorders/>
            <w:shd w:fill="auto" w:val="clear"/>
            <w:vAlign w:val="bottom"/>
          </w:tcPr>
          <w:p>
            <w:pPr>
              <w:pStyle w:val="TableContents"/>
              <w:spacing w:before="0" w:after="283"/>
              <w:jc w:val="right"/>
              <w:rPr>
                <w:rFonts w:ascii="serif" w:hAnsi="serif"/>
                <w:sz w:val="20"/>
              </w:rPr>
            </w:pPr>
            <w:r>
              <w:rPr>
                <w:rFonts w:ascii="serif" w:hAnsi="serif"/>
                <w:sz w:val="20"/>
              </w:rPr>
              <w:t>36,809</w:t>
            </w:r>
          </w:p>
        </w:tc>
        <w:tc>
          <w:tcPr>
            <w:tcW w:w="240" w:type="dxa"/>
            <w:tcBorders/>
            <w:shd w:fill="auto" w:val="clear"/>
            <w:vAlign w:val="bottom"/>
          </w:tcPr>
          <w:p>
            <w:pPr>
              <w:pStyle w:val="TableContents"/>
              <w:spacing w:before="0" w:after="283"/>
              <w:jc w:val="left"/>
              <w:rPr/>
            </w:pPr>
            <w:r>
              <w:rPr/>
              <w:t> </w:t>
            </w:r>
          </w:p>
        </w:tc>
        <w:tc>
          <w:tcPr>
            <w:tcW w:w="1565" w:type="dxa"/>
            <w:tcBorders/>
            <w:shd w:fill="auto" w:val="clear"/>
            <w:vAlign w:val="bottom"/>
          </w:tcPr>
          <w:p>
            <w:pPr>
              <w:pStyle w:val="TableContents"/>
              <w:spacing w:before="0" w:after="283"/>
              <w:jc w:val="right"/>
              <w:rPr/>
            </w:pPr>
            <w:r>
              <w:rPr>
                <w:rFonts w:ascii="serif" w:hAnsi="serif"/>
                <w:sz w:val="20"/>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334"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80" w:type="dxa"/>
            <w:tcBorders/>
            <w:shd w:fill="auto" w:val="clear"/>
            <w:vAlign w:val="bottom"/>
          </w:tcPr>
          <w:p>
            <w:pPr>
              <w:pStyle w:val="TableContents"/>
              <w:spacing w:before="0" w:after="283"/>
              <w:jc w:val="right"/>
              <w:rPr/>
            </w:pPr>
            <w:r>
              <w:rPr>
                <w:rFonts w:ascii="serif" w:hAnsi="serif"/>
                <w:sz w:val="20"/>
              </w:rPr>
              <w:t>70,809</w:t>
            </w:r>
            <w:r>
              <w:rPr/>
              <w:t> </w:t>
            </w:r>
          </w:p>
        </w:tc>
      </w:tr>
      <w:tr>
        <w:trPr/>
        <w:tc>
          <w:tcPr>
            <w:tcW w:w="2150" w:type="dxa"/>
            <w:tcBorders/>
            <w:shd w:fill="C0C0C0" w:val="clear"/>
            <w:vAlign w:val="bottom"/>
          </w:tcPr>
          <w:p>
            <w:pPr>
              <w:pStyle w:val="TableContents"/>
              <w:spacing w:before="0" w:after="283"/>
              <w:jc w:val="left"/>
              <w:rPr/>
            </w:pPr>
            <w:r>
              <w:rPr>
                <w:rFonts w:ascii="serif" w:hAnsi="serif"/>
                <w:sz w:val="20"/>
              </w:rPr>
              <w:t>Ronald B. Gordon (1)</w:t>
            </w:r>
            <w:r>
              <w:rPr/>
              <w:t> </w:t>
            </w:r>
          </w:p>
        </w:tc>
        <w:tc>
          <w:tcPr>
            <w:tcW w:w="240" w:type="dxa"/>
            <w:tcBorders/>
            <w:shd w:fill="C0C0C0" w:val="clear"/>
            <w:vAlign w:val="bottom"/>
          </w:tcPr>
          <w:p>
            <w:pPr>
              <w:pStyle w:val="TableContents"/>
              <w:spacing w:before="0" w:after="283"/>
              <w:jc w:val="left"/>
              <w:rPr/>
            </w:pPr>
            <w:r>
              <w:rPr/>
              <w:t> </w:t>
            </w:r>
          </w:p>
        </w:tc>
        <w:tc>
          <w:tcPr>
            <w:tcW w:w="304" w:type="dxa"/>
            <w:tcBorders/>
            <w:shd w:fill="C0C0C0" w:val="clear"/>
            <w:vAlign w:val="bottom"/>
          </w:tcPr>
          <w:p>
            <w:pPr>
              <w:pStyle w:val="TableContents"/>
              <w:spacing w:before="0" w:after="283"/>
              <w:jc w:val="right"/>
              <w:rPr/>
            </w:pPr>
            <w:r>
              <w:rPr/>
              <w:t xml:space="preserve">  </w:t>
            </w:r>
            <w:r>
              <w:rPr>
                <w:rFonts w:ascii="serif" w:hAnsi="serif"/>
                <w:sz w:val="20"/>
              </w:rPr>
              <w:t>$</w:t>
            </w:r>
          </w:p>
        </w:tc>
        <w:tc>
          <w:tcPr>
            <w:tcW w:w="796" w:type="dxa"/>
            <w:tcBorders/>
            <w:shd w:fill="C0C0C0" w:val="clear"/>
            <w:vAlign w:val="bottom"/>
          </w:tcPr>
          <w:p>
            <w:pPr>
              <w:pStyle w:val="TableContents"/>
              <w:spacing w:before="0" w:after="283"/>
              <w:jc w:val="right"/>
              <w:rPr>
                <w:rFonts w:ascii="serif" w:hAnsi="serif"/>
                <w:sz w:val="20"/>
              </w:rPr>
            </w:pPr>
            <w:r>
              <w:rPr>
                <w:rFonts w:ascii="serif" w:hAnsi="serif"/>
                <w:sz w:val="20"/>
              </w:rPr>
              <w:t>5,000</w:t>
            </w:r>
          </w:p>
        </w:tc>
        <w:tc>
          <w:tcPr>
            <w:tcW w:w="240" w:type="dxa"/>
            <w:tcBorders/>
            <w:shd w:fill="C0C0C0" w:val="clear"/>
            <w:vAlign w:val="bottom"/>
          </w:tcPr>
          <w:p>
            <w:pPr>
              <w:pStyle w:val="TableContents"/>
              <w:spacing w:before="0" w:after="283"/>
              <w:jc w:val="left"/>
              <w:rPr/>
            </w:pPr>
            <w:r>
              <w:rPr/>
              <w:t> </w:t>
            </w:r>
          </w:p>
        </w:tc>
        <w:tc>
          <w:tcPr>
            <w:tcW w:w="800"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60" w:type="dxa"/>
            <w:tcBorders/>
            <w:shd w:fill="C0C0C0" w:val="clear"/>
            <w:vAlign w:val="bottom"/>
          </w:tcPr>
          <w:p>
            <w:pPr>
              <w:pStyle w:val="TableContents"/>
              <w:spacing w:before="0" w:after="283"/>
              <w:jc w:val="right"/>
              <w:rPr/>
            </w:pPr>
            <w:r>
              <w:rPr/>
              <w:t> </w:t>
            </w:r>
          </w:p>
        </w:tc>
        <w:tc>
          <w:tcPr>
            <w:tcW w:w="80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1565" w:type="dxa"/>
            <w:tcBorders/>
            <w:shd w:fill="C0C0C0" w:val="clear"/>
            <w:vAlign w:val="bottom"/>
          </w:tcPr>
          <w:p>
            <w:pPr>
              <w:pStyle w:val="TableContents"/>
              <w:spacing w:before="0" w:after="283"/>
              <w:jc w:val="right"/>
              <w:rPr/>
            </w:pPr>
            <w:r>
              <w:rPr>
                <w:rFonts w:ascii="serif" w:hAnsi="serif"/>
                <w:sz w:val="20"/>
              </w:rPr>
              <w:t>--</w:t>
            </w: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231" w:type="dxa"/>
            <w:tcBorders/>
            <w:shd w:fill="C0C0C0" w:val="clear"/>
            <w:vAlign w:val="bottom"/>
          </w:tcPr>
          <w:p>
            <w:pPr>
              <w:pStyle w:val="TableContents"/>
              <w:spacing w:before="0" w:after="283"/>
              <w:rPr>
                <w:sz w:val="4"/>
                <w:szCs w:val="4"/>
              </w:rPr>
            </w:pPr>
            <w:r>
              <w:rPr>
                <w:sz w:val="4"/>
                <w:szCs w:val="4"/>
              </w:rPr>
            </w:r>
          </w:p>
        </w:tc>
        <w:tc>
          <w:tcPr>
            <w:tcW w:w="133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06" w:type="dxa"/>
            <w:tcBorders/>
            <w:shd w:fill="C0C0C0" w:val="clear"/>
            <w:vAlign w:val="bottom"/>
          </w:tcPr>
          <w:p>
            <w:pPr>
              <w:pStyle w:val="TableContents"/>
              <w:spacing w:before="0" w:after="283"/>
              <w:rPr>
                <w:sz w:val="4"/>
                <w:szCs w:val="4"/>
              </w:rPr>
            </w:pPr>
            <w:r>
              <w:rPr>
                <w:sz w:val="4"/>
                <w:szCs w:val="4"/>
              </w:rPr>
            </w:r>
          </w:p>
        </w:tc>
        <w:tc>
          <w:tcPr>
            <w:tcW w:w="135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260" w:type="dxa"/>
            <w:tcBorders/>
            <w:shd w:fill="C0C0C0" w:val="clear"/>
            <w:vAlign w:val="bottom"/>
          </w:tcPr>
          <w:p>
            <w:pPr>
              <w:pStyle w:val="TableContents"/>
              <w:spacing w:before="0" w:after="283"/>
              <w:jc w:val="right"/>
              <w:rPr/>
            </w:pPr>
            <w:r>
              <w:rPr/>
              <w:t xml:space="preserve">  </w:t>
            </w:r>
            <w:r>
              <w:rPr>
                <w:rFonts w:ascii="serif" w:hAnsi="serif"/>
                <w:sz w:val="20"/>
              </w:rPr>
              <w:t>$</w:t>
            </w:r>
          </w:p>
        </w:tc>
        <w:tc>
          <w:tcPr>
            <w:tcW w:w="980" w:type="dxa"/>
            <w:tcBorders/>
            <w:shd w:fill="C0C0C0" w:val="clear"/>
            <w:vAlign w:val="bottom"/>
          </w:tcPr>
          <w:p>
            <w:pPr>
              <w:pStyle w:val="TableContents"/>
              <w:spacing w:before="0" w:after="283"/>
              <w:jc w:val="right"/>
              <w:rPr/>
            </w:pPr>
            <w:r>
              <w:rPr>
                <w:rFonts w:ascii="serif" w:hAnsi="serif"/>
                <w:sz w:val="20"/>
              </w:rPr>
              <w:t>5,000</w:t>
            </w: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43"/>
        <w:gridCol w:w="306"/>
        <w:gridCol w:w="9656"/>
      </w:tblGrid>
      <w:tr>
        <w:trPr/>
        <w:tc>
          <w:tcPr>
            <w:tcW w:w="243" w:type="dxa"/>
            <w:tcBorders/>
            <w:shd w:fill="auto" w:val="clear"/>
          </w:tcPr>
          <w:p>
            <w:pPr>
              <w:pStyle w:val="TableContents"/>
              <w:spacing w:before="0" w:after="283"/>
              <w:jc w:val="left"/>
              <w:rPr>
                <w:rFonts w:ascii="serif" w:hAnsi="serif"/>
                <w:sz w:val="20"/>
              </w:rPr>
            </w:pPr>
            <w:r>
              <w:rPr>
                <w:rFonts w:ascii="serif" w:hAnsi="serif"/>
                <w:sz w:val="20"/>
              </w:rPr>
              <w:t>(1)</w:t>
            </w:r>
          </w:p>
        </w:tc>
        <w:tc>
          <w:tcPr>
            <w:tcW w:w="306" w:type="dxa"/>
            <w:tcBorders/>
            <w:shd w:fill="auto" w:val="clear"/>
          </w:tcPr>
          <w:p>
            <w:pPr>
              <w:pStyle w:val="TableContents"/>
              <w:spacing w:before="0" w:after="283"/>
              <w:rPr>
                <w:sz w:val="4"/>
                <w:szCs w:val="4"/>
              </w:rPr>
            </w:pPr>
            <w:r>
              <w:rPr>
                <w:sz w:val="4"/>
                <w:szCs w:val="4"/>
              </w:rPr>
            </w:r>
          </w:p>
        </w:tc>
        <w:tc>
          <w:tcPr>
            <w:tcW w:w="9656" w:type="dxa"/>
            <w:tcBorders/>
            <w:shd w:fill="auto" w:val="clear"/>
          </w:tcPr>
          <w:p>
            <w:pPr>
              <w:pStyle w:val="TableContents"/>
              <w:spacing w:before="0" w:after="283"/>
              <w:jc w:val="both"/>
              <w:rPr>
                <w:rFonts w:ascii="serif" w:hAnsi="serif"/>
                <w:sz w:val="20"/>
              </w:rPr>
            </w:pPr>
            <w:r>
              <w:rPr>
                <w:rFonts w:ascii="serif" w:hAnsi="serif"/>
                <w:sz w:val="20"/>
              </w:rPr>
              <w:t>Ronald B. Gordon retired from the Board of Directors on December 5, 2006.</w:t>
            </w:r>
          </w:p>
        </w:tc>
      </w:tr>
      <w:tr>
        <w:trPr/>
        <w:tc>
          <w:tcPr>
            <w:tcW w:w="10205" w:type="dxa"/>
            <w:gridSpan w:val="3"/>
            <w:tcBorders/>
            <w:shd w:fill="auto" w:val="clear"/>
          </w:tcPr>
          <w:p>
            <w:pPr>
              <w:pStyle w:val="TableContents"/>
              <w:spacing w:before="0" w:after="283"/>
              <w:jc w:val="left"/>
              <w:rPr/>
            </w:pPr>
            <w:r>
              <w:rPr/>
              <w:t> </w:t>
            </w:r>
          </w:p>
        </w:tc>
      </w:tr>
      <w:tr>
        <w:trPr/>
        <w:tc>
          <w:tcPr>
            <w:tcW w:w="243" w:type="dxa"/>
            <w:tcBorders/>
            <w:shd w:fill="auto" w:val="clear"/>
          </w:tcPr>
          <w:p>
            <w:pPr>
              <w:pStyle w:val="TableContents"/>
              <w:spacing w:before="0" w:after="283"/>
              <w:jc w:val="left"/>
              <w:rPr>
                <w:rFonts w:ascii="serif" w:hAnsi="serif"/>
                <w:sz w:val="20"/>
              </w:rPr>
            </w:pPr>
            <w:r>
              <w:rPr>
                <w:rFonts w:ascii="serif" w:hAnsi="serif"/>
                <w:sz w:val="20"/>
              </w:rPr>
              <w:t>(2)</w:t>
            </w:r>
          </w:p>
        </w:tc>
        <w:tc>
          <w:tcPr>
            <w:tcW w:w="306" w:type="dxa"/>
            <w:tcBorders/>
            <w:shd w:fill="auto" w:val="clear"/>
          </w:tcPr>
          <w:p>
            <w:pPr>
              <w:pStyle w:val="TableContents"/>
              <w:spacing w:before="0" w:after="283"/>
              <w:jc w:val="left"/>
              <w:rPr/>
            </w:pPr>
            <w:r>
              <w:rPr/>
              <w:t>     </w:t>
            </w:r>
          </w:p>
        </w:tc>
        <w:tc>
          <w:tcPr>
            <w:tcW w:w="9656" w:type="dxa"/>
            <w:tcBorders/>
            <w:shd w:fill="auto" w:val="clear"/>
          </w:tcPr>
          <w:p>
            <w:pPr>
              <w:pStyle w:val="TableContents"/>
              <w:spacing w:before="0" w:after="283"/>
              <w:jc w:val="both"/>
              <w:rPr>
                <w:rFonts w:ascii="serif" w:hAnsi="serif"/>
                <w:sz w:val="20"/>
              </w:rPr>
            </w:pPr>
            <w:r>
              <w:rPr>
                <w:rFonts w:ascii="serif" w:hAnsi="serif"/>
                <w:sz w:val="20"/>
              </w:rPr>
              <w:t>The cash compensation received by the directors listed, other than Richard M. Jaffee, consists entirely of a retainer and meeting fees. These directors received an annual retainer of $15,000 and a $2,500 fee for each Board or committee meeting attended in person ($1,500 for attendance by phone). In addition, Mr. Cole received a $7,500 retainer as chairman of the Audit Committee, and Mr. Selig received a $5,000 retainer as chairman of the Compensation Committee.</w:t>
            </w:r>
          </w:p>
        </w:tc>
      </w:tr>
    </w:tbl>
    <w:p>
      <w:pPr>
        <w:pStyle w:val="TextBody"/>
        <w:rPr/>
      </w:pPr>
      <w:r>
        <w:rPr/>
      </w:r>
    </w:p>
    <w:p>
      <w:pPr>
        <w:pStyle w:val="TextBody"/>
        <w:jc w:val="center"/>
        <w:rPr>
          <w:rFonts w:ascii="serif" w:hAnsi="serif"/>
          <w:sz w:val="20"/>
        </w:rPr>
      </w:pPr>
      <w:r>
        <w:rPr>
          <w:rFonts w:ascii="serif" w:hAnsi="serif"/>
          <w:sz w:val="20"/>
        </w:rPr>
        <w:t>14</w:t>
      </w:r>
    </w:p>
    <w:p>
      <w:pPr>
        <w:pStyle w:val="HorizontalLine"/>
        <w:pBdr>
          <w:bottom w:val="single" w:sz="12" w:space="0" w:color="808080"/>
        </w:pBdr>
        <w:rPr/>
      </w:pPr>
      <w:r>
        <w:rPr/>
      </w:r>
    </w:p>
    <w:tbl>
      <w:tblPr>
        <w:tblW w:w="5000" w:type="pct"/>
        <w:jc w:val="left"/>
        <w:tblInd w:w="0" w:type="dxa"/>
        <w:tblCellMar>
          <w:top w:w="0" w:type="dxa"/>
          <w:left w:w="0" w:type="dxa"/>
          <w:bottom w:w="0" w:type="dxa"/>
          <w:right w:w="0" w:type="dxa"/>
        </w:tblCellMar>
      </w:tblPr>
      <w:tblGrid>
        <w:gridCol w:w="242"/>
        <w:gridCol w:w="304"/>
        <w:gridCol w:w="9659"/>
      </w:tblGrid>
      <w:tr>
        <w:trPr/>
        <w:tc>
          <w:tcPr>
            <w:tcW w:w="242" w:type="dxa"/>
            <w:tcBorders/>
            <w:shd w:fill="auto" w:val="clear"/>
          </w:tcPr>
          <w:p>
            <w:pPr>
              <w:pStyle w:val="TableContents"/>
              <w:spacing w:before="0" w:after="283"/>
              <w:rPr>
                <w:rFonts w:ascii="serif" w:hAnsi="serif"/>
                <w:sz w:val="20"/>
              </w:rPr>
            </w:pPr>
            <w:r>
              <w:rPr>
                <w:rFonts w:ascii="serif" w:hAnsi="serif"/>
                <w:sz w:val="20"/>
              </w:rPr>
              <w:t>(3)</w:t>
            </w:r>
          </w:p>
        </w:tc>
        <w:tc>
          <w:tcPr>
            <w:tcW w:w="304" w:type="dxa"/>
            <w:tcBorders/>
            <w:shd w:fill="auto" w:val="clear"/>
          </w:tcPr>
          <w:p>
            <w:pPr>
              <w:pStyle w:val="TableContents"/>
              <w:spacing w:before="0" w:after="283"/>
              <w:rPr/>
            </w:pPr>
            <w:r>
              <w:rPr/>
              <w:t> </w:t>
            </w:r>
          </w:p>
        </w:tc>
        <w:tc>
          <w:tcPr>
            <w:tcW w:w="9659" w:type="dxa"/>
            <w:tcBorders/>
            <w:shd w:fill="auto" w:val="clear"/>
          </w:tcPr>
          <w:p>
            <w:pPr>
              <w:pStyle w:val="TableContents"/>
              <w:spacing w:before="0" w:after="283"/>
              <w:jc w:val="both"/>
              <w:rPr>
                <w:rFonts w:ascii="serif" w:hAnsi="serif"/>
                <w:sz w:val="20"/>
              </w:rPr>
            </w:pPr>
            <w:r>
              <w:rPr>
                <w:rFonts w:ascii="serif" w:hAnsi="serif"/>
                <w:sz w:val="20"/>
              </w:rPr>
              <w:t>The amounts reported reflect the compensation cost, without any reduction for the risk of forfeiture, recognized by us for financial statement reporting purposes for the fiscal year in accordance with Statement of Financial Accounting Standards No. 123 (revised 2004) (SFAS 123R). The amounts do not reflect compensation actually received by the directors. The assumptions used in calculation of these amounts are disclosed in Note 7 of the financial statements in our Form 10-K for the fiscal year ended July 31, 2007. There were no new awards to directors in fiscal 2007. The expense recognized is related to awards made in prior years that have not yet fully vested. Option awards outstanding as of July 31, 2007 are shown in the Directors Option Awards Outstanding table below.</w:t>
            </w:r>
          </w:p>
        </w:tc>
      </w:tr>
      <w:tr>
        <w:trPr/>
        <w:tc>
          <w:tcPr>
            <w:tcW w:w="242" w:type="dxa"/>
            <w:tcBorders/>
            <w:shd w:fill="auto" w:val="clear"/>
          </w:tcPr>
          <w:p>
            <w:pPr>
              <w:pStyle w:val="TableContents"/>
              <w:spacing w:before="0" w:after="283"/>
              <w:rPr>
                <w:sz w:val="4"/>
                <w:szCs w:val="4"/>
              </w:rPr>
            </w:pPr>
            <w:r>
              <w:rPr>
                <w:sz w:val="4"/>
                <w:szCs w:val="4"/>
              </w:rPr>
            </w:r>
          </w:p>
        </w:tc>
        <w:tc>
          <w:tcPr>
            <w:tcW w:w="304" w:type="dxa"/>
            <w:tcBorders/>
            <w:shd w:fill="auto" w:val="clear"/>
          </w:tcPr>
          <w:p>
            <w:pPr>
              <w:pStyle w:val="TableContents"/>
              <w:spacing w:before="0" w:after="283"/>
              <w:rPr>
                <w:sz w:val="4"/>
                <w:szCs w:val="4"/>
              </w:rPr>
            </w:pPr>
            <w:r>
              <w:rPr>
                <w:sz w:val="4"/>
                <w:szCs w:val="4"/>
              </w:rPr>
            </w:r>
          </w:p>
        </w:tc>
        <w:tc>
          <w:tcPr>
            <w:tcW w:w="9659" w:type="dxa"/>
            <w:tcBorders/>
            <w:shd w:fill="auto" w:val="clear"/>
          </w:tcPr>
          <w:p>
            <w:pPr>
              <w:pStyle w:val="TableContents"/>
              <w:spacing w:before="0" w:after="283"/>
              <w:rPr/>
            </w:pPr>
            <w:r>
              <w:rPr/>
              <w:t> </w:t>
            </w:r>
          </w:p>
        </w:tc>
      </w:tr>
      <w:tr>
        <w:trPr/>
        <w:tc>
          <w:tcPr>
            <w:tcW w:w="242" w:type="dxa"/>
            <w:tcBorders/>
            <w:shd w:fill="auto" w:val="clear"/>
          </w:tcPr>
          <w:p>
            <w:pPr>
              <w:pStyle w:val="TableContents"/>
              <w:spacing w:before="0" w:after="283"/>
              <w:rPr>
                <w:rFonts w:ascii="serif" w:hAnsi="serif"/>
                <w:sz w:val="20"/>
              </w:rPr>
            </w:pPr>
            <w:r>
              <w:rPr>
                <w:rFonts w:ascii="serif" w:hAnsi="serif"/>
                <w:sz w:val="20"/>
              </w:rPr>
              <w:t>(4)</w:t>
            </w:r>
          </w:p>
        </w:tc>
        <w:tc>
          <w:tcPr>
            <w:tcW w:w="304" w:type="dxa"/>
            <w:tcBorders/>
            <w:shd w:fill="auto" w:val="clear"/>
          </w:tcPr>
          <w:p>
            <w:pPr>
              <w:pStyle w:val="TableContents"/>
              <w:spacing w:before="0" w:after="283"/>
              <w:rPr>
                <w:sz w:val="4"/>
                <w:szCs w:val="4"/>
              </w:rPr>
            </w:pPr>
            <w:r>
              <w:rPr>
                <w:sz w:val="4"/>
                <w:szCs w:val="4"/>
              </w:rPr>
            </w:r>
          </w:p>
        </w:tc>
        <w:tc>
          <w:tcPr>
            <w:tcW w:w="9659" w:type="dxa"/>
            <w:tcBorders/>
            <w:shd w:fill="auto" w:val="clear"/>
          </w:tcPr>
          <w:p>
            <w:pPr>
              <w:pStyle w:val="TableContents"/>
              <w:spacing w:before="0" w:after="283"/>
              <w:jc w:val="both"/>
              <w:rPr>
                <w:rFonts w:ascii="serif" w:hAnsi="serif"/>
                <w:sz w:val="20"/>
              </w:rPr>
            </w:pPr>
            <w:r>
              <w:rPr>
                <w:rFonts w:ascii="serif" w:hAnsi="serif"/>
                <w:sz w:val="20"/>
              </w:rPr>
              <w:t>The amount shown consists of earnings in excess of 120% of the applicable federal rate on the aggregate balances in the three deferred compensation plans offered by Oil-Dri in which Richard M. Jaffee participates. Mr. Jaffee received distributions of $77,266 from his accounts in these plans that are associated with deferrals he made while an employee and officer of the Company. All directors are eligible to defer cash compensation which they receive from the Company into our current executive deferred compensation plan. Amounts deferred earn a return equal to Oil-Dris long term cost of borrowing plus one percent. No director listed, other than Mr. Jaffee has elected to participate in this plan.</w:t>
            </w:r>
          </w:p>
        </w:tc>
      </w:tr>
      <w:tr>
        <w:trPr/>
        <w:tc>
          <w:tcPr>
            <w:tcW w:w="242" w:type="dxa"/>
            <w:tcBorders/>
            <w:shd w:fill="auto" w:val="clear"/>
          </w:tcPr>
          <w:p>
            <w:pPr>
              <w:pStyle w:val="TableContents"/>
              <w:spacing w:before="0" w:after="283"/>
              <w:rPr>
                <w:sz w:val="4"/>
                <w:szCs w:val="4"/>
              </w:rPr>
            </w:pPr>
            <w:r>
              <w:rPr>
                <w:sz w:val="4"/>
                <w:szCs w:val="4"/>
              </w:rPr>
            </w:r>
          </w:p>
        </w:tc>
        <w:tc>
          <w:tcPr>
            <w:tcW w:w="304" w:type="dxa"/>
            <w:tcBorders/>
            <w:shd w:fill="auto" w:val="clear"/>
          </w:tcPr>
          <w:p>
            <w:pPr>
              <w:pStyle w:val="TableContents"/>
              <w:spacing w:before="0" w:after="283"/>
              <w:rPr>
                <w:sz w:val="4"/>
                <w:szCs w:val="4"/>
              </w:rPr>
            </w:pPr>
            <w:r>
              <w:rPr>
                <w:sz w:val="4"/>
                <w:szCs w:val="4"/>
              </w:rPr>
            </w:r>
          </w:p>
        </w:tc>
        <w:tc>
          <w:tcPr>
            <w:tcW w:w="9659" w:type="dxa"/>
            <w:tcBorders/>
            <w:shd w:fill="auto" w:val="clear"/>
          </w:tcPr>
          <w:p>
            <w:pPr>
              <w:pStyle w:val="TableContents"/>
              <w:spacing w:before="0" w:after="283"/>
              <w:rPr/>
            </w:pPr>
            <w:r>
              <w:rPr/>
              <w:t> </w:t>
            </w:r>
          </w:p>
        </w:tc>
      </w:tr>
      <w:tr>
        <w:trPr/>
        <w:tc>
          <w:tcPr>
            <w:tcW w:w="242" w:type="dxa"/>
            <w:tcBorders/>
            <w:shd w:fill="auto" w:val="clear"/>
          </w:tcPr>
          <w:p>
            <w:pPr>
              <w:pStyle w:val="TableContents"/>
              <w:spacing w:before="0" w:after="283"/>
              <w:rPr>
                <w:rFonts w:ascii="serif" w:hAnsi="serif"/>
                <w:sz w:val="20"/>
              </w:rPr>
            </w:pPr>
            <w:r>
              <w:rPr>
                <w:rFonts w:ascii="serif" w:hAnsi="serif"/>
                <w:sz w:val="20"/>
              </w:rPr>
              <w:t>(5)</w:t>
            </w:r>
          </w:p>
        </w:tc>
        <w:tc>
          <w:tcPr>
            <w:tcW w:w="304" w:type="dxa"/>
            <w:tcBorders/>
            <w:shd w:fill="auto" w:val="clear"/>
          </w:tcPr>
          <w:p>
            <w:pPr>
              <w:pStyle w:val="TableContents"/>
              <w:spacing w:before="0" w:after="283"/>
              <w:rPr/>
            </w:pPr>
            <w:r>
              <w:rPr/>
              <w:t>     </w:t>
            </w:r>
          </w:p>
        </w:tc>
        <w:tc>
          <w:tcPr>
            <w:tcW w:w="9659" w:type="dxa"/>
            <w:tcBorders/>
            <w:shd w:fill="auto" w:val="clear"/>
          </w:tcPr>
          <w:p>
            <w:pPr>
              <w:pStyle w:val="TableContents"/>
              <w:spacing w:before="0" w:after="283"/>
              <w:jc w:val="both"/>
              <w:rPr>
                <w:rFonts w:ascii="serif" w:hAnsi="serif"/>
                <w:sz w:val="20"/>
              </w:rPr>
            </w:pPr>
            <w:r>
              <w:rPr>
                <w:rFonts w:ascii="serif" w:hAnsi="serif"/>
                <w:sz w:val="20"/>
              </w:rPr>
              <w:t>Richard M. Jaffee, Chairman of our Board of Directors, received $185,000 pursuant to a consulting agreement with Oil-Dri. Beginning February 1, 2006, Mr. Jaffee began receiving a monthly annuity of $3,810 that he earned during the first five years of his consulting agreement with Oil-Dri. The total annuity amount he received in fiscal 2007 was $45,720. Mr. Jaffee chose to defer the full amount of his consulting fees and his annuity into our deferred compensation plan in fiscal 2007. Mr. Jaffee does not receive a retainer or any meeting fees as a director.</w:t>
            </w:r>
          </w:p>
        </w:tc>
      </w:tr>
    </w:tbl>
    <w:p>
      <w:pPr>
        <w:pStyle w:val="TextBody"/>
        <w:jc w:val="both"/>
        <w:rPr/>
      </w:pPr>
      <w:r>
        <w:rPr/>
        <w:t>     </w:t>
      </w:r>
      <w:r>
        <w:rPr>
          <w:rFonts w:ascii="serif" w:hAnsi="serif"/>
          <w:sz w:val="20"/>
        </w:rPr>
        <w:t>Mr. Jaffee also receives a pension under our employee pension plan earned during his years of service as an employee. In addition, Mr. Jaffee and his spouse are covered under Oil-Dris medical plan at no cost to them, each for their lifetime. This coverage is secondary to the coverage provided by Medicare. Because we have a self-insured medical plan, our cost for this coverage is the amount of actual medical claims paid. This coverage is provided to Mr. Jaffee under the terms of our medical plan because at the time of his retirement he had over 40 years of service with the Company and was a member of the Board of Directors.</w:t>
      </w:r>
    </w:p>
    <w:p>
      <w:pPr>
        <w:pStyle w:val="TextBody"/>
        <w:jc w:val="both"/>
        <w:rPr>
          <w:rFonts w:ascii="serif" w:hAnsi="serif"/>
          <w:b/>
          <w:sz w:val="20"/>
        </w:rPr>
      </w:pPr>
      <w:r>
        <w:rPr>
          <w:rFonts w:ascii="serif" w:hAnsi="serif"/>
          <w:b/>
          <w:sz w:val="20"/>
        </w:rPr>
        <w:t>Directors Option Awards Outstanding</w:t>
      </w:r>
    </w:p>
    <w:p>
      <w:pPr>
        <w:pStyle w:val="TextBody"/>
        <w:jc w:val="both"/>
        <w:rPr/>
      </w:pPr>
      <w:r>
        <w:rPr/>
        <w:t>     </w:t>
      </w:r>
      <w:r>
        <w:rPr>
          <w:rFonts w:ascii="serif" w:hAnsi="serif"/>
          <w:sz w:val="20"/>
        </w:rPr>
        <w:t>The following table reports the number of shares the directors hold options to purchase as of July 31, 2007. All options are for shares of our Common Stock.</w:t>
      </w:r>
    </w:p>
    <w:tbl>
      <w:tblPr>
        <w:tblW w:w="2250" w:type="pct"/>
        <w:jc w:val="center"/>
        <w:tblInd w:w="0" w:type="dxa"/>
        <w:tblCellMar>
          <w:top w:w="0" w:type="dxa"/>
          <w:left w:w="0" w:type="dxa"/>
          <w:bottom w:w="28" w:type="dxa"/>
          <w:right w:w="0" w:type="dxa"/>
        </w:tblCellMar>
      </w:tblPr>
      <w:tblGrid>
        <w:gridCol w:w="2504"/>
        <w:gridCol w:w="2088"/>
      </w:tblGrid>
      <w:tr>
        <w:trPr/>
        <w:tc>
          <w:tcPr>
            <w:tcW w:w="2504" w:type="dxa"/>
            <w:tcBorders>
              <w:bottom w:val="single" w:sz="8" w:space="0" w:color="000000"/>
            </w:tcBorders>
            <w:shd w:fill="auto" w:val="clear"/>
            <w:vAlign w:val="bottom"/>
          </w:tcPr>
          <w:p>
            <w:pPr>
              <w:pStyle w:val="TableContents"/>
              <w:spacing w:before="0" w:after="283"/>
              <w:jc w:val="left"/>
              <w:rPr/>
            </w:pPr>
            <w:r>
              <w:rPr/>
              <w:t xml:space="preserve">   </w:t>
            </w:r>
            <w:r>
              <w:rPr>
                <w:rFonts w:ascii="serif" w:hAnsi="serif"/>
                <w:b/>
                <w:sz w:val="20"/>
              </w:rPr>
              <w:t>Name</w:t>
            </w:r>
            <w:r>
              <w:rPr/>
              <w:t> </w:t>
            </w:r>
          </w:p>
        </w:tc>
        <w:tc>
          <w:tcPr>
            <w:tcW w:w="2088" w:type="dxa"/>
            <w:tcBorders>
              <w:bottom w:val="single" w:sz="8" w:space="0" w:color="000000"/>
            </w:tcBorders>
            <w:shd w:fill="auto" w:val="clear"/>
            <w:vAlign w:val="bottom"/>
          </w:tcPr>
          <w:p>
            <w:pPr>
              <w:pStyle w:val="TableContents"/>
              <w:spacing w:before="0" w:after="283"/>
              <w:jc w:val="right"/>
              <w:rPr/>
            </w:pPr>
            <w:r>
              <w:rPr>
                <w:rFonts w:ascii="serif" w:hAnsi="serif"/>
                <w:b/>
                <w:sz w:val="20"/>
              </w:rPr>
              <w:t>Number of Shares</w:t>
            </w:r>
            <w:r>
              <w:rPr/>
              <w:t> </w:t>
            </w:r>
          </w:p>
        </w:tc>
      </w:tr>
      <w:tr>
        <w:trPr/>
        <w:tc>
          <w:tcPr>
            <w:tcW w:w="2504"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J. Steven Cole</w:t>
            </w:r>
            <w:r>
              <w:rPr/>
              <w:t> </w:t>
            </w:r>
          </w:p>
        </w:tc>
        <w:tc>
          <w:tcPr>
            <w:tcW w:w="2088" w:type="dxa"/>
            <w:tcBorders/>
            <w:shd w:fill="C0C0C0" w:val="clear"/>
            <w:tcMar>
              <w:bottom w:w="0" w:type="dxa"/>
            </w:tcMar>
            <w:vAlign w:val="bottom"/>
          </w:tcPr>
          <w:p>
            <w:pPr>
              <w:pStyle w:val="TableContents"/>
              <w:spacing w:before="0" w:after="283"/>
              <w:jc w:val="right"/>
              <w:rPr/>
            </w:pPr>
            <w:r>
              <w:rPr>
                <w:rFonts w:ascii="serif" w:hAnsi="serif"/>
                <w:sz w:val="20"/>
              </w:rPr>
              <w:t>37,500</w:t>
            </w:r>
            <w:r>
              <w:rPr/>
              <w:t> </w:t>
            </w:r>
          </w:p>
        </w:tc>
      </w:tr>
      <w:tr>
        <w:trPr/>
        <w:tc>
          <w:tcPr>
            <w:tcW w:w="2504" w:type="dxa"/>
            <w:tcBorders/>
            <w:shd w:fill="auto" w:val="clear"/>
            <w:tcMar>
              <w:bottom w:w="0" w:type="dxa"/>
            </w:tcMar>
            <w:vAlign w:val="bottom"/>
          </w:tcPr>
          <w:p>
            <w:pPr>
              <w:pStyle w:val="TableContents"/>
              <w:spacing w:before="0" w:after="283"/>
              <w:jc w:val="left"/>
              <w:rPr/>
            </w:pPr>
            <w:r>
              <w:rPr/>
              <w:t xml:space="preserve">   </w:t>
            </w:r>
            <w:r>
              <w:rPr>
                <w:rFonts w:ascii="serif" w:hAnsi="serif"/>
                <w:sz w:val="20"/>
              </w:rPr>
              <w:t>Arnold W. Donald</w:t>
            </w:r>
            <w:r>
              <w:rPr/>
              <w:t> </w:t>
            </w:r>
          </w:p>
        </w:tc>
        <w:tc>
          <w:tcPr>
            <w:tcW w:w="2088" w:type="dxa"/>
            <w:tcBorders/>
            <w:shd w:fill="auto" w:val="clear"/>
            <w:tcMar>
              <w:bottom w:w="0" w:type="dxa"/>
            </w:tcMar>
            <w:vAlign w:val="bottom"/>
          </w:tcPr>
          <w:p>
            <w:pPr>
              <w:pStyle w:val="TableContents"/>
              <w:spacing w:before="0" w:after="283"/>
              <w:jc w:val="right"/>
              <w:rPr/>
            </w:pPr>
            <w:r>
              <w:rPr>
                <w:rFonts w:ascii="serif" w:hAnsi="serif"/>
                <w:sz w:val="20"/>
              </w:rPr>
              <w:t>37,500</w:t>
            </w:r>
            <w:r>
              <w:rPr/>
              <w:t> </w:t>
            </w:r>
          </w:p>
        </w:tc>
      </w:tr>
      <w:tr>
        <w:trPr/>
        <w:tc>
          <w:tcPr>
            <w:tcW w:w="2504"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Joseph C. Miller</w:t>
            </w:r>
            <w:r>
              <w:rPr/>
              <w:t> </w:t>
            </w:r>
          </w:p>
        </w:tc>
        <w:tc>
          <w:tcPr>
            <w:tcW w:w="2088" w:type="dxa"/>
            <w:tcBorders/>
            <w:shd w:fill="C0C0C0" w:val="clear"/>
            <w:tcMar>
              <w:bottom w:w="0" w:type="dxa"/>
            </w:tcMar>
            <w:vAlign w:val="bottom"/>
          </w:tcPr>
          <w:p>
            <w:pPr>
              <w:pStyle w:val="TableContents"/>
              <w:spacing w:before="0" w:after="283"/>
              <w:jc w:val="right"/>
              <w:rPr/>
            </w:pPr>
            <w:r>
              <w:rPr>
                <w:rFonts w:ascii="serif" w:hAnsi="serif"/>
                <w:sz w:val="20"/>
              </w:rPr>
              <w:t>6,250</w:t>
            </w:r>
            <w:r>
              <w:rPr/>
              <w:t> </w:t>
            </w:r>
          </w:p>
        </w:tc>
      </w:tr>
      <w:tr>
        <w:trPr/>
        <w:tc>
          <w:tcPr>
            <w:tcW w:w="2504" w:type="dxa"/>
            <w:tcBorders/>
            <w:shd w:fill="auto" w:val="clear"/>
            <w:tcMar>
              <w:bottom w:w="0" w:type="dxa"/>
            </w:tcMar>
            <w:vAlign w:val="bottom"/>
          </w:tcPr>
          <w:p>
            <w:pPr>
              <w:pStyle w:val="TableContents"/>
              <w:spacing w:before="0" w:after="283"/>
              <w:jc w:val="left"/>
              <w:rPr/>
            </w:pPr>
            <w:r>
              <w:rPr/>
              <w:t xml:space="preserve">   </w:t>
            </w:r>
            <w:r>
              <w:rPr>
                <w:rFonts w:ascii="serif" w:hAnsi="serif"/>
                <w:sz w:val="20"/>
              </w:rPr>
              <w:t>Michael A. Nemeroff</w:t>
            </w:r>
            <w:r>
              <w:rPr/>
              <w:t> </w:t>
            </w:r>
          </w:p>
        </w:tc>
        <w:tc>
          <w:tcPr>
            <w:tcW w:w="2088" w:type="dxa"/>
            <w:tcBorders/>
            <w:shd w:fill="auto" w:val="clear"/>
            <w:tcMar>
              <w:bottom w:w="0" w:type="dxa"/>
            </w:tcMar>
            <w:vAlign w:val="bottom"/>
          </w:tcPr>
          <w:p>
            <w:pPr>
              <w:pStyle w:val="TableContents"/>
              <w:spacing w:before="0" w:after="283"/>
              <w:jc w:val="right"/>
              <w:rPr/>
            </w:pPr>
            <w:r>
              <w:rPr>
                <w:rFonts w:ascii="serif" w:hAnsi="serif"/>
                <w:sz w:val="20"/>
              </w:rPr>
              <w:t>12,500</w:t>
            </w:r>
            <w:r>
              <w:rPr/>
              <w:t> </w:t>
            </w:r>
          </w:p>
        </w:tc>
      </w:tr>
      <w:tr>
        <w:trPr/>
        <w:tc>
          <w:tcPr>
            <w:tcW w:w="2504" w:type="dxa"/>
            <w:tcBorders/>
            <w:shd w:fill="C0C0C0" w:val="clear"/>
            <w:tcMar>
              <w:bottom w:w="0" w:type="dxa"/>
            </w:tcMar>
            <w:vAlign w:val="bottom"/>
          </w:tcPr>
          <w:p>
            <w:pPr>
              <w:pStyle w:val="TableContents"/>
              <w:spacing w:before="0" w:after="283"/>
              <w:jc w:val="left"/>
              <w:rPr/>
            </w:pPr>
            <w:r>
              <w:rPr/>
              <w:t xml:space="preserve">   </w:t>
            </w:r>
            <w:r>
              <w:rPr>
                <w:rFonts w:ascii="serif" w:hAnsi="serif"/>
                <w:sz w:val="20"/>
              </w:rPr>
              <w:t>Paul E. Suckow</w:t>
            </w:r>
            <w:r>
              <w:rPr/>
              <w:t> </w:t>
            </w:r>
          </w:p>
        </w:tc>
        <w:tc>
          <w:tcPr>
            <w:tcW w:w="2088" w:type="dxa"/>
            <w:tcBorders/>
            <w:shd w:fill="C0C0C0" w:val="clear"/>
            <w:tcMar>
              <w:bottom w:w="0" w:type="dxa"/>
            </w:tcMar>
            <w:vAlign w:val="bottom"/>
          </w:tcPr>
          <w:p>
            <w:pPr>
              <w:pStyle w:val="TableContents"/>
              <w:spacing w:before="0" w:after="283"/>
              <w:jc w:val="right"/>
              <w:rPr/>
            </w:pPr>
            <w:r>
              <w:rPr>
                <w:rFonts w:ascii="serif" w:hAnsi="serif"/>
                <w:sz w:val="20"/>
              </w:rPr>
              <w:t>12,500</w:t>
            </w:r>
            <w:r>
              <w:rPr/>
              <w:t> </w:t>
            </w:r>
          </w:p>
        </w:tc>
      </w:tr>
    </w:tbl>
    <w:p>
      <w:pPr>
        <w:pStyle w:val="TextBody"/>
        <w:rPr/>
      </w:pPr>
      <w:r>
        <w:rPr/>
      </w:r>
    </w:p>
    <w:p>
      <w:pPr>
        <w:pStyle w:val="TextBody"/>
        <w:jc w:val="center"/>
        <w:rPr>
          <w:rFonts w:ascii="serif" w:hAnsi="serif"/>
          <w:sz w:val="20"/>
        </w:rPr>
      </w:pPr>
      <w:r>
        <w:rPr>
          <w:rFonts w:ascii="serif" w:hAnsi="serif"/>
          <w:sz w:val="20"/>
        </w:rPr>
        <w:t>15</w:t>
      </w:r>
    </w:p>
    <w:p>
      <w:pPr>
        <w:pStyle w:val="HorizontalLine"/>
        <w:pBdr>
          <w:bottom w:val="single" w:sz="12" w:space="0" w:color="808080"/>
        </w:pBdr>
        <w:rPr/>
      </w:pPr>
      <w:r>
        <w:rPr/>
      </w:r>
    </w:p>
    <w:p>
      <w:pPr>
        <w:pStyle w:val="TextBody"/>
        <w:jc w:val="center"/>
        <w:rPr>
          <w:rFonts w:ascii="serif" w:hAnsi="serif"/>
          <w:b/>
        </w:rPr>
      </w:pPr>
      <w:r>
        <w:rPr>
          <w:rFonts w:ascii="serif" w:hAnsi="serif"/>
          <w:b/>
        </w:rPr>
        <w:t>Corporate Governance</w:t>
      </w:r>
    </w:p>
    <w:p>
      <w:pPr>
        <w:pStyle w:val="TextBody"/>
        <w:jc w:val="both"/>
        <w:rPr/>
      </w:pPr>
      <w:r>
        <w:rPr/>
        <w:t>     </w:t>
      </w:r>
      <w:r>
        <w:rPr>
          <w:rFonts w:ascii="serif" w:hAnsi="serif"/>
          <w:sz w:val="20"/>
        </w:rPr>
        <w:t xml:space="preserve">We have adopted Corporate Governance Guidelines and a Code of Ethics and Business Conduct. The Code applies to all our employees, officers and directors. The Corporate Governance Guidelines and the Code of Ethics and Business Conduct are available on our website at </w:t>
      </w:r>
      <w:r>
        <w:rPr>
          <w:rFonts w:ascii="serif" w:hAnsi="serif"/>
          <w:i/>
          <w:sz w:val="20"/>
        </w:rPr>
        <w:t>www.oildri.com</w:t>
      </w:r>
      <w:r>
        <w:rPr>
          <w:rFonts w:ascii="serif" w:hAnsi="serif"/>
          <w:sz w:val="20"/>
        </w:rPr>
        <w:t>. We will also provide without charge a copy of either or both documents to any person upon request submitted to Investor Relations, Oil-Dri Corporation of America, 410 North Michigan Avenue, Suite 400, Chicago, Illinois 60611-4213, telephone (312) 706-3232. As allowed by the controlled company exemption from the NYSE Corporate Governance Standards, we do not have a corporate governance committee.</w:t>
      </w:r>
    </w:p>
    <w:p>
      <w:pPr>
        <w:pStyle w:val="TextBody"/>
        <w:jc w:val="center"/>
        <w:rPr>
          <w:rFonts w:ascii="serif" w:hAnsi="serif"/>
          <w:b/>
        </w:rPr>
      </w:pPr>
      <w:r>
        <w:rPr>
          <w:rFonts w:ascii="serif" w:hAnsi="serif"/>
          <w:b/>
        </w:rPr>
        <w:t>Certain Relationships and Related Party Transactions</w:t>
      </w:r>
    </w:p>
    <w:p>
      <w:pPr>
        <w:pStyle w:val="TextBody"/>
        <w:jc w:val="both"/>
        <w:rPr/>
      </w:pPr>
      <w:r>
        <w:rPr/>
        <w:t>     </w:t>
      </w:r>
      <w:r>
        <w:rPr>
          <w:rFonts w:ascii="serif" w:hAnsi="serif"/>
          <w:sz w:val="20"/>
        </w:rPr>
        <w:t>Our policy concerning related party transactions is a part of our Code of Ethics and Business Conduct which provides that every employee, officer and director has an obligation to conduct business in a manner that avoids actual or potential conflicts of interest with Oil-Dri. The Code explains what may constitute a conflict of interest, including: transactions in which an employee, officer, director or a member of his family receives personal benefits as a result of his position with Oil-Dri; transactions between Oil-Dri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Oil-Dris business. All employees or directors who have any influence on transactions involving purchases, sales, contracts or leases are required by the Code to disclose to a senior officer of the Company or to our general counsel the existence of any actual or potential conflict of interest. Such transactions are then evaluated at an appropriate management level to determine if the transaction is in the best interest (or not contrary to the best interest) of the Company. In addition, under our contract approval policy, all contracts obligating the Company to make an individual payment or aggregate payments greater than $100,000 must be reviewed and approved by our Chief Executive Officer.</w:t>
      </w:r>
    </w:p>
    <w:p>
      <w:pPr>
        <w:pStyle w:val="TextBody"/>
        <w:jc w:val="both"/>
        <w:rPr/>
      </w:pPr>
      <w:r>
        <w:rPr/>
        <w:t>     </w:t>
      </w:r>
      <w:r>
        <w:rPr>
          <w:rFonts w:ascii="serif" w:hAnsi="serif"/>
          <w:sz w:val="20"/>
        </w:rPr>
        <w:t>As a company controlled by the family of its founder, we from time to time employ family members of current and former employees or directors, but only if they are at least as qualified as other applicants. All job offers made to family members of current employees must be approved by our Chief Executive Officer.</w:t>
      </w:r>
    </w:p>
    <w:p>
      <w:pPr>
        <w:pStyle w:val="TextBody"/>
        <w:jc w:val="both"/>
        <w:rPr/>
      </w:pPr>
      <w:r>
        <w:rPr/>
        <w:t>     </w:t>
      </w:r>
      <w:r>
        <w:rPr>
          <w:rFonts w:ascii="serif" w:hAnsi="serif"/>
          <w:sz w:val="20"/>
        </w:rPr>
        <w:t>We employ Karen Jaffee Cofsky on a part-time basis as Vice President of Benefits and Compensation. She is the daughter of Richard M. Jaffee, the Companys Chairman of the Board. She is also the spouse of Thomas F. Cofsky and the sister of Daniel S. Jaffee, both of whom are named executive officers of the Company. Mrs. Cofskys compensation is based on her education, experience and the responsibilities of her position. For the fiscal year ended July 31, 2007, Mrs. Cofsky received base salary of $69,900 and a cash award of $30,843 under our annual incentive plan. Mrs. Cofsky also received an executive deferred bonus award of $9,253 under our annual incentive plan.</w:t>
      </w:r>
    </w:p>
    <w:p>
      <w:pPr>
        <w:pStyle w:val="TextBody"/>
        <w:jc w:val="both"/>
        <w:rPr/>
      </w:pPr>
      <w:r>
        <w:rPr/>
        <w:t>     </w:t>
      </w:r>
      <w:r>
        <w:rPr>
          <w:rFonts w:ascii="serif" w:hAnsi="serif"/>
          <w:sz w:val="20"/>
        </w:rPr>
        <w:t>We employ Richard V. Hardin as Group Leader, Administration, at our research and development facility. He is the son-in-law of Richard M. Jaffee, the Companys Chairman of the Board and a brother-in-law of Daniel S. Jaffee and Thomas F. Cofsky, both of whom are named executive officers of the Company. Mr. Hardins compensation is based on his education, experience, and the responsibilities of his position. For the fiscal year ended July 31, 2007, Mr. Hardin received base salary of $140,000.</w:t>
      </w:r>
    </w:p>
    <w:p>
      <w:pPr>
        <w:pStyle w:val="TextBody"/>
        <w:jc w:val="both"/>
        <w:rPr/>
      </w:pPr>
      <w:r>
        <w:rPr/>
        <w:t>     </w:t>
      </w:r>
      <w:r>
        <w:rPr>
          <w:rFonts w:ascii="serif" w:hAnsi="serif"/>
          <w:sz w:val="20"/>
        </w:rPr>
        <w:t>Michael A. Nemeroff, a member of our Board of Directors and of its Compensation Committee, is the president and a director of the law firm Vedder Price, counsel to the Company. During the fiscal year ended July 31, 2007, we paid Vedder Price $38,276 for services provided to the Company.</w:t>
      </w:r>
    </w:p>
    <w:p>
      <w:pPr>
        <w:pStyle w:val="TextBody"/>
        <w:jc w:val="center"/>
        <w:rPr>
          <w:rFonts w:ascii="serif" w:hAnsi="serif"/>
          <w:sz w:val="20"/>
        </w:rPr>
      </w:pPr>
      <w:r>
        <w:rPr>
          <w:rFonts w:ascii="serif" w:hAnsi="serif"/>
          <w:sz w:val="20"/>
        </w:rPr>
        <w:t>16</w:t>
      </w:r>
    </w:p>
    <w:p>
      <w:pPr>
        <w:pStyle w:val="HorizontalLine"/>
        <w:pBdr>
          <w:bottom w:val="single" w:sz="12" w:space="0" w:color="808080"/>
        </w:pBdr>
        <w:rPr/>
      </w:pPr>
      <w:r>
        <w:rPr/>
      </w:r>
    </w:p>
    <w:p>
      <w:pPr>
        <w:pStyle w:val="TextBody"/>
        <w:jc w:val="center"/>
        <w:rPr>
          <w:rFonts w:ascii="serif" w:hAnsi="serif"/>
          <w:b/>
        </w:rPr>
      </w:pPr>
      <w:r>
        <w:rPr>
          <w:rFonts w:ascii="serif" w:hAnsi="serif"/>
          <w:b/>
        </w:rPr>
        <w:t>Report of the Audit Committee of the Board of Directors</w:t>
      </w:r>
    </w:p>
    <w:p>
      <w:pPr>
        <w:pStyle w:val="TextBody"/>
        <w:jc w:val="both"/>
        <w:rPr/>
      </w:pPr>
      <w:r>
        <w:rPr/>
        <w:t xml:space="preserve">      </w:t>
      </w:r>
      <w:r>
        <w:rPr>
          <w:rFonts w:ascii="serif" w:hAnsi="serif"/>
          <w:i/>
          <w:sz w:val="20"/>
        </w:rPr>
        <w:t>The information contained in this report shall not be deemed to be soliciting material or to be filed with the SEC, nor shall such information be incorporated by reference into any future filing under the Securities Act of 1933, as amended, or the Securities Exchange Act of 1934, as amended, except to the extent that the Company specifically incorporates such information by reference in such filing.</w:t>
      </w:r>
    </w:p>
    <w:p>
      <w:pPr>
        <w:pStyle w:val="TextBody"/>
        <w:jc w:val="both"/>
        <w:rPr/>
      </w:pPr>
      <w:r>
        <w:rPr/>
        <w:t xml:space="preserve">      </w:t>
      </w:r>
      <w:r>
        <w:rPr>
          <w:rFonts w:ascii="serif" w:hAnsi="serif"/>
          <w:sz w:val="20"/>
        </w:rPr>
        <w:t>The Audit Committee consists of directors J. Steven Cole (Chairman), Arnold W. Donald and Paul E. Suckow. Each member meets the independence standards presently prescribed by the SEC and the NYSE. The Board has also determined that Mr. Cole is an audit committee financial expert within the meaning of the rules of the SEC and that he meets the accounting or related financial management expertise standard presently required by the NYSE.</w:t>
      </w:r>
    </w:p>
    <w:p>
      <w:pPr>
        <w:pStyle w:val="TextBody"/>
        <w:jc w:val="both"/>
        <w:rPr/>
      </w:pPr>
      <w:r>
        <w:rPr/>
        <w:t xml:space="preserve">      </w:t>
      </w:r>
      <w:r>
        <w:rPr>
          <w:rFonts w:ascii="serif" w:hAnsi="serif"/>
          <w:sz w:val="20"/>
        </w:rPr>
        <w:t xml:space="preserve">The Audit Committee is a standing committee of the Board of Directors and operates under a written charter adopted by the Board of Directors. A copy of the Audit Committee Charter is available on the Companys website at </w:t>
      </w:r>
      <w:r>
        <w:rPr>
          <w:rFonts w:ascii="serif" w:hAnsi="serif"/>
          <w:i/>
          <w:sz w:val="20"/>
        </w:rPr>
        <w:t>www.oildri.com</w:t>
      </w:r>
      <w:r>
        <w:rPr>
          <w:rFonts w:ascii="serif" w:hAnsi="serif"/>
          <w:sz w:val="20"/>
        </w:rPr>
        <w:t>. The Audit Committee reviews the charter, which was last amended on October 9, 2007, on an annual basis. In accordance with its written charter, the Audit Committee assists the Board in fulfilling its responsibility for monitoring the integrity of the accounting, auditing, financial reporting and internal controls practices, and compliance with legal and regulatory requirements of the Company. The Audit Committee met four times during the fiscal year ended July 31, 2007.</w:t>
      </w:r>
    </w:p>
    <w:p>
      <w:pPr>
        <w:pStyle w:val="TextBody"/>
        <w:jc w:val="both"/>
        <w:rPr/>
      </w:pPr>
      <w:r>
        <w:rPr/>
        <w:t xml:space="preserve">      </w:t>
      </w:r>
      <w:r>
        <w:rPr>
          <w:rFonts w:ascii="serif" w:hAnsi="serif"/>
          <w:sz w:val="20"/>
        </w:rPr>
        <w:t>Company management is primarily responsible for the Companys financial statements and reporting process, including its system of internal controls. Our independent auditor is responsible for auditing the Companys consolidated financial statements in accordance with the auditing standards of the Public Company Accounting Oversight Board (United States) and for issuing a report on those statements. The Audit Committee oversees the financial reporting process on behalf of the Board. The Audit Committee relies on the expertise and knowledge of management, the internal auditors and the independent auditor in carrying out its oversight responsibilities.</w:t>
      </w:r>
    </w:p>
    <w:p>
      <w:pPr>
        <w:pStyle w:val="TextBody"/>
        <w:jc w:val="both"/>
        <w:rPr/>
      </w:pPr>
      <w:r>
        <w:rPr/>
        <w:t xml:space="preserve">      </w:t>
      </w:r>
      <w:r>
        <w:rPr>
          <w:rFonts w:ascii="serif" w:hAnsi="serif"/>
          <w:sz w:val="20"/>
        </w:rPr>
        <w:t>In the discharge of its duties, the Audit Committee performed the following:</w:t>
      </w:r>
    </w:p>
    <w:p>
      <w:pPr>
        <w:pStyle w:val="TextBody"/>
        <w:numPr>
          <w:ilvl w:val="0"/>
          <w:numId w:val="6"/>
        </w:numPr>
        <w:tabs>
          <w:tab w:val="clear" w:pos="1134"/>
          <w:tab w:val="left" w:pos="707" w:leader="none"/>
        </w:tabs>
        <w:spacing w:before="0" w:after="0"/>
        <w:ind w:left="707" w:hanging="283"/>
        <w:jc w:val="both"/>
        <w:rPr/>
      </w:pPr>
      <w:r>
        <w:rPr>
          <w:sz w:val="20"/>
        </w:rPr>
        <w:t>Reviewed the scope and overall plans for the annual audit. PricewaterhouseCoopers LLP, the Companys independent auditor, advised the Audit Committee that its audit included procedures designed to provide reasonable assurance for detection of illegal acts that would have a direct and material effect on the determination of financial statement amounts and procedures designed to identify related party transactions that are material to the financial statements or otherwise require disclosure in those statements.</w:t>
        <w:br/>
        <w:t> </w:t>
      </w:r>
      <w:r>
        <w:rPr/>
        <w:t xml:space="preserve"> </w:t>
      </w:r>
    </w:p>
    <w:p>
      <w:pPr>
        <w:pStyle w:val="TextBody"/>
        <w:numPr>
          <w:ilvl w:val="0"/>
          <w:numId w:val="6"/>
        </w:numPr>
        <w:tabs>
          <w:tab w:val="clear" w:pos="1134"/>
          <w:tab w:val="left" w:pos="707" w:leader="none"/>
        </w:tabs>
        <w:spacing w:before="0" w:after="0"/>
        <w:ind w:left="707" w:hanging="283"/>
        <w:jc w:val="both"/>
        <w:rPr/>
      </w:pPr>
      <w:r>
        <w:rPr>
          <w:sz w:val="20"/>
        </w:rPr>
        <w:t>On a quarterly basis, reviewed the fiscal 2007 unaudited quarterly financial statements and related news releases with management, including the Companys chief financial officer and its internal audit manager, and the independent auditor prior to their public issuance. At these meetings, the Audit Committee also discussed significant financial reporting issues and judgments made in connection with the preparation of our financial statements and reviewed the specific disclosures to be included under Managements Discussion and Analysis of Financial Condition and Results of Operations in the Companys Quarterly Reports on Form 10-Q.</w:t>
        <w:br/>
        <w:t> </w:t>
      </w:r>
      <w:r>
        <w:rPr/>
        <w:t xml:space="preserve"> </w:t>
      </w:r>
    </w:p>
    <w:p>
      <w:pPr>
        <w:pStyle w:val="TextBody"/>
        <w:numPr>
          <w:ilvl w:val="0"/>
          <w:numId w:val="6"/>
        </w:numPr>
        <w:tabs>
          <w:tab w:val="clear" w:pos="1134"/>
          <w:tab w:val="left" w:pos="707" w:leader="none"/>
        </w:tabs>
        <w:ind w:left="707" w:hanging="283"/>
        <w:jc w:val="both"/>
        <w:rPr/>
      </w:pPr>
      <w:r>
        <w:rPr>
          <w:rFonts w:ascii="serif" w:hAnsi="serif"/>
          <w:sz w:val="20"/>
        </w:rPr>
        <w:t>Reviewed and discussed the audited annual financial statements with management, including the Companys chief financial officer and its internal audit manager, and our independent auditor prior to their issuance. The Audit Committee also reviewed significant financial reporting issues and judgments made in connection with the preparation of the Companys annual financial statements.</w:t>
      </w:r>
      <w:r>
        <w:rPr/>
        <w:t> </w:t>
      </w:r>
    </w:p>
    <w:p>
      <w:pPr>
        <w:pStyle w:val="TextBody"/>
        <w:jc w:val="center"/>
        <w:rPr>
          <w:rFonts w:ascii="serif" w:hAnsi="serif"/>
          <w:sz w:val="20"/>
        </w:rPr>
      </w:pPr>
      <w:r>
        <w:rPr>
          <w:rFonts w:ascii="serif" w:hAnsi="serif"/>
          <w:sz w:val="20"/>
        </w:rPr>
        <w:t>17</w:t>
      </w:r>
    </w:p>
    <w:p>
      <w:pPr>
        <w:pStyle w:val="HorizontalLine"/>
        <w:pBdr>
          <w:bottom w:val="single" w:sz="12" w:space="0" w:color="808080"/>
        </w:pBdr>
        <w:rPr/>
      </w:pPr>
      <w:r>
        <w:rPr/>
      </w:r>
    </w:p>
    <w:p>
      <w:pPr>
        <w:pStyle w:val="TextBody"/>
        <w:rPr/>
      </w:pPr>
      <w:r>
        <w:rPr/>
      </w:r>
    </w:p>
    <w:p>
      <w:pPr>
        <w:pStyle w:val="TextBody"/>
        <w:numPr>
          <w:ilvl w:val="0"/>
          <w:numId w:val="7"/>
        </w:numPr>
        <w:tabs>
          <w:tab w:val="clear" w:pos="1134"/>
          <w:tab w:val="left" w:pos="707" w:leader="none"/>
        </w:tabs>
        <w:spacing w:before="0" w:after="0"/>
        <w:ind w:left="707" w:hanging="283"/>
        <w:jc w:val="both"/>
        <w:rPr/>
      </w:pPr>
      <w:r>
        <w:rPr>
          <w:sz w:val="20"/>
        </w:rPr>
        <w:t>Reviewed and discussed a draft of the Companys proposed news release announcing its fiscal 2007 results, and reviewed a draft the Companys Annual Report on Form 10-K (including the specific disclosures to be included under Managements Discussion and Analysis of Financial Condition and Results of Operations in that report) with management, including the Companys chief financial officer and its internal audit manager, and the independent auditor prior to their public issuance.</w:t>
        <w:br/>
        <w:t> </w:t>
      </w:r>
      <w:r>
        <w:rPr/>
        <w:t xml:space="preserve"> </w:t>
      </w:r>
    </w:p>
    <w:p>
      <w:pPr>
        <w:pStyle w:val="TextBody"/>
        <w:numPr>
          <w:ilvl w:val="0"/>
          <w:numId w:val="7"/>
        </w:numPr>
        <w:tabs>
          <w:tab w:val="clear" w:pos="1134"/>
          <w:tab w:val="left" w:pos="707" w:leader="none"/>
        </w:tabs>
        <w:spacing w:before="0" w:after="0"/>
        <w:ind w:left="707" w:hanging="283"/>
        <w:jc w:val="both"/>
        <w:rPr/>
      </w:pPr>
      <w:r>
        <w:rPr>
          <w:sz w:val="20"/>
        </w:rPr>
        <w:t>Discussed with management and the independent auditor their comments on the Companys internal control over financial reporting and compliance with the Companys internal controls.</w:t>
        <w:br/>
        <w:t> </w:t>
      </w:r>
      <w:r>
        <w:rPr/>
        <w:t xml:space="preserve"> </w:t>
      </w:r>
    </w:p>
    <w:p>
      <w:pPr>
        <w:pStyle w:val="TextBody"/>
        <w:numPr>
          <w:ilvl w:val="0"/>
          <w:numId w:val="7"/>
        </w:numPr>
        <w:tabs>
          <w:tab w:val="clear" w:pos="1134"/>
          <w:tab w:val="left" w:pos="707" w:leader="none"/>
        </w:tabs>
        <w:spacing w:before="0" w:after="0"/>
        <w:ind w:left="707" w:hanging="283"/>
        <w:jc w:val="both"/>
        <w:rPr/>
      </w:pPr>
      <w:r>
        <w:rPr>
          <w:sz w:val="20"/>
        </w:rPr>
        <w:t>Received from PricewaterhouseCoopers LLP its Report of Independent Registered Public Accounting Firm included in the Companys Annual Report on Form 10-K related to its audit of the Companys consolidated financial statements and the Companys internal control over financial reporting.</w:t>
        <w:br/>
        <w:t> </w:t>
      </w:r>
      <w:r>
        <w:rPr/>
        <w:t xml:space="preserve"> </w:t>
      </w:r>
    </w:p>
    <w:p>
      <w:pPr>
        <w:pStyle w:val="TextBody"/>
        <w:numPr>
          <w:ilvl w:val="0"/>
          <w:numId w:val="7"/>
        </w:numPr>
        <w:tabs>
          <w:tab w:val="clear" w:pos="1134"/>
          <w:tab w:val="left" w:pos="707" w:leader="none"/>
        </w:tabs>
        <w:spacing w:before="0" w:after="0"/>
        <w:ind w:left="707" w:hanging="283"/>
        <w:jc w:val="both"/>
        <w:rPr/>
      </w:pPr>
      <w:r>
        <w:rPr>
          <w:sz w:val="20"/>
        </w:rPr>
        <w:t>Met with management, including the Companys chief financial officer, and then separately with the independent auditor, to discuss their respective views of the conduct of the audit and of any significant issues encountered.</w:t>
        <w:br/>
        <w:t> </w:t>
      </w:r>
      <w:r>
        <w:rPr/>
        <w:t xml:space="preserve"> </w:t>
      </w:r>
    </w:p>
    <w:p>
      <w:pPr>
        <w:pStyle w:val="TextBody"/>
        <w:numPr>
          <w:ilvl w:val="0"/>
          <w:numId w:val="7"/>
        </w:numPr>
        <w:tabs>
          <w:tab w:val="clear" w:pos="1134"/>
          <w:tab w:val="left" w:pos="707" w:leader="none"/>
        </w:tabs>
        <w:spacing w:before="0" w:after="0"/>
        <w:ind w:left="707" w:hanging="283"/>
        <w:jc w:val="both"/>
        <w:rPr/>
      </w:pPr>
      <w:r>
        <w:rPr>
          <w:sz w:val="20"/>
        </w:rPr>
        <w:t>Reviewed a report on pending litigation and other legal matters from the Companys general counsel.</w:t>
        <w:br/>
        <w:t> </w:t>
      </w:r>
      <w:r>
        <w:rPr/>
        <w:t xml:space="preserve"> </w:t>
      </w:r>
    </w:p>
    <w:p>
      <w:pPr>
        <w:pStyle w:val="TextBody"/>
        <w:numPr>
          <w:ilvl w:val="0"/>
          <w:numId w:val="7"/>
        </w:numPr>
        <w:tabs>
          <w:tab w:val="clear" w:pos="1134"/>
          <w:tab w:val="left" w:pos="707" w:leader="none"/>
        </w:tabs>
        <w:spacing w:before="0" w:after="0"/>
        <w:ind w:left="707" w:hanging="283"/>
        <w:jc w:val="both"/>
        <w:rPr/>
      </w:pPr>
      <w:r>
        <w:rPr>
          <w:sz w:val="20"/>
        </w:rPr>
        <w:t xml:space="preserve">Discussed with PricewaterhouseCoopers LLP the matters required to be discussed by Statement on Auditing Standards No. 61, as amended </w:t>
      </w:r>
      <w:r>
        <w:rPr>
          <w:rFonts w:ascii="serif" w:hAnsi="serif"/>
          <w:i/>
          <w:sz w:val="20"/>
        </w:rPr>
        <w:t>(Communication with Audit Committee)</w:t>
      </w:r>
      <w:r>
        <w:rPr>
          <w:sz w:val="20"/>
        </w:rPr>
        <w:t xml:space="preserve"> </w:t>
      </w:r>
      <w:r>
        <w:rPr>
          <w:rFonts w:ascii="serif" w:hAnsi="serif"/>
          <w:sz w:val="20"/>
        </w:rPr>
        <w:t>and Rule 2-07 under SEC Regulation S-X as well as relevant new Financial Accounting Standards affecting the Companys audited financial statements.</w:t>
        <w:br/>
        <w:t> </w:t>
      </w:r>
      <w:r>
        <w:rPr/>
        <w:t xml:space="preserve"> </w:t>
      </w:r>
    </w:p>
    <w:p>
      <w:pPr>
        <w:pStyle w:val="TextBody"/>
        <w:numPr>
          <w:ilvl w:val="0"/>
          <w:numId w:val="7"/>
        </w:numPr>
        <w:tabs>
          <w:tab w:val="clear" w:pos="1134"/>
          <w:tab w:val="left" w:pos="707" w:leader="none"/>
        </w:tabs>
        <w:spacing w:before="0" w:after="0"/>
        <w:ind w:left="707" w:hanging="283"/>
        <w:jc w:val="both"/>
        <w:rPr/>
      </w:pPr>
      <w:r>
        <w:rPr>
          <w:sz w:val="20"/>
        </w:rPr>
        <w:t xml:space="preserve">Received from the independent auditor the written disclosures required by Public Company Accounting Oversight Board Rule 3600T, which adopts on an interim basis Independence Standards Board Standard No. 1 </w:t>
      </w:r>
      <w:r>
        <w:rPr>
          <w:rFonts w:ascii="serif" w:hAnsi="serif"/>
          <w:i/>
          <w:sz w:val="20"/>
        </w:rPr>
        <w:t>(Independence Discussions with Audit Committees)</w:t>
      </w:r>
      <w:r>
        <w:rPr>
          <w:rFonts w:ascii="serif" w:hAnsi="serif"/>
          <w:sz w:val="20"/>
        </w:rPr>
        <w:t>.</w:t>
        <w:br/>
        <w:t> </w:t>
      </w:r>
      <w:r>
        <w:rPr/>
        <w:t xml:space="preserve"> </w:t>
      </w:r>
    </w:p>
    <w:p>
      <w:pPr>
        <w:pStyle w:val="TextBody"/>
        <w:numPr>
          <w:ilvl w:val="0"/>
          <w:numId w:val="7"/>
        </w:numPr>
        <w:tabs>
          <w:tab w:val="clear" w:pos="1134"/>
          <w:tab w:val="left" w:pos="707" w:leader="none"/>
        </w:tabs>
        <w:ind w:left="707" w:hanging="283"/>
        <w:jc w:val="both"/>
        <w:rPr/>
      </w:pPr>
      <w:r>
        <w:rPr>
          <w:sz w:val="20"/>
        </w:rPr>
        <w:t>Monitored the services provided by the Companys independent auditor, pre-approved all audit-related and tax services, discussed with the independent auditor the effect of the non-audit services performed on auditor independence, and concluded that the provision of such services by PricewaterhouseCoopers LLP was compatible with the maintenance of that firms independence in conducting its auditing functions.</w:t>
      </w:r>
      <w:r>
        <w:rPr/>
        <w:t> </w:t>
      </w:r>
    </w:p>
    <w:p>
      <w:pPr>
        <w:pStyle w:val="TextBody"/>
        <w:jc w:val="both"/>
        <w:rPr/>
      </w:pPr>
      <w:r>
        <w:rPr/>
        <w:t xml:space="preserve">      </w:t>
      </w:r>
      <w:r>
        <w:rPr>
          <w:rFonts w:ascii="serif" w:hAnsi="serif"/>
          <w:sz w:val="20"/>
        </w:rPr>
        <w:t>Based on the foregoing, the Audit Committee recommended to the Board of Directors that the audited financial statements for fiscal year 2007 be included in the Companys Annual Report on Form 10-K for the fiscal year ended July 31, 2007.</w:t>
      </w:r>
    </w:p>
    <w:p>
      <w:pPr>
        <w:pStyle w:val="TextBody"/>
        <w:jc w:val="both"/>
        <w:rPr/>
      </w:pPr>
      <w:r>
        <w:rPr/>
        <w:t xml:space="preserve">      </w:t>
      </w:r>
      <w:r>
        <w:rPr>
          <w:rFonts w:ascii="serif" w:hAnsi="serif"/>
          <w:sz w:val="20"/>
        </w:rPr>
        <w:t>The Audit Committee has appointed PricewaterhouseCoopers LLP as the Companys independent auditor for the fiscal year ending July 31, 2008, and resolved that the appointment be presented to the Companys stockholders for ratification at the 2007 Annual Meeting.</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AUDIT COMMITTEE</w:t>
            </w:r>
            <w:r>
              <w:rPr/>
              <w:t> </w:t>
            </w:r>
          </w:p>
        </w:tc>
      </w:tr>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rPr/>
            </w:pPr>
            <w:r>
              <w:rPr/>
              <w:t> </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J. Steven Cole, Chairman</w:t>
            </w:r>
            <w:r>
              <w:rPr/>
              <w:t> </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Arnold W. Donald</w:t>
            </w:r>
            <w:r>
              <w:rPr/>
              <w:t> </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Paul E. Suckow</w:t>
            </w:r>
            <w:r>
              <w:rPr/>
              <w:t> </w:t>
            </w:r>
          </w:p>
        </w:tc>
      </w:tr>
    </w:tbl>
    <w:p>
      <w:pPr>
        <w:pStyle w:val="TextBody"/>
        <w:rPr/>
      </w:pPr>
      <w:r>
        <w:rPr/>
      </w:r>
    </w:p>
    <w:p>
      <w:pPr>
        <w:pStyle w:val="TextBody"/>
        <w:jc w:val="center"/>
        <w:rPr>
          <w:rFonts w:ascii="serif" w:hAnsi="serif"/>
          <w:sz w:val="20"/>
        </w:rPr>
      </w:pPr>
      <w:r>
        <w:rPr>
          <w:rFonts w:ascii="serif" w:hAnsi="serif"/>
          <w:sz w:val="20"/>
        </w:rPr>
        <w:t>18</w:t>
      </w:r>
    </w:p>
    <w:p>
      <w:pPr>
        <w:pStyle w:val="HorizontalLine"/>
        <w:pBdr>
          <w:bottom w:val="single" w:sz="12" w:space="0" w:color="808080"/>
        </w:pBdr>
        <w:rPr/>
      </w:pPr>
      <w:r>
        <w:rPr/>
      </w:r>
    </w:p>
    <w:p>
      <w:pPr>
        <w:pStyle w:val="TextBody"/>
        <w:jc w:val="center"/>
        <w:rPr>
          <w:rFonts w:ascii="serif" w:hAnsi="serif"/>
          <w:b/>
          <w:sz w:val="28"/>
        </w:rPr>
      </w:pPr>
      <w:r>
        <w:rPr>
          <w:rFonts w:ascii="serif" w:hAnsi="serif"/>
          <w:b/>
          <w:sz w:val="28"/>
        </w:rPr>
        <w:t>EXECUTIVE OFFICERS OF OIL-DRI</w:t>
      </w:r>
    </w:p>
    <w:p>
      <w:pPr>
        <w:pStyle w:val="TextBody"/>
        <w:jc w:val="both"/>
        <w:rPr/>
      </w:pPr>
      <w:r>
        <w:rPr/>
        <w:t xml:space="preserve">      </w:t>
      </w:r>
      <w:r>
        <w:rPr>
          <w:rFonts w:ascii="serif" w:hAnsi="serif"/>
          <w:sz w:val="20"/>
        </w:rPr>
        <w:t>The following table gives certain information with respect to our executive officers.</w:t>
      </w:r>
    </w:p>
    <w:tbl>
      <w:tblPr>
        <w:tblW w:w="4750" w:type="pct"/>
        <w:jc w:val="center"/>
        <w:tblInd w:w="0" w:type="dxa"/>
        <w:tblCellMar>
          <w:top w:w="0" w:type="dxa"/>
          <w:left w:w="0" w:type="dxa"/>
          <w:bottom w:w="28" w:type="dxa"/>
          <w:right w:w="0" w:type="dxa"/>
        </w:tblCellMar>
      </w:tblPr>
      <w:tblGrid>
        <w:gridCol w:w="2119"/>
        <w:gridCol w:w="426"/>
        <w:gridCol w:w="6290"/>
        <w:gridCol w:w="426"/>
        <w:gridCol w:w="433"/>
      </w:tblGrid>
      <w:tr>
        <w:trPr/>
        <w:tc>
          <w:tcPr>
            <w:tcW w:w="2119" w:type="dxa"/>
            <w:tcBorders>
              <w:bottom w:val="single" w:sz="8" w:space="0" w:color="000000"/>
            </w:tcBorders>
            <w:shd w:fill="auto" w:val="clear"/>
            <w:vAlign w:val="bottom"/>
          </w:tcPr>
          <w:p>
            <w:pPr>
              <w:pStyle w:val="TableContents"/>
              <w:spacing w:before="0" w:after="283"/>
              <w:jc w:val="left"/>
              <w:rPr/>
            </w:pPr>
            <w:r>
              <w:rPr>
                <w:rFonts w:ascii="serif" w:hAnsi="serif"/>
                <w:b/>
                <w:sz w:val="20"/>
              </w:rPr>
              <w:t>Name</w:t>
            </w:r>
            <w:r>
              <w:rPr/>
              <w:t> </w:t>
            </w:r>
          </w:p>
        </w:tc>
        <w:tc>
          <w:tcPr>
            <w:tcW w:w="426" w:type="dxa"/>
            <w:tcBorders>
              <w:bottom w:val="single" w:sz="8" w:space="0" w:color="000000"/>
            </w:tcBorders>
            <w:shd w:fill="auto" w:val="clear"/>
            <w:vAlign w:val="bottom"/>
          </w:tcPr>
          <w:p>
            <w:pPr>
              <w:pStyle w:val="TableContents"/>
              <w:spacing w:before="0" w:after="283"/>
              <w:jc w:val="left"/>
              <w:rPr/>
            </w:pPr>
            <w:r>
              <w:rPr/>
              <w:t>       </w:t>
            </w:r>
          </w:p>
        </w:tc>
        <w:tc>
          <w:tcPr>
            <w:tcW w:w="6290" w:type="dxa"/>
            <w:tcBorders>
              <w:bottom w:val="single" w:sz="8" w:space="0" w:color="000000"/>
            </w:tcBorders>
            <w:shd w:fill="auto" w:val="clear"/>
            <w:vAlign w:val="bottom"/>
          </w:tcPr>
          <w:p>
            <w:pPr>
              <w:pStyle w:val="TableContents"/>
              <w:spacing w:before="0" w:after="283"/>
              <w:jc w:val="left"/>
              <w:rPr/>
            </w:pPr>
            <w:r>
              <w:rPr>
                <w:rFonts w:ascii="serif" w:hAnsi="serif"/>
                <w:b/>
                <w:sz w:val="20"/>
              </w:rPr>
              <w:t>Principal Occupation for Last Five Years</w:t>
            </w:r>
            <w:r>
              <w:rPr/>
              <w:t> </w:t>
            </w:r>
          </w:p>
        </w:tc>
        <w:tc>
          <w:tcPr>
            <w:tcW w:w="426" w:type="dxa"/>
            <w:tcBorders>
              <w:bottom w:val="single" w:sz="8" w:space="0" w:color="000000"/>
            </w:tcBorders>
            <w:shd w:fill="auto" w:val="clear"/>
            <w:vAlign w:val="bottom"/>
          </w:tcPr>
          <w:p>
            <w:pPr>
              <w:pStyle w:val="TableContents"/>
              <w:spacing w:before="0" w:after="283"/>
              <w:jc w:val="left"/>
              <w:rPr/>
            </w:pPr>
            <w:r>
              <w:rPr/>
              <w:t>       </w:t>
            </w:r>
          </w:p>
        </w:tc>
        <w:tc>
          <w:tcPr>
            <w:tcW w:w="433" w:type="dxa"/>
            <w:tcBorders>
              <w:bottom w:val="single" w:sz="8" w:space="0" w:color="000000"/>
            </w:tcBorders>
            <w:shd w:fill="auto" w:val="clear"/>
            <w:vAlign w:val="bottom"/>
          </w:tcPr>
          <w:p>
            <w:pPr>
              <w:pStyle w:val="TableContents"/>
              <w:spacing w:before="0" w:after="283"/>
              <w:jc w:val="center"/>
              <w:rPr>
                <w:rFonts w:ascii="serif" w:hAnsi="serif"/>
                <w:b/>
                <w:sz w:val="20"/>
              </w:rPr>
            </w:pPr>
            <w:r>
              <w:rPr>
                <w:rFonts w:ascii="serif" w:hAnsi="serif"/>
                <w:b/>
                <w:sz w:val="20"/>
              </w:rPr>
              <w:t>Age</w:t>
            </w:r>
          </w:p>
        </w:tc>
      </w:tr>
      <w:tr>
        <w:trPr/>
        <w:tc>
          <w:tcPr>
            <w:tcW w:w="2119"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Daniel S. Jaffee (1)</w:t>
            </w:r>
          </w:p>
        </w:tc>
        <w:tc>
          <w:tcPr>
            <w:tcW w:w="426" w:type="dxa"/>
            <w:tcBorders/>
            <w:shd w:fill="C0C0C0" w:val="clear"/>
            <w:tcMar>
              <w:bottom w:w="0" w:type="dxa"/>
            </w:tcMar>
          </w:tcPr>
          <w:p>
            <w:pPr>
              <w:pStyle w:val="TableContents"/>
              <w:spacing w:before="0" w:after="283"/>
              <w:jc w:val="left"/>
              <w:rPr/>
            </w:pPr>
            <w:r>
              <w:rPr/>
              <w:t> </w:t>
            </w:r>
          </w:p>
        </w:tc>
        <w:tc>
          <w:tcPr>
            <w:tcW w:w="6290"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President and Chief Executive Officer of Oil-Dri since 1997.</w:t>
            </w:r>
          </w:p>
        </w:tc>
        <w:tc>
          <w:tcPr>
            <w:tcW w:w="426" w:type="dxa"/>
            <w:tcBorders/>
            <w:shd w:fill="C0C0C0" w:val="clear"/>
            <w:tcMar>
              <w:bottom w:w="0" w:type="dxa"/>
            </w:tcMar>
          </w:tcPr>
          <w:p>
            <w:pPr>
              <w:pStyle w:val="TableContents"/>
              <w:spacing w:before="0" w:after="283"/>
              <w:rPr>
                <w:sz w:val="4"/>
                <w:szCs w:val="4"/>
              </w:rPr>
            </w:pPr>
            <w:r>
              <w:rPr>
                <w:sz w:val="4"/>
                <w:szCs w:val="4"/>
              </w:rPr>
            </w:r>
          </w:p>
        </w:tc>
        <w:tc>
          <w:tcPr>
            <w:tcW w:w="433" w:type="dxa"/>
            <w:tcBorders/>
            <w:shd w:fill="C0C0C0" w:val="clear"/>
            <w:tcMar>
              <w:bottom w:w="0" w:type="dxa"/>
            </w:tcMar>
          </w:tcPr>
          <w:p>
            <w:pPr>
              <w:pStyle w:val="TableContents"/>
              <w:spacing w:before="0" w:after="283"/>
              <w:jc w:val="center"/>
              <w:rPr>
                <w:rFonts w:ascii="serif" w:hAnsi="serif"/>
                <w:sz w:val="20"/>
              </w:rPr>
            </w:pPr>
            <w:r>
              <w:rPr>
                <w:rFonts w:ascii="serif" w:hAnsi="serif"/>
                <w:sz w:val="20"/>
              </w:rPr>
              <w:t>43</w:t>
            </w:r>
          </w:p>
        </w:tc>
      </w:tr>
      <w:tr>
        <w:trPr/>
        <w:tc>
          <w:tcPr>
            <w:tcW w:w="2119" w:type="dxa"/>
            <w:tcBorders/>
            <w:shd w:fill="auto" w:val="clear"/>
            <w:tcMar>
              <w:bottom w:w="0" w:type="dxa"/>
            </w:tcMar>
          </w:tcPr>
          <w:p>
            <w:pPr>
              <w:pStyle w:val="TableContents"/>
              <w:spacing w:before="0" w:after="283"/>
              <w:jc w:val="left"/>
              <w:rPr>
                <w:rFonts w:ascii="serif" w:hAnsi="serif"/>
                <w:sz w:val="20"/>
              </w:rPr>
            </w:pPr>
            <w:r>
              <w:rPr>
                <w:rFonts w:ascii="serif" w:hAnsi="serif"/>
                <w:sz w:val="20"/>
              </w:rPr>
              <w:t>Brian K. Bancroft</w:t>
            </w:r>
          </w:p>
        </w:tc>
        <w:tc>
          <w:tcPr>
            <w:tcW w:w="426" w:type="dxa"/>
            <w:tcBorders/>
            <w:shd w:fill="auto" w:val="clear"/>
            <w:tcMar>
              <w:bottom w:w="0" w:type="dxa"/>
            </w:tcMar>
          </w:tcPr>
          <w:p>
            <w:pPr>
              <w:pStyle w:val="TableContents"/>
              <w:spacing w:before="0" w:after="283"/>
              <w:jc w:val="left"/>
              <w:rPr/>
            </w:pPr>
            <w:r>
              <w:rPr/>
              <w:t> </w:t>
            </w:r>
          </w:p>
        </w:tc>
        <w:tc>
          <w:tcPr>
            <w:tcW w:w="6290" w:type="dxa"/>
            <w:tcBorders/>
            <w:shd w:fill="auto" w:val="clear"/>
            <w:tcMar>
              <w:bottom w:w="0" w:type="dxa"/>
            </w:tcMar>
          </w:tcPr>
          <w:p>
            <w:pPr>
              <w:pStyle w:val="TableContents"/>
              <w:spacing w:before="0" w:after="283"/>
              <w:jc w:val="left"/>
              <w:rPr>
                <w:rFonts w:ascii="serif" w:hAnsi="serif"/>
                <w:sz w:val="20"/>
              </w:rPr>
            </w:pPr>
            <w:r>
              <w:rPr>
                <w:rFonts w:ascii="serif" w:hAnsi="serif"/>
                <w:sz w:val="20"/>
              </w:rPr>
              <w:t>Vice President and Chief Procurement Officer of Oil-Dri since February 2005; Director Supply Management, Sara Lee Corporation from November 2000 to February 2005.</w:t>
            </w:r>
          </w:p>
        </w:tc>
        <w:tc>
          <w:tcPr>
            <w:tcW w:w="426" w:type="dxa"/>
            <w:tcBorders/>
            <w:shd w:fill="auto" w:val="clear"/>
            <w:tcMar>
              <w:bottom w:w="0" w:type="dxa"/>
            </w:tcMar>
          </w:tcPr>
          <w:p>
            <w:pPr>
              <w:pStyle w:val="TableContents"/>
              <w:spacing w:before="0" w:after="283"/>
              <w:jc w:val="left"/>
              <w:rPr/>
            </w:pPr>
            <w:r>
              <w:rPr/>
              <w:t> </w:t>
            </w:r>
          </w:p>
        </w:tc>
        <w:tc>
          <w:tcPr>
            <w:tcW w:w="433" w:type="dxa"/>
            <w:tcBorders/>
            <w:shd w:fill="auto" w:val="clear"/>
            <w:tcMar>
              <w:bottom w:w="0" w:type="dxa"/>
            </w:tcMar>
          </w:tcPr>
          <w:p>
            <w:pPr>
              <w:pStyle w:val="TableContents"/>
              <w:spacing w:before="0" w:after="283"/>
              <w:jc w:val="center"/>
              <w:rPr>
                <w:rFonts w:ascii="serif" w:hAnsi="serif"/>
                <w:sz w:val="20"/>
              </w:rPr>
            </w:pPr>
            <w:r>
              <w:rPr>
                <w:rFonts w:ascii="serif" w:hAnsi="serif"/>
                <w:sz w:val="20"/>
              </w:rPr>
              <w:t>40</w:t>
            </w:r>
          </w:p>
        </w:tc>
      </w:tr>
      <w:tr>
        <w:trPr/>
        <w:tc>
          <w:tcPr>
            <w:tcW w:w="2119"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Charles P. Brissman</w:t>
            </w:r>
          </w:p>
        </w:tc>
        <w:tc>
          <w:tcPr>
            <w:tcW w:w="426" w:type="dxa"/>
            <w:tcBorders/>
            <w:shd w:fill="C0C0C0" w:val="clear"/>
            <w:tcMar>
              <w:bottom w:w="0" w:type="dxa"/>
            </w:tcMar>
          </w:tcPr>
          <w:p>
            <w:pPr>
              <w:pStyle w:val="TableContents"/>
              <w:spacing w:before="0" w:after="283"/>
              <w:jc w:val="left"/>
              <w:rPr/>
            </w:pPr>
            <w:r>
              <w:rPr/>
              <w:t> </w:t>
            </w:r>
          </w:p>
        </w:tc>
        <w:tc>
          <w:tcPr>
            <w:tcW w:w="6290"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Vice President, General Counsel and Secretary of Oil-Dri since October 2002; Chief Counsel, Corporate Development and Asset Distribution, and Chief Litigation Counsel, Heller Financial, Inc. from April 1998 to October 2002.</w:t>
            </w:r>
          </w:p>
        </w:tc>
        <w:tc>
          <w:tcPr>
            <w:tcW w:w="426" w:type="dxa"/>
            <w:tcBorders/>
            <w:shd w:fill="C0C0C0" w:val="clear"/>
            <w:tcMar>
              <w:bottom w:w="0" w:type="dxa"/>
            </w:tcMar>
          </w:tcPr>
          <w:p>
            <w:pPr>
              <w:pStyle w:val="TableContents"/>
              <w:spacing w:before="0" w:after="283"/>
              <w:rPr>
                <w:sz w:val="4"/>
                <w:szCs w:val="4"/>
              </w:rPr>
            </w:pPr>
            <w:r>
              <w:rPr>
                <w:sz w:val="4"/>
                <w:szCs w:val="4"/>
              </w:rPr>
            </w:r>
          </w:p>
        </w:tc>
        <w:tc>
          <w:tcPr>
            <w:tcW w:w="433" w:type="dxa"/>
            <w:tcBorders/>
            <w:shd w:fill="C0C0C0" w:val="clear"/>
            <w:tcMar>
              <w:bottom w:w="0" w:type="dxa"/>
            </w:tcMar>
          </w:tcPr>
          <w:p>
            <w:pPr>
              <w:pStyle w:val="TableContents"/>
              <w:spacing w:before="0" w:after="283"/>
              <w:jc w:val="center"/>
              <w:rPr>
                <w:rFonts w:ascii="serif" w:hAnsi="serif"/>
                <w:sz w:val="20"/>
              </w:rPr>
            </w:pPr>
            <w:r>
              <w:rPr>
                <w:rFonts w:ascii="serif" w:hAnsi="serif"/>
                <w:sz w:val="20"/>
              </w:rPr>
              <w:t>47</w:t>
            </w:r>
          </w:p>
        </w:tc>
      </w:tr>
      <w:tr>
        <w:trPr/>
        <w:tc>
          <w:tcPr>
            <w:tcW w:w="2119" w:type="dxa"/>
            <w:tcBorders/>
            <w:shd w:fill="auto" w:val="clear"/>
            <w:tcMar>
              <w:bottom w:w="0" w:type="dxa"/>
            </w:tcMar>
          </w:tcPr>
          <w:p>
            <w:pPr>
              <w:pStyle w:val="TableContents"/>
              <w:spacing w:before="0" w:after="283"/>
              <w:jc w:val="left"/>
              <w:rPr>
                <w:rFonts w:ascii="serif" w:hAnsi="serif"/>
                <w:sz w:val="20"/>
              </w:rPr>
            </w:pPr>
            <w:r>
              <w:rPr>
                <w:rFonts w:ascii="serif" w:hAnsi="serif"/>
                <w:sz w:val="20"/>
              </w:rPr>
              <w:t>Thomas F. Cofsky (2)</w:t>
            </w:r>
          </w:p>
        </w:tc>
        <w:tc>
          <w:tcPr>
            <w:tcW w:w="426" w:type="dxa"/>
            <w:tcBorders/>
            <w:shd w:fill="auto" w:val="clear"/>
            <w:tcMar>
              <w:bottom w:w="0" w:type="dxa"/>
            </w:tcMar>
          </w:tcPr>
          <w:p>
            <w:pPr>
              <w:pStyle w:val="TableContents"/>
              <w:spacing w:before="0" w:after="283"/>
              <w:jc w:val="left"/>
              <w:rPr/>
            </w:pPr>
            <w:r>
              <w:rPr/>
              <w:t> </w:t>
            </w:r>
          </w:p>
        </w:tc>
        <w:tc>
          <w:tcPr>
            <w:tcW w:w="6290" w:type="dxa"/>
            <w:tcBorders/>
            <w:shd w:fill="auto" w:val="clear"/>
            <w:tcMar>
              <w:bottom w:w="0" w:type="dxa"/>
            </w:tcMar>
          </w:tcPr>
          <w:p>
            <w:pPr>
              <w:pStyle w:val="TableContents"/>
              <w:spacing w:before="0" w:after="283"/>
              <w:jc w:val="left"/>
              <w:rPr>
                <w:rFonts w:ascii="serif" w:hAnsi="serif"/>
                <w:sz w:val="20"/>
              </w:rPr>
            </w:pPr>
            <w:r>
              <w:rPr>
                <w:rFonts w:ascii="serif" w:hAnsi="serif"/>
                <w:sz w:val="20"/>
              </w:rPr>
              <w:t>Vice President of Manufacturing and Logistics of Oil-Dri since June 1999.</w:t>
            </w:r>
          </w:p>
        </w:tc>
        <w:tc>
          <w:tcPr>
            <w:tcW w:w="426" w:type="dxa"/>
            <w:tcBorders/>
            <w:shd w:fill="auto" w:val="clear"/>
            <w:tcMar>
              <w:bottom w:w="0" w:type="dxa"/>
            </w:tcMar>
          </w:tcPr>
          <w:p>
            <w:pPr>
              <w:pStyle w:val="TableContents"/>
              <w:spacing w:before="0" w:after="283"/>
              <w:rPr>
                <w:sz w:val="4"/>
                <w:szCs w:val="4"/>
              </w:rPr>
            </w:pPr>
            <w:r>
              <w:rPr>
                <w:sz w:val="4"/>
                <w:szCs w:val="4"/>
              </w:rPr>
            </w:r>
          </w:p>
        </w:tc>
        <w:tc>
          <w:tcPr>
            <w:tcW w:w="433" w:type="dxa"/>
            <w:tcBorders/>
            <w:shd w:fill="auto" w:val="clear"/>
            <w:tcMar>
              <w:bottom w:w="0" w:type="dxa"/>
            </w:tcMar>
          </w:tcPr>
          <w:p>
            <w:pPr>
              <w:pStyle w:val="TableContents"/>
              <w:spacing w:before="0" w:after="283"/>
              <w:jc w:val="center"/>
              <w:rPr>
                <w:rFonts w:ascii="serif" w:hAnsi="serif"/>
                <w:sz w:val="20"/>
              </w:rPr>
            </w:pPr>
            <w:r>
              <w:rPr>
                <w:rFonts w:ascii="serif" w:hAnsi="serif"/>
                <w:sz w:val="20"/>
              </w:rPr>
              <w:t>46</w:t>
            </w:r>
          </w:p>
        </w:tc>
      </w:tr>
      <w:tr>
        <w:trPr/>
        <w:tc>
          <w:tcPr>
            <w:tcW w:w="2119"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Jeffrey M. Libert</w:t>
            </w:r>
          </w:p>
        </w:tc>
        <w:tc>
          <w:tcPr>
            <w:tcW w:w="426" w:type="dxa"/>
            <w:tcBorders/>
            <w:shd w:fill="C0C0C0" w:val="clear"/>
            <w:tcMar>
              <w:bottom w:w="0" w:type="dxa"/>
            </w:tcMar>
          </w:tcPr>
          <w:p>
            <w:pPr>
              <w:pStyle w:val="TableContents"/>
              <w:spacing w:before="0" w:after="283"/>
              <w:jc w:val="left"/>
              <w:rPr/>
            </w:pPr>
            <w:r>
              <w:rPr/>
              <w:t> </w:t>
            </w:r>
          </w:p>
        </w:tc>
        <w:tc>
          <w:tcPr>
            <w:tcW w:w="6290" w:type="dxa"/>
            <w:tcBorders/>
            <w:shd w:fill="C0C0C0" w:val="clear"/>
            <w:tcMar>
              <w:bottom w:w="0" w:type="dxa"/>
            </w:tcMar>
          </w:tcPr>
          <w:p>
            <w:pPr>
              <w:pStyle w:val="TableContents"/>
              <w:spacing w:before="0" w:after="283"/>
              <w:jc w:val="left"/>
              <w:rPr>
                <w:rFonts w:ascii="serif" w:hAnsi="serif"/>
                <w:sz w:val="20"/>
              </w:rPr>
            </w:pPr>
            <w:r>
              <w:rPr>
                <w:rFonts w:ascii="serif" w:hAnsi="serif"/>
                <w:sz w:val="20"/>
              </w:rPr>
              <w:t>Vice President of Finance of Oil-Dri since October 2004 and Treasurer since May 2005; Vice President and Chief Financial Officer from April 2000 to October 2004.</w:t>
            </w:r>
          </w:p>
        </w:tc>
        <w:tc>
          <w:tcPr>
            <w:tcW w:w="426" w:type="dxa"/>
            <w:tcBorders/>
            <w:shd w:fill="C0C0C0" w:val="clear"/>
            <w:tcMar>
              <w:bottom w:w="0" w:type="dxa"/>
            </w:tcMar>
          </w:tcPr>
          <w:p>
            <w:pPr>
              <w:pStyle w:val="TableContents"/>
              <w:spacing w:before="0" w:after="283"/>
              <w:rPr>
                <w:sz w:val="4"/>
                <w:szCs w:val="4"/>
              </w:rPr>
            </w:pPr>
            <w:r>
              <w:rPr>
                <w:sz w:val="4"/>
                <w:szCs w:val="4"/>
              </w:rPr>
            </w:r>
          </w:p>
        </w:tc>
        <w:tc>
          <w:tcPr>
            <w:tcW w:w="433" w:type="dxa"/>
            <w:tcBorders/>
            <w:shd w:fill="C0C0C0" w:val="clear"/>
            <w:tcMar>
              <w:bottom w:w="0" w:type="dxa"/>
            </w:tcMar>
          </w:tcPr>
          <w:p>
            <w:pPr>
              <w:pStyle w:val="TableContents"/>
              <w:spacing w:before="0" w:after="283"/>
              <w:jc w:val="center"/>
              <w:rPr>
                <w:rFonts w:ascii="serif" w:hAnsi="serif"/>
                <w:sz w:val="20"/>
              </w:rPr>
            </w:pPr>
            <w:r>
              <w:rPr>
                <w:rFonts w:ascii="serif" w:hAnsi="serif"/>
                <w:sz w:val="20"/>
              </w:rPr>
              <w:t>41</w:t>
            </w:r>
          </w:p>
        </w:tc>
      </w:tr>
      <w:tr>
        <w:trPr/>
        <w:tc>
          <w:tcPr>
            <w:tcW w:w="2119" w:type="dxa"/>
            <w:tcBorders/>
            <w:shd w:fill="auto" w:val="clear"/>
            <w:tcMar>
              <w:bottom w:w="0" w:type="dxa"/>
            </w:tcMar>
          </w:tcPr>
          <w:p>
            <w:pPr>
              <w:pStyle w:val="TableContents"/>
              <w:spacing w:before="0" w:after="283"/>
              <w:jc w:val="left"/>
              <w:rPr>
                <w:rFonts w:ascii="serif" w:hAnsi="serif"/>
                <w:sz w:val="20"/>
              </w:rPr>
            </w:pPr>
            <w:r>
              <w:rPr>
                <w:rFonts w:ascii="serif" w:hAnsi="serif"/>
                <w:sz w:val="20"/>
              </w:rPr>
              <w:t>Andrew N. Peterson</w:t>
            </w:r>
          </w:p>
        </w:tc>
        <w:tc>
          <w:tcPr>
            <w:tcW w:w="426" w:type="dxa"/>
            <w:tcBorders/>
            <w:shd w:fill="auto" w:val="clear"/>
            <w:tcMar>
              <w:bottom w:w="0" w:type="dxa"/>
            </w:tcMar>
          </w:tcPr>
          <w:p>
            <w:pPr>
              <w:pStyle w:val="TableContents"/>
              <w:spacing w:before="0" w:after="283"/>
              <w:jc w:val="left"/>
              <w:rPr/>
            </w:pPr>
            <w:r>
              <w:rPr/>
              <w:t> </w:t>
            </w:r>
          </w:p>
        </w:tc>
        <w:tc>
          <w:tcPr>
            <w:tcW w:w="6290" w:type="dxa"/>
            <w:tcBorders/>
            <w:shd w:fill="auto" w:val="clear"/>
            <w:tcMar>
              <w:bottom w:w="0" w:type="dxa"/>
            </w:tcMar>
          </w:tcPr>
          <w:p>
            <w:pPr>
              <w:pStyle w:val="TableContents"/>
              <w:spacing w:before="0" w:after="283"/>
              <w:jc w:val="left"/>
              <w:rPr>
                <w:rFonts w:ascii="serif" w:hAnsi="serif"/>
                <w:sz w:val="20"/>
              </w:rPr>
            </w:pPr>
            <w:r>
              <w:rPr>
                <w:rFonts w:ascii="serif" w:hAnsi="serif"/>
                <w:sz w:val="20"/>
              </w:rPr>
              <w:t>Vice President and Chief Financial Officer of Oil-Dri since October 2004; Vice President and Chief Financial Officer of Barjan Products, LLC from February 2003 to March 2004.</w:t>
            </w:r>
          </w:p>
        </w:tc>
        <w:tc>
          <w:tcPr>
            <w:tcW w:w="426" w:type="dxa"/>
            <w:tcBorders/>
            <w:shd w:fill="auto" w:val="clear"/>
            <w:tcMar>
              <w:bottom w:w="0" w:type="dxa"/>
            </w:tcMar>
          </w:tcPr>
          <w:p>
            <w:pPr>
              <w:pStyle w:val="TableContents"/>
              <w:spacing w:before="0" w:after="283"/>
              <w:rPr>
                <w:sz w:val="4"/>
                <w:szCs w:val="4"/>
              </w:rPr>
            </w:pPr>
            <w:r>
              <w:rPr>
                <w:sz w:val="4"/>
                <w:szCs w:val="4"/>
              </w:rPr>
            </w:r>
          </w:p>
        </w:tc>
        <w:tc>
          <w:tcPr>
            <w:tcW w:w="433" w:type="dxa"/>
            <w:tcBorders/>
            <w:shd w:fill="auto" w:val="clear"/>
            <w:tcMar>
              <w:bottom w:w="0" w:type="dxa"/>
            </w:tcMar>
          </w:tcPr>
          <w:p>
            <w:pPr>
              <w:pStyle w:val="TableContents"/>
              <w:spacing w:before="0" w:after="283"/>
              <w:jc w:val="center"/>
              <w:rPr>
                <w:rFonts w:ascii="serif" w:hAnsi="serif"/>
                <w:sz w:val="20"/>
              </w:rPr>
            </w:pPr>
            <w:r>
              <w:rPr>
                <w:rFonts w:ascii="serif" w:hAnsi="serif"/>
                <w:sz w:val="20"/>
              </w:rPr>
              <w:t>55</w:t>
            </w:r>
          </w:p>
        </w:tc>
      </w:tr>
    </w:tbl>
    <w:p>
      <w:pPr>
        <w:pStyle w:val="TextBody"/>
        <w:rPr/>
      </w:pPr>
      <w:r>
        <w:rPr/>
      </w:r>
    </w:p>
    <w:p>
      <w:pPr>
        <w:pStyle w:val="TextBody"/>
        <w:jc w:val="both"/>
        <w:rPr>
          <w:rFonts w:ascii="serif" w:hAnsi="serif"/>
          <w:sz w:val="20"/>
        </w:rPr>
      </w:pPr>
      <w:r>
        <w:rPr>
          <w:rFonts w:ascii="serif" w:hAnsi="serif"/>
          <w:sz w:val="20"/>
        </w:rPr>
        <w:t>All of our executive officers are appointed annually and serve at the pleasure of our Board of Directors.</w:t>
      </w:r>
    </w:p>
    <w:tbl>
      <w:tblPr>
        <w:tblW w:w="5000" w:type="pct"/>
        <w:jc w:val="left"/>
        <w:tblInd w:w="0" w:type="dxa"/>
        <w:tblCellMar>
          <w:top w:w="0" w:type="dxa"/>
          <w:left w:w="0" w:type="dxa"/>
          <w:bottom w:w="0" w:type="dxa"/>
          <w:right w:w="0" w:type="dxa"/>
        </w:tblCellMar>
      </w:tblPr>
      <w:tblGrid>
        <w:gridCol w:w="297"/>
        <w:gridCol w:w="262"/>
        <w:gridCol w:w="9646"/>
      </w:tblGrid>
      <w:tr>
        <w:trPr/>
        <w:tc>
          <w:tcPr>
            <w:tcW w:w="297" w:type="dxa"/>
            <w:tcBorders/>
            <w:shd w:fill="auto" w:val="clear"/>
          </w:tcPr>
          <w:p>
            <w:pPr>
              <w:pStyle w:val="TableContents"/>
              <w:spacing w:before="0" w:after="283"/>
              <w:jc w:val="left"/>
              <w:rPr>
                <w:rFonts w:ascii="serif" w:hAnsi="serif"/>
                <w:sz w:val="20"/>
              </w:rPr>
            </w:pPr>
            <w:r>
              <w:rPr>
                <w:rFonts w:ascii="serif" w:hAnsi="serif"/>
                <w:sz w:val="20"/>
              </w:rPr>
              <w:t>(1)</w:t>
            </w:r>
          </w:p>
        </w:tc>
        <w:tc>
          <w:tcPr>
            <w:tcW w:w="262" w:type="dxa"/>
            <w:tcBorders/>
            <w:shd w:fill="auto" w:val="clear"/>
          </w:tcPr>
          <w:p>
            <w:pPr>
              <w:pStyle w:val="TableContents"/>
              <w:spacing w:before="0" w:after="283"/>
              <w:jc w:val="left"/>
              <w:rPr/>
            </w:pPr>
            <w:r>
              <w:rPr/>
              <w:t>    </w:t>
            </w:r>
          </w:p>
        </w:tc>
        <w:tc>
          <w:tcPr>
            <w:tcW w:w="9646" w:type="dxa"/>
            <w:tcBorders/>
            <w:shd w:fill="auto" w:val="clear"/>
          </w:tcPr>
          <w:p>
            <w:pPr>
              <w:pStyle w:val="TableContents"/>
              <w:spacing w:before="0" w:after="283"/>
              <w:jc w:val="both"/>
              <w:rPr>
                <w:rFonts w:ascii="serif" w:hAnsi="serif"/>
                <w:sz w:val="20"/>
              </w:rPr>
            </w:pPr>
            <w:r>
              <w:rPr>
                <w:rFonts w:ascii="serif" w:hAnsi="serif"/>
                <w:sz w:val="20"/>
              </w:rPr>
              <w:t>Of the persons in this table, only Daniel S. Jaffee is a director. Daniel S. Jaffee is the son of our Chairman of the Board, Richard M. Jaffee, and the brother-in-law of Thomas F. Cofsky.</w:t>
            </w:r>
          </w:p>
        </w:tc>
      </w:tr>
      <w:tr>
        <w:trPr/>
        <w:tc>
          <w:tcPr>
            <w:tcW w:w="10205" w:type="dxa"/>
            <w:gridSpan w:val="3"/>
            <w:tcBorders/>
            <w:shd w:fill="auto" w:val="clear"/>
          </w:tcPr>
          <w:p>
            <w:pPr>
              <w:pStyle w:val="TableContents"/>
              <w:spacing w:before="0" w:after="283"/>
              <w:jc w:val="left"/>
              <w:rPr/>
            </w:pPr>
            <w:r>
              <w:rPr/>
              <w:t> </w:t>
            </w:r>
          </w:p>
        </w:tc>
      </w:tr>
      <w:tr>
        <w:trPr/>
        <w:tc>
          <w:tcPr>
            <w:tcW w:w="297" w:type="dxa"/>
            <w:tcBorders/>
            <w:shd w:fill="auto" w:val="clear"/>
          </w:tcPr>
          <w:p>
            <w:pPr>
              <w:pStyle w:val="TableContents"/>
              <w:spacing w:before="0" w:after="283"/>
              <w:jc w:val="left"/>
              <w:rPr>
                <w:rFonts w:ascii="serif" w:hAnsi="serif"/>
                <w:sz w:val="20"/>
              </w:rPr>
            </w:pPr>
            <w:r>
              <w:rPr>
                <w:rFonts w:ascii="serif" w:hAnsi="serif"/>
                <w:sz w:val="20"/>
              </w:rPr>
              <w:t>(2)</w:t>
            </w:r>
          </w:p>
        </w:tc>
        <w:tc>
          <w:tcPr>
            <w:tcW w:w="262" w:type="dxa"/>
            <w:tcBorders/>
            <w:shd w:fill="auto" w:val="clear"/>
          </w:tcPr>
          <w:p>
            <w:pPr>
              <w:pStyle w:val="TableContents"/>
              <w:spacing w:before="0" w:after="283"/>
              <w:jc w:val="left"/>
              <w:rPr/>
            </w:pPr>
            <w:r>
              <w:rPr/>
              <w:t> </w:t>
            </w:r>
          </w:p>
        </w:tc>
        <w:tc>
          <w:tcPr>
            <w:tcW w:w="9646" w:type="dxa"/>
            <w:tcBorders/>
            <w:shd w:fill="auto" w:val="clear"/>
          </w:tcPr>
          <w:p>
            <w:pPr>
              <w:pStyle w:val="TableContents"/>
              <w:spacing w:before="0" w:after="283"/>
              <w:jc w:val="both"/>
              <w:rPr>
                <w:rFonts w:ascii="serif" w:hAnsi="serif"/>
                <w:sz w:val="20"/>
              </w:rPr>
            </w:pPr>
            <w:r>
              <w:rPr>
                <w:rFonts w:ascii="serif" w:hAnsi="serif"/>
                <w:sz w:val="20"/>
              </w:rPr>
              <w:t>Thomas F. Cofsky is Daniel S. Jaffees brother-in-law and the son-in-law of our Chairman of the Board, Richard M. Jaffee.</w:t>
            </w:r>
          </w:p>
        </w:tc>
      </w:tr>
    </w:tbl>
    <w:p>
      <w:pPr>
        <w:pStyle w:val="TextBody"/>
        <w:rPr/>
      </w:pPr>
      <w:r>
        <w:rPr/>
      </w:r>
    </w:p>
    <w:p>
      <w:pPr>
        <w:pStyle w:val="TextBody"/>
        <w:jc w:val="center"/>
        <w:rPr>
          <w:rFonts w:ascii="serif" w:hAnsi="serif"/>
          <w:sz w:val="20"/>
        </w:rPr>
      </w:pPr>
      <w:r>
        <w:rPr>
          <w:rFonts w:ascii="serif" w:hAnsi="serif"/>
          <w:sz w:val="20"/>
        </w:rPr>
        <w:t>19</w:t>
      </w:r>
    </w:p>
    <w:p>
      <w:pPr>
        <w:pStyle w:val="HorizontalLine"/>
        <w:pBdr>
          <w:bottom w:val="single" w:sz="12" w:space="0" w:color="808080"/>
        </w:pBdr>
        <w:rPr/>
      </w:pPr>
      <w:r>
        <w:rPr/>
      </w:r>
    </w:p>
    <w:p>
      <w:pPr>
        <w:pStyle w:val="TextBody"/>
        <w:jc w:val="center"/>
        <w:rPr>
          <w:rFonts w:ascii="serif" w:hAnsi="serif"/>
          <w:b/>
          <w:sz w:val="28"/>
        </w:rPr>
      </w:pPr>
      <w:r>
        <w:rPr>
          <w:rFonts w:ascii="serif" w:hAnsi="serif"/>
          <w:b/>
          <w:sz w:val="28"/>
        </w:rPr>
        <w:t>EXECUTIVE COMPENSATION</w:t>
      </w:r>
    </w:p>
    <w:p>
      <w:pPr>
        <w:pStyle w:val="TextBody"/>
        <w:jc w:val="center"/>
        <w:rPr>
          <w:rFonts w:ascii="serif" w:hAnsi="serif"/>
          <w:b/>
        </w:rPr>
      </w:pPr>
      <w:r>
        <w:rPr>
          <w:rFonts w:ascii="serif" w:hAnsi="serif"/>
          <w:b/>
        </w:rPr>
        <w:t>Report of the Compensation Committee of the Board of Directors</w:t>
      </w:r>
    </w:p>
    <w:p>
      <w:pPr>
        <w:pStyle w:val="TextBody"/>
        <w:jc w:val="both"/>
        <w:rPr/>
      </w:pPr>
      <w:r>
        <w:rPr/>
        <w:t xml:space="preserve">      </w:t>
      </w:r>
      <w:r>
        <w:rPr>
          <w:rFonts w:ascii="serif" w:hAnsi="serif"/>
          <w:sz w:val="20"/>
        </w:rPr>
        <w:t>The Compensation Committee reviewed and discussed with Oil-Dris management the Compensation Discussion and Analysis which follows. Based on such review and discussion, the Compensation Committee recommended to the Board of Directors that the Compensation Discussion and Analysis be included in this Proxy Statement.</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COMPENSATION COMMITTEE:</w:t>
            </w:r>
            <w:r>
              <w:rPr/>
              <w:t> </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Allan H. Selig, Chairman</w:t>
            </w:r>
            <w:r>
              <w:rPr/>
              <w:t> </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Joseph C. Miller</w:t>
            </w:r>
            <w:r>
              <w:rPr/>
              <w:t> </w:t>
            </w:r>
          </w:p>
        </w:tc>
      </w:tr>
      <w:tr>
        <w:trPr/>
        <w:tc>
          <w:tcPr>
            <w:tcW w:w="5102" w:type="dxa"/>
            <w:tcBorders/>
            <w:shd w:fill="auto" w:val="clear"/>
            <w:vAlign w:val="bottom"/>
          </w:tcPr>
          <w:p>
            <w:pPr>
              <w:pStyle w:val="TableContents"/>
              <w:spacing w:before="0" w:after="283"/>
              <w:rPr>
                <w:sz w:val="4"/>
                <w:szCs w:val="4"/>
              </w:rPr>
            </w:pPr>
            <w:r>
              <w:rPr>
                <w:sz w:val="4"/>
                <w:szCs w:val="4"/>
              </w:rPr>
            </w:r>
          </w:p>
        </w:tc>
        <w:tc>
          <w:tcPr>
            <w:tcW w:w="5103" w:type="dxa"/>
            <w:tcBorders/>
            <w:shd w:fill="auto" w:val="clear"/>
            <w:vAlign w:val="bottom"/>
          </w:tcPr>
          <w:p>
            <w:pPr>
              <w:pStyle w:val="TableContents"/>
              <w:spacing w:before="0" w:after="283"/>
              <w:jc w:val="left"/>
              <w:rPr/>
            </w:pPr>
            <w:r>
              <w:rPr>
                <w:rFonts w:ascii="serif" w:hAnsi="serif"/>
                <w:sz w:val="20"/>
              </w:rPr>
              <w:t>Michael A. Nemeroff</w:t>
            </w:r>
            <w:r>
              <w:rPr/>
              <w:t> </w:t>
            </w:r>
          </w:p>
        </w:tc>
      </w:tr>
    </w:tbl>
    <w:p>
      <w:pPr>
        <w:pStyle w:val="TextBody"/>
        <w:rPr/>
      </w:pPr>
      <w:r>
        <w:rPr/>
      </w:r>
    </w:p>
    <w:p>
      <w:pPr>
        <w:pStyle w:val="TextBody"/>
        <w:jc w:val="center"/>
        <w:rPr>
          <w:rFonts w:ascii="serif" w:hAnsi="serif"/>
          <w:b/>
        </w:rPr>
      </w:pPr>
      <w:r>
        <w:rPr>
          <w:rFonts w:ascii="serif" w:hAnsi="serif"/>
          <w:b/>
        </w:rPr>
        <w:t>Compensation Discussion and Analysis</w:t>
      </w:r>
    </w:p>
    <w:p>
      <w:pPr>
        <w:pStyle w:val="TextBody"/>
        <w:jc w:val="both"/>
        <w:rPr/>
      </w:pPr>
      <w:r>
        <w:rPr/>
        <w:t xml:space="preserve">      </w:t>
      </w:r>
      <w:r>
        <w:rPr>
          <w:rFonts w:ascii="serif" w:hAnsi="serif"/>
          <w:sz w:val="20"/>
        </w:rPr>
        <w:t>This compensation discussion and analysis presents an overview of Oil-Dris compensation program, focusing on the elements of compensation awarded or paid to our executive officers, including our Chief Executive Officer (our CEO), Chief Financial Officer and the other executive officers named in the Summary Compensation Table (collectively named executive officers).</w:t>
      </w:r>
    </w:p>
    <w:p>
      <w:pPr>
        <w:pStyle w:val="TextBody"/>
        <w:jc w:val="both"/>
        <w:rPr>
          <w:rFonts w:ascii="serif" w:hAnsi="serif"/>
          <w:b/>
          <w:sz w:val="20"/>
        </w:rPr>
      </w:pPr>
      <w:r>
        <w:rPr>
          <w:rFonts w:ascii="serif" w:hAnsi="serif"/>
          <w:b/>
          <w:sz w:val="20"/>
        </w:rPr>
        <w:t>Compensation Program Oversight</w:t>
      </w:r>
    </w:p>
    <w:p>
      <w:pPr>
        <w:pStyle w:val="TextBody"/>
        <w:jc w:val="both"/>
        <w:rPr/>
      </w:pPr>
      <w:r>
        <w:rPr/>
        <w:t xml:space="preserve">      </w:t>
      </w:r>
      <w:r>
        <w:rPr>
          <w:rFonts w:ascii="serif" w:hAnsi="serif"/>
          <w:sz w:val="20"/>
        </w:rPr>
        <w:t xml:space="preserve">The Compensation Committee oversees our philosophies and practices in the area of compensation and benefits (generally with regard to all employees and specifically with regard to our executive officers). The Compensation Committee ensures that the total compensation paid to our executive officers is fair, reasonable and competitive. </w:t>
      </w:r>
    </w:p>
    <w:p>
      <w:pPr>
        <w:pStyle w:val="TextBody"/>
        <w:jc w:val="both"/>
        <w:rPr>
          <w:rFonts w:ascii="serif" w:hAnsi="serif"/>
          <w:b/>
          <w:sz w:val="20"/>
        </w:rPr>
      </w:pPr>
      <w:r>
        <w:rPr>
          <w:rFonts w:ascii="serif" w:hAnsi="serif"/>
          <w:b/>
          <w:sz w:val="20"/>
        </w:rPr>
        <w:t>Compensation Philosophy and Objectives</w:t>
      </w:r>
    </w:p>
    <w:p>
      <w:pPr>
        <w:pStyle w:val="TextBody"/>
        <w:jc w:val="both"/>
        <w:rPr/>
      </w:pPr>
      <w:r>
        <w:rPr/>
        <w:t xml:space="preserve">      </w:t>
      </w:r>
      <w:r>
        <w:rPr>
          <w:rFonts w:ascii="serif" w:hAnsi="serif"/>
          <w:sz w:val="20"/>
        </w:rPr>
        <w:t>Our compensation philosophy is to provide total compensation opportunities, which include base salary, bonus and a full benefit package, that allow us to attract, retain and incentivize the people we need to carry out our strategic plan, mission, goals and values.</w:t>
      </w:r>
    </w:p>
    <w:p>
      <w:pPr>
        <w:pStyle w:val="TextBody"/>
        <w:jc w:val="both"/>
        <w:rPr>
          <w:rFonts w:ascii="serif" w:hAnsi="serif"/>
          <w:b/>
          <w:sz w:val="20"/>
        </w:rPr>
      </w:pPr>
      <w:r>
        <w:rPr>
          <w:rFonts w:ascii="serif" w:hAnsi="serif"/>
          <w:b/>
          <w:sz w:val="20"/>
        </w:rPr>
        <w:t>Compensation Policy</w:t>
      </w:r>
    </w:p>
    <w:p>
      <w:pPr>
        <w:pStyle w:val="TextBody"/>
        <w:jc w:val="both"/>
        <w:rPr/>
      </w:pPr>
      <w:r>
        <w:rPr/>
        <w:t xml:space="preserve">      </w:t>
      </w:r>
      <w:r>
        <w:rPr>
          <w:rFonts w:ascii="serif" w:hAnsi="serif"/>
          <w:sz w:val="20"/>
        </w:rPr>
        <w:t>Our compensation policy is to provide our executive officers and other salaried employees with compensation opportunities that:</w:t>
      </w:r>
    </w:p>
    <w:p>
      <w:pPr>
        <w:pStyle w:val="TextBody"/>
        <w:numPr>
          <w:ilvl w:val="0"/>
          <w:numId w:val="8"/>
        </w:numPr>
        <w:tabs>
          <w:tab w:val="clear" w:pos="1134"/>
          <w:tab w:val="left" w:pos="707" w:leader="none"/>
        </w:tabs>
        <w:spacing w:before="0" w:after="0"/>
        <w:ind w:left="707" w:hanging="283"/>
        <w:jc w:val="both"/>
        <w:rPr/>
      </w:pPr>
      <w:r>
        <w:rPr>
          <w:sz w:val="20"/>
        </w:rPr>
        <w:t>Are competitive with companies of comparable size;</w:t>
        <w:br/>
        <w:t> </w:t>
      </w:r>
      <w:r>
        <w:rPr/>
        <w:t xml:space="preserve"> </w:t>
      </w:r>
    </w:p>
    <w:p>
      <w:pPr>
        <w:pStyle w:val="TextBody"/>
        <w:numPr>
          <w:ilvl w:val="0"/>
          <w:numId w:val="8"/>
        </w:numPr>
        <w:tabs>
          <w:tab w:val="clear" w:pos="1134"/>
          <w:tab w:val="left" w:pos="707" w:leader="none"/>
        </w:tabs>
        <w:spacing w:before="0" w:after="0"/>
        <w:ind w:left="707" w:hanging="283"/>
        <w:jc w:val="both"/>
        <w:rPr/>
      </w:pPr>
      <w:r>
        <w:rPr>
          <w:sz w:val="20"/>
        </w:rPr>
        <w:t>Align compensation with Oil-Dris overall performance by including annual incentive opportunities based on Company performance or other pre-determined performance goals and employees levels of responsibility; and</w:t>
        <w:br/>
        <w:t> </w:t>
      </w:r>
      <w:r>
        <w:rPr/>
        <w:t xml:space="preserve"> </w:t>
      </w:r>
    </w:p>
    <w:p>
      <w:pPr>
        <w:pStyle w:val="TextBody"/>
        <w:numPr>
          <w:ilvl w:val="0"/>
          <w:numId w:val="8"/>
        </w:numPr>
        <w:tabs>
          <w:tab w:val="clear" w:pos="1134"/>
          <w:tab w:val="left" w:pos="707" w:leader="none"/>
        </w:tabs>
        <w:ind w:left="707" w:hanging="283"/>
        <w:jc w:val="both"/>
        <w:rPr>
          <w:sz w:val="20"/>
        </w:rPr>
      </w:pPr>
      <w:r>
        <w:rPr>
          <w:sz w:val="20"/>
        </w:rPr>
        <w:t>Provide longer term incentives to executive officers and other senior managers to remain with Oil-Dri and contribute to our growth.</w:t>
      </w:r>
    </w:p>
    <w:p>
      <w:pPr>
        <w:pStyle w:val="TextBody"/>
        <w:jc w:val="both"/>
        <w:rPr/>
      </w:pPr>
      <w:r>
        <w:rPr/>
        <w:t xml:space="preserve">      </w:t>
      </w:r>
      <w:r>
        <w:rPr>
          <w:rFonts w:ascii="serif" w:hAnsi="serif"/>
          <w:sz w:val="20"/>
        </w:rPr>
        <w:t>When comparing Oil-Dris executive compensation with pertinent market data, we refer to publicly available salary surveys prepared and published by several large consulting firms. On occasion we also consult with our outside legal counsel whose expertise is in the area of executive compensation. Using these sources, we set our compensation policy to reflect the median of the marketplace in base salary and the 70</w:t>
      </w:r>
      <w:r>
        <w:rPr>
          <w:rFonts w:ascii="serif" w:hAnsi="serif"/>
          <w:position w:val="7"/>
          <w:sz w:val="16"/>
          <w:sz w:val="20"/>
        </w:rPr>
        <w:t>th</w:t>
      </w:r>
      <w:r>
        <w:rPr>
          <w:rFonts w:ascii="serif" w:hAnsi="serif"/>
          <w:sz w:val="20"/>
        </w:rPr>
        <w:t xml:space="preserve"> percentile in total cash compensation, if full target bonus is paid under our annual incentive plan. </w:t>
      </w:r>
    </w:p>
    <w:p>
      <w:pPr>
        <w:pStyle w:val="TextBody"/>
        <w:jc w:val="center"/>
        <w:rPr>
          <w:rFonts w:ascii="serif" w:hAnsi="serif"/>
          <w:sz w:val="20"/>
        </w:rPr>
      </w:pPr>
      <w:r>
        <w:rPr>
          <w:rFonts w:ascii="serif" w:hAnsi="serif"/>
          <w:sz w:val="20"/>
        </w:rPr>
        <w:t>20</w:t>
      </w:r>
    </w:p>
    <w:p>
      <w:pPr>
        <w:pStyle w:val="HorizontalLine"/>
        <w:pBdr>
          <w:bottom w:val="single" w:sz="12" w:space="0" w:color="808080"/>
        </w:pBdr>
        <w:rPr/>
      </w:pPr>
      <w:r>
        <w:rPr/>
      </w:r>
    </w:p>
    <w:p>
      <w:pPr>
        <w:pStyle w:val="TextBody"/>
        <w:jc w:val="both"/>
        <w:rPr>
          <w:rFonts w:ascii="serif" w:hAnsi="serif"/>
          <w:b/>
          <w:sz w:val="20"/>
        </w:rPr>
      </w:pPr>
      <w:r>
        <w:rPr>
          <w:rFonts w:ascii="serif" w:hAnsi="serif"/>
          <w:b/>
          <w:sz w:val="20"/>
        </w:rPr>
        <w:t>Overview of Compensation Program and Current Initiatives</w:t>
      </w:r>
    </w:p>
    <w:p>
      <w:pPr>
        <w:pStyle w:val="TextBody"/>
        <w:jc w:val="both"/>
        <w:rPr/>
      </w:pPr>
      <w:r>
        <w:rPr/>
        <w:t xml:space="preserve">      </w:t>
      </w:r>
      <w:r>
        <w:rPr>
          <w:rFonts w:ascii="serif" w:hAnsi="serif"/>
          <w:sz w:val="20"/>
        </w:rPr>
        <w:t>Our compensation program generally provides equivalent benefits for all U.S.-based salaried employees and similar benefits for hourly paid manufacturing employees. For our senior managers, including the executive officers, we provide additional compensation designed to reward performance and provide retirement benefits commensurate with the executives earnings during their working lives.</w:t>
      </w:r>
    </w:p>
    <w:p>
      <w:pPr>
        <w:pStyle w:val="TextBody"/>
        <w:jc w:val="both"/>
        <w:rPr/>
      </w:pPr>
      <w:r>
        <w:rPr/>
        <w:t xml:space="preserve">      </w:t>
      </w:r>
      <w:r>
        <w:rPr>
          <w:rFonts w:ascii="serif" w:hAnsi="serif"/>
          <w:sz w:val="20"/>
        </w:rPr>
        <w:t>As part of our effort to retain talented employees we have:</w:t>
      </w:r>
    </w:p>
    <w:p>
      <w:pPr>
        <w:pStyle w:val="TextBody"/>
        <w:numPr>
          <w:ilvl w:val="0"/>
          <w:numId w:val="9"/>
        </w:numPr>
        <w:tabs>
          <w:tab w:val="clear" w:pos="1134"/>
          <w:tab w:val="left" w:pos="707" w:leader="none"/>
        </w:tabs>
        <w:spacing w:before="0" w:after="0"/>
        <w:ind w:left="707" w:hanging="283"/>
        <w:jc w:val="both"/>
        <w:rPr/>
      </w:pPr>
      <w:r>
        <w:rPr>
          <w:sz w:val="20"/>
        </w:rPr>
        <w:t>Developed a formal succession planning program that identifies employees at all levels who are good candidates for promotion. As a result of this program we have significantly increased the number of promotions of internal candidates.</w:t>
        <w:br/>
        <w:t> </w:t>
      </w:r>
      <w:r>
        <w:rPr/>
        <w:t xml:space="preserve"> </w:t>
      </w:r>
    </w:p>
    <w:p>
      <w:pPr>
        <w:pStyle w:val="TextBody"/>
        <w:numPr>
          <w:ilvl w:val="0"/>
          <w:numId w:val="9"/>
        </w:numPr>
        <w:tabs>
          <w:tab w:val="clear" w:pos="1134"/>
          <w:tab w:val="left" w:pos="707" w:leader="none"/>
        </w:tabs>
        <w:spacing w:before="0" w:after="0"/>
        <w:ind w:left="707" w:hanging="283"/>
        <w:jc w:val="both"/>
        <w:rPr/>
      </w:pPr>
      <w:r>
        <w:rPr>
          <w:sz w:val="20"/>
        </w:rPr>
        <w:t xml:space="preserve">Made market adjustments to the salaries of talented employees at all levels. In recommending these adjustments, our management reviewed market data regarding salaries for particular positions and also reviewed the effect of proposed adjustments on the internal equity of our salary structure. As part of this initiative, our CEO adjusted the base salaries of several of the executives who report directly to him, including the named executive officers other than himself. </w:t>
      </w:r>
      <w:r>
        <w:rPr>
          <w:rFonts w:ascii="serif" w:hAnsi="serif"/>
          <w:i/>
          <w:sz w:val="20"/>
        </w:rPr>
        <w:t>See information under Base Salaries, below, for details.</w:t>
        <w:br/>
        <w:t> </w:t>
      </w:r>
      <w:r>
        <w:rPr/>
        <w:t xml:space="preserve"> </w:t>
      </w:r>
    </w:p>
    <w:p>
      <w:pPr>
        <w:pStyle w:val="TextBody"/>
        <w:numPr>
          <w:ilvl w:val="0"/>
          <w:numId w:val="9"/>
        </w:numPr>
        <w:tabs>
          <w:tab w:val="clear" w:pos="1134"/>
          <w:tab w:val="left" w:pos="707" w:leader="none"/>
        </w:tabs>
        <w:ind w:left="707" w:hanging="283"/>
        <w:jc w:val="both"/>
        <w:rPr/>
      </w:pPr>
      <w:r>
        <w:rPr>
          <w:rFonts w:ascii="serif" w:hAnsi="serif"/>
          <w:sz w:val="20"/>
        </w:rPr>
        <w:t xml:space="preserve">Added an executive deferred bonus award to our annual incentive plan. Beginning in fiscal 2007, each participating executive has the opportunity to earn a deferred cash bonus in addition to amounts that would otherwise be paid under our annual incentive plan. </w:t>
      </w:r>
      <w:r>
        <w:rPr>
          <w:rFonts w:ascii="serif" w:hAnsi="serif"/>
          <w:i/>
          <w:sz w:val="20"/>
        </w:rPr>
        <w:t>See information under</w:t>
      </w:r>
      <w:r>
        <w:rPr>
          <w:rFonts w:ascii="serif" w:hAnsi="serif"/>
          <w:sz w:val="20"/>
        </w:rPr>
        <w:t xml:space="preserve"> </w:t>
      </w:r>
      <w:r>
        <w:rPr>
          <w:rFonts w:ascii="serif" w:hAnsi="serif"/>
          <w:i/>
          <w:sz w:val="20"/>
        </w:rPr>
        <w:t>Annual Incentive Compensation, below, for details.</w:t>
      </w:r>
      <w:r>
        <w:rPr>
          <w:rFonts w:ascii="serif" w:hAnsi="serif"/>
          <w:sz w:val="20"/>
        </w:rPr>
        <w:t> </w:t>
      </w:r>
      <w:r>
        <w:rPr/>
        <w:t> </w:t>
      </w:r>
    </w:p>
    <w:p>
      <w:pPr>
        <w:pStyle w:val="TextBody"/>
        <w:jc w:val="both"/>
        <w:rPr>
          <w:rFonts w:ascii="serif" w:hAnsi="serif"/>
          <w:b/>
          <w:sz w:val="20"/>
        </w:rPr>
      </w:pPr>
      <w:r>
        <w:rPr>
          <w:rFonts w:ascii="serif" w:hAnsi="serif"/>
          <w:b/>
          <w:sz w:val="20"/>
        </w:rPr>
        <w:t>Executive Compensation Components</w:t>
      </w:r>
    </w:p>
    <w:p>
      <w:pPr>
        <w:pStyle w:val="TextBody"/>
        <w:jc w:val="both"/>
        <w:rPr/>
      </w:pPr>
      <w:r>
        <w:rPr/>
        <w:t xml:space="preserve">      </w:t>
      </w:r>
      <w:r>
        <w:rPr>
          <w:rFonts w:ascii="serif" w:hAnsi="serif"/>
          <w:sz w:val="20"/>
        </w:rPr>
        <w:t>For the fiscal year ended July 31, 2007 (fiscal 2007), the principal components of compensation for our executive officers were:</w:t>
      </w:r>
    </w:p>
    <w:p>
      <w:pPr>
        <w:pStyle w:val="TextBody"/>
        <w:numPr>
          <w:ilvl w:val="0"/>
          <w:numId w:val="10"/>
        </w:numPr>
        <w:tabs>
          <w:tab w:val="clear" w:pos="1134"/>
          <w:tab w:val="left" w:pos="707" w:leader="none"/>
        </w:tabs>
        <w:spacing w:before="0" w:after="0"/>
        <w:ind w:left="707" w:hanging="283"/>
        <w:jc w:val="both"/>
        <w:rPr/>
      </w:pPr>
      <w:r>
        <w:rPr>
          <w:sz w:val="20"/>
        </w:rPr>
        <w:t>Base salary;</w:t>
        <w:br/>
        <w:t> </w:t>
      </w:r>
      <w:r>
        <w:rPr/>
        <w:t xml:space="preserve"> </w:t>
      </w:r>
    </w:p>
    <w:p>
      <w:pPr>
        <w:pStyle w:val="TextBody"/>
        <w:numPr>
          <w:ilvl w:val="0"/>
          <w:numId w:val="10"/>
        </w:numPr>
        <w:tabs>
          <w:tab w:val="clear" w:pos="1134"/>
          <w:tab w:val="left" w:pos="707" w:leader="none"/>
        </w:tabs>
        <w:spacing w:before="0" w:after="0"/>
        <w:ind w:left="707" w:hanging="283"/>
        <w:jc w:val="both"/>
        <w:rPr/>
      </w:pPr>
      <w:r>
        <w:rPr>
          <w:sz w:val="20"/>
        </w:rPr>
        <w:t>Annual performance-based cash incentive compensation;</w:t>
        <w:br/>
        <w:t> </w:t>
      </w:r>
      <w:r>
        <w:rPr/>
        <w:t xml:space="preserve"> </w:t>
      </w:r>
    </w:p>
    <w:p>
      <w:pPr>
        <w:pStyle w:val="TextBody"/>
        <w:numPr>
          <w:ilvl w:val="0"/>
          <w:numId w:val="10"/>
        </w:numPr>
        <w:tabs>
          <w:tab w:val="clear" w:pos="1134"/>
          <w:tab w:val="left" w:pos="707" w:leader="none"/>
        </w:tabs>
        <w:spacing w:before="0" w:after="0"/>
        <w:ind w:left="707" w:hanging="283"/>
        <w:jc w:val="both"/>
        <w:rPr/>
      </w:pPr>
      <w:r>
        <w:rPr>
          <w:sz w:val="20"/>
        </w:rPr>
        <w:t>Deferred performance-based cash incentive compensation award;</w:t>
        <w:br/>
        <w:t> </w:t>
      </w:r>
      <w:r>
        <w:rPr/>
        <w:t xml:space="preserve"> </w:t>
      </w:r>
    </w:p>
    <w:p>
      <w:pPr>
        <w:pStyle w:val="TextBody"/>
        <w:numPr>
          <w:ilvl w:val="0"/>
          <w:numId w:val="10"/>
        </w:numPr>
        <w:tabs>
          <w:tab w:val="clear" w:pos="1134"/>
          <w:tab w:val="left" w:pos="707" w:leader="none"/>
        </w:tabs>
        <w:spacing w:before="0" w:after="0"/>
        <w:ind w:left="707" w:hanging="283"/>
        <w:jc w:val="both"/>
        <w:rPr/>
      </w:pPr>
      <w:r>
        <w:rPr>
          <w:sz w:val="20"/>
        </w:rPr>
        <w:t>Retirement benefits and deferred compensation plan; and</w:t>
        <w:br/>
        <w:t> </w:t>
      </w:r>
      <w:r>
        <w:rPr/>
        <w:t xml:space="preserve"> </w:t>
      </w:r>
    </w:p>
    <w:p>
      <w:pPr>
        <w:pStyle w:val="TextBody"/>
        <w:numPr>
          <w:ilvl w:val="0"/>
          <w:numId w:val="10"/>
        </w:numPr>
        <w:tabs>
          <w:tab w:val="clear" w:pos="1134"/>
          <w:tab w:val="left" w:pos="707" w:leader="none"/>
        </w:tabs>
        <w:ind w:left="707" w:hanging="283"/>
        <w:jc w:val="both"/>
        <w:rPr/>
      </w:pPr>
      <w:r>
        <w:rPr>
          <w:sz w:val="20"/>
        </w:rPr>
        <w:t>Health and welfare benefits and perquisites.</w:t>
      </w:r>
      <w:r>
        <w:rPr/>
        <w:t> </w:t>
      </w:r>
    </w:p>
    <w:p>
      <w:pPr>
        <w:pStyle w:val="TextBody"/>
        <w:jc w:val="both"/>
        <w:rPr>
          <w:rFonts w:ascii="serif" w:hAnsi="serif"/>
          <w:b/>
          <w:sz w:val="20"/>
        </w:rPr>
      </w:pPr>
      <w:r>
        <w:rPr>
          <w:rFonts w:ascii="serif" w:hAnsi="serif"/>
          <w:b/>
          <w:sz w:val="20"/>
        </w:rPr>
        <w:t>Elements of Compensation</w:t>
      </w:r>
    </w:p>
    <w:p>
      <w:pPr>
        <w:pStyle w:val="TextBody"/>
        <w:jc w:val="both"/>
        <w:rPr/>
      </w:pPr>
      <w:r>
        <w:rPr/>
        <w:t xml:space="preserve">      </w:t>
      </w:r>
      <w:r>
        <w:rPr>
          <w:rFonts w:ascii="serif" w:hAnsi="serif"/>
          <w:b/>
          <w:sz w:val="20"/>
        </w:rPr>
        <w:t>Base Salary:</w:t>
      </w:r>
      <w:r>
        <w:rPr/>
        <w:t xml:space="preserve"> </w:t>
      </w:r>
      <w:r>
        <w:rPr>
          <w:rFonts w:ascii="serif" w:hAnsi="serif"/>
          <w:sz w:val="20"/>
        </w:rPr>
        <w:t>Prior to the beginning of each fiscal year, Oil-Dris human resources staff presents to the Compensation Committee for review and approval proposed merit increase guidelines and proposed shifts in the mid-points of all salary ranges, and any proposed change in salary ranges for the upcoming fiscal year.</w:t>
      </w:r>
    </w:p>
    <w:p>
      <w:pPr>
        <w:pStyle w:val="TextBody"/>
        <w:jc w:val="both"/>
        <w:rPr/>
      </w:pPr>
      <w:r>
        <w:rPr/>
        <w:t xml:space="preserve">      </w:t>
      </w:r>
      <w:r>
        <w:rPr>
          <w:rFonts w:ascii="serif" w:hAnsi="serif"/>
          <w:sz w:val="20"/>
        </w:rPr>
        <w:t>The Chairman of our Board of Directors conducts a detailed review of the performance of our CEO at the end of each fiscal year and presents that review to the Compensation Committee at its first regular meeting of the fiscal year. At that time the Chairman also presents his recommendation for any change in base salary or other compensation components for our CEO and his recommendation for our CEOs goals and objectives for the upcoming year. The Compensation Committee determines the base salary and other compensation to be paid to our CEO for the upcoming year and reviews and approves our CEOs goals and objectives for that year.</w:t>
      </w:r>
    </w:p>
    <w:p>
      <w:pPr>
        <w:pStyle w:val="TextBody"/>
        <w:jc w:val="center"/>
        <w:rPr>
          <w:rFonts w:ascii="serif" w:hAnsi="serif"/>
          <w:sz w:val="20"/>
        </w:rPr>
      </w:pPr>
      <w:r>
        <w:rPr>
          <w:rFonts w:ascii="serif" w:hAnsi="serif"/>
          <w:sz w:val="20"/>
        </w:rPr>
        <w:t>21</w:t>
      </w:r>
    </w:p>
    <w:p>
      <w:pPr>
        <w:pStyle w:val="HorizontalLine"/>
        <w:pBdr>
          <w:bottom w:val="single" w:sz="12" w:space="0" w:color="808080"/>
        </w:pBdr>
        <w:rPr/>
      </w:pPr>
      <w:r>
        <w:rPr/>
      </w:r>
    </w:p>
    <w:p>
      <w:pPr>
        <w:pStyle w:val="TextBody"/>
        <w:jc w:val="both"/>
        <w:rPr/>
      </w:pPr>
      <w:r>
        <w:rPr/>
        <w:t xml:space="preserve">      </w:t>
      </w:r>
      <w:r>
        <w:rPr>
          <w:rFonts w:ascii="serif" w:hAnsi="serif"/>
          <w:sz w:val="20"/>
        </w:rPr>
        <w:t>Our CEO reviews the performance of, and proposes salary increases for, all managers who report to him, including the executive officers other than himself. Any increases are generally based upon changes in base salary range, either for the individual position or for the Company as a whole; the individuals performance during the previous year; and/or any significant change in responsibilities for the upcoming year. The Compensation Committee reviews the reasonableness of any proposed changes in base salary and the total compensation package provided to the executive officers. In conducting its review, the Compensation Committee reviews a three-year history of base salary, cash incentive bonus targets and payouts, and gains on equity awards, prepared by our human resources staff. During the fiscal year, our CEO may change the base salary of the managers who report to him, including the executive officers, without prior approval of the Compensation Committee, due to significant changes in the individuals responsibilities, to be competitive in the market or for other business reasons.</w:t>
      </w:r>
    </w:p>
    <w:p>
      <w:pPr>
        <w:pStyle w:val="TextBody"/>
        <w:jc w:val="both"/>
        <w:rPr/>
      </w:pPr>
      <w:r>
        <w:rPr/>
        <w:t xml:space="preserve">      </w:t>
      </w:r>
      <w:r>
        <w:rPr>
          <w:rFonts w:ascii="serif" w:hAnsi="serif"/>
          <w:sz w:val="20"/>
        </w:rPr>
        <w:t>During fiscal 2007, all of our named executive officers, except our CEO, received increases in base salary due to market rate adjustments or promotions in addition to a merit increase. Increases in base salary during fiscal 2007 were as follows:</w:t>
      </w:r>
    </w:p>
    <w:tbl>
      <w:tblPr>
        <w:tblW w:w="3500" w:type="pct"/>
        <w:jc w:val="center"/>
        <w:tblInd w:w="0" w:type="dxa"/>
        <w:tblCellMar>
          <w:top w:w="0" w:type="dxa"/>
          <w:left w:w="0" w:type="dxa"/>
          <w:bottom w:w="0" w:type="dxa"/>
          <w:right w:w="0" w:type="dxa"/>
        </w:tblCellMar>
      </w:tblPr>
      <w:tblGrid>
        <w:gridCol w:w="2323"/>
        <w:gridCol w:w="306"/>
        <w:gridCol w:w="1955"/>
        <w:gridCol w:w="306"/>
        <w:gridCol w:w="946"/>
        <w:gridCol w:w="306"/>
        <w:gridCol w:w="737"/>
        <w:gridCol w:w="264"/>
      </w:tblGrid>
      <w:tr>
        <w:trPr/>
        <w:tc>
          <w:tcPr>
            <w:tcW w:w="2323"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1955"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bottom"/>
          </w:tcPr>
          <w:p>
            <w:pPr>
              <w:pStyle w:val="TableContents"/>
              <w:spacing w:before="0" w:after="283"/>
              <w:jc w:val="center"/>
              <w:rPr/>
            </w:pPr>
            <w:r>
              <w:rPr/>
              <w:t> </w:t>
            </w:r>
            <w:r>
              <w:rPr>
                <w:rFonts w:ascii="serif" w:hAnsi="serif"/>
                <w:b/>
                <w:sz w:val="20"/>
              </w:rPr>
              <w:t>$ of</w:t>
            </w:r>
          </w:p>
        </w:tc>
        <w:tc>
          <w:tcPr>
            <w:tcW w:w="306" w:type="dxa"/>
            <w:tcBorders/>
            <w:shd w:fill="auto" w:val="clear"/>
            <w:vAlign w:val="bottom"/>
          </w:tcPr>
          <w:p>
            <w:pPr>
              <w:pStyle w:val="TableContents"/>
              <w:spacing w:before="0" w:after="283"/>
              <w:jc w:val="left"/>
              <w:rPr/>
            </w:pPr>
            <w:r>
              <w:rPr/>
              <w:t> </w:t>
            </w:r>
          </w:p>
        </w:tc>
        <w:tc>
          <w:tcPr>
            <w:tcW w:w="1001" w:type="dxa"/>
            <w:gridSpan w:val="2"/>
            <w:tcBorders/>
            <w:shd w:fill="auto" w:val="clear"/>
            <w:vAlign w:val="bottom"/>
          </w:tcPr>
          <w:p>
            <w:pPr>
              <w:pStyle w:val="TableContents"/>
              <w:spacing w:before="0" w:after="283"/>
              <w:jc w:val="center"/>
              <w:rPr/>
            </w:pPr>
            <w:r>
              <w:rPr/>
              <w:t> </w:t>
            </w:r>
            <w:r>
              <w:rPr>
                <w:rFonts w:ascii="serif" w:hAnsi="serif"/>
                <w:b/>
                <w:sz w:val="20"/>
              </w:rPr>
              <w:t>% of</w:t>
            </w:r>
          </w:p>
        </w:tc>
      </w:tr>
      <w:tr>
        <w:trPr/>
        <w:tc>
          <w:tcPr>
            <w:tcW w:w="2323"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1955" w:type="dxa"/>
            <w:tcBorders/>
            <w:shd w:fill="auto" w:val="clear"/>
            <w:vAlign w:val="bottom"/>
          </w:tcPr>
          <w:p>
            <w:pPr>
              <w:pStyle w:val="TableContents"/>
              <w:spacing w:before="0" w:after="283"/>
              <w:jc w:val="left"/>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bottom"/>
          </w:tcPr>
          <w:p>
            <w:pPr>
              <w:pStyle w:val="TableContents"/>
              <w:spacing w:before="0" w:after="283"/>
              <w:jc w:val="center"/>
              <w:rPr>
                <w:rFonts w:ascii="serif" w:hAnsi="serif"/>
                <w:b/>
                <w:sz w:val="20"/>
              </w:rPr>
            </w:pPr>
            <w:r>
              <w:rPr>
                <w:rFonts w:ascii="serif" w:hAnsi="serif"/>
                <w:b/>
                <w:sz w:val="20"/>
              </w:rPr>
              <w:t>Increase</w:t>
            </w:r>
          </w:p>
        </w:tc>
        <w:tc>
          <w:tcPr>
            <w:tcW w:w="306" w:type="dxa"/>
            <w:tcBorders/>
            <w:shd w:fill="auto" w:val="clear"/>
            <w:vAlign w:val="bottom"/>
          </w:tcPr>
          <w:p>
            <w:pPr>
              <w:pStyle w:val="TableContents"/>
              <w:spacing w:before="0" w:after="283"/>
              <w:jc w:val="left"/>
              <w:rPr/>
            </w:pPr>
            <w:r>
              <w:rPr/>
              <w:t> </w:t>
            </w:r>
          </w:p>
        </w:tc>
        <w:tc>
          <w:tcPr>
            <w:tcW w:w="1001" w:type="dxa"/>
            <w:gridSpan w:val="2"/>
            <w:tcBorders/>
            <w:shd w:fill="auto" w:val="clear"/>
            <w:vAlign w:val="bottom"/>
          </w:tcPr>
          <w:p>
            <w:pPr>
              <w:pStyle w:val="TableContents"/>
              <w:spacing w:before="0" w:after="283"/>
              <w:jc w:val="center"/>
              <w:rPr/>
            </w:pPr>
            <w:r>
              <w:rPr/>
              <w:t> </w:t>
            </w:r>
            <w:r>
              <w:rPr>
                <w:rFonts w:ascii="serif" w:hAnsi="serif"/>
                <w:b/>
                <w:sz w:val="20"/>
              </w:rPr>
              <w:t>Increase</w:t>
            </w:r>
          </w:p>
        </w:tc>
      </w:tr>
      <w:tr>
        <w:trPr/>
        <w:tc>
          <w:tcPr>
            <w:tcW w:w="2323" w:type="dxa"/>
            <w:tcBorders>
              <w:bottom w:val="single" w:sz="8" w:space="0" w:color="000000"/>
            </w:tcBorders>
            <w:shd w:fill="auto" w:val="clear"/>
            <w:tcMar>
              <w:bottom w:w="28" w:type="dxa"/>
            </w:tcMar>
            <w:vAlign w:val="bottom"/>
          </w:tcPr>
          <w:p>
            <w:pPr>
              <w:pStyle w:val="TableContents"/>
              <w:spacing w:before="0" w:after="283"/>
              <w:jc w:val="left"/>
              <w:rPr/>
            </w:pPr>
            <w:r>
              <w:rPr>
                <w:rFonts w:ascii="serif" w:hAnsi="serif"/>
                <w:b/>
                <w:sz w:val="20"/>
              </w:rPr>
              <w:t>Name</w:t>
            </w:r>
            <w:r>
              <w:rPr/>
              <w:t> </w:t>
            </w:r>
          </w:p>
        </w:tc>
        <w:tc>
          <w:tcPr>
            <w:tcW w:w="30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955"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Type of Increase</w:t>
            </w:r>
          </w:p>
        </w:tc>
        <w:tc>
          <w:tcPr>
            <w:tcW w:w="30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46"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(1)</w:t>
            </w:r>
          </w:p>
        </w:tc>
        <w:tc>
          <w:tcPr>
            <w:tcW w:w="306"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001"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(2)</w:t>
            </w:r>
          </w:p>
        </w:tc>
      </w:tr>
      <w:tr>
        <w:trPr/>
        <w:tc>
          <w:tcPr>
            <w:tcW w:w="2323" w:type="dxa"/>
            <w:tcBorders/>
            <w:shd w:fill="C0C0C0" w:val="clear"/>
            <w:vAlign w:val="bottom"/>
          </w:tcPr>
          <w:p>
            <w:pPr>
              <w:pStyle w:val="TableContents"/>
              <w:spacing w:before="0" w:after="283"/>
              <w:jc w:val="left"/>
              <w:rPr/>
            </w:pPr>
            <w:r>
              <w:rPr>
                <w:rFonts w:ascii="serif" w:hAnsi="serif"/>
                <w:sz w:val="20"/>
              </w:rPr>
              <w:t>Daniel S. Jaffee</w:t>
            </w:r>
            <w:r>
              <w:rPr/>
              <w:t> </w:t>
            </w:r>
          </w:p>
        </w:tc>
        <w:tc>
          <w:tcPr>
            <w:tcW w:w="306" w:type="dxa"/>
            <w:tcBorders/>
            <w:shd w:fill="C0C0C0" w:val="clear"/>
            <w:vAlign w:val="bottom"/>
          </w:tcPr>
          <w:p>
            <w:pPr>
              <w:pStyle w:val="TableContents"/>
              <w:spacing w:before="0" w:after="283"/>
              <w:rPr>
                <w:sz w:val="4"/>
                <w:szCs w:val="4"/>
              </w:rPr>
            </w:pPr>
            <w:r>
              <w:rPr>
                <w:sz w:val="4"/>
                <w:szCs w:val="4"/>
              </w:rPr>
            </w:r>
          </w:p>
        </w:tc>
        <w:tc>
          <w:tcPr>
            <w:tcW w:w="1955" w:type="dxa"/>
            <w:tcBorders/>
            <w:shd w:fill="C0C0C0" w:val="clear"/>
            <w:vAlign w:val="bottom"/>
          </w:tcPr>
          <w:p>
            <w:pPr>
              <w:pStyle w:val="TableContents"/>
              <w:spacing w:before="0" w:after="283"/>
              <w:jc w:val="center"/>
              <w:rPr>
                <w:rFonts w:ascii="serif" w:hAnsi="serif"/>
                <w:sz w:val="20"/>
              </w:rPr>
            </w:pPr>
            <w:r>
              <w:rPr>
                <w:rFonts w:ascii="serif" w:hAnsi="serif"/>
                <w:sz w:val="20"/>
              </w:rPr>
              <w:t>Merit</w:t>
            </w:r>
          </w:p>
        </w:tc>
        <w:tc>
          <w:tcPr>
            <w:tcW w:w="306" w:type="dxa"/>
            <w:tcBorders/>
            <w:shd w:fill="C0C0C0" w:val="clear"/>
            <w:vAlign w:val="bottom"/>
          </w:tcPr>
          <w:p>
            <w:pPr>
              <w:pStyle w:val="TableContents"/>
              <w:spacing w:before="0" w:after="283"/>
              <w:jc w:val="right"/>
              <w:rPr/>
            </w:pPr>
            <w:r>
              <w:rPr/>
              <w:t> </w:t>
            </w:r>
          </w:p>
        </w:tc>
        <w:tc>
          <w:tcPr>
            <w:tcW w:w="946" w:type="dxa"/>
            <w:tcBorders/>
            <w:shd w:fill="C0C0C0" w:val="clear"/>
            <w:vAlign w:val="bottom"/>
          </w:tcPr>
          <w:p>
            <w:pPr>
              <w:pStyle w:val="TableContents"/>
              <w:spacing w:before="0" w:after="283"/>
              <w:jc w:val="right"/>
              <w:rPr>
                <w:rFonts w:ascii="serif" w:hAnsi="serif"/>
                <w:sz w:val="20"/>
              </w:rPr>
            </w:pPr>
            <w:r>
              <w:rPr>
                <w:rFonts w:ascii="serif" w:hAnsi="serif"/>
                <w:sz w:val="20"/>
              </w:rPr>
              <w:t>$12,425</w:t>
            </w:r>
          </w:p>
        </w:tc>
        <w:tc>
          <w:tcPr>
            <w:tcW w:w="306"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right"/>
              <w:rPr>
                <w:rFonts w:ascii="serif" w:hAnsi="serif"/>
                <w:sz w:val="20"/>
              </w:rPr>
            </w:pPr>
            <w:r>
              <w:rPr>
                <w:rFonts w:ascii="serif" w:hAnsi="serif"/>
                <w:sz w:val="20"/>
              </w:rPr>
              <w:t>3.50</w:t>
            </w:r>
          </w:p>
        </w:tc>
        <w:tc>
          <w:tcPr>
            <w:tcW w:w="264" w:type="dxa"/>
            <w:tcBorders/>
            <w:shd w:fill="C0C0C0" w:val="clear"/>
            <w:vAlign w:val="bottom"/>
          </w:tcPr>
          <w:p>
            <w:pPr>
              <w:pStyle w:val="TableContents"/>
              <w:spacing w:before="0" w:after="283"/>
              <w:jc w:val="left"/>
              <w:rPr>
                <w:rFonts w:ascii="serif" w:hAnsi="serif"/>
                <w:sz w:val="20"/>
              </w:rPr>
            </w:pPr>
            <w:r>
              <w:rPr>
                <w:rFonts w:ascii="serif" w:hAnsi="serif"/>
                <w:sz w:val="20"/>
              </w:rPr>
              <w:t>%</w:t>
            </w:r>
          </w:p>
        </w:tc>
      </w:tr>
      <w:tr>
        <w:trPr/>
        <w:tc>
          <w:tcPr>
            <w:tcW w:w="2323" w:type="dxa"/>
            <w:tcBorders/>
            <w:shd w:fill="auto" w:val="clear"/>
            <w:vAlign w:val="bottom"/>
          </w:tcPr>
          <w:p>
            <w:pPr>
              <w:pStyle w:val="TableContents"/>
              <w:spacing w:before="0" w:after="283"/>
              <w:jc w:val="left"/>
              <w:rPr/>
            </w:pPr>
            <w:r>
              <w:rPr>
                <w:rFonts w:ascii="serif" w:hAnsi="serif"/>
                <w:sz w:val="20"/>
              </w:rPr>
              <w:t>Andrew N. Peterson</w:t>
            </w:r>
            <w:r>
              <w:rPr/>
              <w:t> </w:t>
            </w:r>
          </w:p>
        </w:tc>
        <w:tc>
          <w:tcPr>
            <w:tcW w:w="306" w:type="dxa"/>
            <w:tcBorders/>
            <w:shd w:fill="auto" w:val="clear"/>
            <w:vAlign w:val="bottom"/>
          </w:tcPr>
          <w:p>
            <w:pPr>
              <w:pStyle w:val="TableContents"/>
              <w:spacing w:before="0" w:after="283"/>
              <w:rPr>
                <w:sz w:val="4"/>
                <w:szCs w:val="4"/>
              </w:rPr>
            </w:pPr>
            <w:r>
              <w:rPr>
                <w:sz w:val="4"/>
                <w:szCs w:val="4"/>
              </w:rPr>
            </w:r>
          </w:p>
        </w:tc>
        <w:tc>
          <w:tcPr>
            <w:tcW w:w="1955" w:type="dxa"/>
            <w:tcBorders/>
            <w:shd w:fill="auto" w:val="clear"/>
            <w:vAlign w:val="bottom"/>
          </w:tcPr>
          <w:p>
            <w:pPr>
              <w:pStyle w:val="TableContents"/>
              <w:spacing w:before="0" w:after="283"/>
              <w:jc w:val="center"/>
              <w:rPr/>
            </w:pPr>
            <w:r>
              <w:rPr/>
              <w:t> </w:t>
            </w:r>
            <w:r>
              <w:rPr>
                <w:rFonts w:ascii="serif" w:hAnsi="serif"/>
                <w:sz w:val="20"/>
              </w:rPr>
              <w:t>Merit &amp; Market</w:t>
            </w:r>
          </w:p>
        </w:tc>
        <w:tc>
          <w:tcPr>
            <w:tcW w:w="306" w:type="dxa"/>
            <w:tcBorders/>
            <w:shd w:fill="auto" w:val="clear"/>
            <w:vAlign w:val="bottom"/>
          </w:tcPr>
          <w:p>
            <w:pPr>
              <w:pStyle w:val="TableContents"/>
              <w:spacing w:before="0" w:after="283"/>
              <w:jc w:val="right"/>
              <w:rPr/>
            </w:pPr>
            <w:r>
              <w:rPr/>
              <w:t> </w:t>
            </w:r>
          </w:p>
        </w:tc>
        <w:tc>
          <w:tcPr>
            <w:tcW w:w="946" w:type="dxa"/>
            <w:tcBorders/>
            <w:shd w:fill="auto" w:val="clear"/>
            <w:vAlign w:val="bottom"/>
          </w:tcPr>
          <w:p>
            <w:pPr>
              <w:pStyle w:val="TableContents"/>
              <w:spacing w:before="0" w:after="283"/>
              <w:jc w:val="right"/>
              <w:rPr>
                <w:rFonts w:ascii="serif" w:hAnsi="serif"/>
                <w:sz w:val="20"/>
              </w:rPr>
            </w:pPr>
            <w:r>
              <w:rPr>
                <w:rFonts w:ascii="serif" w:hAnsi="serif"/>
                <w:sz w:val="20"/>
              </w:rPr>
              <w:t>$13,000</w:t>
            </w:r>
          </w:p>
        </w:tc>
        <w:tc>
          <w:tcPr>
            <w:tcW w:w="306" w:type="dxa"/>
            <w:tcBorders/>
            <w:shd w:fill="auto" w:val="clear"/>
            <w:vAlign w:val="bottom"/>
          </w:tcPr>
          <w:p>
            <w:pPr>
              <w:pStyle w:val="TableContents"/>
              <w:spacing w:before="0" w:after="283"/>
              <w:jc w:val="left"/>
              <w:rPr/>
            </w:pPr>
            <w:r>
              <w:rPr/>
              <w:t> </w:t>
            </w:r>
          </w:p>
        </w:tc>
        <w:tc>
          <w:tcPr>
            <w:tcW w:w="737" w:type="dxa"/>
            <w:tcBorders/>
            <w:shd w:fill="auto" w:val="clear"/>
            <w:vAlign w:val="bottom"/>
          </w:tcPr>
          <w:p>
            <w:pPr>
              <w:pStyle w:val="TableContents"/>
              <w:spacing w:before="0" w:after="283"/>
              <w:jc w:val="right"/>
              <w:rPr>
                <w:rFonts w:ascii="serif" w:hAnsi="serif"/>
                <w:sz w:val="20"/>
              </w:rPr>
            </w:pPr>
            <w:r>
              <w:rPr>
                <w:rFonts w:ascii="serif" w:hAnsi="serif"/>
                <w:sz w:val="20"/>
              </w:rPr>
              <w:t>6.95</w:t>
            </w:r>
          </w:p>
        </w:tc>
        <w:tc>
          <w:tcPr>
            <w:tcW w:w="264" w:type="dxa"/>
            <w:tcBorders/>
            <w:shd w:fill="auto" w:val="clear"/>
            <w:vAlign w:val="bottom"/>
          </w:tcPr>
          <w:p>
            <w:pPr>
              <w:pStyle w:val="TableContents"/>
              <w:spacing w:before="0" w:after="283"/>
              <w:jc w:val="left"/>
              <w:rPr>
                <w:rFonts w:ascii="serif" w:hAnsi="serif"/>
                <w:sz w:val="20"/>
              </w:rPr>
            </w:pPr>
            <w:r>
              <w:rPr>
                <w:rFonts w:ascii="serif" w:hAnsi="serif"/>
                <w:sz w:val="20"/>
              </w:rPr>
              <w:t>%</w:t>
            </w:r>
          </w:p>
        </w:tc>
      </w:tr>
      <w:tr>
        <w:trPr/>
        <w:tc>
          <w:tcPr>
            <w:tcW w:w="2323" w:type="dxa"/>
            <w:tcBorders/>
            <w:shd w:fill="C0C0C0" w:val="clear"/>
            <w:vAlign w:val="bottom"/>
          </w:tcPr>
          <w:p>
            <w:pPr>
              <w:pStyle w:val="TableContents"/>
              <w:spacing w:before="0" w:after="283"/>
              <w:jc w:val="left"/>
              <w:rPr/>
            </w:pPr>
            <w:r>
              <w:rPr>
                <w:rFonts w:ascii="serif" w:hAnsi="serif"/>
                <w:sz w:val="20"/>
              </w:rPr>
              <w:t>Thomas F. Cofsky</w:t>
            </w:r>
            <w:r>
              <w:rPr/>
              <w:t> </w:t>
            </w:r>
          </w:p>
        </w:tc>
        <w:tc>
          <w:tcPr>
            <w:tcW w:w="306" w:type="dxa"/>
            <w:tcBorders/>
            <w:shd w:fill="C0C0C0" w:val="clear"/>
            <w:vAlign w:val="bottom"/>
          </w:tcPr>
          <w:p>
            <w:pPr>
              <w:pStyle w:val="TableContents"/>
              <w:spacing w:before="0" w:after="283"/>
              <w:rPr>
                <w:sz w:val="4"/>
                <w:szCs w:val="4"/>
              </w:rPr>
            </w:pPr>
            <w:r>
              <w:rPr>
                <w:sz w:val="4"/>
                <w:szCs w:val="4"/>
              </w:rPr>
            </w:r>
          </w:p>
        </w:tc>
        <w:tc>
          <w:tcPr>
            <w:tcW w:w="1955" w:type="dxa"/>
            <w:tcBorders/>
            <w:shd w:fill="C0C0C0" w:val="clear"/>
            <w:vAlign w:val="bottom"/>
          </w:tcPr>
          <w:p>
            <w:pPr>
              <w:pStyle w:val="TableContents"/>
              <w:spacing w:before="0" w:after="283"/>
              <w:jc w:val="center"/>
              <w:rPr/>
            </w:pPr>
            <w:r>
              <w:rPr/>
              <w:t> </w:t>
            </w:r>
            <w:r>
              <w:rPr>
                <w:rFonts w:ascii="serif" w:hAnsi="serif"/>
                <w:sz w:val="20"/>
              </w:rPr>
              <w:t>Merit &amp; Market</w:t>
            </w:r>
          </w:p>
        </w:tc>
        <w:tc>
          <w:tcPr>
            <w:tcW w:w="306" w:type="dxa"/>
            <w:tcBorders/>
            <w:shd w:fill="C0C0C0" w:val="clear"/>
            <w:vAlign w:val="bottom"/>
          </w:tcPr>
          <w:p>
            <w:pPr>
              <w:pStyle w:val="TableContents"/>
              <w:spacing w:before="0" w:after="283"/>
              <w:jc w:val="right"/>
              <w:rPr/>
            </w:pPr>
            <w:r>
              <w:rPr/>
              <w:t> </w:t>
            </w:r>
          </w:p>
        </w:tc>
        <w:tc>
          <w:tcPr>
            <w:tcW w:w="946" w:type="dxa"/>
            <w:tcBorders/>
            <w:shd w:fill="C0C0C0" w:val="clear"/>
            <w:vAlign w:val="bottom"/>
          </w:tcPr>
          <w:p>
            <w:pPr>
              <w:pStyle w:val="TableContents"/>
              <w:spacing w:before="0" w:after="283"/>
              <w:jc w:val="right"/>
              <w:rPr>
                <w:rFonts w:ascii="serif" w:hAnsi="serif"/>
                <w:sz w:val="20"/>
              </w:rPr>
            </w:pPr>
            <w:r>
              <w:rPr>
                <w:rFonts w:ascii="serif" w:hAnsi="serif"/>
                <w:sz w:val="20"/>
              </w:rPr>
              <w:t>$13,000</w:t>
            </w:r>
          </w:p>
        </w:tc>
        <w:tc>
          <w:tcPr>
            <w:tcW w:w="306"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right"/>
              <w:rPr>
                <w:rFonts w:ascii="serif" w:hAnsi="serif"/>
                <w:sz w:val="20"/>
              </w:rPr>
            </w:pPr>
            <w:r>
              <w:rPr>
                <w:rFonts w:ascii="serif" w:hAnsi="serif"/>
                <w:sz w:val="20"/>
              </w:rPr>
              <w:t>6.95</w:t>
            </w:r>
          </w:p>
        </w:tc>
        <w:tc>
          <w:tcPr>
            <w:tcW w:w="264" w:type="dxa"/>
            <w:tcBorders/>
            <w:shd w:fill="C0C0C0" w:val="clear"/>
            <w:vAlign w:val="bottom"/>
          </w:tcPr>
          <w:p>
            <w:pPr>
              <w:pStyle w:val="TableContents"/>
              <w:spacing w:before="0" w:after="283"/>
              <w:jc w:val="left"/>
              <w:rPr>
                <w:rFonts w:ascii="serif" w:hAnsi="serif"/>
                <w:sz w:val="20"/>
              </w:rPr>
            </w:pPr>
            <w:r>
              <w:rPr>
                <w:rFonts w:ascii="serif" w:hAnsi="serif"/>
                <w:sz w:val="20"/>
              </w:rPr>
              <w:t>%</w:t>
            </w:r>
          </w:p>
        </w:tc>
      </w:tr>
      <w:tr>
        <w:trPr/>
        <w:tc>
          <w:tcPr>
            <w:tcW w:w="2323" w:type="dxa"/>
            <w:tcBorders/>
            <w:shd w:fill="auto" w:val="clear"/>
            <w:vAlign w:val="bottom"/>
          </w:tcPr>
          <w:p>
            <w:pPr>
              <w:pStyle w:val="TableContents"/>
              <w:spacing w:before="0" w:after="283"/>
              <w:jc w:val="left"/>
              <w:rPr/>
            </w:pPr>
            <w:r>
              <w:rPr>
                <w:rFonts w:ascii="serif" w:hAnsi="serif"/>
                <w:sz w:val="20"/>
              </w:rPr>
              <w:t>Charles P. Brissman</w:t>
            </w:r>
            <w:r>
              <w:rPr/>
              <w:t> </w:t>
            </w:r>
          </w:p>
        </w:tc>
        <w:tc>
          <w:tcPr>
            <w:tcW w:w="306" w:type="dxa"/>
            <w:tcBorders/>
            <w:shd w:fill="auto" w:val="clear"/>
            <w:vAlign w:val="bottom"/>
          </w:tcPr>
          <w:p>
            <w:pPr>
              <w:pStyle w:val="TableContents"/>
              <w:spacing w:before="0" w:after="283"/>
              <w:rPr>
                <w:sz w:val="4"/>
                <w:szCs w:val="4"/>
              </w:rPr>
            </w:pPr>
            <w:r>
              <w:rPr>
                <w:sz w:val="4"/>
                <w:szCs w:val="4"/>
              </w:rPr>
            </w:r>
          </w:p>
        </w:tc>
        <w:tc>
          <w:tcPr>
            <w:tcW w:w="1955" w:type="dxa"/>
            <w:tcBorders/>
            <w:shd w:fill="auto" w:val="clear"/>
            <w:vAlign w:val="bottom"/>
          </w:tcPr>
          <w:p>
            <w:pPr>
              <w:pStyle w:val="TableContents"/>
              <w:spacing w:before="0" w:after="283"/>
              <w:jc w:val="center"/>
              <w:rPr/>
            </w:pPr>
            <w:r>
              <w:rPr/>
              <w:t> </w:t>
            </w:r>
            <w:r>
              <w:rPr>
                <w:rFonts w:ascii="serif" w:hAnsi="serif"/>
                <w:sz w:val="20"/>
              </w:rPr>
              <w:t>Merit &amp; Market</w:t>
            </w:r>
          </w:p>
        </w:tc>
        <w:tc>
          <w:tcPr>
            <w:tcW w:w="306" w:type="dxa"/>
            <w:tcBorders/>
            <w:shd w:fill="auto" w:val="clear"/>
            <w:vAlign w:val="bottom"/>
          </w:tcPr>
          <w:p>
            <w:pPr>
              <w:pStyle w:val="TableContents"/>
              <w:spacing w:before="0" w:after="283"/>
              <w:jc w:val="right"/>
              <w:rPr/>
            </w:pPr>
            <w:r>
              <w:rPr/>
              <w:t> </w:t>
            </w:r>
          </w:p>
        </w:tc>
        <w:tc>
          <w:tcPr>
            <w:tcW w:w="946" w:type="dxa"/>
            <w:tcBorders/>
            <w:shd w:fill="auto" w:val="clear"/>
            <w:vAlign w:val="bottom"/>
          </w:tcPr>
          <w:p>
            <w:pPr>
              <w:pStyle w:val="TableContents"/>
              <w:spacing w:before="0" w:after="283"/>
              <w:jc w:val="right"/>
              <w:rPr>
                <w:rFonts w:ascii="serif" w:hAnsi="serif"/>
                <w:sz w:val="20"/>
              </w:rPr>
            </w:pPr>
            <w:r>
              <w:rPr>
                <w:rFonts w:ascii="serif" w:hAnsi="serif"/>
                <w:sz w:val="20"/>
              </w:rPr>
              <w:t>$15,000</w:t>
            </w:r>
          </w:p>
        </w:tc>
        <w:tc>
          <w:tcPr>
            <w:tcW w:w="306" w:type="dxa"/>
            <w:tcBorders/>
            <w:shd w:fill="auto" w:val="clear"/>
            <w:vAlign w:val="bottom"/>
          </w:tcPr>
          <w:p>
            <w:pPr>
              <w:pStyle w:val="TableContents"/>
              <w:spacing w:before="0" w:after="283"/>
              <w:jc w:val="left"/>
              <w:rPr/>
            </w:pPr>
            <w:r>
              <w:rPr/>
              <w:t> </w:t>
            </w:r>
          </w:p>
        </w:tc>
        <w:tc>
          <w:tcPr>
            <w:tcW w:w="737" w:type="dxa"/>
            <w:tcBorders/>
            <w:shd w:fill="auto" w:val="clear"/>
            <w:vAlign w:val="bottom"/>
          </w:tcPr>
          <w:p>
            <w:pPr>
              <w:pStyle w:val="TableContents"/>
              <w:spacing w:before="0" w:after="283"/>
              <w:jc w:val="right"/>
              <w:rPr>
                <w:rFonts w:ascii="serif" w:hAnsi="serif"/>
                <w:sz w:val="20"/>
              </w:rPr>
            </w:pPr>
            <w:r>
              <w:rPr>
                <w:rFonts w:ascii="serif" w:hAnsi="serif"/>
                <w:sz w:val="20"/>
              </w:rPr>
              <w:t>8.82</w:t>
            </w:r>
          </w:p>
        </w:tc>
        <w:tc>
          <w:tcPr>
            <w:tcW w:w="264" w:type="dxa"/>
            <w:tcBorders/>
            <w:shd w:fill="auto" w:val="clear"/>
            <w:vAlign w:val="bottom"/>
          </w:tcPr>
          <w:p>
            <w:pPr>
              <w:pStyle w:val="TableContents"/>
              <w:spacing w:before="0" w:after="283"/>
              <w:jc w:val="left"/>
              <w:rPr>
                <w:rFonts w:ascii="serif" w:hAnsi="serif"/>
                <w:sz w:val="20"/>
              </w:rPr>
            </w:pPr>
            <w:r>
              <w:rPr>
                <w:rFonts w:ascii="serif" w:hAnsi="serif"/>
                <w:sz w:val="20"/>
              </w:rPr>
              <w:t>%</w:t>
            </w:r>
          </w:p>
        </w:tc>
      </w:tr>
      <w:tr>
        <w:trPr/>
        <w:tc>
          <w:tcPr>
            <w:tcW w:w="2323" w:type="dxa"/>
            <w:tcBorders/>
            <w:shd w:fill="C0C0C0" w:val="clear"/>
            <w:vAlign w:val="bottom"/>
          </w:tcPr>
          <w:p>
            <w:pPr>
              <w:pStyle w:val="TableContents"/>
              <w:spacing w:before="0" w:after="283"/>
              <w:jc w:val="left"/>
              <w:rPr/>
            </w:pPr>
            <w:r>
              <w:rPr>
                <w:rFonts w:ascii="serif" w:hAnsi="serif"/>
                <w:sz w:val="20"/>
              </w:rPr>
              <w:t>Brian K. Bancroft (3)</w:t>
            </w:r>
            <w:r>
              <w:rPr/>
              <w:t> </w:t>
            </w:r>
          </w:p>
        </w:tc>
        <w:tc>
          <w:tcPr>
            <w:tcW w:w="306" w:type="dxa"/>
            <w:tcBorders/>
            <w:shd w:fill="C0C0C0" w:val="clear"/>
            <w:vAlign w:val="bottom"/>
          </w:tcPr>
          <w:p>
            <w:pPr>
              <w:pStyle w:val="TableContents"/>
              <w:spacing w:before="0" w:after="283"/>
              <w:jc w:val="left"/>
              <w:rPr/>
            </w:pPr>
            <w:r>
              <w:rPr/>
              <w:t> </w:t>
            </w:r>
          </w:p>
        </w:tc>
        <w:tc>
          <w:tcPr>
            <w:tcW w:w="1955" w:type="dxa"/>
            <w:tcBorders/>
            <w:shd w:fill="C0C0C0" w:val="clear"/>
            <w:vAlign w:val="bottom"/>
          </w:tcPr>
          <w:p>
            <w:pPr>
              <w:pStyle w:val="TableContents"/>
              <w:spacing w:before="0" w:after="283"/>
              <w:jc w:val="center"/>
              <w:rPr/>
            </w:pPr>
            <w:r>
              <w:rPr/>
              <w:t> </w:t>
            </w:r>
            <w:r>
              <w:rPr>
                <w:rFonts w:ascii="serif" w:hAnsi="serif"/>
                <w:sz w:val="20"/>
              </w:rPr>
              <w:t>Merit &amp; Promotion</w:t>
            </w:r>
          </w:p>
        </w:tc>
        <w:tc>
          <w:tcPr>
            <w:tcW w:w="306" w:type="dxa"/>
            <w:tcBorders/>
            <w:shd w:fill="C0C0C0" w:val="clear"/>
            <w:vAlign w:val="bottom"/>
          </w:tcPr>
          <w:p>
            <w:pPr>
              <w:pStyle w:val="TableContents"/>
              <w:spacing w:before="0" w:after="283"/>
              <w:jc w:val="right"/>
              <w:rPr/>
            </w:pPr>
            <w:r>
              <w:rPr/>
              <w:t> </w:t>
            </w:r>
          </w:p>
        </w:tc>
        <w:tc>
          <w:tcPr>
            <w:tcW w:w="946" w:type="dxa"/>
            <w:tcBorders/>
            <w:shd w:fill="C0C0C0" w:val="clear"/>
            <w:vAlign w:val="bottom"/>
          </w:tcPr>
          <w:p>
            <w:pPr>
              <w:pStyle w:val="TableContents"/>
              <w:spacing w:before="0" w:after="283"/>
              <w:jc w:val="right"/>
              <w:rPr>
                <w:rFonts w:ascii="serif" w:hAnsi="serif"/>
                <w:sz w:val="20"/>
              </w:rPr>
            </w:pPr>
            <w:r>
              <w:rPr>
                <w:rFonts w:ascii="serif" w:hAnsi="serif"/>
                <w:sz w:val="20"/>
              </w:rPr>
              <w:t>$25,000</w:t>
            </w:r>
          </w:p>
        </w:tc>
        <w:tc>
          <w:tcPr>
            <w:tcW w:w="306"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right"/>
              <w:rPr>
                <w:rFonts w:ascii="serif" w:hAnsi="serif"/>
                <w:sz w:val="20"/>
              </w:rPr>
            </w:pPr>
            <w:r>
              <w:rPr>
                <w:rFonts w:ascii="serif" w:hAnsi="serif"/>
                <w:sz w:val="20"/>
              </w:rPr>
              <w:t>15.15</w:t>
            </w:r>
          </w:p>
        </w:tc>
        <w:tc>
          <w:tcPr>
            <w:tcW w:w="264" w:type="dxa"/>
            <w:tcBorders/>
            <w:shd w:fill="C0C0C0" w:val="clear"/>
            <w:vAlign w:val="bottom"/>
          </w:tcPr>
          <w:p>
            <w:pPr>
              <w:pStyle w:val="TableContents"/>
              <w:spacing w:before="0" w:after="283"/>
              <w:jc w:val="left"/>
              <w:rPr>
                <w:rFonts w:ascii="serif" w:hAnsi="serif"/>
                <w:sz w:val="20"/>
              </w:rPr>
            </w:pPr>
            <w:r>
              <w:rPr>
                <w:rFonts w:ascii="serif" w:hAnsi="serif"/>
                <w:sz w:val="20"/>
              </w:rPr>
              <w:t>%</w:t>
            </w:r>
          </w:p>
        </w:tc>
      </w:tr>
    </w:tbl>
    <w:p>
      <w:pPr>
        <w:pStyle w:val="TextBody"/>
        <w:spacing w:before="0" w:after="0"/>
        <w:rPr/>
      </w:pPr>
      <w:r>
        <w:rPr/>
      </w:r>
    </w:p>
    <w:tbl>
      <w:tblPr>
        <w:tblW w:w="11140" w:type="dxa"/>
        <w:jc w:val="left"/>
        <w:tblInd w:w="0" w:type="dxa"/>
        <w:tblCellMar>
          <w:top w:w="0" w:type="dxa"/>
          <w:left w:w="0" w:type="dxa"/>
          <w:bottom w:w="0" w:type="dxa"/>
          <w:right w:w="0" w:type="dxa"/>
        </w:tblCellMar>
      </w:tblPr>
      <w:tblGrid>
        <w:gridCol w:w="290"/>
        <w:gridCol w:w="240"/>
        <w:gridCol w:w="10610"/>
      </w:tblGrid>
      <w:tr>
        <w:trPr/>
        <w:tc>
          <w:tcPr>
            <w:tcW w:w="290" w:type="dxa"/>
            <w:tcBorders/>
            <w:shd w:fill="auto" w:val="clear"/>
          </w:tcPr>
          <w:p>
            <w:pPr>
              <w:pStyle w:val="TableContents"/>
              <w:spacing w:before="0" w:after="283"/>
              <w:jc w:val="left"/>
              <w:rPr>
                <w:rFonts w:ascii="serif" w:hAnsi="serif"/>
                <w:sz w:val="20"/>
              </w:rPr>
            </w:pPr>
            <w:r>
              <w:rPr>
                <w:rFonts w:ascii="serif" w:hAnsi="serif"/>
                <w:sz w:val="20"/>
              </w:rPr>
              <w:t>(1)</w:t>
            </w:r>
          </w:p>
        </w:tc>
        <w:tc>
          <w:tcPr>
            <w:tcW w:w="240" w:type="dxa"/>
            <w:tcBorders/>
            <w:shd w:fill="auto" w:val="clear"/>
          </w:tcPr>
          <w:p>
            <w:pPr>
              <w:pStyle w:val="TableContents"/>
              <w:spacing w:before="0" w:after="283"/>
              <w:jc w:val="left"/>
              <w:rPr/>
            </w:pPr>
            <w:r>
              <w:rPr/>
              <w:t>    </w:t>
            </w:r>
          </w:p>
        </w:tc>
        <w:tc>
          <w:tcPr>
            <w:tcW w:w="10610" w:type="dxa"/>
            <w:tcBorders/>
            <w:shd w:fill="auto" w:val="clear"/>
          </w:tcPr>
          <w:p>
            <w:pPr>
              <w:pStyle w:val="TableContents"/>
              <w:spacing w:before="0" w:after="283"/>
              <w:jc w:val="both"/>
              <w:rPr>
                <w:rFonts w:ascii="serif" w:hAnsi="serif"/>
                <w:sz w:val="20"/>
              </w:rPr>
            </w:pPr>
            <w:r>
              <w:rPr>
                <w:rFonts w:ascii="serif" w:hAnsi="serif"/>
                <w:sz w:val="20"/>
              </w:rPr>
              <w:t>The $ of Increase is the difference in dollars between the base salary in effect at July 31, 2006 (the end of fiscal 2006) and the base salary in effect at the end of fiscal 2007. Not all of the salary adjustments were effective at the beginning of fiscal 2007; some were effective later in the fiscal year.</w:t>
            </w:r>
          </w:p>
        </w:tc>
      </w:tr>
      <w:tr>
        <w:trPr/>
        <w:tc>
          <w:tcPr>
            <w:tcW w:w="290" w:type="dxa"/>
            <w:tcBorders/>
            <w:shd w:fill="auto" w:val="clear"/>
          </w:tcPr>
          <w:p>
            <w:pPr>
              <w:pStyle w:val="TableContents"/>
              <w:spacing w:before="0" w:after="283"/>
              <w:rPr>
                <w:sz w:val="4"/>
                <w:szCs w:val="4"/>
              </w:rPr>
            </w:pPr>
            <w:r>
              <w:rPr>
                <w:sz w:val="4"/>
                <w:szCs w:val="4"/>
              </w:rPr>
            </w:r>
          </w:p>
        </w:tc>
        <w:tc>
          <w:tcPr>
            <w:tcW w:w="240" w:type="dxa"/>
            <w:tcBorders/>
            <w:shd w:fill="auto" w:val="clear"/>
          </w:tcPr>
          <w:p>
            <w:pPr>
              <w:pStyle w:val="TableContents"/>
              <w:spacing w:before="0" w:after="283"/>
              <w:jc w:val="left"/>
              <w:rPr/>
            </w:pPr>
            <w:r>
              <w:rPr/>
              <w:t> </w:t>
            </w:r>
          </w:p>
        </w:tc>
        <w:tc>
          <w:tcPr>
            <w:tcW w:w="10610" w:type="dxa"/>
            <w:tcBorders/>
            <w:shd w:fill="auto" w:val="clear"/>
          </w:tcPr>
          <w:p>
            <w:pPr>
              <w:pStyle w:val="TableContents"/>
              <w:spacing w:before="0" w:after="283"/>
              <w:rPr>
                <w:sz w:val="4"/>
                <w:szCs w:val="4"/>
              </w:rPr>
            </w:pPr>
            <w:r>
              <w:rPr>
                <w:sz w:val="4"/>
                <w:szCs w:val="4"/>
              </w:rPr>
            </w:r>
          </w:p>
        </w:tc>
      </w:tr>
      <w:tr>
        <w:trPr/>
        <w:tc>
          <w:tcPr>
            <w:tcW w:w="290" w:type="dxa"/>
            <w:tcBorders/>
            <w:shd w:fill="auto" w:val="clear"/>
          </w:tcPr>
          <w:p>
            <w:pPr>
              <w:pStyle w:val="TableContents"/>
              <w:spacing w:before="0" w:after="283"/>
              <w:jc w:val="left"/>
              <w:rPr>
                <w:rFonts w:ascii="serif" w:hAnsi="serif"/>
                <w:sz w:val="20"/>
              </w:rPr>
            </w:pPr>
            <w:r>
              <w:rPr>
                <w:rFonts w:ascii="serif" w:hAnsi="serif"/>
                <w:sz w:val="20"/>
              </w:rPr>
              <w:t>(2)</w:t>
            </w:r>
          </w:p>
        </w:tc>
        <w:tc>
          <w:tcPr>
            <w:tcW w:w="240" w:type="dxa"/>
            <w:tcBorders/>
            <w:shd w:fill="auto" w:val="clear"/>
          </w:tcPr>
          <w:p>
            <w:pPr>
              <w:pStyle w:val="TableContents"/>
              <w:spacing w:before="0" w:after="283"/>
              <w:jc w:val="left"/>
              <w:rPr/>
            </w:pPr>
            <w:r>
              <w:rPr/>
              <w:t> </w:t>
            </w:r>
          </w:p>
        </w:tc>
        <w:tc>
          <w:tcPr>
            <w:tcW w:w="10610" w:type="dxa"/>
            <w:tcBorders/>
            <w:shd w:fill="auto" w:val="clear"/>
          </w:tcPr>
          <w:p>
            <w:pPr>
              <w:pStyle w:val="TableContents"/>
              <w:spacing w:before="0" w:after="283"/>
              <w:jc w:val="both"/>
              <w:rPr>
                <w:rFonts w:ascii="serif" w:hAnsi="serif"/>
                <w:sz w:val="20"/>
              </w:rPr>
            </w:pPr>
            <w:r>
              <w:rPr>
                <w:rFonts w:ascii="serif" w:hAnsi="serif"/>
                <w:sz w:val="20"/>
              </w:rPr>
              <w:t>The % of Increase is the dollar increase as a percent of the base salary in effect at the end of fiscal 2006.</w:t>
            </w:r>
          </w:p>
        </w:tc>
      </w:tr>
      <w:tr>
        <w:trPr/>
        <w:tc>
          <w:tcPr>
            <w:tcW w:w="290" w:type="dxa"/>
            <w:tcBorders/>
            <w:shd w:fill="auto" w:val="clear"/>
          </w:tcPr>
          <w:p>
            <w:pPr>
              <w:pStyle w:val="TableContents"/>
              <w:spacing w:before="0" w:after="283"/>
              <w:jc w:val="left"/>
              <w:rPr/>
            </w:pPr>
            <w:r>
              <w:rPr/>
              <w:t> </w:t>
            </w:r>
          </w:p>
        </w:tc>
        <w:tc>
          <w:tcPr>
            <w:tcW w:w="240" w:type="dxa"/>
            <w:tcBorders/>
            <w:shd w:fill="auto" w:val="clear"/>
          </w:tcPr>
          <w:p>
            <w:pPr>
              <w:pStyle w:val="TableContents"/>
              <w:spacing w:before="0" w:after="283"/>
              <w:jc w:val="left"/>
              <w:rPr/>
            </w:pPr>
            <w:r>
              <w:rPr/>
              <w:t>  </w:t>
            </w:r>
          </w:p>
        </w:tc>
        <w:tc>
          <w:tcPr>
            <w:tcW w:w="10610" w:type="dxa"/>
            <w:tcBorders/>
            <w:shd w:fill="auto" w:val="clear"/>
          </w:tcPr>
          <w:p>
            <w:pPr>
              <w:pStyle w:val="TableContents"/>
              <w:spacing w:before="0" w:after="283"/>
              <w:jc w:val="left"/>
              <w:rPr/>
            </w:pPr>
            <w:r>
              <w:rPr/>
              <w:t> </w:t>
            </w:r>
          </w:p>
        </w:tc>
      </w:tr>
      <w:tr>
        <w:trPr/>
        <w:tc>
          <w:tcPr>
            <w:tcW w:w="290" w:type="dxa"/>
            <w:tcBorders/>
            <w:shd w:fill="auto" w:val="clear"/>
          </w:tcPr>
          <w:p>
            <w:pPr>
              <w:pStyle w:val="TableContents"/>
              <w:spacing w:before="0" w:after="283"/>
              <w:jc w:val="left"/>
              <w:rPr>
                <w:rFonts w:ascii="serif" w:hAnsi="serif"/>
                <w:sz w:val="20"/>
              </w:rPr>
            </w:pPr>
            <w:r>
              <w:rPr>
                <w:rFonts w:ascii="serif" w:hAnsi="serif"/>
                <w:sz w:val="20"/>
              </w:rPr>
              <w:t>(3)</w:t>
            </w:r>
          </w:p>
        </w:tc>
        <w:tc>
          <w:tcPr>
            <w:tcW w:w="240" w:type="dxa"/>
            <w:tcBorders/>
            <w:shd w:fill="auto" w:val="clear"/>
          </w:tcPr>
          <w:p>
            <w:pPr>
              <w:pStyle w:val="TableContents"/>
              <w:spacing w:before="0" w:after="283"/>
              <w:jc w:val="left"/>
              <w:rPr/>
            </w:pPr>
            <w:r>
              <w:rPr/>
              <w:t> </w:t>
            </w:r>
          </w:p>
        </w:tc>
        <w:tc>
          <w:tcPr>
            <w:tcW w:w="10610" w:type="dxa"/>
            <w:tcBorders/>
            <w:shd w:fill="auto" w:val="clear"/>
          </w:tcPr>
          <w:p>
            <w:pPr>
              <w:pStyle w:val="TableContents"/>
              <w:spacing w:before="0" w:after="283"/>
              <w:jc w:val="both"/>
              <w:rPr>
                <w:rFonts w:ascii="serif" w:hAnsi="serif"/>
                <w:sz w:val="20"/>
              </w:rPr>
            </w:pPr>
            <w:r>
              <w:rPr>
                <w:rFonts w:ascii="serif" w:hAnsi="serif"/>
                <w:sz w:val="20"/>
              </w:rPr>
              <w:t>Brian K. Bancroft, our Vice President and Chief Procurement Officer, assumed the additional responsibility of executive management of our Canadian and U.K. subsidiaries. His salary increase reflects those additional responsibilities.</w:t>
            </w:r>
          </w:p>
        </w:tc>
      </w:tr>
    </w:tbl>
    <w:p>
      <w:pPr>
        <w:pStyle w:val="TextBody"/>
        <w:rPr/>
      </w:pPr>
      <w:r>
        <w:rPr/>
      </w:r>
    </w:p>
    <w:p>
      <w:pPr>
        <w:pStyle w:val="TextBody"/>
        <w:jc w:val="both"/>
        <w:rPr/>
      </w:pPr>
      <w:r>
        <w:rPr/>
        <w:t xml:space="preserve">      </w:t>
      </w:r>
      <w:r>
        <w:rPr>
          <w:rFonts w:ascii="serif" w:hAnsi="serif"/>
          <w:sz w:val="20"/>
        </w:rPr>
        <w:t>At its regular meeting on October 9, 2007, the Compensation Committee reviewed the accomplishments of our CEO for fiscal 2007 and set our CEOs base salary for fiscal 2008 at $382,125, an increase of 4%.</w:t>
      </w:r>
    </w:p>
    <w:p>
      <w:pPr>
        <w:pStyle w:val="TextBody"/>
        <w:jc w:val="both"/>
        <w:rPr/>
      </w:pPr>
      <w:r>
        <w:rPr/>
        <w:t xml:space="preserve">      </w:t>
      </w:r>
      <w:r>
        <w:rPr>
          <w:rFonts w:ascii="serif" w:hAnsi="serif"/>
          <w:b/>
          <w:sz w:val="20"/>
        </w:rPr>
        <w:t>Annual and Deferred Incentive Compensation:</w:t>
      </w:r>
      <w:r>
        <w:rPr/>
        <w:t xml:space="preserve"> </w:t>
      </w:r>
      <w:r>
        <w:rPr>
          <w:rFonts w:ascii="serif" w:hAnsi="serif"/>
          <w:sz w:val="20"/>
        </w:rPr>
        <w:t>Our annual incentive plan, the Oil-Dri Corporation of America Annual Incentive Plan, provides an opportunity for essentially all salaried employees (including the executive officers) to earn a performance-related cash incentive award. The annual incentive plan involves communication to employees of expectations for Oil-Dris performance and links Company performance and annual compensation. It provides for broad-based participation, so that each salaried employee recognizes that he or she can contribute to our success.</w:t>
      </w:r>
    </w:p>
    <w:p>
      <w:pPr>
        <w:pStyle w:val="TextBody"/>
        <w:jc w:val="center"/>
        <w:rPr>
          <w:rFonts w:ascii="serif" w:hAnsi="serif"/>
          <w:sz w:val="20"/>
        </w:rPr>
      </w:pPr>
      <w:r>
        <w:rPr>
          <w:rFonts w:ascii="serif" w:hAnsi="serif"/>
          <w:sz w:val="20"/>
        </w:rPr>
        <w:t>22</w:t>
      </w:r>
    </w:p>
    <w:p>
      <w:pPr>
        <w:pStyle w:val="HorizontalLine"/>
        <w:pBdr>
          <w:bottom w:val="single" w:sz="12" w:space="0" w:color="808080"/>
        </w:pBdr>
        <w:rPr/>
      </w:pPr>
      <w:r>
        <w:rPr/>
      </w:r>
    </w:p>
    <w:p>
      <w:pPr>
        <w:pStyle w:val="TextBody"/>
        <w:jc w:val="both"/>
        <w:rPr/>
      </w:pPr>
      <w:r>
        <w:rPr/>
        <w:t xml:space="preserve">      </w:t>
      </w:r>
      <w:r>
        <w:rPr>
          <w:rFonts w:ascii="serif" w:hAnsi="serif"/>
          <w:sz w:val="20"/>
        </w:rPr>
        <w:t>Our annual incentive plan provides for a target bonus equal to a percentage of each eligible employees annual base salary. This percentage is determined by salary grade, which reflects the level of responsibility and expected contribution of the employees position to our financial results. For employees in the higher salary grades (including the executive officers), a larger proportion of their compensation takes the form of incentive compensation than is the case for employees in the lower salary grades. As part of its annual review of executive compensation, the Compensation Committee sets the bonus opportunity as a percent of base salary for our CEO and determines the reasonableness of the bonus opportunity proposed by our CEO for the other executive officers.</w:t>
      </w:r>
    </w:p>
    <w:p>
      <w:pPr>
        <w:pStyle w:val="TextBody"/>
        <w:jc w:val="both"/>
        <w:rPr/>
      </w:pPr>
      <w:r>
        <w:rPr/>
        <w:t xml:space="preserve">      </w:t>
      </w:r>
      <w:r>
        <w:rPr>
          <w:rFonts w:ascii="serif" w:hAnsi="serif"/>
          <w:b/>
          <w:i/>
          <w:sz w:val="20"/>
        </w:rPr>
        <w:t>Annual Incentive Compensation:</w:t>
      </w:r>
      <w:r>
        <w:rPr/>
        <w:t xml:space="preserve"> </w:t>
      </w:r>
      <w:r>
        <w:rPr>
          <w:rFonts w:ascii="serif" w:hAnsi="serif"/>
          <w:sz w:val="20"/>
        </w:rPr>
        <w:t>The annual incentive plan provides for the possibility of awards based on corporate financial performance; special performance, including individual, departmental or divisional performance; or a combination of the two. A corporate financial performance measure has been the sole performance measure used under the annual incentive plan since fiscal 2001. This measure serves to unite all salaried employees to work together to improve Oil-Dris performance. Generally, if we meet our corporate performance target, full target bonus is paid to each salaried employee. If we fail to meet our target but meet certain performance minimums, a bonus of less than 100% of target bonus may be paid. If we exceed our target, bonuses above 100% of target may be paid; however, no employee can receive a bonus greater than 200% of target under this plan.</w:t>
      </w:r>
    </w:p>
    <w:p>
      <w:pPr>
        <w:pStyle w:val="TextBody"/>
        <w:jc w:val="both"/>
        <w:rPr/>
      </w:pPr>
      <w:r>
        <w:rPr/>
        <w:t xml:space="preserve">      </w:t>
      </w:r>
      <w:r>
        <w:rPr>
          <w:rFonts w:ascii="serif" w:hAnsi="serif"/>
          <w:b/>
          <w:i/>
          <w:sz w:val="20"/>
        </w:rPr>
        <w:t>Deferred Incentive Compensation:</w:t>
      </w:r>
      <w:r>
        <w:rPr/>
        <w:t xml:space="preserve"> </w:t>
      </w:r>
      <w:r>
        <w:rPr>
          <w:rFonts w:ascii="serif" w:hAnsi="serif"/>
          <w:sz w:val="20"/>
        </w:rPr>
        <w:t xml:space="preserve">At its regular meeting on October 9, 2006, the Compensation Committee approved an amendment and restatement of our annual incentive plan, effective as of August 1, 2006. Under the amended annual incentive plan, eligible employees (including our executive officers) continue to have the opportunity to receive annual cash incentive awards equal to a percentage of salary as described above. As amended, the annual incentive plan also provides for the opportunity for our senior managers, including the executive officers, to earn an executive deferred bonus award. </w:t>
      </w:r>
    </w:p>
    <w:p>
      <w:pPr>
        <w:pStyle w:val="TextBody"/>
        <w:jc w:val="both"/>
        <w:rPr/>
      </w:pPr>
      <w:r>
        <w:rPr/>
        <w:t xml:space="preserve">      </w:t>
      </w:r>
      <w:r>
        <w:rPr>
          <w:rFonts w:ascii="serif" w:hAnsi="serif"/>
          <w:sz w:val="20"/>
        </w:rPr>
        <w:t>The addition of this executive deferred bonus opportunity is part of our effort to reward and retain talented executives. The deferred bonus opportunity was implemented by increasing the target bonus as a percent of base salary for each participating executive, with the incremental piece payable as an executive deferred bonus. At our CEOs request, he was not eligible for an executive deferred bonus for fiscal 2007. All of our other executive officers were eligible. Executive deferred bonuses awarded for fiscal 2007 will be deferred and paid in full at the end of three years (July 31, 2010) if the executive is still employed by us at that time. The amended and restated annual incentive plan also provides for payout of executive deferred bonus awards upon death, retirement, disability or a change in control of Oil-Dri. We have established bookkeeping accounts for all deferred awards, which earn interest at a rate equal to our long term cost of borrowing plus one percent.</w:t>
      </w:r>
    </w:p>
    <w:p>
      <w:pPr>
        <w:pStyle w:val="TextBody"/>
        <w:jc w:val="both"/>
        <w:rPr/>
      </w:pPr>
      <w:r>
        <w:rPr/>
        <w:t xml:space="preserve">      </w:t>
      </w:r>
      <w:r>
        <w:rPr>
          <w:rFonts w:ascii="serif" w:hAnsi="serif"/>
          <w:b/>
          <w:i/>
          <w:sz w:val="20"/>
        </w:rPr>
        <w:t>Operation of the Annual Incentive Plan:</w:t>
      </w:r>
      <w:r>
        <w:rPr/>
        <w:t xml:space="preserve"> </w:t>
      </w:r>
      <w:r>
        <w:rPr>
          <w:rFonts w:ascii="serif" w:hAnsi="serif"/>
          <w:sz w:val="20"/>
        </w:rPr>
        <w:t>At the beginning of each fiscal year, our CEO presents to the Compensation Committee his proposal for the performance measures that will determine calculation of the incentive bonus for that year, along with specific performance targets and payout ranges. Our Chief Financial Officer may participate in this presentation as well. The Compensation Committee reviews these performance measures, targets and payout ranges and determines their reasonableness as they relate to the total compensation of the executive officers.</w:t>
      </w:r>
    </w:p>
    <w:p>
      <w:pPr>
        <w:pStyle w:val="TextBody"/>
        <w:jc w:val="both"/>
        <w:rPr/>
      </w:pPr>
      <w:r>
        <w:rPr/>
        <w:t xml:space="preserve">      </w:t>
      </w:r>
      <w:r>
        <w:rPr>
          <w:rFonts w:ascii="serif" w:hAnsi="serif"/>
          <w:sz w:val="20"/>
        </w:rPr>
        <w:t>For fiscal 2007, the performance measure under the annual incentive plan was corporate adjusted pre-tax, pre-bonus income as compared with pre-tax, pre-bonus income specified in our budgeted business plan. Adjusted pre-tax, pre-bonus income was determined for fiscal 2007 by adjusting pre-tax income as shown on our audited financial statements as follows: (i) by adding back the cash bonus earned under the annual incentive plan; (ii) by adding back stock compensation expense for equitable adjustments of outstanding stock option awards resulting from the stock dividend paid by the Company on September 8, 2006; and (iii) by adjustments related to accounting treatment of executive deferred bonus awards so that after the adjustments these awards are considered for bonus calculation purposes when awarded, rather than when accrued over their vesting period.</w:t>
      </w:r>
    </w:p>
    <w:p>
      <w:pPr>
        <w:pStyle w:val="TextBody"/>
        <w:jc w:val="center"/>
        <w:rPr>
          <w:rFonts w:ascii="serif" w:hAnsi="serif"/>
          <w:sz w:val="20"/>
        </w:rPr>
      </w:pPr>
      <w:r>
        <w:rPr>
          <w:rFonts w:ascii="serif" w:hAnsi="serif"/>
          <w:sz w:val="20"/>
        </w:rPr>
        <w:t>23</w:t>
      </w:r>
    </w:p>
    <w:p>
      <w:pPr>
        <w:pStyle w:val="HorizontalLine"/>
        <w:pBdr>
          <w:bottom w:val="single" w:sz="12" w:space="0" w:color="808080"/>
        </w:pBdr>
        <w:rPr/>
      </w:pPr>
      <w:r>
        <w:rPr/>
      </w:r>
    </w:p>
    <w:p>
      <w:pPr>
        <w:pStyle w:val="TextBody"/>
        <w:jc w:val="both"/>
        <w:rPr/>
      </w:pPr>
      <w:r>
        <w:rPr/>
        <w:t xml:space="preserve">      </w:t>
      </w:r>
      <w:r>
        <w:rPr>
          <w:rFonts w:ascii="serif" w:hAnsi="serif"/>
          <w:sz w:val="20"/>
        </w:rPr>
        <w:t>Under that performance measure, employees exempt from the overtime provisions of the Fair Labor Standards Act (the FLSA), including the executive officers, would earn bonuses as shown below:</w:t>
      </w:r>
    </w:p>
    <w:tbl>
      <w:tblPr>
        <w:tblW w:w="3000" w:type="pct"/>
        <w:jc w:val="center"/>
        <w:tblInd w:w="0" w:type="dxa"/>
        <w:tblCellMar>
          <w:top w:w="0" w:type="dxa"/>
          <w:left w:w="0" w:type="dxa"/>
          <w:bottom w:w="0" w:type="dxa"/>
          <w:right w:w="0" w:type="dxa"/>
        </w:tblCellMar>
      </w:tblPr>
      <w:tblGrid>
        <w:gridCol w:w="1855"/>
        <w:gridCol w:w="705"/>
        <w:gridCol w:w="1588"/>
        <w:gridCol w:w="315"/>
        <w:gridCol w:w="1660"/>
      </w:tblGrid>
      <w:tr>
        <w:trPr/>
        <w:tc>
          <w:tcPr>
            <w:tcW w:w="1855" w:type="dxa"/>
            <w:tcBorders/>
            <w:shd w:fill="auto" w:val="clear"/>
            <w:vAlign w:val="bottom"/>
          </w:tcPr>
          <w:p>
            <w:pPr>
              <w:pStyle w:val="TableContents"/>
              <w:spacing w:before="0" w:after="283"/>
              <w:rPr>
                <w:sz w:val="4"/>
                <w:szCs w:val="4"/>
              </w:rPr>
            </w:pPr>
            <w:r>
              <w:rPr>
                <w:sz w:val="4"/>
                <w:szCs w:val="4"/>
              </w:rPr>
            </w:r>
          </w:p>
        </w:tc>
        <w:tc>
          <w:tcPr>
            <w:tcW w:w="2293"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Adjusted Pre-Tax</w:t>
            </w:r>
          </w:p>
        </w:tc>
        <w:tc>
          <w:tcPr>
            <w:tcW w:w="315" w:type="dxa"/>
            <w:tcBorders/>
            <w:shd w:fill="auto" w:val="clear"/>
            <w:vAlign w:val="bottom"/>
          </w:tcPr>
          <w:p>
            <w:pPr>
              <w:pStyle w:val="TableContents"/>
              <w:spacing w:before="0" w:after="283"/>
              <w:rPr>
                <w:sz w:val="4"/>
                <w:szCs w:val="4"/>
              </w:rPr>
            </w:pPr>
            <w:r>
              <w:rPr>
                <w:sz w:val="4"/>
                <w:szCs w:val="4"/>
              </w:rPr>
            </w:r>
          </w:p>
        </w:tc>
        <w:tc>
          <w:tcPr>
            <w:tcW w:w="1660" w:type="dxa"/>
            <w:tcBorders/>
            <w:shd w:fill="auto" w:val="clear"/>
            <w:vAlign w:val="bottom"/>
          </w:tcPr>
          <w:p>
            <w:pPr>
              <w:pStyle w:val="TableContents"/>
              <w:spacing w:before="0" w:after="283"/>
              <w:jc w:val="center"/>
              <w:rPr/>
            </w:pPr>
            <w:r>
              <w:rPr/>
              <w:t> </w:t>
            </w:r>
            <w:r>
              <w:rPr>
                <w:rFonts w:ascii="serif" w:hAnsi="serif"/>
                <w:b/>
                <w:sz w:val="20"/>
              </w:rPr>
              <w:t>% of Target</w:t>
            </w:r>
          </w:p>
        </w:tc>
      </w:tr>
      <w:tr>
        <w:trPr/>
        <w:tc>
          <w:tcPr>
            <w:tcW w:w="1855" w:type="dxa"/>
            <w:tcBorders/>
            <w:shd w:fill="auto" w:val="clear"/>
            <w:vAlign w:val="bottom"/>
          </w:tcPr>
          <w:p>
            <w:pPr>
              <w:pStyle w:val="TableContents"/>
              <w:spacing w:before="0" w:after="283"/>
              <w:rPr>
                <w:sz w:val="4"/>
                <w:szCs w:val="4"/>
              </w:rPr>
            </w:pPr>
            <w:r>
              <w:rPr>
                <w:sz w:val="4"/>
                <w:szCs w:val="4"/>
              </w:rPr>
            </w:r>
          </w:p>
        </w:tc>
        <w:tc>
          <w:tcPr>
            <w:tcW w:w="2293"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Pre-Bonus Income</w:t>
            </w:r>
          </w:p>
        </w:tc>
        <w:tc>
          <w:tcPr>
            <w:tcW w:w="315"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1660"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Bonus Earned</w:t>
            </w:r>
            <w:r>
              <w:rPr/>
              <w:t> </w:t>
            </w:r>
          </w:p>
        </w:tc>
      </w:tr>
      <w:tr>
        <w:trPr/>
        <w:tc>
          <w:tcPr>
            <w:tcW w:w="1855" w:type="dxa"/>
            <w:tcBorders/>
            <w:shd w:fill="C0C0C0" w:val="clear"/>
            <w:vAlign w:val="bottom"/>
          </w:tcPr>
          <w:p>
            <w:pPr>
              <w:pStyle w:val="TableContents"/>
              <w:spacing w:before="0" w:after="283"/>
              <w:jc w:val="left"/>
              <w:rPr>
                <w:rFonts w:ascii="serif" w:hAnsi="serif"/>
                <w:sz w:val="20"/>
              </w:rPr>
            </w:pPr>
            <w:r>
              <w:rPr>
                <w:rFonts w:ascii="serif" w:hAnsi="serif"/>
                <w:sz w:val="20"/>
              </w:rPr>
              <w:t>Threshold</w:t>
            </w:r>
          </w:p>
        </w:tc>
        <w:tc>
          <w:tcPr>
            <w:tcW w:w="705" w:type="dxa"/>
            <w:tcBorders/>
            <w:shd w:fill="C0C0C0" w:val="clear"/>
            <w:vAlign w:val="bottom"/>
          </w:tcPr>
          <w:p>
            <w:pPr>
              <w:pStyle w:val="TableContents"/>
              <w:spacing w:before="0" w:after="283"/>
              <w:jc w:val="right"/>
              <w:rPr/>
            </w:pPr>
            <w:r>
              <w:rPr/>
              <w:t xml:space="preserve">         </w:t>
            </w:r>
            <w:r>
              <w:rPr>
                <w:rFonts w:ascii="serif" w:hAnsi="serif"/>
                <w:sz w:val="20"/>
              </w:rPr>
              <w:t>$</w:t>
            </w:r>
          </w:p>
        </w:tc>
        <w:tc>
          <w:tcPr>
            <w:tcW w:w="1588" w:type="dxa"/>
            <w:tcBorders/>
            <w:shd w:fill="C0C0C0" w:val="clear"/>
            <w:vAlign w:val="bottom"/>
          </w:tcPr>
          <w:p>
            <w:pPr>
              <w:pStyle w:val="TableContents"/>
              <w:spacing w:before="0" w:after="283"/>
              <w:jc w:val="right"/>
              <w:rPr>
                <w:rFonts w:ascii="serif" w:hAnsi="serif"/>
                <w:sz w:val="20"/>
              </w:rPr>
            </w:pPr>
            <w:r>
              <w:rPr>
                <w:rFonts w:ascii="serif" w:hAnsi="serif"/>
                <w:sz w:val="20"/>
              </w:rPr>
              <w:t>8,479,000        </w:t>
            </w:r>
          </w:p>
        </w:tc>
        <w:tc>
          <w:tcPr>
            <w:tcW w:w="315" w:type="dxa"/>
            <w:tcBorders/>
            <w:shd w:fill="C0C0C0" w:val="clear"/>
            <w:vAlign w:val="bottom"/>
          </w:tcPr>
          <w:p>
            <w:pPr>
              <w:pStyle w:val="TableContents"/>
              <w:spacing w:before="0" w:after="283"/>
              <w:jc w:val="center"/>
              <w:rPr/>
            </w:pPr>
            <w:r>
              <w:rPr/>
              <w:t> </w:t>
            </w:r>
          </w:p>
        </w:tc>
        <w:tc>
          <w:tcPr>
            <w:tcW w:w="1660" w:type="dxa"/>
            <w:tcBorders/>
            <w:shd w:fill="C0C0C0" w:val="clear"/>
            <w:vAlign w:val="bottom"/>
          </w:tcPr>
          <w:p>
            <w:pPr>
              <w:pStyle w:val="TableContents"/>
              <w:spacing w:before="0" w:after="283"/>
              <w:jc w:val="center"/>
              <w:rPr/>
            </w:pPr>
            <w:r>
              <w:rPr>
                <w:highlight w:val="lightGray"/>
              </w:rPr>
              <w:t> </w:t>
            </w:r>
            <w:r>
              <w:rPr>
                <w:rFonts w:ascii="serif" w:hAnsi="serif"/>
                <w:sz w:val="20"/>
              </w:rPr>
              <w:t>25%</w:t>
            </w:r>
            <w:r>
              <w:rPr/>
              <w:t xml:space="preserve"> </w:t>
            </w:r>
          </w:p>
        </w:tc>
      </w:tr>
      <w:tr>
        <w:trPr/>
        <w:tc>
          <w:tcPr>
            <w:tcW w:w="1855" w:type="dxa"/>
            <w:tcBorders/>
            <w:shd w:fill="auto" w:val="clear"/>
            <w:vAlign w:val="bottom"/>
          </w:tcPr>
          <w:p>
            <w:pPr>
              <w:pStyle w:val="TableContents"/>
              <w:spacing w:before="0" w:after="283"/>
              <w:jc w:val="left"/>
              <w:rPr>
                <w:rFonts w:ascii="serif" w:hAnsi="serif"/>
                <w:sz w:val="20"/>
              </w:rPr>
            </w:pPr>
            <w:r>
              <w:rPr>
                <w:rFonts w:ascii="serif" w:hAnsi="serif"/>
                <w:sz w:val="20"/>
              </w:rPr>
              <w:t>Target</w:t>
            </w:r>
          </w:p>
        </w:tc>
        <w:tc>
          <w:tcPr>
            <w:tcW w:w="70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1588" w:type="dxa"/>
            <w:tcBorders/>
            <w:shd w:fill="auto" w:val="clear"/>
            <w:vAlign w:val="bottom"/>
          </w:tcPr>
          <w:p>
            <w:pPr>
              <w:pStyle w:val="TableContents"/>
              <w:spacing w:before="0" w:after="283"/>
              <w:jc w:val="right"/>
              <w:rPr/>
            </w:pPr>
            <w:r>
              <w:rPr>
                <w:rFonts w:ascii="serif" w:hAnsi="serif"/>
                <w:sz w:val="20"/>
              </w:rPr>
              <w:t>11,779,000      </w:t>
            </w:r>
            <w:r>
              <w:rPr/>
              <w:t xml:space="preserve">  </w:t>
            </w:r>
          </w:p>
        </w:tc>
        <w:tc>
          <w:tcPr>
            <w:tcW w:w="315" w:type="dxa"/>
            <w:tcBorders/>
            <w:shd w:fill="auto" w:val="clear"/>
            <w:vAlign w:val="bottom"/>
          </w:tcPr>
          <w:p>
            <w:pPr>
              <w:pStyle w:val="TableContents"/>
              <w:spacing w:before="0" w:after="283"/>
              <w:rPr>
                <w:sz w:val="4"/>
                <w:szCs w:val="4"/>
              </w:rPr>
            </w:pPr>
            <w:r>
              <w:rPr>
                <w:sz w:val="4"/>
                <w:szCs w:val="4"/>
              </w:rPr>
            </w:r>
          </w:p>
        </w:tc>
        <w:tc>
          <w:tcPr>
            <w:tcW w:w="1660" w:type="dxa"/>
            <w:tcBorders/>
            <w:shd w:fill="auto" w:val="clear"/>
            <w:vAlign w:val="bottom"/>
          </w:tcPr>
          <w:p>
            <w:pPr>
              <w:pStyle w:val="TableContents"/>
              <w:spacing w:before="0" w:after="283"/>
              <w:jc w:val="center"/>
              <w:rPr/>
            </w:pPr>
            <w:r>
              <w:rPr/>
              <w:t> </w:t>
            </w:r>
            <w:r>
              <w:rPr>
                <w:rFonts w:ascii="serif" w:hAnsi="serif"/>
                <w:sz w:val="20"/>
              </w:rPr>
              <w:t>100%</w:t>
            </w:r>
            <w:r>
              <w:rPr/>
              <w:t xml:space="preserve"> </w:t>
            </w:r>
          </w:p>
        </w:tc>
      </w:tr>
      <w:tr>
        <w:trPr/>
        <w:tc>
          <w:tcPr>
            <w:tcW w:w="1855" w:type="dxa"/>
            <w:tcBorders/>
            <w:shd w:fill="C0C0C0" w:val="clear"/>
            <w:vAlign w:val="bottom"/>
          </w:tcPr>
          <w:p>
            <w:pPr>
              <w:pStyle w:val="TableContents"/>
              <w:spacing w:before="0" w:after="283"/>
              <w:jc w:val="left"/>
              <w:rPr>
                <w:rFonts w:ascii="serif" w:hAnsi="serif"/>
                <w:sz w:val="20"/>
              </w:rPr>
            </w:pPr>
            <w:r>
              <w:rPr>
                <w:rFonts w:ascii="serif" w:hAnsi="serif"/>
                <w:sz w:val="20"/>
              </w:rPr>
              <w:t>Maximum</w:t>
            </w:r>
          </w:p>
        </w:tc>
        <w:tc>
          <w:tcPr>
            <w:tcW w:w="7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588" w:type="dxa"/>
            <w:tcBorders/>
            <w:shd w:fill="C0C0C0" w:val="clear"/>
            <w:vAlign w:val="bottom"/>
          </w:tcPr>
          <w:p>
            <w:pPr>
              <w:pStyle w:val="TableContents"/>
              <w:spacing w:before="0" w:after="283"/>
              <w:jc w:val="right"/>
              <w:rPr/>
            </w:pPr>
            <w:r>
              <w:rPr>
                <w:rFonts w:ascii="serif" w:hAnsi="serif"/>
                <w:sz w:val="20"/>
              </w:rPr>
              <w:t>16,180,000</w:t>
            </w:r>
            <w:r>
              <w:rPr>
                <w:sz w:val="20"/>
              </w:rPr>
              <w:t>       </w:t>
            </w:r>
            <w:r>
              <w:rPr/>
              <w:t> </w:t>
            </w:r>
          </w:p>
        </w:tc>
        <w:tc>
          <w:tcPr>
            <w:tcW w:w="315" w:type="dxa"/>
            <w:tcBorders/>
            <w:shd w:fill="C0C0C0" w:val="clear"/>
            <w:vAlign w:val="bottom"/>
          </w:tcPr>
          <w:p>
            <w:pPr>
              <w:pStyle w:val="TableContents"/>
              <w:spacing w:before="0" w:after="283"/>
              <w:rPr>
                <w:sz w:val="4"/>
                <w:szCs w:val="4"/>
              </w:rPr>
            </w:pPr>
            <w:r>
              <w:rPr>
                <w:sz w:val="4"/>
                <w:szCs w:val="4"/>
              </w:rPr>
            </w:r>
          </w:p>
        </w:tc>
        <w:tc>
          <w:tcPr>
            <w:tcW w:w="1660" w:type="dxa"/>
            <w:tcBorders/>
            <w:shd w:fill="C0C0C0" w:val="clear"/>
            <w:vAlign w:val="bottom"/>
          </w:tcPr>
          <w:p>
            <w:pPr>
              <w:pStyle w:val="TableContents"/>
              <w:spacing w:before="0" w:after="283"/>
              <w:jc w:val="center"/>
              <w:rPr/>
            </w:pPr>
            <w:r>
              <w:rPr>
                <w:highlight w:val="lightGray"/>
              </w:rPr>
              <w:t> </w:t>
            </w:r>
            <w:r>
              <w:rPr>
                <w:rFonts w:ascii="serif" w:hAnsi="serif"/>
                <w:sz w:val="20"/>
              </w:rPr>
              <w:t>200%</w:t>
            </w:r>
            <w:r>
              <w:rPr/>
              <w:t xml:space="preserve"> </w:t>
            </w:r>
          </w:p>
        </w:tc>
      </w:tr>
      <w:tr>
        <w:trPr/>
        <w:tc>
          <w:tcPr>
            <w:tcW w:w="1855" w:type="dxa"/>
            <w:tcBorders/>
            <w:shd w:fill="auto" w:val="clear"/>
            <w:vAlign w:val="bottom"/>
          </w:tcPr>
          <w:p>
            <w:pPr>
              <w:pStyle w:val="TableContents"/>
              <w:spacing w:before="0" w:after="283"/>
              <w:jc w:val="left"/>
              <w:rPr>
                <w:rFonts w:ascii="serif" w:hAnsi="serif"/>
                <w:sz w:val="20"/>
              </w:rPr>
            </w:pPr>
            <w:r>
              <w:rPr>
                <w:rFonts w:ascii="serif" w:hAnsi="serif"/>
                <w:sz w:val="20"/>
              </w:rPr>
              <w:t>Actual</w:t>
            </w:r>
          </w:p>
        </w:tc>
        <w:tc>
          <w:tcPr>
            <w:tcW w:w="70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1588" w:type="dxa"/>
            <w:tcBorders/>
            <w:shd w:fill="auto" w:val="clear"/>
            <w:vAlign w:val="bottom"/>
          </w:tcPr>
          <w:p>
            <w:pPr>
              <w:pStyle w:val="TableContents"/>
              <w:spacing w:before="0" w:after="283"/>
              <w:jc w:val="right"/>
              <w:rPr/>
            </w:pPr>
            <w:r>
              <w:rPr>
                <w:rFonts w:ascii="serif" w:hAnsi="serif"/>
                <w:sz w:val="20"/>
              </w:rPr>
              <w:t>15,155,400</w:t>
            </w:r>
            <w:r>
              <w:rPr>
                <w:sz w:val="20"/>
              </w:rPr>
              <w:t>       </w:t>
            </w:r>
            <w:r>
              <w:rPr/>
              <w:t> </w:t>
            </w:r>
          </w:p>
        </w:tc>
        <w:tc>
          <w:tcPr>
            <w:tcW w:w="315" w:type="dxa"/>
            <w:tcBorders/>
            <w:shd w:fill="auto" w:val="clear"/>
            <w:vAlign w:val="bottom"/>
          </w:tcPr>
          <w:p>
            <w:pPr>
              <w:pStyle w:val="TableContents"/>
              <w:spacing w:before="0" w:after="283"/>
              <w:rPr>
                <w:sz w:val="4"/>
                <w:szCs w:val="4"/>
              </w:rPr>
            </w:pPr>
            <w:r>
              <w:rPr>
                <w:sz w:val="4"/>
                <w:szCs w:val="4"/>
              </w:rPr>
            </w:r>
          </w:p>
        </w:tc>
        <w:tc>
          <w:tcPr>
            <w:tcW w:w="1660" w:type="dxa"/>
            <w:tcBorders/>
            <w:shd w:fill="auto" w:val="clear"/>
            <w:vAlign w:val="bottom"/>
          </w:tcPr>
          <w:p>
            <w:pPr>
              <w:pStyle w:val="TableContents"/>
              <w:spacing w:before="0" w:after="283"/>
              <w:jc w:val="center"/>
              <w:rPr/>
            </w:pPr>
            <w:r>
              <w:rPr/>
              <w:t> </w:t>
            </w:r>
            <w:r>
              <w:rPr>
                <w:rFonts w:ascii="serif" w:hAnsi="serif"/>
                <w:sz w:val="20"/>
              </w:rPr>
              <w:t>176.5%</w:t>
            </w:r>
            <w:r>
              <w:rPr/>
              <w:t xml:space="preserve"> </w:t>
            </w:r>
          </w:p>
        </w:tc>
      </w:tr>
    </w:tbl>
    <w:p>
      <w:pPr>
        <w:pStyle w:val="TextBody"/>
        <w:rPr/>
      </w:pPr>
      <w:r>
        <w:rPr/>
      </w:r>
    </w:p>
    <w:p>
      <w:pPr>
        <w:pStyle w:val="TextBody"/>
        <w:jc w:val="both"/>
        <w:rPr>
          <w:rFonts w:ascii="serif" w:hAnsi="serif"/>
          <w:sz w:val="20"/>
        </w:rPr>
      </w:pPr>
      <w:r>
        <w:rPr>
          <w:rFonts w:ascii="serif" w:hAnsi="serif"/>
          <w:sz w:val="20"/>
        </w:rPr>
        <w:t>Additional targets were also specified. If performance fell between two of the specified targets, the target bonus payment percentage would be prorated. No executive deferred bonus was to be awarded unless 75% of target bonus was earned. Employees not exempt from the overtime provisions of the FLSA (non-exempt employees) would earn 100% of target bonus if payout were made at any of the levels listed above.</w:t>
      </w:r>
    </w:p>
    <w:p>
      <w:pPr>
        <w:pStyle w:val="TextBody"/>
        <w:jc w:val="both"/>
        <w:rPr/>
      </w:pPr>
      <w:r>
        <w:rPr/>
        <w:t xml:space="preserve">      </w:t>
      </w:r>
      <w:r>
        <w:rPr>
          <w:rFonts w:ascii="serif" w:hAnsi="serif"/>
          <w:sz w:val="20"/>
        </w:rPr>
        <w:t>The bonus opportunity for fiscal 2007 as a percent of base salary for the named executive officers is shown below:</w:t>
      </w:r>
    </w:p>
    <w:tbl>
      <w:tblPr>
        <w:tblW w:w="12690" w:type="dxa"/>
        <w:jc w:val="left"/>
        <w:tblInd w:w="0" w:type="dxa"/>
        <w:tblCellMar>
          <w:top w:w="0" w:type="dxa"/>
          <w:left w:w="0" w:type="dxa"/>
          <w:bottom w:w="0" w:type="dxa"/>
          <w:right w:w="0" w:type="dxa"/>
        </w:tblCellMar>
      </w:tblPr>
      <w:tblGrid>
        <w:gridCol w:w="2030"/>
        <w:gridCol w:w="60"/>
        <w:gridCol w:w="620"/>
        <w:gridCol w:w="200"/>
        <w:gridCol w:w="240"/>
        <w:gridCol w:w="620"/>
        <w:gridCol w:w="200"/>
        <w:gridCol w:w="240"/>
        <w:gridCol w:w="620"/>
        <w:gridCol w:w="200"/>
        <w:gridCol w:w="240"/>
        <w:gridCol w:w="620"/>
        <w:gridCol w:w="200"/>
        <w:gridCol w:w="240"/>
        <w:gridCol w:w="620"/>
        <w:gridCol w:w="200"/>
        <w:gridCol w:w="240"/>
        <w:gridCol w:w="620"/>
        <w:gridCol w:w="200"/>
        <w:gridCol w:w="240"/>
        <w:gridCol w:w="620"/>
        <w:gridCol w:w="200"/>
        <w:gridCol w:w="240"/>
        <w:gridCol w:w="740"/>
        <w:gridCol w:w="200"/>
        <w:gridCol w:w="240"/>
        <w:gridCol w:w="620"/>
        <w:gridCol w:w="200"/>
        <w:gridCol w:w="240"/>
        <w:gridCol w:w="740"/>
        <w:gridCol w:w="200"/>
      </w:tblGrid>
      <w:tr>
        <w:trPr/>
        <w:tc>
          <w:tcPr>
            <w:tcW w:w="20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600" w:type="dxa"/>
            <w:gridSpan w:val="29"/>
            <w:tcBorders/>
            <w:shd w:fill="auto" w:val="clear"/>
            <w:vAlign w:val="bottom"/>
          </w:tcPr>
          <w:p>
            <w:pPr>
              <w:pStyle w:val="TableContents"/>
              <w:spacing w:before="0" w:after="283"/>
              <w:jc w:val="center"/>
              <w:rPr/>
            </w:pPr>
            <w:r>
              <w:rPr/>
              <w:t> </w:t>
            </w:r>
            <w:r>
              <w:rPr>
                <w:rFonts w:ascii="serif" w:hAnsi="serif"/>
                <w:b/>
                <w:sz w:val="20"/>
              </w:rPr>
              <w:t>Bonus Opportunity as a % of Base Salary</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00" w:type="dxa"/>
            <w:gridSpan w:val="11"/>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Threshold</w:t>
            </w:r>
          </w:p>
        </w:tc>
        <w:tc>
          <w:tcPr>
            <w:tcW w:w="240" w:type="dxa"/>
            <w:tcBorders/>
            <w:shd w:fill="auto" w:val="clear"/>
            <w:vAlign w:val="bottom"/>
          </w:tcPr>
          <w:p>
            <w:pPr>
              <w:pStyle w:val="TableContents"/>
              <w:spacing w:before="0" w:after="283"/>
              <w:rPr>
                <w:sz w:val="4"/>
                <w:szCs w:val="4"/>
              </w:rPr>
            </w:pPr>
            <w:r>
              <w:rPr>
                <w:sz w:val="4"/>
                <w:szCs w:val="4"/>
              </w:rPr>
            </w:r>
          </w:p>
        </w:tc>
        <w:tc>
          <w:tcPr>
            <w:tcW w:w="2940" w:type="dxa"/>
            <w:gridSpan w:val="8"/>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Target</w:t>
            </w:r>
          </w:p>
        </w:tc>
        <w:tc>
          <w:tcPr>
            <w:tcW w:w="240" w:type="dxa"/>
            <w:tcBorders/>
            <w:shd w:fill="auto" w:val="clear"/>
            <w:vAlign w:val="bottom"/>
          </w:tcPr>
          <w:p>
            <w:pPr>
              <w:pStyle w:val="TableContents"/>
              <w:spacing w:before="0" w:after="283"/>
              <w:rPr>
                <w:sz w:val="4"/>
                <w:szCs w:val="4"/>
              </w:rPr>
            </w:pPr>
            <w:r>
              <w:rPr>
                <w:sz w:val="4"/>
                <w:szCs w:val="4"/>
              </w:rPr>
            </w:r>
          </w:p>
        </w:tc>
        <w:tc>
          <w:tcPr>
            <w:tcW w:w="3180" w:type="dxa"/>
            <w:gridSpan w:val="8"/>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Maximum</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Cash</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Only</w:t>
            </w:r>
          </w:p>
        </w:tc>
        <w:tc>
          <w:tcPr>
            <w:tcW w:w="240" w:type="dxa"/>
            <w:tcBorders/>
            <w:shd w:fill="auto" w:val="clear"/>
            <w:vAlign w:val="bottom"/>
          </w:tcPr>
          <w:p>
            <w:pPr>
              <w:pStyle w:val="TableContents"/>
              <w:spacing w:before="0" w:after="283"/>
              <w:rPr>
                <w:sz w:val="4"/>
                <w:szCs w:val="4"/>
              </w:rPr>
            </w:pPr>
            <w:r>
              <w:rPr>
                <w:sz w:val="4"/>
                <w:szCs w:val="4"/>
              </w:rPr>
            </w:r>
          </w:p>
        </w:tc>
        <w:tc>
          <w:tcPr>
            <w:tcW w:w="2940" w:type="dxa"/>
            <w:gridSpan w:val="8"/>
            <w:tcBorders/>
            <w:shd w:fill="auto" w:val="clear"/>
            <w:vAlign w:val="bottom"/>
          </w:tcPr>
          <w:p>
            <w:pPr>
              <w:pStyle w:val="TableContents"/>
              <w:spacing w:before="0" w:after="283"/>
              <w:jc w:val="center"/>
              <w:rPr/>
            </w:pPr>
            <w:r>
              <w:rPr/>
              <w:t> </w:t>
            </w:r>
            <w:r>
              <w:rPr>
                <w:rFonts w:ascii="serif" w:hAnsi="serif"/>
                <w:b/>
                <w:sz w:val="20"/>
              </w:rPr>
              <w:t>Deferred</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(1)</w:t>
            </w:r>
          </w:p>
        </w:tc>
        <w:tc>
          <w:tcPr>
            <w:tcW w:w="240" w:type="dxa"/>
            <w:tcBorders/>
            <w:shd w:fill="auto" w:val="clear"/>
            <w:vAlign w:val="bottom"/>
          </w:tcPr>
          <w:p>
            <w:pPr>
              <w:pStyle w:val="TableContents"/>
              <w:spacing w:before="0" w:after="283"/>
              <w:rPr>
                <w:sz w:val="4"/>
                <w:szCs w:val="4"/>
              </w:rPr>
            </w:pPr>
            <w:r>
              <w:rPr>
                <w:sz w:val="4"/>
                <w:szCs w:val="4"/>
              </w:rPr>
            </w:r>
          </w:p>
        </w:tc>
        <w:tc>
          <w:tcPr>
            <w:tcW w:w="2940" w:type="dxa"/>
            <w:gridSpan w:val="8"/>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(2)</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Cash</w:t>
            </w:r>
          </w:p>
        </w:tc>
        <w:tc>
          <w:tcPr>
            <w:tcW w:w="24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Cash</w:t>
            </w:r>
          </w:p>
        </w:tc>
        <w:tc>
          <w:tcPr>
            <w:tcW w:w="24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Defer</w:t>
            </w:r>
          </w:p>
        </w:tc>
        <w:tc>
          <w:tcPr>
            <w:tcW w:w="24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Total</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Cash</w:t>
            </w:r>
          </w:p>
        </w:tc>
        <w:tc>
          <w:tcPr>
            <w:tcW w:w="24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Defer</w:t>
            </w:r>
          </w:p>
        </w:tc>
        <w:tc>
          <w:tcPr>
            <w:tcW w:w="24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Total</w:t>
            </w:r>
          </w:p>
        </w:tc>
        <w:tc>
          <w:tcPr>
            <w:tcW w:w="240" w:type="dxa"/>
            <w:tcBorders/>
            <w:shd w:fill="auto" w:val="clear"/>
            <w:vAlign w:val="bottom"/>
          </w:tcPr>
          <w:p>
            <w:pPr>
              <w:pStyle w:val="TableContents"/>
              <w:spacing w:before="0" w:after="283"/>
              <w:rPr>
                <w:sz w:val="4"/>
                <w:szCs w:val="4"/>
              </w:rPr>
            </w:pPr>
            <w:r>
              <w:rPr>
                <w:sz w:val="4"/>
                <w:szCs w:val="4"/>
              </w:rPr>
            </w:r>
          </w:p>
        </w:tc>
        <w:tc>
          <w:tcPr>
            <w:tcW w:w="940" w:type="dxa"/>
            <w:gridSpan w:val="2"/>
            <w:tcBorders/>
            <w:shd w:fill="auto" w:val="clear"/>
            <w:vAlign w:val="bottom"/>
          </w:tcPr>
          <w:p>
            <w:pPr>
              <w:pStyle w:val="TableContents"/>
              <w:spacing w:before="0" w:after="283"/>
              <w:jc w:val="center"/>
              <w:rPr/>
            </w:pPr>
            <w:r>
              <w:rPr/>
              <w:t> </w:t>
            </w:r>
            <w:r>
              <w:rPr>
                <w:rFonts w:ascii="serif" w:hAnsi="serif"/>
                <w:b/>
                <w:sz w:val="20"/>
              </w:rPr>
              <w:t>Cash</w:t>
            </w:r>
          </w:p>
        </w:tc>
        <w:tc>
          <w:tcPr>
            <w:tcW w:w="24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Defer</w:t>
            </w:r>
          </w:p>
        </w:tc>
        <w:tc>
          <w:tcPr>
            <w:tcW w:w="240" w:type="dxa"/>
            <w:tcBorders/>
            <w:shd w:fill="auto" w:val="clear"/>
            <w:vAlign w:val="bottom"/>
          </w:tcPr>
          <w:p>
            <w:pPr>
              <w:pStyle w:val="TableContents"/>
              <w:spacing w:before="0" w:after="283"/>
              <w:rPr>
                <w:sz w:val="4"/>
                <w:szCs w:val="4"/>
              </w:rPr>
            </w:pPr>
            <w:r>
              <w:rPr>
                <w:sz w:val="4"/>
                <w:szCs w:val="4"/>
              </w:rPr>
            </w:r>
          </w:p>
        </w:tc>
        <w:tc>
          <w:tcPr>
            <w:tcW w:w="940" w:type="dxa"/>
            <w:gridSpan w:val="2"/>
            <w:tcBorders/>
            <w:shd w:fill="auto" w:val="clear"/>
            <w:vAlign w:val="bottom"/>
          </w:tcPr>
          <w:p>
            <w:pPr>
              <w:pStyle w:val="TableContents"/>
              <w:spacing w:before="0" w:after="283"/>
              <w:jc w:val="center"/>
              <w:rPr/>
            </w:pPr>
            <w:r>
              <w:rPr/>
              <w:t> </w:t>
            </w:r>
            <w:r>
              <w:rPr>
                <w:rFonts w:ascii="serif" w:hAnsi="serif"/>
                <w:b/>
                <w:sz w:val="20"/>
              </w:rPr>
              <w:t>Total</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94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82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240" w:type="dxa"/>
            <w:tcBorders/>
            <w:shd w:fill="auto" w:val="clear"/>
            <w:vAlign w:val="bottom"/>
          </w:tcPr>
          <w:p>
            <w:pPr>
              <w:pStyle w:val="TableContents"/>
              <w:spacing w:before="0" w:after="283"/>
              <w:jc w:val="left"/>
              <w:rPr/>
            </w:pPr>
            <w:r>
              <w:rPr/>
              <w:t>    </w:t>
            </w:r>
          </w:p>
        </w:tc>
        <w:tc>
          <w:tcPr>
            <w:tcW w:w="940" w:type="dxa"/>
            <w:gridSpan w:val="2"/>
            <w:tcBorders/>
            <w:shd w:fill="auto" w:val="clear"/>
            <w:vAlign w:val="bottom"/>
          </w:tcPr>
          <w:p>
            <w:pPr>
              <w:pStyle w:val="TableContents"/>
              <w:spacing w:before="0" w:after="283"/>
              <w:jc w:val="center"/>
              <w:rPr/>
            </w:pPr>
            <w:r>
              <w:rPr/>
              <w:t> </w:t>
            </w:r>
            <w:r>
              <w:rPr>
                <w:rFonts w:ascii="serif" w:hAnsi="serif"/>
                <w:b/>
                <w:sz w:val="20"/>
              </w:rPr>
              <w:t>Bonus</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60" w:type="dxa"/>
            <w:tcBorders/>
            <w:shd w:fill="C0C0C0" w:val="clear"/>
            <w:vAlign w:val="bottom"/>
          </w:tcPr>
          <w:p>
            <w:pPr>
              <w:pStyle w:val="TableContents"/>
              <w:spacing w:before="0" w:after="283"/>
              <w:jc w:val="left"/>
              <w:rPr/>
            </w:pPr>
            <w:r>
              <w:rPr/>
              <w:t> </w:t>
            </w:r>
          </w:p>
        </w:tc>
        <w:tc>
          <w:tcPr>
            <w:tcW w:w="620" w:type="dxa"/>
            <w:tcBorders/>
            <w:shd w:fill="C0C0C0" w:val="clear"/>
            <w:vAlign w:val="bottom"/>
          </w:tcPr>
          <w:p>
            <w:pPr>
              <w:pStyle w:val="TableContents"/>
              <w:spacing w:before="0" w:after="283"/>
              <w:jc w:val="right"/>
              <w:rPr/>
            </w:pPr>
            <w:r>
              <w:rPr/>
              <w:t> </w:t>
            </w:r>
            <w:r>
              <w:rPr>
                <w:rFonts w:ascii="serif" w:hAnsi="serif"/>
                <w:sz w:val="20"/>
              </w:rPr>
              <w:t>12.50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620" w:type="dxa"/>
            <w:tcBorders/>
            <w:shd w:fill="C0C0C0" w:val="clear"/>
            <w:vAlign w:val="bottom"/>
          </w:tcPr>
          <w:p>
            <w:pPr>
              <w:pStyle w:val="TableContents"/>
              <w:spacing w:before="0" w:after="283"/>
              <w:jc w:val="right"/>
              <w:rPr/>
            </w:pPr>
            <w:r>
              <w:rPr/>
              <w:t> </w:t>
            </w:r>
            <w:r>
              <w:rPr>
                <w:rFonts w:ascii="serif" w:hAnsi="serif"/>
                <w:sz w:val="20"/>
              </w:rPr>
              <w:t>37.50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pPr>
            <w:r>
              <w:rPr/>
              <w:t> </w:t>
            </w:r>
            <w:r>
              <w:rPr>
                <w:rFonts w:ascii="serif" w:hAnsi="serif"/>
                <w:sz w:val="20"/>
              </w:rPr>
              <w:t>37.50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pPr>
            <w:r>
              <w:rPr/>
              <w:t> </w:t>
            </w:r>
            <w:r>
              <w:rPr>
                <w:rFonts w:ascii="serif" w:hAnsi="serif"/>
                <w:sz w:val="20"/>
              </w:rPr>
              <w:t>50.00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pPr>
            <w:r>
              <w:rPr/>
              <w:t> </w:t>
            </w:r>
            <w:r>
              <w:rPr>
                <w:rFonts w:ascii="serif" w:hAnsi="serif"/>
                <w:sz w:val="20"/>
              </w:rPr>
              <w:t>50.00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jc w:val="right"/>
              <w:rPr/>
            </w:pPr>
            <w:r>
              <w:rPr/>
              <w:t> </w:t>
            </w:r>
            <w:r>
              <w:rPr>
                <w:rFonts w:ascii="serif" w:hAnsi="serif"/>
                <w:sz w:val="20"/>
              </w:rPr>
              <w:t>100.00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740" w:type="dxa"/>
            <w:tcBorders/>
            <w:shd w:fill="C0C0C0" w:val="clear"/>
            <w:vAlign w:val="bottom"/>
          </w:tcPr>
          <w:p>
            <w:pPr>
              <w:pStyle w:val="TableContents"/>
              <w:spacing w:before="0" w:after="283"/>
              <w:jc w:val="right"/>
              <w:rPr/>
            </w:pPr>
            <w:r>
              <w:rPr/>
              <w:t> </w:t>
            </w:r>
            <w:r>
              <w:rPr>
                <w:rFonts w:ascii="serif" w:hAnsi="serif"/>
                <w:sz w:val="20"/>
              </w:rPr>
              <w:t>100.00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r>
      <w:tr>
        <w:trPr/>
        <w:tc>
          <w:tcPr>
            <w:tcW w:w="2030" w:type="dxa"/>
            <w:tcBorders/>
            <w:shd w:fill="auto" w:val="clear"/>
            <w:vAlign w:val="bottom"/>
          </w:tcPr>
          <w:p>
            <w:pPr>
              <w:pStyle w:val="TableContents"/>
              <w:spacing w:before="0" w:after="283"/>
              <w:jc w:val="left"/>
              <w:rPr>
                <w:rFonts w:ascii="serif" w:hAnsi="serif"/>
                <w:sz w:val="20"/>
              </w:rPr>
            </w:pPr>
            <w:r>
              <w:rPr>
                <w:rFonts w:ascii="serif" w:hAnsi="serif"/>
                <w:sz w:val="20"/>
              </w:rPr>
              <w:t>Andrew N. Peterson</w:t>
            </w:r>
          </w:p>
        </w:tc>
        <w:tc>
          <w:tcPr>
            <w:tcW w:w="6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8.75</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26.25</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pPr>
            <w:r>
              <w:rPr/>
              <w:t> </w:t>
            </w:r>
            <w:r>
              <w:rPr>
                <w:rFonts w:ascii="serif" w:hAnsi="serif"/>
                <w:sz w:val="20"/>
              </w:rPr>
              <w:t>10.50</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36.75</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35.00</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pPr>
            <w:r>
              <w:rPr/>
              <w:t> </w:t>
            </w:r>
            <w:r>
              <w:rPr>
                <w:rFonts w:ascii="serif" w:hAnsi="serif"/>
                <w:sz w:val="20"/>
              </w:rPr>
              <w:t>14.00</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49.00</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70.00</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pPr>
            <w:r>
              <w:rPr/>
              <w:t> </w:t>
            </w:r>
            <w:r>
              <w:rPr>
                <w:rFonts w:ascii="serif" w:hAnsi="serif"/>
                <w:sz w:val="20"/>
              </w:rPr>
              <w:t>28.00</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98.00</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Thomas F. Cofsky</w:t>
            </w:r>
          </w:p>
        </w:tc>
        <w:tc>
          <w:tcPr>
            <w:tcW w:w="6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10.00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30.00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12.00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jc w:val="left"/>
              <w:rPr/>
            </w:pPr>
            <w:r>
              <w:rPr/>
              <w:t> </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42.00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40.00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16.00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56.00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80.00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32.00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112.00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r>
      <w:tr>
        <w:trPr/>
        <w:tc>
          <w:tcPr>
            <w:tcW w:w="2030" w:type="dxa"/>
            <w:tcBorders/>
            <w:shd w:fill="auto" w:val="clear"/>
            <w:vAlign w:val="bottom"/>
          </w:tcPr>
          <w:p>
            <w:pPr>
              <w:pStyle w:val="TableContents"/>
              <w:spacing w:before="0" w:after="283"/>
              <w:jc w:val="left"/>
              <w:rPr>
                <w:rFonts w:ascii="serif" w:hAnsi="serif"/>
                <w:sz w:val="20"/>
              </w:rPr>
            </w:pPr>
            <w:r>
              <w:rPr>
                <w:rFonts w:ascii="serif" w:hAnsi="serif"/>
                <w:sz w:val="20"/>
              </w:rPr>
              <w:t>Charles P. Brissman</w:t>
            </w:r>
          </w:p>
        </w:tc>
        <w:tc>
          <w:tcPr>
            <w:tcW w:w="6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8.06</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24.18</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9.67</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33.85</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32.24</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12.89</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45.13</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64.48</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jc w:val="right"/>
              <w:rPr>
                <w:rFonts w:ascii="serif" w:hAnsi="serif"/>
                <w:sz w:val="20"/>
              </w:rPr>
            </w:pPr>
            <w:r>
              <w:rPr>
                <w:rFonts w:ascii="serif" w:hAnsi="serif"/>
                <w:sz w:val="20"/>
              </w:rPr>
              <w:t>25.78</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90.26</w:t>
            </w:r>
          </w:p>
        </w:tc>
        <w:tc>
          <w:tcPr>
            <w:tcW w:w="200" w:type="dxa"/>
            <w:tcBorders/>
            <w:shd w:fill="auto" w:val="clear"/>
            <w:vAlign w:val="bottom"/>
          </w:tcPr>
          <w:p>
            <w:pPr>
              <w:pStyle w:val="TableContents"/>
              <w:spacing w:before="0" w:after="283"/>
              <w:jc w:val="left"/>
              <w:rPr>
                <w:rFonts w:ascii="serif" w:hAnsi="serif"/>
                <w:sz w:val="20"/>
              </w:rPr>
            </w:pPr>
            <w:r>
              <w:rPr>
                <w:rFonts w:ascii="serif" w:hAnsi="serif"/>
                <w:sz w:val="20"/>
              </w:rPr>
              <w:t>%</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6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7.50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22.50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9.00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31.50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30.00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12.00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42.00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60.00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24.00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84.00</w:t>
            </w:r>
          </w:p>
        </w:tc>
        <w:tc>
          <w:tcPr>
            <w:tcW w:w="200" w:type="dxa"/>
            <w:tcBorders/>
            <w:shd w:fill="C0C0C0" w:val="clear"/>
            <w:vAlign w:val="bottom"/>
          </w:tcPr>
          <w:p>
            <w:pPr>
              <w:pStyle w:val="TableContents"/>
              <w:spacing w:before="0" w:after="283"/>
              <w:jc w:val="left"/>
              <w:rPr>
                <w:rFonts w:ascii="serif" w:hAnsi="serif"/>
                <w:sz w:val="20"/>
              </w:rPr>
            </w:pPr>
            <w:r>
              <w:rPr>
                <w:rFonts w:ascii="serif" w:hAnsi="serif"/>
                <w:sz w:val="20"/>
              </w:rPr>
              <w: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4"/>
        <w:gridCol w:w="368"/>
        <w:gridCol w:w="9583"/>
      </w:tblGrid>
      <w:tr>
        <w:trPr/>
        <w:tc>
          <w:tcPr>
            <w:tcW w:w="254" w:type="dxa"/>
            <w:tcBorders/>
            <w:shd w:fill="auto" w:val="clear"/>
          </w:tcPr>
          <w:p>
            <w:pPr>
              <w:pStyle w:val="TableContents"/>
              <w:spacing w:before="0" w:after="283"/>
              <w:jc w:val="left"/>
              <w:rPr>
                <w:rFonts w:ascii="serif" w:hAnsi="serif"/>
                <w:sz w:val="20"/>
              </w:rPr>
            </w:pPr>
            <w:r>
              <w:rPr>
                <w:rFonts w:ascii="serif" w:hAnsi="serif"/>
                <w:sz w:val="20"/>
              </w:rPr>
              <w:t>(1)</w:t>
            </w:r>
          </w:p>
        </w:tc>
        <w:tc>
          <w:tcPr>
            <w:tcW w:w="368" w:type="dxa"/>
            <w:tcBorders/>
            <w:shd w:fill="auto" w:val="clear"/>
            <w:vAlign w:val="bottom"/>
          </w:tcPr>
          <w:p>
            <w:pPr>
              <w:pStyle w:val="TableContents"/>
              <w:spacing w:before="0" w:after="283"/>
              <w:jc w:val="left"/>
              <w:rPr/>
            </w:pPr>
            <w:r>
              <w:rPr/>
              <w:t>      </w:t>
            </w:r>
          </w:p>
        </w:tc>
        <w:tc>
          <w:tcPr>
            <w:tcW w:w="9583" w:type="dxa"/>
            <w:tcBorders/>
            <w:shd w:fill="auto" w:val="clear"/>
            <w:vAlign w:val="bottom"/>
          </w:tcPr>
          <w:p>
            <w:pPr>
              <w:pStyle w:val="TableContents"/>
              <w:spacing w:before="0" w:after="283"/>
              <w:jc w:val="both"/>
              <w:rPr>
                <w:rFonts w:ascii="serif" w:hAnsi="serif"/>
                <w:sz w:val="20"/>
              </w:rPr>
            </w:pPr>
            <w:r>
              <w:rPr>
                <w:rFonts w:ascii="serif" w:hAnsi="serif"/>
                <w:sz w:val="20"/>
              </w:rPr>
              <w:t>The threshold for payment of a cash bonus was adjusted pre-tax, pre-bonus income corresponding to achievement of 86% of our budgeted business plan. That achievement level would result in payment of 25% of target cash bonus. No executive deferred bonus was to be awarded at that level of performance.</w:t>
            </w:r>
          </w:p>
        </w:tc>
      </w:tr>
      <w:tr>
        <w:trPr/>
        <w:tc>
          <w:tcPr>
            <w:tcW w:w="10205" w:type="dxa"/>
            <w:gridSpan w:val="3"/>
            <w:tcBorders/>
            <w:shd w:fill="auto" w:val="clear"/>
            <w:vAlign w:val="bottom"/>
          </w:tcPr>
          <w:p>
            <w:pPr>
              <w:pStyle w:val="TableContents"/>
              <w:spacing w:before="0" w:after="283"/>
              <w:jc w:val="left"/>
              <w:rPr/>
            </w:pPr>
            <w:r>
              <w:rPr/>
              <w:t> </w:t>
            </w:r>
          </w:p>
        </w:tc>
      </w:tr>
      <w:tr>
        <w:trPr/>
        <w:tc>
          <w:tcPr>
            <w:tcW w:w="254" w:type="dxa"/>
            <w:tcBorders/>
            <w:shd w:fill="auto" w:val="clear"/>
          </w:tcPr>
          <w:p>
            <w:pPr>
              <w:pStyle w:val="TableContents"/>
              <w:spacing w:before="0" w:after="283"/>
              <w:jc w:val="left"/>
              <w:rPr>
                <w:rFonts w:ascii="serif" w:hAnsi="serif"/>
                <w:sz w:val="20"/>
              </w:rPr>
            </w:pPr>
            <w:r>
              <w:rPr>
                <w:rFonts w:ascii="serif" w:hAnsi="serif"/>
                <w:sz w:val="20"/>
              </w:rPr>
              <w:t>(2)</w:t>
            </w:r>
          </w:p>
        </w:tc>
        <w:tc>
          <w:tcPr>
            <w:tcW w:w="368" w:type="dxa"/>
            <w:tcBorders/>
            <w:shd w:fill="auto" w:val="clear"/>
            <w:vAlign w:val="bottom"/>
          </w:tcPr>
          <w:p>
            <w:pPr>
              <w:pStyle w:val="TableContents"/>
              <w:spacing w:before="0" w:after="283"/>
              <w:rPr>
                <w:sz w:val="4"/>
                <w:szCs w:val="4"/>
              </w:rPr>
            </w:pPr>
            <w:r>
              <w:rPr>
                <w:sz w:val="4"/>
                <w:szCs w:val="4"/>
              </w:rPr>
            </w:r>
          </w:p>
        </w:tc>
        <w:tc>
          <w:tcPr>
            <w:tcW w:w="9583" w:type="dxa"/>
            <w:tcBorders/>
            <w:shd w:fill="auto" w:val="clear"/>
            <w:vAlign w:val="bottom"/>
          </w:tcPr>
          <w:p>
            <w:pPr>
              <w:pStyle w:val="TableContents"/>
              <w:spacing w:before="0" w:after="283"/>
              <w:jc w:val="both"/>
              <w:rPr>
                <w:rFonts w:ascii="serif" w:hAnsi="serif"/>
                <w:sz w:val="20"/>
              </w:rPr>
            </w:pPr>
            <w:r>
              <w:rPr>
                <w:rFonts w:ascii="serif" w:hAnsi="serif"/>
                <w:sz w:val="20"/>
              </w:rPr>
              <w:t>The threshold for payment of an executive deferred bonus was adjusted pre-tax, pre-bonus income corresponding to achievement of 95% of our budgeted business plan. That achievement level would result in award of 75% of target bonus for both cash and executive deferred bonuses.</w:t>
            </w:r>
          </w:p>
        </w:tc>
      </w:tr>
    </w:tbl>
    <w:p>
      <w:pPr>
        <w:pStyle w:val="TextBody"/>
        <w:rPr/>
      </w:pPr>
      <w:r>
        <w:rPr/>
      </w:r>
    </w:p>
    <w:p>
      <w:pPr>
        <w:pStyle w:val="TextBody"/>
        <w:jc w:val="both"/>
        <w:rPr/>
      </w:pPr>
      <w:r>
        <w:rPr/>
        <w:t xml:space="preserve">      </w:t>
      </w:r>
      <w:r>
        <w:rPr>
          <w:rFonts w:ascii="serif" w:hAnsi="serif"/>
          <w:sz w:val="20"/>
        </w:rPr>
        <w:t>Our CEO may exercise discretion in determining the incentive bonus to be paid under the annual incentive plan to any employee, including the executive officers except himself, as shown below:</w:t>
      </w:r>
    </w:p>
    <w:p>
      <w:pPr>
        <w:pStyle w:val="TextBody"/>
        <w:numPr>
          <w:ilvl w:val="0"/>
          <w:numId w:val="11"/>
        </w:numPr>
        <w:tabs>
          <w:tab w:val="clear" w:pos="1134"/>
          <w:tab w:val="left" w:pos="707" w:leader="none"/>
        </w:tabs>
        <w:ind w:left="707" w:hanging="283"/>
        <w:jc w:val="both"/>
        <w:rPr>
          <w:rFonts w:ascii="serif" w:hAnsi="serif"/>
          <w:sz w:val="20"/>
        </w:rPr>
      </w:pPr>
      <w:r>
        <w:rPr>
          <w:rFonts w:ascii="serif" w:hAnsi="serif"/>
          <w:sz w:val="20"/>
        </w:rPr>
        <w:t>Our CEO may increase or decrease any participants percent of corporate financial performance bonus earned by up to 25 percentage points, subject to limitations specified in the annual incentive plan. For example, if according to the corporate financial performance measure, 75% of the corporate financial performance bonus has been earned, our CEO may adjust an individual participants percent of corporate financial performance bonus earned to as little as 50% or as much as 100%.</w:t>
      </w:r>
    </w:p>
    <w:p>
      <w:pPr>
        <w:pStyle w:val="TextBody"/>
        <w:jc w:val="center"/>
        <w:rPr>
          <w:rFonts w:ascii="serif" w:hAnsi="serif"/>
          <w:sz w:val="20"/>
        </w:rPr>
      </w:pPr>
      <w:r>
        <w:rPr>
          <w:rFonts w:ascii="serif" w:hAnsi="serif"/>
          <w:sz w:val="20"/>
        </w:rPr>
        <w:t>24</w:t>
      </w:r>
    </w:p>
    <w:p>
      <w:pPr>
        <w:pStyle w:val="HorizontalLine"/>
        <w:pBdr>
          <w:bottom w:val="single" w:sz="12" w:space="0" w:color="808080"/>
        </w:pBdr>
        <w:rPr/>
      </w:pPr>
      <w:r>
        <w:rPr/>
      </w:r>
    </w:p>
    <w:p>
      <w:pPr>
        <w:pStyle w:val="TextBody"/>
        <w:rPr/>
      </w:pPr>
      <w:r>
        <w:rPr/>
      </w:r>
    </w:p>
    <w:p>
      <w:pPr>
        <w:pStyle w:val="TextBody"/>
        <w:numPr>
          <w:ilvl w:val="0"/>
          <w:numId w:val="12"/>
        </w:numPr>
        <w:tabs>
          <w:tab w:val="clear" w:pos="1134"/>
          <w:tab w:val="left" w:pos="707" w:leader="none"/>
        </w:tabs>
        <w:spacing w:before="0" w:after="0"/>
        <w:ind w:left="707" w:hanging="283"/>
        <w:jc w:val="both"/>
        <w:rPr/>
      </w:pPr>
      <w:r>
        <w:rPr>
          <w:sz w:val="20"/>
        </w:rPr>
        <w:t>Our CEO has complete discretion to adjust individual executive deferred bonus awards downward or upward, based on the participants individual performance and/or the performance of the participants department or division.</w:t>
        <w:br/>
        <w:t> </w:t>
      </w:r>
      <w:r>
        <w:rPr/>
        <w:t xml:space="preserve"> </w:t>
      </w:r>
    </w:p>
    <w:p>
      <w:pPr>
        <w:pStyle w:val="TextBody"/>
        <w:numPr>
          <w:ilvl w:val="0"/>
          <w:numId w:val="12"/>
        </w:numPr>
        <w:tabs>
          <w:tab w:val="clear" w:pos="1134"/>
          <w:tab w:val="left" w:pos="707" w:leader="none"/>
        </w:tabs>
        <w:ind w:left="707" w:hanging="283"/>
        <w:jc w:val="both"/>
        <w:rPr>
          <w:sz w:val="20"/>
        </w:rPr>
      </w:pPr>
      <w:r>
        <w:rPr>
          <w:sz w:val="20"/>
        </w:rPr>
        <w:t>For fiscal 2007, the Compensation Committee granted our CEO discretion to award a bonus under the annual incentive plan of up to 25% of target bonus (and up to 100% of target bonus for non-exempt employees), if Oil-Dri failed to achieve the minimum performance otherwise required for payment of an award.</w:t>
      </w:r>
    </w:p>
    <w:p>
      <w:pPr>
        <w:pStyle w:val="TextBody"/>
        <w:jc w:val="both"/>
        <w:rPr/>
      </w:pPr>
      <w:r>
        <w:rPr/>
        <w:t xml:space="preserve">     </w:t>
      </w:r>
      <w:r>
        <w:rPr>
          <w:rFonts w:ascii="serif" w:hAnsi="serif"/>
          <w:sz w:val="20"/>
        </w:rPr>
        <w:t>For fiscal 2007, 176.5% of full target bonus was earned because of attainment of the corporate financial performance goal. Annual incentive awards paid due to attainment of that goal are shown in the Summary Compensation Table in the column captioned Non-Equity Incentive Plan Compensation. The executive deferred bonus earned for fiscal 2007 is shown in the Deferred Compensation Table in the column captioned Registrant Contributions in Last Fiscal Year.</w:t>
      </w:r>
    </w:p>
    <w:p>
      <w:pPr>
        <w:pStyle w:val="TextBody"/>
        <w:jc w:val="both"/>
        <w:rPr/>
      </w:pPr>
      <w:r>
        <w:rPr/>
        <w:t xml:space="preserve">     </w:t>
      </w:r>
      <w:r>
        <w:rPr>
          <w:rFonts w:ascii="serif" w:hAnsi="serif"/>
          <w:sz w:val="20"/>
        </w:rPr>
        <w:t>At its regular meeting on October 9, 2007, the Compensation Committee reviewed the annual incentive plan performance measure and targets suggested by Oil-Dris CEO for the fiscal year beginning August 1, 2007 (fiscal 2008). The sole performance measure continues to be corporate financial performance as measured by achievement of adjusted pre-tax, pre-bonus income as specified in the Companys fiscal 2008 budgeted business plan. Adjusted pre-tax, pre-bonus income will be determined for fiscal 2008 by adjusting pre-tax income as shown on our audited financial statements in the same manner as described above for fiscal 2007, except that no adjustment will be made related to stock compensation expense.</w:t>
      </w:r>
    </w:p>
    <w:p>
      <w:pPr>
        <w:pStyle w:val="TextBody"/>
        <w:jc w:val="both"/>
        <w:rPr/>
      </w:pPr>
      <w:r>
        <w:rPr>
          <w:rFonts w:ascii="serif" w:hAnsi="serif"/>
          <w:b/>
          <w:sz w:val="20"/>
        </w:rPr>
        <w:t>Retirement Benefits:</w:t>
      </w:r>
      <w:r>
        <w:rPr/>
        <w:t xml:space="preserve"> </w:t>
      </w:r>
      <w:r>
        <w:rPr>
          <w:rFonts w:ascii="serif" w:hAnsi="serif"/>
          <w:sz w:val="20"/>
        </w:rPr>
        <w:t>We seek to retain highly qualified executives, including the executive officers, and reward them for their service, by providing the following retirement benefit plans:</w:t>
      </w:r>
    </w:p>
    <w:p>
      <w:pPr>
        <w:pStyle w:val="TextBody"/>
        <w:numPr>
          <w:ilvl w:val="0"/>
          <w:numId w:val="13"/>
        </w:numPr>
        <w:tabs>
          <w:tab w:val="clear" w:pos="1134"/>
          <w:tab w:val="left" w:pos="707" w:leader="none"/>
        </w:tabs>
        <w:spacing w:before="0" w:after="0"/>
        <w:ind w:left="707" w:hanging="283"/>
        <w:jc w:val="both"/>
        <w:rPr/>
      </w:pPr>
      <w:r>
        <w:rPr>
          <w:sz w:val="20"/>
        </w:rPr>
        <w:t>Defined benefit pension plan;</w:t>
        <w:br/>
        <w:t> </w:t>
      </w:r>
      <w:r>
        <w:rPr/>
        <w:t xml:space="preserve"> </w:t>
      </w:r>
    </w:p>
    <w:p>
      <w:pPr>
        <w:pStyle w:val="TextBody"/>
        <w:numPr>
          <w:ilvl w:val="0"/>
          <w:numId w:val="13"/>
        </w:numPr>
        <w:tabs>
          <w:tab w:val="clear" w:pos="1134"/>
          <w:tab w:val="left" w:pos="707" w:leader="none"/>
        </w:tabs>
        <w:spacing w:before="0" w:after="0"/>
        <w:ind w:left="707" w:hanging="283"/>
        <w:jc w:val="both"/>
        <w:rPr/>
      </w:pPr>
      <w:r>
        <w:rPr>
          <w:sz w:val="20"/>
        </w:rPr>
        <w:t>Supplemental executive retirement plan (SERP);</w:t>
        <w:br/>
        <w:t> </w:t>
      </w:r>
      <w:r>
        <w:rPr/>
        <w:t xml:space="preserve"> </w:t>
      </w:r>
    </w:p>
    <w:p>
      <w:pPr>
        <w:pStyle w:val="TextBody"/>
        <w:numPr>
          <w:ilvl w:val="0"/>
          <w:numId w:val="13"/>
        </w:numPr>
        <w:tabs>
          <w:tab w:val="clear" w:pos="1134"/>
          <w:tab w:val="left" w:pos="707" w:leader="none"/>
        </w:tabs>
        <w:spacing w:before="0" w:after="0"/>
        <w:ind w:left="707" w:hanging="283"/>
        <w:jc w:val="both"/>
        <w:rPr/>
      </w:pPr>
      <w:r>
        <w:rPr>
          <w:sz w:val="20"/>
        </w:rPr>
        <w:t>Defined contribution pension plan; and</w:t>
        <w:br/>
        <w:t> </w:t>
      </w:r>
      <w:r>
        <w:rPr/>
        <w:t xml:space="preserve"> </w:t>
      </w:r>
    </w:p>
    <w:p>
      <w:pPr>
        <w:pStyle w:val="TextBody"/>
        <w:numPr>
          <w:ilvl w:val="0"/>
          <w:numId w:val="13"/>
        </w:numPr>
        <w:tabs>
          <w:tab w:val="clear" w:pos="1134"/>
          <w:tab w:val="left" w:pos="707" w:leader="none"/>
        </w:tabs>
        <w:ind w:left="707" w:hanging="283"/>
        <w:jc w:val="both"/>
        <w:rPr>
          <w:sz w:val="20"/>
        </w:rPr>
      </w:pPr>
      <w:r>
        <w:rPr>
          <w:sz w:val="20"/>
        </w:rPr>
        <w:t>Executive deferred compensation plan.</w:t>
      </w:r>
    </w:p>
    <w:p>
      <w:pPr>
        <w:pStyle w:val="TextBody"/>
        <w:rPr/>
      </w:pPr>
      <w:r>
        <w:rPr/>
      </w:r>
    </w:p>
    <w:p>
      <w:pPr>
        <w:pStyle w:val="TextBody"/>
        <w:jc w:val="both"/>
        <w:rPr/>
      </w:pPr>
      <w:r>
        <w:rPr/>
        <w:t xml:space="preserve">     </w:t>
      </w:r>
      <w:r>
        <w:rPr>
          <w:rFonts w:ascii="serif" w:hAnsi="serif"/>
          <w:sz w:val="20"/>
        </w:rPr>
        <w:t>Retirement benefits under these plans are funded by a combination of employer and employee contributions as described below, thus encouraging employees to take an active part in saving for their own retirement years.</w:t>
      </w:r>
    </w:p>
    <w:p>
      <w:pPr>
        <w:pStyle w:val="TextBody"/>
        <w:numPr>
          <w:ilvl w:val="0"/>
          <w:numId w:val="14"/>
        </w:numPr>
        <w:tabs>
          <w:tab w:val="clear" w:pos="1134"/>
          <w:tab w:val="left" w:pos="707" w:leader="none"/>
        </w:tabs>
        <w:spacing w:before="0" w:after="0"/>
        <w:ind w:left="707" w:hanging="283"/>
        <w:jc w:val="both"/>
        <w:rPr/>
      </w:pPr>
      <w:r>
        <w:rPr>
          <w:b/>
          <w:sz w:val="20"/>
        </w:rPr>
        <w:t>Defined benefit pension plan</w:t>
      </w:r>
      <w:r>
        <w:rPr>
          <w:rFonts w:ascii="serif" w:hAnsi="serif"/>
          <w:sz w:val="20"/>
        </w:rPr>
        <w:t>: All U.S.-based employees participate in our Company-funded defined benefit pension plan. For salaried employees, the pension plan provides for pension benefits based on credited years of service and cash compensation (excluding compensation paid under our annual incentive plan and amounts deferred pursuant to our deferred compensation plan) during the highest paid consecutive five years during the last 10 years of employment. Our hourly paid manufacturing employees also participate, but with a different pension benefit formula.</w:t>
        <w:br/>
        <w:t> </w:t>
      </w:r>
      <w:r>
        <w:rPr/>
        <w:t xml:space="preserve"> </w:t>
      </w:r>
    </w:p>
    <w:p>
      <w:pPr>
        <w:pStyle w:val="TextBody"/>
        <w:numPr>
          <w:ilvl w:val="0"/>
          <w:numId w:val="14"/>
        </w:numPr>
        <w:tabs>
          <w:tab w:val="clear" w:pos="1134"/>
          <w:tab w:val="left" w:pos="707" w:leader="none"/>
        </w:tabs>
        <w:ind w:left="707" w:hanging="283"/>
        <w:jc w:val="both"/>
        <w:rPr>
          <w:sz w:val="20"/>
        </w:rPr>
      </w:pPr>
      <w:r>
        <w:rPr>
          <w:b/>
          <w:sz w:val="20"/>
        </w:rPr>
        <w:t>SERP:</w:t>
      </w:r>
      <w:r>
        <w:rPr>
          <w:sz w:val="20"/>
        </w:rPr>
        <w:t xml:space="preserve"> </w:t>
      </w:r>
      <w:r>
        <w:rPr>
          <w:rFonts w:ascii="serif" w:hAnsi="serif"/>
          <w:sz w:val="20"/>
        </w:rPr>
        <w:t>Our SERP provides benefits that would have been provided under our pension plan absent Code limitations on benefits and on compensation for purposes of calculating benefits. Benefits under the SERP will be paid from Oil-Dris general assets. All employees whose pension plan benefits are limited by the Code will participate in the SERP. Currently our CEO, Daniel S. Jaffee, is the only participant. Benefits provided by the SERP are generally paid in the same manner and at the same time as benefits under the pension plan.</w:t>
      </w:r>
    </w:p>
    <w:p>
      <w:pPr>
        <w:pStyle w:val="TextBody"/>
        <w:jc w:val="center"/>
        <w:rPr>
          <w:rFonts w:ascii="serif" w:hAnsi="serif"/>
          <w:sz w:val="20"/>
        </w:rPr>
      </w:pPr>
      <w:r>
        <w:rPr>
          <w:rFonts w:ascii="serif" w:hAnsi="serif"/>
          <w:sz w:val="20"/>
        </w:rPr>
        <w:t>25</w:t>
      </w:r>
    </w:p>
    <w:p>
      <w:pPr>
        <w:pStyle w:val="HorizontalLine"/>
        <w:pBdr>
          <w:bottom w:val="single" w:sz="12" w:space="0" w:color="808080"/>
        </w:pBdr>
        <w:rPr/>
      </w:pPr>
      <w:r>
        <w:rPr/>
      </w:r>
    </w:p>
    <w:p>
      <w:pPr>
        <w:pStyle w:val="TextBody"/>
        <w:rPr/>
      </w:pPr>
      <w:r>
        <w:rPr/>
      </w:r>
    </w:p>
    <w:p>
      <w:pPr>
        <w:pStyle w:val="TextBody"/>
        <w:numPr>
          <w:ilvl w:val="0"/>
          <w:numId w:val="15"/>
        </w:numPr>
        <w:tabs>
          <w:tab w:val="clear" w:pos="1134"/>
          <w:tab w:val="left" w:pos="707" w:leader="none"/>
        </w:tabs>
        <w:spacing w:before="0" w:after="0"/>
        <w:ind w:left="707" w:hanging="283"/>
        <w:jc w:val="both"/>
        <w:rPr/>
      </w:pPr>
      <w:r>
        <w:rPr>
          <w:rFonts w:ascii="serif" w:hAnsi="serif"/>
          <w:b/>
          <w:sz w:val="20"/>
        </w:rPr>
        <w:t>Defined contribution pension plan:</w:t>
      </w:r>
      <w:r>
        <w:rPr/>
        <w:t xml:space="preserve"> </w:t>
      </w:r>
      <w:r>
        <w:rPr>
          <w:rFonts w:ascii="serif" w:hAnsi="serif"/>
          <w:sz w:val="20"/>
        </w:rPr>
        <w:t>All U.S.-based employees are eligible to participate in our 401(k) Retirement Savings Plan. Employees may contribute from 2% to 25% of eligible compensation on a tax deferred basis, subject to Code limits. We make a matching contribution of $0.50 for each $1.00 of the first 4% of compensation that employees contribute.</w:t>
        <w:br/>
        <w:t> </w:t>
      </w:r>
      <w:r>
        <w:rPr/>
        <w:t xml:space="preserve"> </w:t>
      </w:r>
    </w:p>
    <w:p>
      <w:pPr>
        <w:pStyle w:val="TextBody"/>
        <w:numPr>
          <w:ilvl w:val="0"/>
          <w:numId w:val="15"/>
        </w:numPr>
        <w:tabs>
          <w:tab w:val="clear" w:pos="1134"/>
          <w:tab w:val="left" w:pos="707" w:leader="none"/>
        </w:tabs>
        <w:ind w:left="707" w:hanging="283"/>
        <w:jc w:val="both"/>
        <w:rPr/>
      </w:pPr>
      <w:r>
        <w:rPr>
          <w:rFonts w:ascii="serif" w:hAnsi="serif"/>
          <w:b/>
          <w:sz w:val="20"/>
        </w:rPr>
        <w:t>Executive deferred compensation plan:</w:t>
      </w:r>
      <w:r>
        <w:rPr/>
        <w:t xml:space="preserve"> </w:t>
      </w:r>
      <w:r>
        <w:rPr>
          <w:rFonts w:ascii="serif" w:hAnsi="serif"/>
          <w:sz w:val="20"/>
        </w:rPr>
        <w:t>We provide an executive deferred compensation plan to assist executives and non-employee directors to save for retirement or other financial needs. All executive officers are eligible to participate in this plan. Participating executives may defer up to 50% of base salary and 100% of annual incentive bonus into the plan. Oil-Dri makes no contributions. Executives deferrals earn a return equal to Oil-Dris long term cost of borrowing plus one percent.</w:t>
      </w:r>
    </w:p>
    <w:p>
      <w:pPr>
        <w:pStyle w:val="TextBody"/>
        <w:jc w:val="both"/>
        <w:rPr/>
      </w:pPr>
      <w:r>
        <w:rPr/>
        <w:t xml:space="preserve">     </w:t>
      </w:r>
      <w:r>
        <w:rPr>
          <w:rFonts w:ascii="serif" w:hAnsi="serif"/>
          <w:b/>
          <w:i/>
          <w:sz w:val="20"/>
        </w:rPr>
        <w:t>Retirement Benefits for named executive officers shown in Tables:</w:t>
      </w:r>
    </w:p>
    <w:p>
      <w:pPr>
        <w:pStyle w:val="TextBody"/>
        <w:numPr>
          <w:ilvl w:val="0"/>
          <w:numId w:val="16"/>
        </w:numPr>
        <w:tabs>
          <w:tab w:val="clear" w:pos="1134"/>
          <w:tab w:val="left" w:pos="707" w:leader="none"/>
        </w:tabs>
        <w:spacing w:before="0" w:after="0"/>
        <w:ind w:left="707" w:hanging="283"/>
        <w:jc w:val="both"/>
        <w:rPr/>
      </w:pPr>
      <w:r>
        <w:rPr>
          <w:rFonts w:ascii="serif" w:hAnsi="serif"/>
          <w:sz w:val="20"/>
        </w:rPr>
        <w:t>Summary Compensation Table: The actuarial change in pension benefits and SERP benefits and earnings in excess of 120% of the applicable federal rate on deferred compensation plan balances are included in the Change in Pension Value and Nonqualified Deferred Compensation Earnings column of the Summary Compensation Table. Our contribution to the 401(k) Retirement Savings Plan is included in the All Other Compensation column of that table.</w:t>
        <w:br/>
        <w:t> </w:t>
      </w:r>
      <w:r>
        <w:rPr/>
        <w:t xml:space="preserve"> </w:t>
      </w:r>
    </w:p>
    <w:p>
      <w:pPr>
        <w:pStyle w:val="TextBody"/>
        <w:numPr>
          <w:ilvl w:val="0"/>
          <w:numId w:val="16"/>
        </w:numPr>
        <w:tabs>
          <w:tab w:val="clear" w:pos="1134"/>
          <w:tab w:val="left" w:pos="707" w:leader="none"/>
        </w:tabs>
        <w:spacing w:before="0" w:after="0"/>
        <w:ind w:left="707" w:hanging="283"/>
        <w:jc w:val="both"/>
        <w:rPr/>
      </w:pPr>
      <w:r>
        <w:rPr>
          <w:rFonts w:ascii="serif" w:hAnsi="serif"/>
          <w:sz w:val="20"/>
        </w:rPr>
        <w:t>Pension Benefits Table: The present value of the accumulated benefit under the pension plan and the SERP is shown in the Present Value of Accumulated Benefits column of the Pension Benefits Table.</w:t>
        <w:br/>
        <w:t> </w:t>
      </w:r>
      <w:r>
        <w:rPr/>
        <w:t xml:space="preserve"> </w:t>
      </w:r>
    </w:p>
    <w:p>
      <w:pPr>
        <w:pStyle w:val="TextBody"/>
        <w:numPr>
          <w:ilvl w:val="0"/>
          <w:numId w:val="16"/>
        </w:numPr>
        <w:tabs>
          <w:tab w:val="clear" w:pos="1134"/>
          <w:tab w:val="left" w:pos="707" w:leader="none"/>
        </w:tabs>
        <w:ind w:left="707" w:hanging="283"/>
        <w:jc w:val="both"/>
        <w:rPr>
          <w:rFonts w:ascii="serif" w:hAnsi="serif"/>
          <w:sz w:val="20"/>
        </w:rPr>
      </w:pPr>
      <w:r>
        <w:rPr>
          <w:rFonts w:ascii="serif" w:hAnsi="serif"/>
          <w:sz w:val="20"/>
        </w:rPr>
        <w:t>Non-Qualified Deferred Compensation Table: Contributions by the executives to the deferred compensation plan are shown in the Executive Contributions in Last Fiscal Year column of the Non-Qualified Deferred Compensation Table. Earnings on balances in that plan are shown in the Aggregate Earnings in Last Fiscal Year column of that table.</w:t>
      </w:r>
    </w:p>
    <w:p>
      <w:pPr>
        <w:pStyle w:val="TextBody"/>
        <w:jc w:val="both"/>
        <w:rPr/>
      </w:pPr>
      <w:r>
        <w:rPr/>
        <w:t xml:space="preserve">     </w:t>
      </w:r>
      <w:r>
        <w:rPr>
          <w:rFonts w:ascii="serif" w:hAnsi="serif"/>
          <w:b/>
          <w:sz w:val="20"/>
        </w:rPr>
        <w:t>Other Benefits:</w:t>
      </w:r>
      <w:r>
        <w:rPr/>
        <w:t xml:space="preserve"> </w:t>
      </w:r>
      <w:r>
        <w:rPr>
          <w:rFonts w:ascii="serif" w:hAnsi="serif"/>
          <w:sz w:val="20"/>
        </w:rPr>
        <w:t>We provide health and welfare benefits, including medical and dental coverage and life and long-term disability insurance, which are available to the executive officers on the same terms as they are available to other employees. These benefits help us attract and retain talented employees and provide assistance to current employees and their families.</w:t>
      </w:r>
    </w:p>
    <w:p>
      <w:pPr>
        <w:pStyle w:val="TextBody"/>
        <w:jc w:val="both"/>
        <w:rPr/>
      </w:pPr>
      <w:r>
        <w:rPr/>
        <w:t xml:space="preserve">     </w:t>
      </w:r>
      <w:r>
        <w:rPr>
          <w:rFonts w:ascii="serif" w:hAnsi="serif"/>
          <w:sz w:val="20"/>
        </w:rPr>
        <w:t>We provide limited perquisites to executive officers to assist them in carrying out their duties. These include a car allowance and company-paid parking. The value of these benefits is included in the All Other Compensation column of the Summary Compensation Table.</w:t>
      </w:r>
    </w:p>
    <w:p>
      <w:pPr>
        <w:pStyle w:val="TextBody"/>
        <w:jc w:val="both"/>
        <w:rPr/>
      </w:pPr>
      <w:r>
        <w:rPr/>
        <w:t xml:space="preserve">     </w:t>
      </w:r>
      <w:r>
        <w:rPr>
          <w:rFonts w:ascii="serif" w:hAnsi="serif"/>
          <w:b/>
          <w:sz w:val="20"/>
        </w:rPr>
        <w:t>Employment and Severance Arrangements:</w:t>
      </w:r>
      <w:r>
        <w:rPr/>
        <w:t xml:space="preserve"> </w:t>
      </w:r>
      <w:r>
        <w:rPr>
          <w:rFonts w:ascii="serif" w:hAnsi="serif"/>
          <w:sz w:val="20"/>
        </w:rPr>
        <w:t>We do not generally enter into written employment or severance agreements with our executive officers nor do we have a severance plan that covers any of our executive officers. We did, however, agree with Charles P. Brissman at the time of his employment that he would receive a minimum of six months severance pay of base salary and medical benefits if he were terminated without cause after two years or more of employment. Our only other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Potential Payments and Benefits Upon Termination of Employment Table contains additional information concerning benefits upon the termination of employment of our named executive officers.</w:t>
      </w:r>
    </w:p>
    <w:p>
      <w:pPr>
        <w:pStyle w:val="TextBody"/>
        <w:jc w:val="center"/>
        <w:rPr>
          <w:rFonts w:ascii="serif" w:hAnsi="serif"/>
          <w:sz w:val="20"/>
        </w:rPr>
      </w:pPr>
      <w:r>
        <w:rPr>
          <w:rFonts w:ascii="serif" w:hAnsi="serif"/>
          <w:sz w:val="20"/>
        </w:rPr>
        <w:t>26</w:t>
      </w:r>
    </w:p>
    <w:p>
      <w:pPr>
        <w:pStyle w:val="HorizontalLine"/>
        <w:pBdr>
          <w:bottom w:val="single" w:sz="12" w:space="0" w:color="808080"/>
        </w:pBdr>
        <w:rPr/>
      </w:pPr>
      <w:r>
        <w:rPr/>
      </w:r>
    </w:p>
    <w:p>
      <w:pPr>
        <w:pStyle w:val="TextBody"/>
        <w:jc w:val="both"/>
        <w:rPr/>
      </w:pPr>
      <w:r>
        <w:rPr/>
        <w:t xml:space="preserve">     </w:t>
      </w:r>
      <w:r>
        <w:rPr>
          <w:rFonts w:ascii="serif" w:hAnsi="serif"/>
          <w:b/>
          <w:sz w:val="20"/>
        </w:rPr>
        <w:t>Long Term Equity Incentives:</w:t>
      </w:r>
      <w:r>
        <w:rPr>
          <w:rFonts w:ascii="serif" w:hAnsi="serif"/>
          <w:sz w:val="20"/>
        </w:rPr>
        <w:t xml:space="preserve"> Beginning in fiscal 2006, we deemphasized the use of equity incentive compensation. However, recognizing that the use of long term equity incentive compensation is important to our success in attracting and retaining key employees and outside directors, our Board of Directors adopted, and our stockholders approved on December 5, 2006, the Oil-Dri Corporation of America 2006 Long Term Incentive Plan. We plan to generally limit our equity compensation awards under this plan to newly hired or promoted executives and to awards to our CEO to bring his long term equity incentive compensation closer to the market median. The only equity award we granted in fiscal 2007 was an award of stock options to the newly hired general manager of our animal health and nutrition division, who is not an executive officer.</w:t>
      </w:r>
    </w:p>
    <w:p>
      <w:pPr>
        <w:pStyle w:val="TextBody"/>
        <w:jc w:val="both"/>
        <w:rPr/>
      </w:pPr>
      <w:r>
        <w:rPr/>
        <w:t xml:space="preserve">     </w:t>
      </w:r>
      <w:r>
        <w:rPr>
          <w:rFonts w:ascii="serif" w:hAnsi="serif"/>
          <w:b/>
          <w:sz w:val="20"/>
        </w:rPr>
        <w:t>Equity Grant Practices:</w:t>
      </w:r>
      <w:r>
        <w:rPr/>
        <w:t xml:space="preserve"> </w:t>
      </w:r>
      <w:r>
        <w:rPr>
          <w:rFonts w:ascii="serif" w:hAnsi="serif"/>
          <w:sz w:val="20"/>
        </w:rPr>
        <w:t>Equity grants can be made by the Compensation Committee or by Daniel S. Jaffee, our CEO and a member of our Board of Directors, under limited authority granted to him by the Board of Directors. That authority allows Mr. Jaffee to make grants of either stock options or restricted stock, but limits the total number of shares of stock that Mr. Jaffee can grant, and the number of either stock options or shares of restricted stock that he can grant to any one employee, depending on the employees salary grade. Only the Compensation Committee can make grants to our executive officers or directors or eligible members of their immediate families.</w:t>
      </w:r>
    </w:p>
    <w:p>
      <w:pPr>
        <w:pStyle w:val="TextBody"/>
        <w:jc w:val="both"/>
        <w:rPr/>
      </w:pPr>
      <w:r>
        <w:rPr/>
        <w:t xml:space="preserve">     </w:t>
      </w:r>
      <w:r>
        <w:rPr>
          <w:rFonts w:ascii="serif" w:hAnsi="serif"/>
          <w:sz w:val="20"/>
        </w:rPr>
        <w:t>Historically, in the case of grants made by the Compensation Committee, the grant date has either been the date the Compensation Committee met and approved grants, signed a unanimous written consent, or a future date specified in the Compensation Committees resolution, such as the date of hire of a new employee. In the case of grants made by Mr. Jaffee, the grant date has been the date a formal grant authorization was signed by Mr. Jaffee. The exercise price has always been the closing market price of our Common Stock on the date of grant.</w:t>
      </w:r>
    </w:p>
    <w:p>
      <w:pPr>
        <w:pStyle w:val="TextBody"/>
        <w:jc w:val="both"/>
        <w:rPr/>
      </w:pPr>
      <w:r>
        <w:rPr/>
        <w:t xml:space="preserve">     </w:t>
      </w:r>
      <w:r>
        <w:rPr>
          <w:rFonts w:ascii="serif" w:hAnsi="serif"/>
          <w:sz w:val="20"/>
        </w:rPr>
        <w:t>In fiscal 2007 the Compensation Committee adopted and our Board of Directors ratified a formal equity grant policy that continues the practices described above and further provides that equity awards generally should be made by the Compensation Committee at a regularly scheduled meeting or by our CEO, under authority granted to him by the Board of Directors, four times each year during the two-week period beginning the third business day following Oil-Dris release of earnings information for the most recently completed fiscal quarter. In addition, grants can be made at other times when necessary to attract, retain or recognize an employee or director. If the grant date is not a NYSE trading day, then the grant date will be the immediately preceding NYSE trading day.</w:t>
      </w:r>
    </w:p>
    <w:p>
      <w:pPr>
        <w:pStyle w:val="TextBody"/>
        <w:jc w:val="both"/>
        <w:rPr/>
      </w:pPr>
      <w:r>
        <w:rPr/>
        <w:t xml:space="preserve">     </w:t>
      </w:r>
      <w:r>
        <w:rPr>
          <w:rFonts w:ascii="serif" w:hAnsi="serif"/>
          <w:b/>
          <w:sz w:val="20"/>
        </w:rPr>
        <w:t>Stock Ownership Guidelines:</w:t>
      </w:r>
      <w:r>
        <w:rPr/>
        <w:t xml:space="preserve"> </w:t>
      </w:r>
      <w:r>
        <w:rPr>
          <w:rFonts w:ascii="serif" w:hAnsi="serif"/>
          <w:sz w:val="20"/>
        </w:rPr>
        <w:t xml:space="preserve">We do not have guidelines or requirements for stock ownership by our executive officers or our directors. </w:t>
      </w:r>
    </w:p>
    <w:p>
      <w:pPr>
        <w:pStyle w:val="TextBody"/>
        <w:jc w:val="center"/>
        <w:rPr>
          <w:rFonts w:ascii="serif" w:hAnsi="serif"/>
          <w:b/>
        </w:rPr>
      </w:pPr>
      <w:r>
        <w:rPr>
          <w:rFonts w:ascii="serif" w:hAnsi="serif"/>
          <w:b/>
        </w:rPr>
        <w:t>Tax and Accounting Implications</w:t>
      </w:r>
    </w:p>
    <w:p>
      <w:pPr>
        <w:pStyle w:val="TextBody"/>
        <w:jc w:val="both"/>
        <w:rPr/>
      </w:pPr>
      <w:r>
        <w:rPr/>
        <w:t xml:space="preserve">     </w:t>
      </w:r>
      <w:r>
        <w:rPr>
          <w:rFonts w:ascii="serif" w:hAnsi="serif"/>
          <w:b/>
          <w:sz w:val="20"/>
        </w:rPr>
        <w:t>Tax Deductibility:</w:t>
      </w:r>
      <w:r>
        <w:rPr/>
        <w:t xml:space="preserve"> </w:t>
      </w:r>
      <w:r>
        <w:rPr>
          <w:rFonts w:ascii="serif" w:hAnsi="serif"/>
          <w:sz w:val="20"/>
        </w:rPr>
        <w:t>Section 162(m) of the Code limits to $1 million the tax deduction we may take for compensation paid to our CEO and the other named executive officers. At present compensation levels, this limitation has no impact. In general we favor the preservation of tax deductibility, but reserve the right to reconsider this position.</w:t>
      </w:r>
    </w:p>
    <w:p>
      <w:pPr>
        <w:pStyle w:val="TextBody"/>
        <w:jc w:val="both"/>
        <w:rPr/>
      </w:pPr>
      <w:r>
        <w:rPr/>
        <w:t xml:space="preserve">     </w:t>
      </w:r>
      <w:r>
        <w:rPr>
          <w:rFonts w:ascii="serif" w:hAnsi="serif"/>
          <w:b/>
          <w:sz w:val="20"/>
        </w:rPr>
        <w:t>Nonqualified Deferred Compensation</w:t>
      </w:r>
      <w:r>
        <w:rPr>
          <w:rFonts w:ascii="serif" w:hAnsi="serif"/>
          <w:sz w:val="20"/>
        </w:rPr>
        <w:t>: Section 409A of the Code changed the tax rules that affect most forms of deferred compensation that were not earned and vested prior to January 1, 2005. We are currently determining what changes we will make to our deferred compensation arrangements and procedures to comply with the final regulations regarding Section 409A. We believe we are operating in good faith with the statutory provisions which were effective January 1, 2005.</w:t>
      </w:r>
    </w:p>
    <w:p>
      <w:pPr>
        <w:pStyle w:val="TextBody"/>
        <w:jc w:val="both"/>
        <w:rPr/>
      </w:pPr>
      <w:r>
        <w:rPr/>
        <w:t xml:space="preserve">     </w:t>
      </w:r>
      <w:r>
        <w:rPr>
          <w:rFonts w:ascii="serif" w:hAnsi="serif"/>
          <w:b/>
          <w:sz w:val="20"/>
        </w:rPr>
        <w:t>Accounting for Stock-Based Compensation:</w:t>
      </w:r>
      <w:r>
        <w:rPr/>
        <w:t xml:space="preserve"> </w:t>
      </w:r>
      <w:r>
        <w:rPr>
          <w:rFonts w:ascii="serif" w:hAnsi="serif"/>
          <w:sz w:val="20"/>
        </w:rPr>
        <w:t>At August 1, 2005, we began accounting for stock-based payments under our equity incentive plans in accordance with the requirements of SFAS 123R.</w:t>
      </w:r>
    </w:p>
    <w:p>
      <w:pPr>
        <w:pStyle w:val="TextBody"/>
        <w:jc w:val="center"/>
        <w:rPr>
          <w:rFonts w:ascii="serif" w:hAnsi="serif"/>
          <w:sz w:val="20"/>
        </w:rPr>
      </w:pPr>
      <w:r>
        <w:rPr>
          <w:rFonts w:ascii="serif" w:hAnsi="serif"/>
          <w:sz w:val="20"/>
        </w:rPr>
        <w:t>27</w:t>
      </w:r>
    </w:p>
    <w:p>
      <w:pPr>
        <w:pStyle w:val="HorizontalLine"/>
        <w:pBdr>
          <w:bottom w:val="single" w:sz="12" w:space="0" w:color="808080"/>
        </w:pBdr>
        <w:rPr/>
      </w:pPr>
      <w:r>
        <w:rPr/>
      </w:r>
    </w:p>
    <w:p>
      <w:pPr>
        <w:pStyle w:val="TextBody"/>
        <w:jc w:val="center"/>
        <w:rPr>
          <w:rFonts w:ascii="serif" w:hAnsi="serif"/>
          <w:b/>
        </w:rPr>
      </w:pPr>
      <w:r>
        <w:rPr>
          <w:rFonts w:ascii="serif" w:hAnsi="serif"/>
          <w:b/>
        </w:rPr>
        <w:t>Summary Compensation Table</w:t>
      </w:r>
    </w:p>
    <w:p>
      <w:pPr>
        <w:pStyle w:val="TextBody"/>
        <w:jc w:val="both"/>
        <w:rPr/>
      </w:pPr>
      <w:r>
        <w:rPr/>
        <w:t xml:space="preserve">     </w:t>
      </w:r>
      <w:r>
        <w:rPr>
          <w:rFonts w:ascii="serif" w:hAnsi="serif"/>
          <w:sz w:val="20"/>
        </w:rPr>
        <w:t>The following table summarizes the total compensation paid or accrued by Oil-Dri for services provided by the named executive officers. The named executive officers are the President and Chief Executive Officer, Chief Financial Officer and the three other most highly compensated executive officers during the fiscal year ended July 31, 2007.</w:t>
      </w:r>
    </w:p>
    <w:tbl>
      <w:tblPr>
        <w:tblW w:w="13225" w:type="dxa"/>
        <w:jc w:val="left"/>
        <w:tblInd w:w="0" w:type="dxa"/>
        <w:tblCellMar>
          <w:top w:w="0" w:type="dxa"/>
          <w:left w:w="0" w:type="dxa"/>
          <w:bottom w:w="0" w:type="dxa"/>
          <w:right w:w="0" w:type="dxa"/>
        </w:tblCellMar>
      </w:tblPr>
      <w:tblGrid>
        <w:gridCol w:w="2030"/>
        <w:gridCol w:w="240"/>
        <w:gridCol w:w="500"/>
        <w:gridCol w:w="240"/>
        <w:gridCol w:w="140"/>
        <w:gridCol w:w="860"/>
        <w:gridCol w:w="240"/>
        <w:gridCol w:w="575"/>
        <w:gridCol w:w="240"/>
        <w:gridCol w:w="140"/>
        <w:gridCol w:w="860"/>
        <w:gridCol w:w="240"/>
        <w:gridCol w:w="140"/>
        <w:gridCol w:w="740"/>
        <w:gridCol w:w="240"/>
        <w:gridCol w:w="300"/>
        <w:gridCol w:w="140"/>
        <w:gridCol w:w="860"/>
        <w:gridCol w:w="240"/>
        <w:gridCol w:w="420"/>
        <w:gridCol w:w="140"/>
        <w:gridCol w:w="740"/>
        <w:gridCol w:w="240"/>
        <w:gridCol w:w="420"/>
        <w:gridCol w:w="140"/>
        <w:gridCol w:w="740"/>
        <w:gridCol w:w="240"/>
        <w:gridCol w:w="140"/>
        <w:gridCol w:w="1040"/>
      </w:tblGrid>
      <w:tr>
        <w:trPr/>
        <w:tc>
          <w:tcPr>
            <w:tcW w:w="203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Change in</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Pension Value</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and</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Nonqualified</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Non-Equity</w:t>
            </w:r>
            <w:r>
              <w:rPr>
                <w:rFonts w:ascii="serif" w:hAnsi="serif"/>
                <w:sz w:val="14"/>
              </w:rPr>
              <w:t> </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Deferred</w:t>
            </w:r>
          </w:p>
        </w:tc>
        <w:tc>
          <w:tcPr>
            <w:tcW w:w="24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000" w:type="dxa"/>
            <w:gridSpan w:val="2"/>
            <w:tcBorders/>
            <w:shd w:fill="auto" w:val="clear"/>
            <w:vAlign w:val="bottom"/>
          </w:tcPr>
          <w:p>
            <w:pPr>
              <w:pStyle w:val="TableContents"/>
              <w:spacing w:before="0" w:after="283"/>
              <w:jc w:val="center"/>
              <w:rPr/>
            </w:pPr>
            <w:r>
              <w:rPr/>
              <w:t> </w:t>
            </w:r>
            <w:r>
              <w:rPr>
                <w:rFonts w:ascii="serif" w:hAnsi="serif"/>
                <w:b/>
                <w:sz w:val="14"/>
              </w:rPr>
              <w:t>Stock</w:t>
            </w:r>
          </w:p>
        </w:tc>
        <w:tc>
          <w:tcPr>
            <w:tcW w:w="240" w:type="dxa"/>
            <w:tcBorders/>
            <w:shd w:fill="auto" w:val="clear"/>
            <w:vAlign w:val="bottom"/>
          </w:tcPr>
          <w:p>
            <w:pPr>
              <w:pStyle w:val="TableContents"/>
              <w:spacing w:before="0" w:after="283"/>
              <w:rPr>
                <w:sz w:val="4"/>
                <w:szCs w:val="4"/>
              </w:rPr>
            </w:pPr>
            <w:r>
              <w:rPr>
                <w:sz w:val="4"/>
                <w:szCs w:val="4"/>
              </w:rPr>
            </w:r>
          </w:p>
        </w:tc>
        <w:tc>
          <w:tcPr>
            <w:tcW w:w="880" w:type="dxa"/>
            <w:gridSpan w:val="2"/>
            <w:tcBorders/>
            <w:shd w:fill="auto" w:val="clear"/>
            <w:vAlign w:val="bottom"/>
          </w:tcPr>
          <w:p>
            <w:pPr>
              <w:pStyle w:val="TableContents"/>
              <w:spacing w:before="0" w:after="283"/>
              <w:jc w:val="center"/>
              <w:rPr/>
            </w:pPr>
            <w:r>
              <w:rPr/>
              <w:t> </w:t>
            </w:r>
            <w:r>
              <w:rPr>
                <w:rFonts w:ascii="serif" w:hAnsi="serif"/>
                <w:b/>
                <w:sz w:val="14"/>
              </w:rPr>
              <w:t>Option</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Incentive Plan</w:t>
            </w:r>
            <w:r>
              <w:rPr>
                <w:rFonts w:ascii="serif" w:hAnsi="serif"/>
                <w:sz w:val="14"/>
              </w:rPr>
              <w:t> </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Compensation</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All Other</w:t>
            </w:r>
            <w:r>
              <w:rPr>
                <w:rFonts w:ascii="serif" w:hAnsi="serif"/>
                <w:sz w:val="14"/>
              </w:rPr>
              <w:t> </w:t>
            </w:r>
          </w:p>
        </w:tc>
        <w:tc>
          <w:tcPr>
            <w:tcW w:w="240" w:type="dxa"/>
            <w:tcBorders/>
            <w:shd w:fill="auto" w:val="clear"/>
            <w:vAlign w:val="bottom"/>
          </w:tcPr>
          <w:p>
            <w:pPr>
              <w:pStyle w:val="TableContents"/>
              <w:spacing w:before="0" w:after="283"/>
              <w:rPr>
                <w:sz w:val="4"/>
                <w:szCs w:val="4"/>
              </w:rPr>
            </w:pPr>
            <w:r>
              <w:rPr>
                <w:sz w:val="4"/>
                <w:szCs w:val="4"/>
              </w:rPr>
            </w:r>
          </w:p>
        </w:tc>
        <w:tc>
          <w:tcPr>
            <w:tcW w:w="1180" w:type="dxa"/>
            <w:gridSpan w:val="2"/>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000" w:type="dxa"/>
            <w:gridSpan w:val="2"/>
            <w:tcBorders/>
            <w:shd w:fill="auto" w:val="clear"/>
            <w:vAlign w:val="bottom"/>
          </w:tcPr>
          <w:p>
            <w:pPr>
              <w:pStyle w:val="TableContents"/>
              <w:spacing w:before="0" w:after="283"/>
              <w:jc w:val="center"/>
              <w:rPr/>
            </w:pPr>
            <w:r>
              <w:rPr/>
              <w:t> </w:t>
            </w:r>
            <w:r>
              <w:rPr>
                <w:rFonts w:ascii="serif" w:hAnsi="serif"/>
                <w:b/>
                <w:sz w:val="14"/>
              </w:rPr>
              <w:t>Awards</w:t>
            </w:r>
          </w:p>
        </w:tc>
        <w:tc>
          <w:tcPr>
            <w:tcW w:w="240" w:type="dxa"/>
            <w:tcBorders/>
            <w:shd w:fill="auto" w:val="clear"/>
            <w:vAlign w:val="bottom"/>
          </w:tcPr>
          <w:p>
            <w:pPr>
              <w:pStyle w:val="TableContents"/>
              <w:spacing w:before="0" w:after="283"/>
              <w:rPr>
                <w:sz w:val="4"/>
                <w:szCs w:val="4"/>
              </w:rPr>
            </w:pPr>
            <w:r>
              <w:rPr>
                <w:sz w:val="4"/>
                <w:szCs w:val="4"/>
              </w:rPr>
            </w:r>
          </w:p>
        </w:tc>
        <w:tc>
          <w:tcPr>
            <w:tcW w:w="880" w:type="dxa"/>
            <w:gridSpan w:val="2"/>
            <w:tcBorders/>
            <w:shd w:fill="auto" w:val="clear"/>
            <w:vAlign w:val="bottom"/>
          </w:tcPr>
          <w:p>
            <w:pPr>
              <w:pStyle w:val="TableContents"/>
              <w:spacing w:before="0" w:after="283"/>
              <w:jc w:val="center"/>
              <w:rPr/>
            </w:pPr>
            <w:r>
              <w:rPr/>
              <w:t> </w:t>
            </w:r>
            <w:r>
              <w:rPr>
                <w:rFonts w:ascii="serif" w:hAnsi="serif"/>
                <w:b/>
                <w:sz w:val="14"/>
              </w:rPr>
              <w:t>Awards</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Compensation</w:t>
            </w:r>
            <w:r>
              <w:rPr>
                <w:rFonts w:ascii="serif" w:hAnsi="serif"/>
                <w:sz w:val="14"/>
              </w:rPr>
              <w:t> </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Earnings</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Compensation</w:t>
            </w:r>
            <w:r>
              <w:rPr>
                <w:rFonts w:ascii="serif" w:hAnsi="serif"/>
                <w:sz w:val="14"/>
              </w:rPr>
              <w:t> </w:t>
            </w:r>
          </w:p>
        </w:tc>
        <w:tc>
          <w:tcPr>
            <w:tcW w:w="240" w:type="dxa"/>
            <w:tcBorders/>
            <w:shd w:fill="auto" w:val="clear"/>
            <w:vAlign w:val="bottom"/>
          </w:tcPr>
          <w:p>
            <w:pPr>
              <w:pStyle w:val="TableContents"/>
              <w:spacing w:before="0" w:after="283"/>
              <w:rPr>
                <w:sz w:val="4"/>
                <w:szCs w:val="4"/>
              </w:rPr>
            </w:pPr>
            <w:r>
              <w:rPr>
                <w:sz w:val="4"/>
                <w:szCs w:val="4"/>
              </w:rPr>
            </w:r>
          </w:p>
        </w:tc>
        <w:tc>
          <w:tcPr>
            <w:tcW w:w="1180" w:type="dxa"/>
            <w:gridSpan w:val="2"/>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jc w:val="left"/>
              <w:rPr>
                <w:rFonts w:ascii="serif" w:hAnsi="serif"/>
                <w:b/>
                <w:sz w:val="14"/>
              </w:rPr>
            </w:pPr>
            <w:r>
              <w:rPr>
                <w:rFonts w:ascii="serif" w:hAnsi="serif"/>
                <w:b/>
                <w:sz w:val="14"/>
              </w:rPr>
              <w:t>Name and Principal</w:t>
            </w:r>
          </w:p>
        </w:tc>
        <w:tc>
          <w:tcPr>
            <w:tcW w:w="2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jc w:val="center"/>
              <w:rPr/>
            </w:pPr>
            <w:r>
              <w:rPr/>
              <w:t> </w:t>
            </w:r>
            <w:r>
              <w:rPr>
                <w:rFonts w:ascii="serif" w:hAnsi="serif"/>
                <w:b/>
                <w:sz w:val="14"/>
              </w:rPr>
              <w:t>Fiscal</w:t>
            </w:r>
          </w:p>
        </w:tc>
        <w:tc>
          <w:tcPr>
            <w:tcW w:w="240" w:type="dxa"/>
            <w:tcBorders/>
            <w:shd w:fill="auto" w:val="clear"/>
            <w:vAlign w:val="bottom"/>
          </w:tcPr>
          <w:p>
            <w:pPr>
              <w:pStyle w:val="TableContents"/>
              <w:spacing w:before="0" w:after="283"/>
              <w:rPr>
                <w:sz w:val="4"/>
                <w:szCs w:val="4"/>
              </w:rPr>
            </w:pPr>
            <w:r>
              <w:rPr>
                <w:sz w:val="4"/>
                <w:szCs w:val="4"/>
              </w:rPr>
            </w:r>
          </w:p>
        </w:tc>
        <w:tc>
          <w:tcPr>
            <w:tcW w:w="1000" w:type="dxa"/>
            <w:gridSpan w:val="2"/>
            <w:tcBorders/>
            <w:shd w:fill="auto" w:val="clear"/>
            <w:vAlign w:val="bottom"/>
          </w:tcPr>
          <w:p>
            <w:pPr>
              <w:pStyle w:val="TableContents"/>
              <w:spacing w:before="0" w:after="283"/>
              <w:jc w:val="center"/>
              <w:rPr/>
            </w:pPr>
            <w:r>
              <w:rPr/>
              <w:t> </w:t>
            </w:r>
            <w:r>
              <w:rPr>
                <w:rFonts w:ascii="serif" w:hAnsi="serif"/>
                <w:b/>
                <w:sz w:val="14"/>
              </w:rPr>
              <w:t>Salary</w:t>
            </w:r>
          </w:p>
        </w:tc>
        <w:tc>
          <w:tcPr>
            <w:tcW w:w="2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jc w:val="center"/>
              <w:rPr/>
            </w:pPr>
            <w:r>
              <w:rPr/>
              <w:t> </w:t>
            </w:r>
            <w:r>
              <w:rPr>
                <w:rFonts w:ascii="serif" w:hAnsi="serif"/>
                <w:b/>
                <w:sz w:val="14"/>
              </w:rPr>
              <w:t>Bonus</w:t>
            </w:r>
          </w:p>
        </w:tc>
        <w:tc>
          <w:tcPr>
            <w:tcW w:w="240" w:type="dxa"/>
            <w:tcBorders/>
            <w:shd w:fill="auto" w:val="clear"/>
            <w:vAlign w:val="bottom"/>
          </w:tcPr>
          <w:p>
            <w:pPr>
              <w:pStyle w:val="TableContents"/>
              <w:spacing w:before="0" w:after="283"/>
              <w:rPr>
                <w:sz w:val="4"/>
                <w:szCs w:val="4"/>
              </w:rPr>
            </w:pPr>
            <w:r>
              <w:rPr>
                <w:sz w:val="4"/>
                <w:szCs w:val="4"/>
              </w:rPr>
            </w:r>
          </w:p>
        </w:tc>
        <w:tc>
          <w:tcPr>
            <w:tcW w:w="1000" w:type="dxa"/>
            <w:gridSpan w:val="2"/>
            <w:tcBorders/>
            <w:shd w:fill="auto" w:val="clear"/>
            <w:vAlign w:val="bottom"/>
          </w:tcPr>
          <w:p>
            <w:pPr>
              <w:pStyle w:val="TableContents"/>
              <w:spacing w:before="0" w:after="283"/>
              <w:jc w:val="center"/>
              <w:rPr/>
            </w:pPr>
            <w:r>
              <w:rPr/>
              <w:t> </w:t>
            </w:r>
            <w:r>
              <w:rPr>
                <w:rFonts w:ascii="serif" w:hAnsi="serif"/>
                <w:b/>
                <w:sz w:val="14"/>
              </w:rPr>
              <w:t>($)</w:t>
            </w:r>
          </w:p>
        </w:tc>
        <w:tc>
          <w:tcPr>
            <w:tcW w:w="240" w:type="dxa"/>
            <w:tcBorders/>
            <w:shd w:fill="auto" w:val="clear"/>
            <w:vAlign w:val="bottom"/>
          </w:tcPr>
          <w:p>
            <w:pPr>
              <w:pStyle w:val="TableContents"/>
              <w:spacing w:before="0" w:after="283"/>
              <w:rPr>
                <w:sz w:val="4"/>
                <w:szCs w:val="4"/>
              </w:rPr>
            </w:pPr>
            <w:r>
              <w:rPr>
                <w:sz w:val="4"/>
                <w:szCs w:val="4"/>
              </w:rPr>
            </w:r>
          </w:p>
        </w:tc>
        <w:tc>
          <w:tcPr>
            <w:tcW w:w="880" w:type="dxa"/>
            <w:gridSpan w:val="2"/>
            <w:tcBorders/>
            <w:shd w:fill="auto" w:val="clear"/>
            <w:vAlign w:val="bottom"/>
          </w:tcPr>
          <w:p>
            <w:pPr>
              <w:pStyle w:val="TableContents"/>
              <w:spacing w:before="0" w:after="283"/>
              <w:jc w:val="center"/>
              <w:rPr/>
            </w:pPr>
            <w:r>
              <w:rPr/>
              <w:t> </w:t>
            </w:r>
            <w:r>
              <w:rPr>
                <w:rFonts w:ascii="serif" w:hAnsi="serif"/>
                <w:b/>
                <w:sz w:val="14"/>
              </w:rPr>
              <w:t>($)</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w:t>
            </w:r>
            <w:r>
              <w:rPr>
                <w:rFonts w:ascii="serif" w:hAnsi="serif"/>
                <w:sz w:val="14"/>
              </w:rPr>
              <w:t> </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w:t>
            </w:r>
            <w:r>
              <w:rPr/>
              <w:t> </w:t>
            </w:r>
          </w:p>
        </w:tc>
        <w:tc>
          <w:tcPr>
            <w:tcW w:w="24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pPr>
            <w:r>
              <w:rPr/>
              <w:t> </w:t>
            </w:r>
            <w:r>
              <w:rPr>
                <w:rFonts w:ascii="serif" w:hAnsi="serif"/>
                <w:b/>
                <w:sz w:val="14"/>
              </w:rPr>
              <w:t>($)</w:t>
            </w:r>
            <w:r>
              <w:rPr>
                <w:rFonts w:ascii="serif" w:hAnsi="serif"/>
                <w:sz w:val="14"/>
              </w:rPr>
              <w:t> </w:t>
            </w:r>
          </w:p>
        </w:tc>
        <w:tc>
          <w:tcPr>
            <w:tcW w:w="240" w:type="dxa"/>
            <w:tcBorders/>
            <w:shd w:fill="auto" w:val="clear"/>
            <w:vAlign w:val="bottom"/>
          </w:tcPr>
          <w:p>
            <w:pPr>
              <w:pStyle w:val="TableContents"/>
              <w:spacing w:before="0" w:after="283"/>
              <w:rPr>
                <w:sz w:val="4"/>
                <w:szCs w:val="4"/>
              </w:rPr>
            </w:pPr>
            <w:r>
              <w:rPr>
                <w:sz w:val="4"/>
                <w:szCs w:val="4"/>
              </w:rPr>
            </w:r>
          </w:p>
        </w:tc>
        <w:tc>
          <w:tcPr>
            <w:tcW w:w="1180" w:type="dxa"/>
            <w:gridSpan w:val="2"/>
            <w:tcBorders/>
            <w:shd w:fill="auto" w:val="clear"/>
            <w:vAlign w:val="bottom"/>
          </w:tcPr>
          <w:p>
            <w:pPr>
              <w:pStyle w:val="TableContents"/>
              <w:spacing w:before="0" w:after="283"/>
              <w:jc w:val="center"/>
              <w:rPr/>
            </w:pPr>
            <w:r>
              <w:rPr/>
              <w:t> </w:t>
            </w:r>
            <w:r>
              <w:rPr>
                <w:rFonts w:ascii="serif" w:hAnsi="serif"/>
                <w:b/>
                <w:sz w:val="14"/>
              </w:rPr>
              <w:t>Total</w:t>
            </w:r>
          </w:p>
        </w:tc>
      </w:tr>
      <w:tr>
        <w:trPr/>
        <w:tc>
          <w:tcPr>
            <w:tcW w:w="203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14"/>
              </w:rPr>
            </w:pPr>
            <w:r>
              <w:rPr>
                <w:rFonts w:ascii="serif" w:hAnsi="serif"/>
                <w:b/>
                <w:sz w:val="14"/>
              </w:rPr>
              <w:t>Position</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00"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Year</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0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75"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0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(1)</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(1)</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00"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(2)</w:t>
            </w:r>
            <w:r>
              <w:rPr>
                <w:rFonts w:ascii="serif" w:hAnsi="serif"/>
                <w:sz w:val="14"/>
              </w:rPr>
              <w:t> </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00"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(3)</w:t>
            </w:r>
            <w:r>
              <w:rPr/>
              <w:t> </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00"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(4)</w:t>
            </w:r>
            <w:r>
              <w:rPr>
                <w:rFonts w:ascii="serif" w:hAnsi="serif"/>
                <w:sz w:val="14"/>
              </w:rPr>
              <w:t> </w:t>
            </w:r>
          </w:p>
        </w:tc>
        <w:tc>
          <w:tcPr>
            <w:tcW w:w="24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14"/>
              </w:rPr>
              <w:t>($)</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President and Chief</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jc w:val="center"/>
              <w:rPr>
                <w:rFonts w:ascii="serif" w:hAnsi="serif"/>
                <w:sz w:val="20"/>
              </w:rPr>
            </w:pPr>
            <w:r>
              <w:rPr>
                <w:rFonts w:ascii="serif" w:hAnsi="serif"/>
                <w:sz w:val="20"/>
              </w:rPr>
              <w:t>2007</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pPr>
            <w:r>
              <w:rPr/>
              <w:t> </w:t>
            </w:r>
            <w:r>
              <w:rPr>
                <w:rFonts w:ascii="serif" w:hAnsi="serif"/>
                <w:sz w:val="20"/>
              </w:rPr>
              <w:t>367,425</w:t>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pPr>
            <w:r>
              <w:rPr/>
              <w:t> </w:t>
            </w:r>
            <w:r>
              <w:rPr>
                <w:rFonts w:ascii="serif" w:hAnsi="serif"/>
                <w:sz w:val="20"/>
              </w:rPr>
              <w:t>283,878</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pPr>
            <w:r>
              <w:rPr/>
              <w:t> </w:t>
            </w:r>
            <w:r>
              <w:rPr>
                <w:rFonts w:ascii="serif" w:hAnsi="serif"/>
                <w:sz w:val="20"/>
              </w:rPr>
              <w:t>27,063</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pPr>
            <w:r>
              <w:rPr/>
              <w:t> </w:t>
            </w:r>
            <w:r>
              <w:rPr>
                <w:rFonts w:ascii="serif" w:hAnsi="serif"/>
                <w:sz w:val="20"/>
              </w:rPr>
              <w:t>324,253</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jc w:val="righ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pPr>
            <w:r>
              <w:rPr/>
              <w:t> </w:t>
            </w:r>
            <w:r>
              <w:rPr>
                <w:rFonts w:ascii="serif" w:hAnsi="serif"/>
                <w:sz w:val="20"/>
              </w:rPr>
              <w:t>16,250</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jc w:val="righ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pPr>
            <w:r>
              <w:rPr/>
              <w:t> </w:t>
            </w:r>
            <w:r>
              <w:rPr>
                <w:rFonts w:ascii="serif" w:hAnsi="serif"/>
                <w:sz w:val="20"/>
              </w:rPr>
              <w:t>38,480</w:t>
            </w:r>
          </w:p>
        </w:tc>
        <w:tc>
          <w:tcPr>
            <w:tcW w:w="24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040" w:type="dxa"/>
            <w:tcBorders/>
            <w:shd w:fill="C0C0C0" w:val="clear"/>
            <w:vAlign w:val="bottom"/>
          </w:tcPr>
          <w:p>
            <w:pPr>
              <w:pStyle w:val="TableContents"/>
              <w:spacing w:before="0" w:after="283"/>
              <w:jc w:val="right"/>
              <w:rPr/>
            </w:pPr>
            <w:r>
              <w:rPr/>
              <w:t> </w:t>
            </w:r>
            <w:r>
              <w:rPr>
                <w:rFonts w:ascii="serif" w:hAnsi="serif"/>
                <w:sz w:val="20"/>
              </w:rPr>
              <w:t>1,057,349</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Executive Officer</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jc w:val="left"/>
              <w:rPr/>
            </w:pPr>
            <w:r>
              <w:rPr/>
              <w:t> </w:t>
            </w:r>
          </w:p>
        </w:tc>
        <w:tc>
          <w:tcPr>
            <w:tcW w:w="575" w:type="dxa"/>
            <w:tcBorders/>
            <w:shd w:fill="C0C0C0" w:val="clear"/>
            <w:vAlign w:val="bottom"/>
          </w:tcPr>
          <w:p>
            <w:pPr>
              <w:pStyle w:val="TableContents"/>
              <w:spacing w:before="0" w:after="283"/>
              <w:jc w:val="left"/>
              <w:rPr/>
            </w:pP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jc w:val="left"/>
              <w:rPr/>
            </w:pP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jc w:val="left"/>
              <w:rPr/>
            </w:pP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auto" w:val="clear"/>
            <w:vAlign w:val="center"/>
          </w:tcPr>
          <w:p>
            <w:pPr>
              <w:pStyle w:val="TableContents"/>
              <w:spacing w:before="0" w:after="283"/>
              <w:jc w:val="left"/>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Andrew N. Peterson</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left"/>
              <w:rPr/>
            </w:pPr>
            <w:r>
              <w:rPr/>
              <w:t> </w:t>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Vice President and</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jc w:val="center"/>
              <w:rPr>
                <w:rFonts w:ascii="serif" w:hAnsi="serif"/>
                <w:sz w:val="20"/>
              </w:rPr>
            </w:pPr>
            <w:r>
              <w:rPr>
                <w:rFonts w:ascii="serif" w:hAnsi="serif"/>
                <w:sz w:val="20"/>
              </w:rPr>
              <w:t>2007</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197,500</w:t>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36,596</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122,006</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7,893</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10,852</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040" w:type="dxa"/>
            <w:tcBorders/>
            <w:shd w:fill="C0C0C0" w:val="clear"/>
            <w:vAlign w:val="bottom"/>
          </w:tcPr>
          <w:p>
            <w:pPr>
              <w:pStyle w:val="TableContents"/>
              <w:spacing w:before="0" w:after="283"/>
              <w:jc w:val="right"/>
              <w:rPr>
                <w:rFonts w:ascii="serif" w:hAnsi="serif"/>
                <w:sz w:val="20"/>
              </w:rPr>
            </w:pPr>
            <w:r>
              <w:rPr>
                <w:rFonts w:ascii="serif" w:hAnsi="serif"/>
                <w:sz w:val="20"/>
              </w:rPr>
              <w:t>374,847</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Chief Financial</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jc w:val="left"/>
              <w:rPr/>
            </w:pPr>
            <w:r>
              <w:rPr/>
              <w:t> </w:t>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Officer</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auto" w:val="clear"/>
            <w:vAlign w:val="center"/>
          </w:tcPr>
          <w:p>
            <w:pPr>
              <w:pStyle w:val="TableContents"/>
              <w:spacing w:before="0" w:after="283"/>
              <w:jc w:val="left"/>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Thomas F. Cofsky</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jc w:val="center"/>
              <w:rPr/>
            </w:pPr>
            <w:r>
              <w:rPr/>
              <w:t> </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left"/>
              <w:rPr/>
            </w:pPr>
            <w:r>
              <w:rPr/>
              <w:t> </w:t>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Vice President of</w:t>
            </w:r>
          </w:p>
        </w:tc>
        <w:tc>
          <w:tcPr>
            <w:tcW w:w="240" w:type="dxa"/>
            <w:tcBorders/>
            <w:shd w:fill="C0C0C0" w:val="clear"/>
            <w:vAlign w:val="bottom"/>
          </w:tcPr>
          <w:p>
            <w:pPr>
              <w:pStyle w:val="TableContents"/>
              <w:spacing w:before="0" w:after="283"/>
              <w:jc w:val="left"/>
              <w:rPr/>
            </w:pPr>
            <w:r>
              <w:rPr/>
              <w:t> </w:t>
            </w:r>
          </w:p>
        </w:tc>
        <w:tc>
          <w:tcPr>
            <w:tcW w:w="500" w:type="dxa"/>
            <w:tcBorders/>
            <w:shd w:fill="C0C0C0" w:val="clear"/>
            <w:vAlign w:val="bottom"/>
          </w:tcPr>
          <w:p>
            <w:pPr>
              <w:pStyle w:val="TableContents"/>
              <w:spacing w:before="0" w:after="283"/>
              <w:jc w:val="center"/>
              <w:rPr>
                <w:rFonts w:ascii="serif" w:hAnsi="serif"/>
                <w:sz w:val="20"/>
              </w:rPr>
            </w:pPr>
            <w:r>
              <w:rPr>
                <w:rFonts w:ascii="serif" w:hAnsi="serif"/>
                <w:sz w:val="20"/>
              </w:rPr>
              <w:t>2007</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197,833</w:t>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13,719</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139,670</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10,740</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13,716</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040" w:type="dxa"/>
            <w:tcBorders/>
            <w:shd w:fill="C0C0C0" w:val="clear"/>
            <w:vAlign w:val="bottom"/>
          </w:tcPr>
          <w:p>
            <w:pPr>
              <w:pStyle w:val="TableContents"/>
              <w:spacing w:before="0" w:after="283"/>
              <w:jc w:val="right"/>
              <w:rPr>
                <w:rFonts w:ascii="serif" w:hAnsi="serif"/>
                <w:sz w:val="20"/>
              </w:rPr>
            </w:pPr>
            <w:r>
              <w:rPr>
                <w:rFonts w:ascii="serif" w:hAnsi="serif"/>
                <w:sz w:val="20"/>
              </w:rPr>
              <w:t>375,678</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Manufacturing and</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Logistics</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auto" w:val="clear"/>
            <w:vAlign w:val="center"/>
          </w:tcPr>
          <w:p>
            <w:pPr>
              <w:pStyle w:val="TableContents"/>
              <w:spacing w:before="0" w:after="283"/>
              <w:jc w:val="left"/>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Charles P. Brissman</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Vice President,</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jc w:val="center"/>
              <w:rPr>
                <w:rFonts w:ascii="serif" w:hAnsi="serif"/>
                <w:sz w:val="20"/>
              </w:rPr>
            </w:pPr>
            <w:r>
              <w:rPr>
                <w:rFonts w:ascii="serif" w:hAnsi="serif"/>
                <w:sz w:val="20"/>
              </w:rPr>
              <w:t>2007</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181,250</w:t>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44,849</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103,138</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4,539</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10,568</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040" w:type="dxa"/>
            <w:tcBorders/>
            <w:shd w:fill="C0C0C0" w:val="clear"/>
            <w:vAlign w:val="bottom"/>
          </w:tcPr>
          <w:p>
            <w:pPr>
              <w:pStyle w:val="TableContents"/>
              <w:spacing w:before="0" w:after="283"/>
              <w:jc w:val="right"/>
              <w:rPr>
                <w:rFonts w:ascii="serif" w:hAnsi="serif"/>
                <w:sz w:val="20"/>
              </w:rPr>
            </w:pPr>
            <w:r>
              <w:rPr>
                <w:rFonts w:ascii="serif" w:hAnsi="serif"/>
                <w:sz w:val="20"/>
              </w:rPr>
              <w:t>344,344</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General Counsel</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and Secretary</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auto" w:val="clear"/>
            <w:vAlign w:val="center"/>
          </w:tcPr>
          <w:p>
            <w:pPr>
              <w:pStyle w:val="TableContents"/>
              <w:spacing w:before="0" w:after="283"/>
              <w:jc w:val="left"/>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Vice President and</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jc w:val="center"/>
              <w:rPr>
                <w:rFonts w:ascii="serif" w:hAnsi="serif"/>
                <w:sz w:val="20"/>
              </w:rPr>
            </w:pPr>
            <w:r>
              <w:rPr>
                <w:rFonts w:ascii="serif" w:hAnsi="serif"/>
                <w:sz w:val="20"/>
              </w:rPr>
              <w:t>2007</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183,750</w:t>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30,900</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15,788</w:t>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0" w:type="dxa"/>
            <w:tcBorders/>
            <w:shd w:fill="C0C0C0" w:val="clear"/>
            <w:vAlign w:val="bottom"/>
          </w:tcPr>
          <w:p>
            <w:pPr>
              <w:pStyle w:val="TableContents"/>
              <w:spacing w:before="0" w:after="283"/>
              <w:jc w:val="right"/>
              <w:rPr>
                <w:rFonts w:ascii="serif" w:hAnsi="serif"/>
                <w:sz w:val="20"/>
              </w:rPr>
            </w:pPr>
            <w:r>
              <w:rPr>
                <w:rFonts w:ascii="serif" w:hAnsi="serif"/>
                <w:sz w:val="20"/>
              </w:rPr>
              <w:t>97,296</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2,366</w:t>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12,438</w:t>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040" w:type="dxa"/>
            <w:tcBorders/>
            <w:shd w:fill="C0C0C0" w:val="clear"/>
            <w:vAlign w:val="bottom"/>
          </w:tcPr>
          <w:p>
            <w:pPr>
              <w:pStyle w:val="TableContents"/>
              <w:spacing w:before="0" w:after="283"/>
              <w:jc w:val="right"/>
              <w:rPr>
                <w:rFonts w:ascii="serif" w:hAnsi="serif"/>
                <w:sz w:val="20"/>
              </w:rPr>
            </w:pPr>
            <w:r>
              <w:rPr>
                <w:rFonts w:ascii="serif" w:hAnsi="serif"/>
                <w:sz w:val="20"/>
              </w:rPr>
              <w:t>342,538</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Chief Procurement</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Officer</w:t>
            </w:r>
          </w:p>
        </w:tc>
        <w:tc>
          <w:tcPr>
            <w:tcW w:w="240" w:type="dxa"/>
            <w:tcBorders/>
            <w:shd w:fill="C0C0C0" w:val="clear"/>
            <w:vAlign w:val="bottom"/>
          </w:tcPr>
          <w:p>
            <w:pPr>
              <w:pStyle w:val="TableContents"/>
              <w:spacing w:before="0" w:after="283"/>
              <w:rPr>
                <w:sz w:val="4"/>
                <w:szCs w:val="4"/>
              </w:rPr>
            </w:pPr>
            <w:r>
              <w:rPr>
                <w:sz w:val="4"/>
                <w:szCs w:val="4"/>
              </w:rPr>
            </w:r>
          </w:p>
        </w:tc>
        <w:tc>
          <w:tcPr>
            <w:tcW w:w="50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575"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86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740" w:type="dxa"/>
            <w:tcBorders/>
            <w:shd w:fill="C0C0C0" w:val="clear"/>
            <w:vAlign w:val="bottom"/>
          </w:tcPr>
          <w:p>
            <w:pPr>
              <w:pStyle w:val="TableContents"/>
              <w:spacing w:before="0" w:after="283"/>
              <w:rPr>
                <w:sz w:val="4"/>
                <w:szCs w:val="4"/>
              </w:rPr>
            </w:pPr>
            <w:r>
              <w:rPr>
                <w:sz w:val="4"/>
                <w:szCs w:val="4"/>
              </w:rPr>
            </w:r>
          </w:p>
        </w:tc>
        <w:tc>
          <w:tcPr>
            <w:tcW w:w="24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1040" w:type="dxa"/>
            <w:tcBorders/>
            <w:shd w:fill="C0C0C0" w:val="cle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11"/>
        <w:gridCol w:w="248"/>
        <w:gridCol w:w="9746"/>
      </w:tblGrid>
      <w:tr>
        <w:trPr/>
        <w:tc>
          <w:tcPr>
            <w:tcW w:w="211" w:type="dxa"/>
            <w:tcBorders/>
            <w:shd w:fill="auto" w:val="clear"/>
          </w:tcPr>
          <w:p>
            <w:pPr>
              <w:pStyle w:val="TableContents"/>
              <w:spacing w:before="0" w:after="283"/>
              <w:rPr>
                <w:sz w:val="20"/>
              </w:rPr>
            </w:pPr>
            <w:r>
              <w:rPr>
                <w:sz w:val="20"/>
              </w:rPr>
              <w:t>(1)</w:t>
            </w:r>
          </w:p>
        </w:tc>
        <w:tc>
          <w:tcPr>
            <w:tcW w:w="248" w:type="dxa"/>
            <w:tcBorders/>
            <w:shd w:fill="auto" w:val="clear"/>
          </w:tcPr>
          <w:p>
            <w:pPr>
              <w:pStyle w:val="TableContents"/>
              <w:spacing w:before="0" w:after="283"/>
              <w:rPr/>
            </w:pPr>
            <w:r>
              <w:rPr/>
              <w:t>    </w:t>
            </w:r>
          </w:p>
        </w:tc>
        <w:tc>
          <w:tcPr>
            <w:tcW w:w="9746" w:type="dxa"/>
            <w:tcBorders/>
            <w:shd w:fill="auto" w:val="clear"/>
          </w:tcPr>
          <w:p>
            <w:pPr>
              <w:pStyle w:val="TableContents"/>
              <w:spacing w:before="0" w:after="283"/>
              <w:rPr>
                <w:sz w:val="20"/>
              </w:rPr>
            </w:pPr>
            <w:r>
              <w:rPr>
                <w:sz w:val="20"/>
              </w:rPr>
              <w:t>The amounts reported reflect the compensation cost, without any reduction for the risk of forfeiture, recognized by us for financial statement reporting purposes for the fiscal year in accordance with SFAS 123R. The amounts do not reflect compensation actually received by the named executive officers. The assumptions used in calculation of these amounts are disclosed in Note 7 of the financial statements in our Form 10-K for the fiscal year ended July 31, 2007. There were no new awards to the named executive officers in fiscal 2007. The expense recognized is related to awards made in prior years that have not yet fully vested.</w:t>
            </w:r>
          </w:p>
        </w:tc>
      </w:tr>
      <w:tr>
        <w:trPr/>
        <w:tc>
          <w:tcPr>
            <w:tcW w:w="211" w:type="dxa"/>
            <w:tcBorders/>
            <w:shd w:fill="auto" w:val="clear"/>
          </w:tcPr>
          <w:p>
            <w:pPr>
              <w:pStyle w:val="TableContents"/>
              <w:spacing w:before="0" w:after="283"/>
              <w:rPr>
                <w:sz w:val="4"/>
                <w:szCs w:val="4"/>
              </w:rPr>
            </w:pPr>
            <w:r>
              <w:rPr>
                <w:sz w:val="4"/>
                <w:szCs w:val="4"/>
              </w:rPr>
            </w:r>
          </w:p>
        </w:tc>
        <w:tc>
          <w:tcPr>
            <w:tcW w:w="248" w:type="dxa"/>
            <w:tcBorders/>
            <w:shd w:fill="auto" w:val="clear"/>
          </w:tcPr>
          <w:p>
            <w:pPr>
              <w:pStyle w:val="TableContents"/>
              <w:spacing w:before="0" w:after="283"/>
              <w:rPr>
                <w:sz w:val="4"/>
                <w:szCs w:val="4"/>
              </w:rPr>
            </w:pPr>
            <w:r>
              <w:rPr>
                <w:sz w:val="4"/>
                <w:szCs w:val="4"/>
              </w:rPr>
            </w:r>
          </w:p>
        </w:tc>
        <w:tc>
          <w:tcPr>
            <w:tcW w:w="9746" w:type="dxa"/>
            <w:tcBorders/>
            <w:shd w:fill="auto" w:val="clear"/>
          </w:tcPr>
          <w:p>
            <w:pPr>
              <w:pStyle w:val="TableContents"/>
              <w:spacing w:before="0" w:after="283"/>
              <w:rPr/>
            </w:pPr>
            <w:r>
              <w:rPr/>
              <w:t> </w:t>
            </w:r>
          </w:p>
        </w:tc>
      </w:tr>
      <w:tr>
        <w:trPr/>
        <w:tc>
          <w:tcPr>
            <w:tcW w:w="211" w:type="dxa"/>
            <w:tcBorders/>
            <w:shd w:fill="auto" w:val="clear"/>
          </w:tcPr>
          <w:p>
            <w:pPr>
              <w:pStyle w:val="TableContents"/>
              <w:spacing w:before="0" w:after="283"/>
              <w:rPr>
                <w:sz w:val="20"/>
              </w:rPr>
            </w:pPr>
            <w:r>
              <w:rPr>
                <w:sz w:val="20"/>
              </w:rPr>
              <w:t>(2)</w:t>
            </w:r>
          </w:p>
        </w:tc>
        <w:tc>
          <w:tcPr>
            <w:tcW w:w="248" w:type="dxa"/>
            <w:tcBorders/>
            <w:shd w:fill="auto" w:val="clear"/>
          </w:tcPr>
          <w:p>
            <w:pPr>
              <w:pStyle w:val="TableContents"/>
              <w:spacing w:before="0" w:after="283"/>
              <w:rPr>
                <w:sz w:val="4"/>
                <w:szCs w:val="4"/>
              </w:rPr>
            </w:pPr>
            <w:r>
              <w:rPr>
                <w:sz w:val="4"/>
                <w:szCs w:val="4"/>
              </w:rPr>
            </w:r>
          </w:p>
        </w:tc>
        <w:tc>
          <w:tcPr>
            <w:tcW w:w="9746" w:type="dxa"/>
            <w:tcBorders/>
            <w:shd w:fill="auto" w:val="clear"/>
          </w:tcPr>
          <w:p>
            <w:pPr>
              <w:pStyle w:val="TableContents"/>
              <w:spacing w:before="0" w:after="283"/>
              <w:rPr>
                <w:sz w:val="20"/>
              </w:rPr>
            </w:pPr>
            <w:r>
              <w:rPr>
                <w:sz w:val="20"/>
              </w:rPr>
              <w:t>The amounts reported reflect payment of 176.5% of target bonus under our annual incentive plan as described in the Compensation Discussion and Analysis above.</w:t>
            </w:r>
          </w:p>
        </w:tc>
      </w:tr>
      <w:tr>
        <w:trPr/>
        <w:tc>
          <w:tcPr>
            <w:tcW w:w="211" w:type="dxa"/>
            <w:tcBorders/>
            <w:shd w:fill="auto" w:val="clear"/>
          </w:tcPr>
          <w:p>
            <w:pPr>
              <w:pStyle w:val="TableContents"/>
              <w:spacing w:before="0" w:after="283"/>
              <w:rPr>
                <w:sz w:val="4"/>
                <w:szCs w:val="4"/>
              </w:rPr>
            </w:pPr>
            <w:r>
              <w:rPr>
                <w:sz w:val="4"/>
                <w:szCs w:val="4"/>
              </w:rPr>
            </w:r>
          </w:p>
        </w:tc>
        <w:tc>
          <w:tcPr>
            <w:tcW w:w="248" w:type="dxa"/>
            <w:tcBorders/>
            <w:shd w:fill="auto" w:val="clear"/>
          </w:tcPr>
          <w:p>
            <w:pPr>
              <w:pStyle w:val="TableContents"/>
              <w:spacing w:before="0" w:after="283"/>
              <w:rPr>
                <w:sz w:val="4"/>
                <w:szCs w:val="4"/>
              </w:rPr>
            </w:pPr>
            <w:r>
              <w:rPr>
                <w:sz w:val="4"/>
                <w:szCs w:val="4"/>
              </w:rPr>
            </w:r>
          </w:p>
        </w:tc>
        <w:tc>
          <w:tcPr>
            <w:tcW w:w="9746" w:type="dxa"/>
            <w:tcBorders/>
            <w:shd w:fill="auto" w:val="clear"/>
          </w:tcPr>
          <w:p>
            <w:pPr>
              <w:pStyle w:val="TableContents"/>
              <w:spacing w:before="0" w:after="283"/>
              <w:rPr/>
            </w:pPr>
            <w:r>
              <w:rPr/>
              <w:t> </w:t>
            </w:r>
          </w:p>
        </w:tc>
      </w:tr>
      <w:tr>
        <w:trPr/>
        <w:tc>
          <w:tcPr>
            <w:tcW w:w="211" w:type="dxa"/>
            <w:tcBorders/>
            <w:shd w:fill="auto" w:val="clear"/>
          </w:tcPr>
          <w:p>
            <w:pPr>
              <w:pStyle w:val="TableContents"/>
              <w:spacing w:before="0" w:after="283"/>
              <w:rPr>
                <w:sz w:val="20"/>
              </w:rPr>
            </w:pPr>
            <w:r>
              <w:rPr>
                <w:sz w:val="20"/>
              </w:rPr>
              <w:t>(3)</w:t>
            </w:r>
          </w:p>
        </w:tc>
        <w:tc>
          <w:tcPr>
            <w:tcW w:w="248" w:type="dxa"/>
            <w:tcBorders/>
            <w:shd w:fill="auto" w:val="clear"/>
          </w:tcPr>
          <w:p>
            <w:pPr>
              <w:pStyle w:val="TableContents"/>
              <w:spacing w:before="0" w:after="283"/>
              <w:rPr>
                <w:sz w:val="4"/>
                <w:szCs w:val="4"/>
              </w:rPr>
            </w:pPr>
            <w:r>
              <w:rPr>
                <w:sz w:val="4"/>
                <w:szCs w:val="4"/>
              </w:rPr>
            </w:r>
          </w:p>
        </w:tc>
        <w:tc>
          <w:tcPr>
            <w:tcW w:w="9746" w:type="dxa"/>
            <w:tcBorders/>
            <w:shd w:fill="auto" w:val="clear"/>
          </w:tcPr>
          <w:p>
            <w:pPr>
              <w:pStyle w:val="TableContents"/>
              <w:spacing w:before="0" w:after="283"/>
              <w:rPr>
                <w:sz w:val="20"/>
              </w:rPr>
            </w:pPr>
            <w:r>
              <w:rPr>
                <w:sz w:val="20"/>
              </w:rPr>
              <w:t>Change in Pension Value during the fiscal year: For Daniel S. Jaffee the amount shown includes the aggregate increase of $14,834 in the actuarial present value of the benefits under Oil-Dris pension plan and supplemental executive retirement plan. For Thomas F. Cofsky the amount shown includes the increase of $9,144 in the actuarial present value of the benefits under our pension plan. Messrs. Bancroft, Peterson and Brissman have less than the five years of service necessary to vest under the pension plan. The amount reported is the change in the actuarial present value that is accrued for them under the pension plan, but still unvested.</w:t>
            </w:r>
          </w:p>
        </w:tc>
      </w:tr>
      <w:tr>
        <w:trPr/>
        <w:tc>
          <w:tcPr>
            <w:tcW w:w="211" w:type="dxa"/>
            <w:tcBorders/>
            <w:shd w:fill="auto" w:val="clear"/>
          </w:tcPr>
          <w:p>
            <w:pPr>
              <w:pStyle w:val="TableContents"/>
              <w:spacing w:before="0" w:after="283"/>
              <w:rPr>
                <w:sz w:val="4"/>
                <w:szCs w:val="4"/>
              </w:rPr>
            </w:pPr>
            <w:r>
              <w:rPr>
                <w:sz w:val="4"/>
                <w:szCs w:val="4"/>
              </w:rPr>
            </w:r>
          </w:p>
        </w:tc>
        <w:tc>
          <w:tcPr>
            <w:tcW w:w="248" w:type="dxa"/>
            <w:tcBorders/>
            <w:shd w:fill="auto" w:val="clear"/>
          </w:tcPr>
          <w:p>
            <w:pPr>
              <w:pStyle w:val="TableContents"/>
              <w:spacing w:before="0" w:after="283"/>
              <w:rPr>
                <w:sz w:val="4"/>
                <w:szCs w:val="4"/>
              </w:rPr>
            </w:pPr>
            <w:r>
              <w:rPr>
                <w:sz w:val="4"/>
                <w:szCs w:val="4"/>
              </w:rPr>
            </w:r>
          </w:p>
        </w:tc>
        <w:tc>
          <w:tcPr>
            <w:tcW w:w="9746" w:type="dxa"/>
            <w:tcBorders/>
            <w:shd w:fill="auto" w:val="clear"/>
          </w:tcPr>
          <w:p>
            <w:pPr>
              <w:pStyle w:val="TableContents"/>
              <w:spacing w:before="0" w:after="283"/>
              <w:rPr/>
            </w:pPr>
            <w:r>
              <w:rPr/>
              <w:t> </w:t>
            </w:r>
          </w:p>
        </w:tc>
      </w:tr>
      <w:tr>
        <w:trPr/>
        <w:tc>
          <w:tcPr>
            <w:tcW w:w="211" w:type="dxa"/>
            <w:tcBorders/>
            <w:shd w:fill="auto" w:val="clear"/>
          </w:tcPr>
          <w:p>
            <w:pPr>
              <w:pStyle w:val="TableContents"/>
              <w:spacing w:before="0" w:after="283"/>
              <w:rPr>
                <w:sz w:val="4"/>
                <w:szCs w:val="4"/>
              </w:rPr>
            </w:pPr>
            <w:r>
              <w:rPr>
                <w:sz w:val="4"/>
                <w:szCs w:val="4"/>
              </w:rPr>
            </w:r>
          </w:p>
        </w:tc>
        <w:tc>
          <w:tcPr>
            <w:tcW w:w="248" w:type="dxa"/>
            <w:tcBorders/>
            <w:shd w:fill="auto" w:val="clear"/>
          </w:tcPr>
          <w:p>
            <w:pPr>
              <w:pStyle w:val="TableContents"/>
              <w:spacing w:before="0" w:after="283"/>
              <w:rPr>
                <w:sz w:val="4"/>
                <w:szCs w:val="4"/>
              </w:rPr>
            </w:pPr>
            <w:r>
              <w:rPr>
                <w:sz w:val="4"/>
                <w:szCs w:val="4"/>
              </w:rPr>
            </w:r>
          </w:p>
        </w:tc>
        <w:tc>
          <w:tcPr>
            <w:tcW w:w="9746" w:type="dxa"/>
            <w:tcBorders/>
            <w:shd w:fill="auto" w:val="clear"/>
          </w:tcPr>
          <w:p>
            <w:pPr>
              <w:pStyle w:val="TableContents"/>
              <w:spacing w:before="0" w:after="283"/>
              <w:jc w:val="both"/>
              <w:rPr>
                <w:rFonts w:ascii="serif" w:hAnsi="serif"/>
                <w:sz w:val="20"/>
              </w:rPr>
            </w:pPr>
            <w:r>
              <w:rPr>
                <w:rFonts w:ascii="serif" w:hAnsi="serif"/>
                <w:sz w:val="20"/>
              </w:rPr>
              <w:t>Non-qualified Deferred Compensation Earnings: The amounts shown for Daniel S. Jaffee and Thomas F. Cofsky include $1,416 and $1,596, respectively, in earnings from our executive deferred compensation plans that exceed 120% of the applicable federal rate. Messrs. Bancroft, Peterson and Brissman have not elected to participate in the executive deferred compensation plans.</w:t>
            </w:r>
          </w:p>
        </w:tc>
      </w:tr>
    </w:tbl>
    <w:p>
      <w:pPr>
        <w:pStyle w:val="TextBody"/>
        <w:jc w:val="center"/>
        <w:rPr>
          <w:rFonts w:ascii="serif" w:hAnsi="serif"/>
          <w:sz w:val="20"/>
        </w:rPr>
      </w:pPr>
      <w:r>
        <w:rPr>
          <w:rFonts w:ascii="serif" w:hAnsi="serif"/>
          <w:sz w:val="20"/>
        </w:rPr>
        <w:t>28</w:t>
      </w:r>
    </w:p>
    <w:p>
      <w:pPr>
        <w:pStyle w:val="HorizontalLine"/>
        <w:pBdr>
          <w:bottom w:val="single" w:sz="12" w:space="0" w:color="80808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208"/>
        <w:gridCol w:w="243"/>
        <w:gridCol w:w="9754"/>
      </w:tblGrid>
      <w:tr>
        <w:trPr/>
        <w:tc>
          <w:tcPr>
            <w:tcW w:w="208" w:type="dxa"/>
            <w:tcBorders/>
            <w:shd w:fill="auto" w:val="clear"/>
          </w:tcPr>
          <w:p>
            <w:pPr>
              <w:pStyle w:val="TableContents"/>
              <w:spacing w:before="0" w:after="283"/>
              <w:rPr>
                <w:sz w:val="20"/>
              </w:rPr>
            </w:pPr>
            <w:r>
              <w:rPr>
                <w:sz w:val="20"/>
              </w:rPr>
              <w:t>(4)</w:t>
            </w:r>
          </w:p>
        </w:tc>
        <w:tc>
          <w:tcPr>
            <w:tcW w:w="243" w:type="dxa"/>
            <w:tcBorders/>
            <w:shd w:fill="auto" w:val="clear"/>
          </w:tcPr>
          <w:p>
            <w:pPr>
              <w:pStyle w:val="TableContents"/>
              <w:spacing w:before="0" w:after="283"/>
              <w:rPr/>
            </w:pPr>
            <w:r>
              <w:rPr/>
              <w:t>    </w:t>
            </w:r>
          </w:p>
        </w:tc>
        <w:tc>
          <w:tcPr>
            <w:tcW w:w="9754" w:type="dxa"/>
            <w:tcBorders/>
            <w:shd w:fill="auto" w:val="clear"/>
          </w:tcPr>
          <w:p>
            <w:pPr>
              <w:pStyle w:val="TableContents"/>
              <w:spacing w:before="0" w:after="283"/>
              <w:rPr>
                <w:sz w:val="20"/>
              </w:rPr>
            </w:pPr>
            <w:r>
              <w:rPr>
                <w:sz w:val="20"/>
              </w:rPr>
              <w:t>The amounts shown in this column are described in the following table:</w:t>
            </w:r>
          </w:p>
        </w:tc>
      </w:tr>
    </w:tbl>
    <w:p>
      <w:pPr>
        <w:pStyle w:val="TextBody"/>
        <w:spacing w:before="0" w:after="0"/>
        <w:rPr/>
      </w:pPr>
      <w:r>
        <w:rPr/>
      </w:r>
    </w:p>
    <w:tbl>
      <w:tblPr>
        <w:tblW w:w="8420" w:type="dxa"/>
        <w:jc w:val="center"/>
        <w:tblInd w:w="0" w:type="dxa"/>
        <w:tblCellMar>
          <w:top w:w="0" w:type="dxa"/>
          <w:left w:w="0" w:type="dxa"/>
          <w:bottom w:w="0" w:type="dxa"/>
          <w:right w:w="0" w:type="dxa"/>
        </w:tblCellMar>
      </w:tblPr>
      <w:tblGrid>
        <w:gridCol w:w="2090"/>
        <w:gridCol w:w="300"/>
        <w:gridCol w:w="420"/>
        <w:gridCol w:w="140"/>
        <w:gridCol w:w="740"/>
        <w:gridCol w:w="300"/>
        <w:gridCol w:w="504"/>
        <w:gridCol w:w="147"/>
        <w:gridCol w:w="779"/>
        <w:gridCol w:w="300"/>
        <w:gridCol w:w="739"/>
        <w:gridCol w:w="143"/>
        <w:gridCol w:w="638"/>
        <w:gridCol w:w="300"/>
        <w:gridCol w:w="140"/>
        <w:gridCol w:w="740"/>
      </w:tblGrid>
      <w:tr>
        <w:trPr/>
        <w:tc>
          <w:tcPr>
            <w:tcW w:w="8420" w:type="dxa"/>
            <w:gridSpan w:val="16"/>
            <w:tcBorders/>
            <w:shd w:fill="auto" w:val="clear"/>
            <w:vAlign w:val="bottom"/>
          </w:tcPr>
          <w:p>
            <w:pPr>
              <w:pStyle w:val="TableContents"/>
              <w:spacing w:before="0" w:after="283"/>
              <w:jc w:val="center"/>
              <w:rPr>
                <w:rFonts w:ascii="serif" w:hAnsi="serif"/>
                <w:b/>
              </w:rPr>
            </w:pPr>
            <w:r>
              <w:rPr>
                <w:rFonts w:ascii="serif" w:hAnsi="serif"/>
                <w:b/>
              </w:rPr>
              <w:t>All Other Compensation Table</w:t>
            </w:r>
          </w:p>
        </w:tc>
      </w:tr>
      <w:tr>
        <w:trPr/>
        <w:tc>
          <w:tcPr>
            <w:tcW w:w="8420" w:type="dxa"/>
            <w:gridSpan w:val="16"/>
            <w:tcBorders/>
            <w:shd w:fill="auto" w:val="clear"/>
            <w:vAlign w:val="center"/>
          </w:tcPr>
          <w:p>
            <w:pPr>
              <w:pStyle w:val="TableContents"/>
              <w:spacing w:before="0" w:after="283"/>
              <w:rPr/>
            </w:pPr>
            <w:r>
              <w:rPr/>
              <w:t> </w:t>
            </w:r>
          </w:p>
        </w:tc>
      </w:tr>
      <w:tr>
        <w:trPr/>
        <w:tc>
          <w:tcPr>
            <w:tcW w:w="209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43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Dividends on</w:t>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jc w:val="center"/>
              <w:rPr/>
            </w:pPr>
            <w:r>
              <w:rPr/>
              <w:t> </w:t>
            </w:r>
          </w:p>
        </w:tc>
      </w:tr>
      <w:tr>
        <w:trPr/>
        <w:tc>
          <w:tcPr>
            <w:tcW w:w="209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43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Unvested</w:t>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jc w:val="center"/>
              <w:rPr/>
            </w:pPr>
            <w:r>
              <w:rPr>
                <w:rFonts w:ascii="serif" w:hAnsi="serif"/>
                <w:b/>
                <w:sz w:val="20"/>
              </w:rPr>
              <w:t>401(k)</w:t>
            </w:r>
            <w:r>
              <w:rPr/>
              <w:t xml:space="preserve"> </w:t>
            </w:r>
            <w:r>
              <w:rPr>
                <w:b/>
                <w:sz w:val="20"/>
              </w:rPr>
              <w:t>Plan</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jc w:val="center"/>
              <w:rPr/>
            </w:pPr>
            <w:r>
              <w:rPr/>
              <w:t> </w:t>
            </w:r>
          </w:p>
        </w:tc>
      </w:tr>
      <w:tr>
        <w:trPr/>
        <w:tc>
          <w:tcPr>
            <w:tcW w:w="209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43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Restricted</w:t>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Company</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jc w:val="center"/>
              <w:rPr/>
            </w:pPr>
            <w:r>
              <w:rPr/>
              <w:t> </w:t>
            </w:r>
          </w:p>
        </w:tc>
      </w:tr>
      <w:tr>
        <w:trPr/>
        <w:tc>
          <w:tcPr>
            <w:tcW w:w="209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30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Perquisites</w:t>
            </w:r>
          </w:p>
        </w:tc>
        <w:tc>
          <w:tcPr>
            <w:tcW w:w="300" w:type="dxa"/>
            <w:tcBorders/>
            <w:shd w:fill="auto" w:val="clear"/>
            <w:vAlign w:val="bottom"/>
          </w:tcPr>
          <w:p>
            <w:pPr>
              <w:pStyle w:val="TableContents"/>
              <w:spacing w:before="0" w:after="283"/>
              <w:jc w:val="center"/>
              <w:rPr/>
            </w:pPr>
            <w:r>
              <w:rPr/>
              <w:t> </w:t>
            </w:r>
          </w:p>
        </w:tc>
        <w:tc>
          <w:tcPr>
            <w:tcW w:w="143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Stock</w:t>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Matching</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bottom"/>
          </w:tcPr>
          <w:p>
            <w:pPr>
              <w:pStyle w:val="TableContents"/>
              <w:spacing w:before="0" w:after="283"/>
              <w:jc w:val="center"/>
              <w:rPr/>
            </w:pPr>
            <w:r>
              <w:rPr/>
              <w:t> </w:t>
            </w:r>
          </w:p>
        </w:tc>
      </w:tr>
      <w:tr>
        <w:trPr/>
        <w:tc>
          <w:tcPr>
            <w:tcW w:w="209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30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jc w:val="center"/>
              <w:rPr/>
            </w:pPr>
            <w:r>
              <w:rPr/>
              <w:t> </w:t>
            </w:r>
          </w:p>
        </w:tc>
        <w:tc>
          <w:tcPr>
            <w:tcW w:w="143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Contributions</w:t>
            </w:r>
          </w:p>
        </w:tc>
        <w:tc>
          <w:tcPr>
            <w:tcW w:w="300" w:type="dxa"/>
            <w:tcBorders/>
            <w:shd w:fill="auto" w:val="clear"/>
            <w:vAlign w:val="bottom"/>
          </w:tcPr>
          <w:p>
            <w:pPr>
              <w:pStyle w:val="TableContents"/>
              <w:spacing w:before="0" w:after="283"/>
              <w:jc w:val="center"/>
              <w:rPr/>
            </w:pPr>
            <w:r>
              <w:rPr/>
              <w:t> </w:t>
            </w:r>
          </w:p>
        </w:tc>
        <w:tc>
          <w:tcPr>
            <w:tcW w:w="88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Total</w:t>
            </w:r>
          </w:p>
        </w:tc>
      </w:tr>
      <w:tr>
        <w:trPr/>
        <w:tc>
          <w:tcPr>
            <w:tcW w:w="209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00"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30"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520"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r>
      <w:tr>
        <w:trPr/>
        <w:tc>
          <w:tcPr>
            <w:tcW w:w="2090" w:type="dxa"/>
            <w:tcBorders/>
            <w:shd w:fill="C0C0C0" w:val="clear"/>
            <w:vAlign w:val="bottom"/>
          </w:tcPr>
          <w:p>
            <w:pPr>
              <w:pStyle w:val="TableContents"/>
              <w:spacing w:before="0" w:after="283"/>
              <w:jc w:val="left"/>
              <w:rPr/>
            </w:pPr>
            <w:r>
              <w:rPr>
                <w:rFonts w:ascii="serif" w:hAnsi="serif"/>
                <w:sz w:val="20"/>
              </w:rPr>
              <w:t>Daniel S. Jaffee</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jc w:val="righ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pPr>
            <w:r>
              <w:rPr/>
              <w:t> </w:t>
            </w:r>
            <w:r>
              <w:rPr>
                <w:rFonts w:ascii="serif" w:hAnsi="serif"/>
                <w:sz w:val="20"/>
              </w:rPr>
              <w:t>10,068</w:t>
            </w:r>
          </w:p>
        </w:tc>
        <w:tc>
          <w:tcPr>
            <w:tcW w:w="300" w:type="dxa"/>
            <w:tcBorders/>
            <w:shd w:fill="C0C0C0" w:val="clear"/>
            <w:vAlign w:val="bottom"/>
          </w:tcPr>
          <w:p>
            <w:pPr>
              <w:pStyle w:val="TableContents"/>
              <w:spacing w:before="0" w:after="283"/>
              <w:jc w:val="left"/>
              <w:rPr/>
            </w:pPr>
            <w:r>
              <w:rPr/>
              <w:t> </w:t>
            </w:r>
          </w:p>
        </w:tc>
        <w:tc>
          <w:tcPr>
            <w:tcW w:w="504" w:type="dxa"/>
            <w:tcBorders/>
            <w:shd w:fill="C0C0C0" w:val="clear"/>
            <w:vAlign w:val="bottom"/>
          </w:tcPr>
          <w:p>
            <w:pPr>
              <w:pStyle w:val="TableContents"/>
              <w:spacing w:before="0" w:after="283"/>
              <w:jc w:val="right"/>
              <w:rPr/>
            </w:pPr>
            <w:r>
              <w:rPr/>
              <w:t>        </w:t>
            </w:r>
          </w:p>
        </w:tc>
        <w:tc>
          <w:tcPr>
            <w:tcW w:w="147"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79" w:type="dxa"/>
            <w:tcBorders/>
            <w:shd w:fill="C0C0C0" w:val="clear"/>
            <w:vAlign w:val="bottom"/>
          </w:tcPr>
          <w:p>
            <w:pPr>
              <w:pStyle w:val="TableContents"/>
              <w:spacing w:before="0" w:after="283"/>
              <w:jc w:val="right"/>
              <w:rPr/>
            </w:pPr>
            <w:r>
              <w:rPr/>
              <w:t> </w:t>
            </w:r>
            <w:r>
              <w:rPr>
                <w:rFonts w:ascii="serif" w:hAnsi="serif"/>
                <w:sz w:val="20"/>
              </w:rPr>
              <w:t>26,775</w:t>
            </w:r>
          </w:p>
        </w:tc>
        <w:tc>
          <w:tcPr>
            <w:tcW w:w="300"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right"/>
              <w:rPr/>
            </w:pPr>
            <w:r>
              <w:rPr/>
              <w:t>            </w:t>
            </w:r>
          </w:p>
        </w:tc>
        <w:tc>
          <w:tcPr>
            <w:tcW w:w="143"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38" w:type="dxa"/>
            <w:tcBorders/>
            <w:shd w:fill="C0C0C0" w:val="clear"/>
            <w:vAlign w:val="bottom"/>
          </w:tcPr>
          <w:p>
            <w:pPr>
              <w:pStyle w:val="TableContents"/>
              <w:spacing w:before="0" w:after="283"/>
              <w:jc w:val="right"/>
              <w:rPr/>
            </w:pPr>
            <w:r>
              <w:rPr/>
              <w:t> </w:t>
            </w:r>
            <w:r>
              <w:rPr>
                <w:rFonts w:ascii="serif" w:hAnsi="serif"/>
                <w:sz w:val="20"/>
              </w:rPr>
              <w:t>1,637</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38,480</w:t>
            </w:r>
          </w:p>
        </w:tc>
      </w:tr>
      <w:tr>
        <w:trPr/>
        <w:tc>
          <w:tcPr>
            <w:tcW w:w="2090" w:type="dxa"/>
            <w:tcBorders/>
            <w:shd w:fill="auto" w:val="clear"/>
            <w:vAlign w:val="bottom"/>
          </w:tcPr>
          <w:p>
            <w:pPr>
              <w:pStyle w:val="TableContents"/>
              <w:spacing w:before="0" w:after="283"/>
              <w:jc w:val="left"/>
              <w:rPr/>
            </w:pPr>
            <w:r>
              <w:rPr>
                <w:rFonts w:ascii="serif" w:hAnsi="serif"/>
                <w:sz w:val="20"/>
              </w:rPr>
              <w:t>Andrew N. Peterson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6,300</w:t>
            </w:r>
          </w:p>
        </w:tc>
        <w:tc>
          <w:tcPr>
            <w:tcW w:w="300" w:type="dxa"/>
            <w:tcBorders/>
            <w:shd w:fill="auto" w:val="clear"/>
            <w:vAlign w:val="bottom"/>
          </w:tcPr>
          <w:p>
            <w:pPr>
              <w:pStyle w:val="TableContents"/>
              <w:spacing w:before="0" w:after="283"/>
              <w:jc w:val="left"/>
              <w:rPr/>
            </w:pPr>
            <w:r>
              <w:rPr/>
              <w:t> </w:t>
            </w:r>
          </w:p>
        </w:tc>
        <w:tc>
          <w:tcPr>
            <w:tcW w:w="504"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jc w:val="left"/>
              <w:rPr/>
            </w:pPr>
            <w:r>
              <w:rPr/>
              <w:t> </w:t>
            </w:r>
          </w:p>
        </w:tc>
        <w:tc>
          <w:tcPr>
            <w:tcW w:w="77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638" w:type="dxa"/>
            <w:tcBorders/>
            <w:shd w:fill="auto" w:val="clear"/>
            <w:vAlign w:val="bottom"/>
          </w:tcPr>
          <w:p>
            <w:pPr>
              <w:pStyle w:val="TableContents"/>
              <w:spacing w:before="0" w:after="283"/>
              <w:jc w:val="right"/>
              <w:rPr>
                <w:rFonts w:ascii="serif" w:hAnsi="serif"/>
                <w:sz w:val="20"/>
              </w:rPr>
            </w:pPr>
            <w:r>
              <w:rPr>
                <w:rFonts w:ascii="serif" w:hAnsi="serif"/>
                <w:sz w:val="20"/>
              </w:rPr>
              <w:t>4,552</w:t>
            </w:r>
          </w:p>
        </w:tc>
        <w:tc>
          <w:tcPr>
            <w:tcW w:w="300" w:type="dxa"/>
            <w:tcBorders/>
            <w:shd w:fill="auto" w:val="clear"/>
            <w:vAlign w:val="bottom"/>
          </w:tcPr>
          <w:p>
            <w:pPr>
              <w:pStyle w:val="TableContents"/>
              <w:spacing w:before="0" w:after="283"/>
              <w:jc w:val="left"/>
              <w:rPr/>
            </w:pPr>
            <w:r>
              <w:rPr/>
              <w:t> </w:t>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10,852</w:t>
            </w:r>
          </w:p>
        </w:tc>
      </w:tr>
      <w:tr>
        <w:trPr/>
        <w:tc>
          <w:tcPr>
            <w:tcW w:w="2090" w:type="dxa"/>
            <w:tcBorders/>
            <w:shd w:fill="C0C0C0" w:val="clear"/>
            <w:vAlign w:val="bottom"/>
          </w:tcPr>
          <w:p>
            <w:pPr>
              <w:pStyle w:val="TableContents"/>
              <w:spacing w:before="0" w:after="283"/>
              <w:jc w:val="left"/>
              <w:rPr/>
            </w:pPr>
            <w:r>
              <w:rPr>
                <w:rFonts w:ascii="serif" w:hAnsi="serif"/>
                <w:sz w:val="20"/>
              </w:rPr>
              <w:t>Thomas F. Cofsky</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9,768</w:t>
            </w:r>
          </w:p>
        </w:tc>
        <w:tc>
          <w:tcPr>
            <w:tcW w:w="300" w:type="dxa"/>
            <w:tcBorders/>
            <w:shd w:fill="C0C0C0" w:val="clear"/>
            <w:vAlign w:val="bottom"/>
          </w:tcPr>
          <w:p>
            <w:pPr>
              <w:pStyle w:val="TableContents"/>
              <w:spacing w:before="0" w:after="283"/>
              <w:jc w:val="left"/>
              <w:rPr/>
            </w:pPr>
            <w:r>
              <w:rPr/>
              <w:t> </w:t>
            </w:r>
          </w:p>
        </w:tc>
        <w:tc>
          <w:tcPr>
            <w:tcW w:w="504" w:type="dxa"/>
            <w:tcBorders/>
            <w:shd w:fill="C0C0C0" w:val="clear"/>
            <w:vAlign w:val="bottom"/>
          </w:tcPr>
          <w:p>
            <w:pPr>
              <w:pStyle w:val="TableContents"/>
              <w:spacing w:before="0" w:after="283"/>
              <w:rPr>
                <w:sz w:val="4"/>
                <w:szCs w:val="4"/>
              </w:rPr>
            </w:pPr>
            <w:r>
              <w:rPr>
                <w:sz w:val="4"/>
                <w:szCs w:val="4"/>
              </w:rPr>
            </w:r>
          </w:p>
        </w:tc>
        <w:tc>
          <w:tcPr>
            <w:tcW w:w="147" w:type="dxa"/>
            <w:tcBorders/>
            <w:shd w:fill="C0C0C0" w:val="clear"/>
            <w:vAlign w:val="bottom"/>
          </w:tcPr>
          <w:p>
            <w:pPr>
              <w:pStyle w:val="TableContents"/>
              <w:spacing w:before="0" w:after="283"/>
              <w:rPr>
                <w:sz w:val="4"/>
                <w:szCs w:val="4"/>
              </w:rPr>
            </w:pPr>
            <w:r>
              <w:rPr>
                <w:sz w:val="4"/>
                <w:szCs w:val="4"/>
              </w:rPr>
            </w:r>
          </w:p>
        </w:tc>
        <w:tc>
          <w:tcPr>
            <w:tcW w:w="77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38" w:type="dxa"/>
            <w:tcBorders/>
            <w:shd w:fill="C0C0C0" w:val="clear"/>
            <w:vAlign w:val="bottom"/>
          </w:tcPr>
          <w:p>
            <w:pPr>
              <w:pStyle w:val="TableContents"/>
              <w:spacing w:before="0" w:after="283"/>
              <w:jc w:val="right"/>
              <w:rPr>
                <w:rFonts w:ascii="serif" w:hAnsi="serif"/>
                <w:sz w:val="20"/>
              </w:rPr>
            </w:pPr>
            <w:r>
              <w:rPr>
                <w:rFonts w:ascii="serif" w:hAnsi="serif"/>
                <w:sz w:val="20"/>
              </w:rPr>
              <w:t>3,948</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13,716</w:t>
            </w:r>
          </w:p>
        </w:tc>
      </w:tr>
      <w:tr>
        <w:trPr/>
        <w:tc>
          <w:tcPr>
            <w:tcW w:w="2090" w:type="dxa"/>
            <w:tcBorders/>
            <w:shd w:fill="auto" w:val="clear"/>
            <w:vAlign w:val="bottom"/>
          </w:tcPr>
          <w:p>
            <w:pPr>
              <w:pStyle w:val="TableContents"/>
              <w:spacing w:before="0" w:after="283"/>
              <w:jc w:val="left"/>
              <w:rPr/>
            </w:pPr>
            <w:r>
              <w:rPr>
                <w:rFonts w:ascii="serif" w:hAnsi="serif"/>
                <w:sz w:val="20"/>
              </w:rPr>
              <w:t>Charles P. Brissman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6,400</w:t>
            </w:r>
          </w:p>
        </w:tc>
        <w:tc>
          <w:tcPr>
            <w:tcW w:w="300" w:type="dxa"/>
            <w:tcBorders/>
            <w:shd w:fill="auto" w:val="clear"/>
            <w:vAlign w:val="bottom"/>
          </w:tcPr>
          <w:p>
            <w:pPr>
              <w:pStyle w:val="TableContents"/>
              <w:spacing w:before="0" w:after="283"/>
              <w:jc w:val="left"/>
              <w:rPr/>
            </w:pPr>
            <w:r>
              <w:rPr/>
              <w:t> </w:t>
            </w:r>
          </w:p>
        </w:tc>
        <w:tc>
          <w:tcPr>
            <w:tcW w:w="504"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77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638" w:type="dxa"/>
            <w:tcBorders/>
            <w:shd w:fill="auto" w:val="clear"/>
            <w:vAlign w:val="bottom"/>
          </w:tcPr>
          <w:p>
            <w:pPr>
              <w:pStyle w:val="TableContents"/>
              <w:spacing w:before="0" w:after="283"/>
              <w:jc w:val="right"/>
              <w:rPr>
                <w:rFonts w:ascii="serif" w:hAnsi="serif"/>
                <w:sz w:val="20"/>
              </w:rPr>
            </w:pPr>
            <w:r>
              <w:rPr>
                <w:rFonts w:ascii="serif" w:hAnsi="serif"/>
                <w:sz w:val="20"/>
              </w:rPr>
              <w:t>4,168</w:t>
            </w:r>
          </w:p>
        </w:tc>
        <w:tc>
          <w:tcPr>
            <w:tcW w:w="300" w:type="dxa"/>
            <w:tcBorders/>
            <w:shd w:fill="auto" w:val="clear"/>
            <w:vAlign w:val="bottom"/>
          </w:tcPr>
          <w:p>
            <w:pPr>
              <w:pStyle w:val="TableContents"/>
              <w:spacing w:before="0" w:after="283"/>
              <w:jc w:val="left"/>
              <w:rPr/>
            </w:pPr>
            <w:r>
              <w:rPr/>
              <w:t> </w:t>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auto" w:val="clear"/>
            <w:vAlign w:val="bottom"/>
          </w:tcPr>
          <w:p>
            <w:pPr>
              <w:pStyle w:val="TableContents"/>
              <w:spacing w:before="0" w:after="283"/>
              <w:jc w:val="right"/>
              <w:rPr>
                <w:rFonts w:ascii="serif" w:hAnsi="serif"/>
                <w:sz w:val="20"/>
              </w:rPr>
            </w:pPr>
            <w:r>
              <w:rPr>
                <w:rFonts w:ascii="serif" w:hAnsi="serif"/>
                <w:sz w:val="20"/>
              </w:rPr>
              <w:t>10,568</w:t>
            </w:r>
          </w:p>
        </w:tc>
      </w:tr>
      <w:tr>
        <w:trPr/>
        <w:tc>
          <w:tcPr>
            <w:tcW w:w="2090" w:type="dxa"/>
            <w:tcBorders/>
            <w:shd w:fill="C0C0C0" w:val="clear"/>
            <w:vAlign w:val="bottom"/>
          </w:tcPr>
          <w:p>
            <w:pPr>
              <w:pStyle w:val="TableContents"/>
              <w:spacing w:before="0" w:after="283"/>
              <w:jc w:val="left"/>
              <w:rPr/>
            </w:pPr>
            <w:r>
              <w:rPr>
                <w:rFonts w:ascii="serif" w:hAnsi="serif"/>
                <w:sz w:val="20"/>
              </w:rPr>
              <w:t>Brian K. Bancroft</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42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rFonts w:ascii="serif" w:hAnsi="serif"/>
                <w:sz w:val="20"/>
              </w:rPr>
            </w:pPr>
            <w:r>
              <w:rPr>
                <w:rFonts w:ascii="serif" w:hAnsi="serif"/>
                <w:sz w:val="20"/>
              </w:rPr>
              <w:t>6,000</w:t>
            </w:r>
          </w:p>
        </w:tc>
        <w:tc>
          <w:tcPr>
            <w:tcW w:w="300" w:type="dxa"/>
            <w:tcBorders/>
            <w:shd w:fill="C0C0C0" w:val="clear"/>
            <w:vAlign w:val="bottom"/>
          </w:tcPr>
          <w:p>
            <w:pPr>
              <w:pStyle w:val="TableContents"/>
              <w:spacing w:before="0" w:after="283"/>
              <w:jc w:val="left"/>
              <w:rPr/>
            </w:pPr>
            <w:r>
              <w:rPr/>
              <w:t> </w:t>
            </w:r>
          </w:p>
        </w:tc>
        <w:tc>
          <w:tcPr>
            <w:tcW w:w="504" w:type="dxa"/>
            <w:tcBorders/>
            <w:shd w:fill="C0C0C0" w:val="clear"/>
            <w:vAlign w:val="bottom"/>
          </w:tcPr>
          <w:p>
            <w:pPr>
              <w:pStyle w:val="TableContents"/>
              <w:spacing w:before="0" w:after="283"/>
              <w:rPr>
                <w:sz w:val="4"/>
                <w:szCs w:val="4"/>
              </w:rPr>
            </w:pPr>
            <w:r>
              <w:rPr>
                <w:sz w:val="4"/>
                <w:szCs w:val="4"/>
              </w:rPr>
            </w:r>
          </w:p>
        </w:tc>
        <w:tc>
          <w:tcPr>
            <w:tcW w:w="147"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79" w:type="dxa"/>
            <w:tcBorders/>
            <w:shd w:fill="C0C0C0" w:val="clear"/>
            <w:vAlign w:val="bottom"/>
          </w:tcPr>
          <w:p>
            <w:pPr>
              <w:pStyle w:val="TableContents"/>
              <w:spacing w:before="0" w:after="283"/>
              <w:jc w:val="right"/>
              <w:rPr>
                <w:rFonts w:ascii="serif" w:hAnsi="serif"/>
                <w:sz w:val="20"/>
              </w:rPr>
            </w:pPr>
            <w:r>
              <w:rPr>
                <w:rFonts w:ascii="serif" w:hAnsi="serif"/>
                <w:sz w:val="20"/>
              </w:rPr>
              <w:t>1,950</w:t>
            </w:r>
          </w:p>
        </w:tc>
        <w:tc>
          <w:tcPr>
            <w:tcW w:w="300"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rPr>
                <w:sz w:val="4"/>
                <w:szCs w:val="4"/>
              </w:rPr>
            </w:pPr>
            <w:r>
              <w:rPr>
                <w:sz w:val="4"/>
                <w:szCs w:val="4"/>
              </w:rPr>
            </w:r>
          </w:p>
        </w:tc>
        <w:tc>
          <w:tcPr>
            <w:tcW w:w="143"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38" w:type="dxa"/>
            <w:tcBorders/>
            <w:shd w:fill="C0C0C0" w:val="clear"/>
            <w:vAlign w:val="bottom"/>
          </w:tcPr>
          <w:p>
            <w:pPr>
              <w:pStyle w:val="TableContents"/>
              <w:spacing w:before="0" w:after="283"/>
              <w:jc w:val="right"/>
              <w:rPr>
                <w:rFonts w:ascii="serif" w:hAnsi="serif"/>
                <w:sz w:val="20"/>
              </w:rPr>
            </w:pPr>
            <w:r>
              <w:rPr>
                <w:rFonts w:ascii="serif" w:hAnsi="serif"/>
                <w:sz w:val="20"/>
              </w:rPr>
              <w:t>4,488</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40" w:type="dxa"/>
            <w:tcBorders/>
            <w:shd w:fill="C0C0C0" w:val="clear"/>
            <w:vAlign w:val="bottom"/>
          </w:tcPr>
          <w:p>
            <w:pPr>
              <w:pStyle w:val="TableContents"/>
              <w:spacing w:before="0" w:after="283"/>
              <w:jc w:val="right"/>
              <w:rPr/>
            </w:pPr>
            <w:r>
              <w:rPr/>
              <w:t> </w:t>
            </w:r>
            <w:r>
              <w:rPr>
                <w:rFonts w:ascii="serif" w:hAnsi="serif"/>
                <w:sz w:val="20"/>
              </w:rPr>
              <w:t>12,438</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3"/>
        <w:gridCol w:w="306"/>
        <w:gridCol w:w="9676"/>
      </w:tblGrid>
      <w:tr>
        <w:trPr/>
        <w:tc>
          <w:tcPr>
            <w:tcW w:w="223" w:type="dxa"/>
            <w:tcBorders/>
            <w:shd w:fill="auto" w:val="clear"/>
          </w:tcPr>
          <w:p>
            <w:pPr>
              <w:pStyle w:val="TableContents"/>
              <w:spacing w:before="0" w:after="283"/>
              <w:rPr>
                <w:sz w:val="20"/>
              </w:rPr>
            </w:pPr>
            <w:r>
              <w:rPr>
                <w:sz w:val="20"/>
              </w:rPr>
              <w:t>(1)</w:t>
            </w:r>
          </w:p>
        </w:tc>
        <w:tc>
          <w:tcPr>
            <w:tcW w:w="306" w:type="dxa"/>
            <w:tcBorders/>
            <w:shd w:fill="auto" w:val="clear"/>
          </w:tcPr>
          <w:p>
            <w:pPr>
              <w:pStyle w:val="TableContents"/>
              <w:spacing w:before="0" w:after="283"/>
              <w:rPr/>
            </w:pPr>
            <w:r>
              <w:rPr/>
              <w:t>     </w:t>
            </w:r>
          </w:p>
        </w:tc>
        <w:tc>
          <w:tcPr>
            <w:tcW w:w="9676" w:type="dxa"/>
            <w:tcBorders/>
            <w:shd w:fill="auto" w:val="clear"/>
          </w:tcPr>
          <w:p>
            <w:pPr>
              <w:pStyle w:val="TableContents"/>
              <w:spacing w:before="0" w:after="283"/>
              <w:rPr>
                <w:sz w:val="20"/>
              </w:rPr>
            </w:pPr>
            <w:r>
              <w:rPr>
                <w:sz w:val="20"/>
              </w:rPr>
              <w:t>Perquisites for the named executive officers consist of auto allowances, paid parking and airline executive club memberships. The amounts included in the table reflect the actual cost to us for providing these perquisites. The perquisites received by Daniel S. Jaffee consisted of the following which were paid by the Company: $6,300 auto allowance; $3,468 parking; and $300 airline executive club membership.</w:t>
            </w:r>
          </w:p>
        </w:tc>
      </w:tr>
      <w:tr>
        <w:trPr/>
        <w:tc>
          <w:tcPr>
            <w:tcW w:w="223" w:type="dxa"/>
            <w:tcBorders/>
            <w:shd w:fill="auto" w:val="clear"/>
          </w:tcPr>
          <w:p>
            <w:pPr>
              <w:pStyle w:val="TableContents"/>
              <w:spacing w:before="0" w:after="283"/>
              <w:rPr>
                <w:sz w:val="4"/>
                <w:szCs w:val="4"/>
              </w:rPr>
            </w:pPr>
            <w:r>
              <w:rPr>
                <w:sz w:val="4"/>
                <w:szCs w:val="4"/>
              </w:rPr>
            </w:r>
          </w:p>
        </w:tc>
        <w:tc>
          <w:tcPr>
            <w:tcW w:w="306" w:type="dxa"/>
            <w:tcBorders/>
            <w:shd w:fill="auto" w:val="clear"/>
          </w:tcPr>
          <w:p>
            <w:pPr>
              <w:pStyle w:val="TableContents"/>
              <w:spacing w:before="0" w:after="283"/>
              <w:rPr/>
            </w:pPr>
            <w:r>
              <w:rPr/>
              <w:t> </w:t>
            </w:r>
          </w:p>
        </w:tc>
        <w:tc>
          <w:tcPr>
            <w:tcW w:w="9676" w:type="dxa"/>
            <w:tcBorders/>
            <w:shd w:fill="auto" w:val="clear"/>
          </w:tcPr>
          <w:p>
            <w:pPr>
              <w:pStyle w:val="TableContents"/>
              <w:spacing w:before="0" w:after="283"/>
              <w:rPr/>
            </w:pPr>
            <w:r>
              <w:rPr/>
              <w:t> </w:t>
            </w:r>
          </w:p>
        </w:tc>
      </w:tr>
      <w:tr>
        <w:trPr/>
        <w:tc>
          <w:tcPr>
            <w:tcW w:w="223" w:type="dxa"/>
            <w:tcBorders/>
            <w:shd w:fill="auto" w:val="clear"/>
          </w:tcPr>
          <w:p>
            <w:pPr>
              <w:pStyle w:val="TableContents"/>
              <w:spacing w:before="0" w:after="283"/>
              <w:rPr>
                <w:sz w:val="20"/>
              </w:rPr>
            </w:pPr>
            <w:r>
              <w:rPr>
                <w:sz w:val="20"/>
              </w:rPr>
              <w:t>(2)</w:t>
            </w:r>
          </w:p>
        </w:tc>
        <w:tc>
          <w:tcPr>
            <w:tcW w:w="306" w:type="dxa"/>
            <w:tcBorders/>
            <w:shd w:fill="auto" w:val="clear"/>
          </w:tcPr>
          <w:p>
            <w:pPr>
              <w:pStyle w:val="TableContents"/>
              <w:spacing w:before="0" w:after="283"/>
              <w:rPr>
                <w:sz w:val="4"/>
                <w:szCs w:val="4"/>
              </w:rPr>
            </w:pPr>
            <w:r>
              <w:rPr>
                <w:sz w:val="4"/>
                <w:szCs w:val="4"/>
              </w:rPr>
            </w:r>
          </w:p>
        </w:tc>
        <w:tc>
          <w:tcPr>
            <w:tcW w:w="9676" w:type="dxa"/>
            <w:tcBorders/>
            <w:shd w:fill="auto" w:val="clear"/>
          </w:tcPr>
          <w:p>
            <w:pPr>
              <w:pStyle w:val="TableContents"/>
              <w:spacing w:before="0" w:after="283"/>
              <w:rPr>
                <w:sz w:val="20"/>
              </w:rPr>
            </w:pPr>
            <w:r>
              <w:rPr>
                <w:sz w:val="20"/>
              </w:rPr>
              <w:t>Amounts shown represent dividend payments on unvested shares of restricted stock held by the named executive officers that are reportable as W-2 income.</w:t>
            </w:r>
          </w:p>
        </w:tc>
      </w:tr>
    </w:tbl>
    <w:p>
      <w:pPr>
        <w:pStyle w:val="TextBody"/>
        <w:rPr/>
      </w:pPr>
      <w:r>
        <w:rPr/>
      </w:r>
    </w:p>
    <w:p>
      <w:pPr>
        <w:pStyle w:val="TextBody"/>
        <w:jc w:val="center"/>
        <w:rPr>
          <w:rFonts w:ascii="serif" w:hAnsi="serif"/>
          <w:sz w:val="20"/>
        </w:rPr>
      </w:pPr>
      <w:r>
        <w:rPr>
          <w:rFonts w:ascii="serif" w:hAnsi="serif"/>
          <w:sz w:val="20"/>
        </w:rPr>
        <w:t>29</w:t>
      </w:r>
    </w:p>
    <w:p>
      <w:pPr>
        <w:pStyle w:val="HorizontalLine"/>
        <w:pBdr>
          <w:bottom w:val="single" w:sz="12" w:space="0" w:color="808080"/>
        </w:pBdr>
        <w:rPr/>
      </w:pPr>
      <w:r>
        <w:rPr/>
      </w:r>
    </w:p>
    <w:p>
      <w:pPr>
        <w:pStyle w:val="TextBody"/>
        <w:jc w:val="center"/>
        <w:rPr>
          <w:rFonts w:ascii="serif" w:hAnsi="serif"/>
          <w:b/>
        </w:rPr>
      </w:pPr>
      <w:r>
        <w:rPr>
          <w:rFonts w:ascii="serif" w:hAnsi="serif"/>
          <w:b/>
        </w:rPr>
        <w:t>Grants of Plan-Based Awards during Fiscal Year 2007</w:t>
      </w:r>
    </w:p>
    <w:p>
      <w:pPr>
        <w:pStyle w:val="TextBody"/>
        <w:jc w:val="both"/>
        <w:rPr/>
      </w:pPr>
      <w:r>
        <w:rPr/>
        <w:t>     </w:t>
      </w:r>
      <w:r>
        <w:rPr>
          <w:rFonts w:ascii="serif" w:hAnsi="serif"/>
          <w:sz w:val="20"/>
        </w:rPr>
        <w:t>The following table discloses the range of cash bonus awards and executive deferred bonus awards targeted for fiscal year 2007 performance under the Oil-Dri Corporation of America Annual Incentive Plan as described in the Compensation Discussion and Analysis above. There were no equity grants awarded in the fiscal year ended July 31, 2007 to any of the named executive officers.</w:t>
      </w:r>
    </w:p>
    <w:tbl>
      <w:tblPr>
        <w:tblW w:w="10267" w:type="dxa"/>
        <w:jc w:val="left"/>
        <w:tblInd w:w="0" w:type="dxa"/>
        <w:tblCellMar>
          <w:top w:w="0" w:type="dxa"/>
          <w:left w:w="0" w:type="dxa"/>
          <w:bottom w:w="0" w:type="dxa"/>
          <w:right w:w="0" w:type="dxa"/>
        </w:tblCellMar>
      </w:tblPr>
      <w:tblGrid>
        <w:gridCol w:w="2030"/>
        <w:gridCol w:w="300"/>
        <w:gridCol w:w="61"/>
        <w:gridCol w:w="142"/>
        <w:gridCol w:w="753"/>
        <w:gridCol w:w="305"/>
        <w:gridCol w:w="71"/>
        <w:gridCol w:w="1029"/>
        <w:gridCol w:w="305"/>
        <w:gridCol w:w="61"/>
        <w:gridCol w:w="142"/>
        <w:gridCol w:w="875"/>
        <w:gridCol w:w="305"/>
        <w:gridCol w:w="70"/>
        <w:gridCol w:w="163"/>
        <w:gridCol w:w="867"/>
        <w:gridCol w:w="305"/>
        <w:gridCol w:w="61"/>
        <w:gridCol w:w="142"/>
        <w:gridCol w:w="875"/>
        <w:gridCol w:w="305"/>
        <w:gridCol w:w="69"/>
        <w:gridCol w:w="162"/>
        <w:gridCol w:w="869"/>
      </w:tblGrid>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7937" w:type="dxa"/>
            <w:gridSpan w:val="2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Estimated Future Payouts Under Non-Equity Incentive Plan Awards</w:t>
            </w: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2361" w:type="dxa"/>
            <w:gridSpan w:val="6"/>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Threshold</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2483" w:type="dxa"/>
            <w:gridSpan w:val="7"/>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Target</w:t>
            </w:r>
          </w:p>
        </w:tc>
        <w:tc>
          <w:tcPr>
            <w:tcW w:w="305" w:type="dxa"/>
            <w:tcBorders/>
            <w:shd w:fill="auto" w:val="clear"/>
            <w:vAlign w:val="bottom"/>
          </w:tcPr>
          <w:p>
            <w:pPr>
              <w:pStyle w:val="TableContents"/>
              <w:spacing w:before="0" w:after="283"/>
              <w:rPr>
                <w:sz w:val="4"/>
                <w:szCs w:val="4"/>
              </w:rPr>
            </w:pPr>
            <w:r>
              <w:rPr>
                <w:sz w:val="4"/>
                <w:szCs w:val="4"/>
              </w:rPr>
            </w:r>
          </w:p>
        </w:tc>
        <w:tc>
          <w:tcPr>
            <w:tcW w:w="2483" w:type="dxa"/>
            <w:gridSpan w:val="7"/>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Maximum (3)</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56" w:type="dxa"/>
            <w:gridSpan w:val="3"/>
            <w:tcBorders/>
            <w:shd w:fill="auto" w:val="clear"/>
            <w:vAlign w:val="bottom"/>
          </w:tcPr>
          <w:p>
            <w:pPr>
              <w:pStyle w:val="TableContents"/>
              <w:spacing w:before="0" w:after="283"/>
              <w:jc w:val="center"/>
              <w:rPr/>
            </w:pPr>
            <w:r>
              <w:rPr/>
              <w:t> </w:t>
            </w:r>
            <w:r>
              <w:rPr>
                <w:rFonts w:ascii="serif" w:hAnsi="serif"/>
                <w:b/>
                <w:sz w:val="20"/>
              </w:rPr>
              <w:t>Cash</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2"/>
            <w:tcBorders/>
            <w:shd w:fill="auto" w:val="clear"/>
            <w:vAlign w:val="bottom"/>
          </w:tcPr>
          <w:p>
            <w:pPr>
              <w:pStyle w:val="TableContents"/>
              <w:spacing w:before="0" w:after="283"/>
              <w:jc w:val="center"/>
              <w:rPr/>
            </w:pPr>
            <w:r>
              <w:rPr/>
              <w:t> </w:t>
            </w:r>
            <w:r>
              <w:rPr>
                <w:rFonts w:ascii="serif" w:hAnsi="serif"/>
                <w:b/>
                <w:sz w:val="20"/>
              </w:rPr>
              <w:t>Deferred</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1078" w:type="dxa"/>
            <w:gridSpan w:val="3"/>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3"/>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078" w:type="dxa"/>
            <w:gridSpan w:val="3"/>
            <w:tcBorders/>
            <w:shd w:fill="auto" w:val="clear"/>
            <w:vAlign w:val="bottom"/>
          </w:tcPr>
          <w:p>
            <w:pPr>
              <w:pStyle w:val="TableContents"/>
              <w:spacing w:before="0" w:after="283"/>
              <w:jc w:val="center"/>
              <w:rPr/>
            </w:pPr>
            <w:r>
              <w:rPr/>
              <w:t>   </w:t>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3"/>
            <w:tcBorders/>
            <w:shd w:fill="auto" w:val="clear"/>
            <w:vAlign w:val="bottom"/>
          </w:tcPr>
          <w:p>
            <w:pPr>
              <w:pStyle w:val="TableContents"/>
              <w:spacing w:before="0" w:after="283"/>
              <w:jc w:val="center"/>
              <w:rPr/>
            </w:pP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56" w:type="dxa"/>
            <w:gridSpan w:val="3"/>
            <w:tcBorders/>
            <w:shd w:fill="auto" w:val="clear"/>
            <w:vAlign w:val="bottom"/>
          </w:tcPr>
          <w:p>
            <w:pPr>
              <w:pStyle w:val="TableContents"/>
              <w:spacing w:before="0" w:after="283"/>
              <w:jc w:val="center"/>
              <w:rPr/>
            </w:pPr>
            <w:r>
              <w:rPr/>
              <w:t> </w:t>
            </w:r>
            <w:r>
              <w:rPr>
                <w:rFonts w:ascii="serif" w:hAnsi="serif"/>
                <w:b/>
                <w:sz w:val="20"/>
              </w:rPr>
              <w:t>Bonus</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2"/>
            <w:tcBorders/>
            <w:shd w:fill="auto" w:val="clear"/>
            <w:vAlign w:val="bottom"/>
          </w:tcPr>
          <w:p>
            <w:pPr>
              <w:pStyle w:val="TableContents"/>
              <w:spacing w:before="0" w:after="283"/>
              <w:jc w:val="center"/>
              <w:rPr/>
            </w:pPr>
            <w:r>
              <w:rPr/>
              <w:t> </w:t>
            </w:r>
            <w:r>
              <w:rPr>
                <w:rFonts w:ascii="serif" w:hAnsi="serif"/>
                <w:b/>
                <w:sz w:val="20"/>
              </w:rPr>
              <w:t>Bonus</w:t>
            </w:r>
          </w:p>
        </w:tc>
        <w:tc>
          <w:tcPr>
            <w:tcW w:w="305" w:type="dxa"/>
            <w:tcBorders/>
            <w:shd w:fill="auto" w:val="clear"/>
            <w:vAlign w:val="bottom"/>
          </w:tcPr>
          <w:p>
            <w:pPr>
              <w:pStyle w:val="TableContents"/>
              <w:spacing w:before="0" w:after="283"/>
              <w:rPr>
                <w:sz w:val="4"/>
                <w:szCs w:val="4"/>
              </w:rPr>
            </w:pPr>
            <w:r>
              <w:rPr>
                <w:sz w:val="4"/>
                <w:szCs w:val="4"/>
              </w:rPr>
            </w:r>
          </w:p>
        </w:tc>
        <w:tc>
          <w:tcPr>
            <w:tcW w:w="1078" w:type="dxa"/>
            <w:gridSpan w:val="3"/>
            <w:tcBorders/>
            <w:shd w:fill="auto" w:val="clear"/>
            <w:vAlign w:val="bottom"/>
          </w:tcPr>
          <w:p>
            <w:pPr>
              <w:pStyle w:val="TableContents"/>
              <w:spacing w:before="0" w:after="283"/>
              <w:jc w:val="center"/>
              <w:rPr/>
            </w:pPr>
            <w:r>
              <w:rPr/>
              <w:t> </w:t>
            </w:r>
            <w:r>
              <w:rPr>
                <w:rFonts w:ascii="serif" w:hAnsi="serif"/>
                <w:b/>
                <w:sz w:val="20"/>
              </w:rPr>
              <w:t>Cash</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3"/>
            <w:tcBorders/>
            <w:shd w:fill="auto" w:val="clear"/>
            <w:vAlign w:val="bottom"/>
          </w:tcPr>
          <w:p>
            <w:pPr>
              <w:pStyle w:val="TableContents"/>
              <w:spacing w:before="0" w:after="283"/>
              <w:jc w:val="center"/>
              <w:rPr/>
            </w:pPr>
            <w:r>
              <w:rPr/>
              <w:t> </w:t>
            </w:r>
            <w:r>
              <w:rPr>
                <w:rFonts w:ascii="serif" w:hAnsi="serif"/>
                <w:b/>
                <w:sz w:val="20"/>
              </w:rPr>
              <w:t>Deferred</w:t>
            </w:r>
            <w:r>
              <w:rPr/>
              <w:t> </w:t>
            </w:r>
          </w:p>
        </w:tc>
        <w:tc>
          <w:tcPr>
            <w:tcW w:w="305" w:type="dxa"/>
            <w:tcBorders/>
            <w:shd w:fill="auto" w:val="clear"/>
            <w:vAlign w:val="bottom"/>
          </w:tcPr>
          <w:p>
            <w:pPr>
              <w:pStyle w:val="TableContents"/>
              <w:spacing w:before="0" w:after="283"/>
              <w:jc w:val="center"/>
              <w:rPr/>
            </w:pPr>
            <w:r>
              <w:rPr/>
              <w:t> </w:t>
            </w:r>
          </w:p>
        </w:tc>
        <w:tc>
          <w:tcPr>
            <w:tcW w:w="1078" w:type="dxa"/>
            <w:gridSpan w:val="3"/>
            <w:tcBorders/>
            <w:shd w:fill="auto" w:val="clear"/>
            <w:vAlign w:val="bottom"/>
          </w:tcPr>
          <w:p>
            <w:pPr>
              <w:pStyle w:val="TableContents"/>
              <w:spacing w:before="0" w:after="283"/>
              <w:jc w:val="center"/>
              <w:rPr/>
            </w:pPr>
            <w:r>
              <w:rPr/>
              <w:t> </w:t>
            </w:r>
            <w:r>
              <w:rPr>
                <w:rFonts w:ascii="serif" w:hAnsi="serif"/>
                <w:b/>
                <w:sz w:val="20"/>
              </w:rPr>
              <w:t>Cash</w:t>
            </w:r>
          </w:p>
        </w:tc>
        <w:tc>
          <w:tcPr>
            <w:tcW w:w="305" w:type="dxa"/>
            <w:tcBorders/>
            <w:shd w:fill="auto" w:val="clear"/>
            <w:vAlign w:val="bottom"/>
          </w:tcPr>
          <w:p>
            <w:pPr>
              <w:pStyle w:val="TableContents"/>
              <w:spacing w:before="0" w:after="283"/>
              <w:jc w:val="center"/>
              <w:rPr/>
            </w:pPr>
            <w:r>
              <w:rPr/>
              <w:t> </w:t>
            </w:r>
          </w:p>
        </w:tc>
        <w:tc>
          <w:tcPr>
            <w:tcW w:w="1100" w:type="dxa"/>
            <w:gridSpan w:val="3"/>
            <w:tcBorders/>
            <w:shd w:fill="auto" w:val="clear"/>
            <w:vAlign w:val="bottom"/>
          </w:tcPr>
          <w:p>
            <w:pPr>
              <w:pStyle w:val="TableContents"/>
              <w:spacing w:before="0" w:after="283"/>
              <w:jc w:val="center"/>
              <w:rPr/>
            </w:pPr>
            <w:r>
              <w:rPr/>
              <w:t> </w:t>
            </w:r>
            <w:r>
              <w:rPr>
                <w:rFonts w:ascii="serif" w:hAnsi="serif"/>
                <w:b/>
                <w:sz w:val="20"/>
              </w:rPr>
              <w:t>Deferred</w:t>
            </w: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956" w:type="dxa"/>
            <w:gridSpan w:val="3"/>
            <w:tcBorders/>
            <w:shd w:fill="auto" w:val="clear"/>
            <w:vAlign w:val="bottom"/>
          </w:tcPr>
          <w:p>
            <w:pPr>
              <w:pStyle w:val="TableContents"/>
              <w:spacing w:before="0" w:after="283"/>
              <w:jc w:val="center"/>
              <w:rPr/>
            </w:pPr>
            <w:r>
              <w:rPr/>
              <w:t> </w:t>
            </w:r>
            <w:r>
              <w:rPr>
                <w:rFonts w:ascii="serif" w:hAnsi="serif"/>
                <w:b/>
                <w:sz w:val="20"/>
              </w:rPr>
              <w:t>($)</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2"/>
            <w:tcBorders/>
            <w:shd w:fill="auto" w:val="clear"/>
            <w:vAlign w:val="bottom"/>
          </w:tcPr>
          <w:p>
            <w:pPr>
              <w:pStyle w:val="TableContents"/>
              <w:spacing w:before="0" w:after="283"/>
              <w:jc w:val="center"/>
              <w:rPr/>
            </w:pPr>
            <w:r>
              <w:rPr/>
              <w:t> </w:t>
            </w:r>
            <w:r>
              <w:rPr>
                <w:rFonts w:ascii="serif" w:hAnsi="serif"/>
                <w:b/>
                <w:sz w:val="20"/>
              </w:rPr>
              <w:t>($)</w:t>
            </w:r>
          </w:p>
        </w:tc>
        <w:tc>
          <w:tcPr>
            <w:tcW w:w="305" w:type="dxa"/>
            <w:tcBorders/>
            <w:shd w:fill="auto" w:val="clear"/>
            <w:vAlign w:val="bottom"/>
          </w:tcPr>
          <w:p>
            <w:pPr>
              <w:pStyle w:val="TableContents"/>
              <w:spacing w:before="0" w:after="283"/>
              <w:rPr>
                <w:sz w:val="4"/>
                <w:szCs w:val="4"/>
              </w:rPr>
            </w:pPr>
            <w:r>
              <w:rPr>
                <w:sz w:val="4"/>
                <w:szCs w:val="4"/>
              </w:rPr>
            </w:r>
          </w:p>
        </w:tc>
        <w:tc>
          <w:tcPr>
            <w:tcW w:w="1078" w:type="dxa"/>
            <w:gridSpan w:val="3"/>
            <w:tcBorders/>
            <w:shd w:fill="auto" w:val="clear"/>
            <w:vAlign w:val="bottom"/>
          </w:tcPr>
          <w:p>
            <w:pPr>
              <w:pStyle w:val="TableContents"/>
              <w:spacing w:before="0" w:after="283"/>
              <w:jc w:val="center"/>
              <w:rPr/>
            </w:pPr>
            <w:r>
              <w:rPr/>
              <w:t> </w:t>
            </w:r>
            <w:r>
              <w:rPr>
                <w:rFonts w:ascii="serif" w:hAnsi="serif"/>
                <w:b/>
                <w:sz w:val="20"/>
              </w:rPr>
              <w:t>Bonus</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3"/>
            <w:tcBorders/>
            <w:shd w:fill="auto" w:val="clear"/>
            <w:vAlign w:val="bottom"/>
          </w:tcPr>
          <w:p>
            <w:pPr>
              <w:pStyle w:val="TableContents"/>
              <w:spacing w:before="0" w:after="283"/>
              <w:jc w:val="center"/>
              <w:rPr/>
            </w:pPr>
            <w:r>
              <w:rPr/>
              <w:t> </w:t>
            </w:r>
            <w:r>
              <w:rPr>
                <w:rFonts w:ascii="serif" w:hAnsi="serif"/>
                <w:b/>
                <w:sz w:val="20"/>
              </w:rPr>
              <w:t>Bonus</w:t>
            </w:r>
            <w:r>
              <w:rPr/>
              <w:t> </w:t>
            </w:r>
          </w:p>
        </w:tc>
        <w:tc>
          <w:tcPr>
            <w:tcW w:w="305" w:type="dxa"/>
            <w:tcBorders/>
            <w:shd w:fill="auto" w:val="clear"/>
            <w:vAlign w:val="bottom"/>
          </w:tcPr>
          <w:p>
            <w:pPr>
              <w:pStyle w:val="TableContents"/>
              <w:spacing w:before="0" w:after="283"/>
              <w:rPr>
                <w:sz w:val="4"/>
                <w:szCs w:val="4"/>
              </w:rPr>
            </w:pPr>
            <w:r>
              <w:rPr>
                <w:sz w:val="4"/>
                <w:szCs w:val="4"/>
              </w:rPr>
            </w:r>
          </w:p>
        </w:tc>
        <w:tc>
          <w:tcPr>
            <w:tcW w:w="1078" w:type="dxa"/>
            <w:gridSpan w:val="3"/>
            <w:tcBorders/>
            <w:shd w:fill="auto" w:val="clear"/>
            <w:vAlign w:val="bottom"/>
          </w:tcPr>
          <w:p>
            <w:pPr>
              <w:pStyle w:val="TableContents"/>
              <w:spacing w:before="0" w:after="283"/>
              <w:jc w:val="center"/>
              <w:rPr/>
            </w:pPr>
            <w:r>
              <w:rPr/>
              <w:t> </w:t>
            </w:r>
            <w:r>
              <w:rPr>
                <w:rFonts w:ascii="serif" w:hAnsi="serif"/>
                <w:b/>
                <w:sz w:val="20"/>
              </w:rPr>
              <w:t>Bonus</w:t>
            </w:r>
          </w:p>
        </w:tc>
        <w:tc>
          <w:tcPr>
            <w:tcW w:w="305" w:type="dxa"/>
            <w:tcBorders/>
            <w:shd w:fill="auto" w:val="clear"/>
            <w:vAlign w:val="bottom"/>
          </w:tcPr>
          <w:p>
            <w:pPr>
              <w:pStyle w:val="TableContents"/>
              <w:spacing w:before="0" w:after="283"/>
              <w:rPr>
                <w:sz w:val="4"/>
                <w:szCs w:val="4"/>
              </w:rPr>
            </w:pPr>
            <w:r>
              <w:rPr>
                <w:sz w:val="4"/>
                <w:szCs w:val="4"/>
              </w:rPr>
            </w:r>
          </w:p>
        </w:tc>
        <w:tc>
          <w:tcPr>
            <w:tcW w:w="1100" w:type="dxa"/>
            <w:gridSpan w:val="3"/>
            <w:tcBorders/>
            <w:shd w:fill="auto" w:val="clear"/>
            <w:vAlign w:val="bottom"/>
          </w:tcPr>
          <w:p>
            <w:pPr>
              <w:pStyle w:val="TableContents"/>
              <w:spacing w:before="0" w:after="283"/>
              <w:jc w:val="center"/>
              <w:rPr/>
            </w:pPr>
            <w:r>
              <w:rPr/>
              <w:t> </w:t>
            </w:r>
            <w:r>
              <w:rPr>
                <w:rFonts w:ascii="serif" w:hAnsi="serif"/>
                <w:b/>
                <w:sz w:val="20"/>
              </w:rPr>
              <w:t>Bonus</w:t>
            </w:r>
          </w:p>
        </w:tc>
      </w:tr>
      <w:tr>
        <w:trPr/>
        <w:tc>
          <w:tcPr>
            <w:tcW w:w="2030" w:type="dxa"/>
            <w:tcBorders/>
            <w:shd w:fill="auto" w:val="clear"/>
            <w:vAlign w:val="bottom"/>
          </w:tcPr>
          <w:p>
            <w:pPr>
              <w:pStyle w:val="TableContents"/>
              <w:spacing w:before="0" w:after="283"/>
              <w:jc w:val="left"/>
              <w:rPr>
                <w:rFonts w:ascii="serif" w:hAnsi="serif"/>
                <w:b/>
                <w:sz w:val="20"/>
              </w:rPr>
            </w:pPr>
            <w:r>
              <w:rPr>
                <w:rFonts w:ascii="serif" w:hAnsi="serif"/>
                <w:b/>
                <w:sz w:val="20"/>
              </w:rPr>
              <w:t>Name</w:t>
            </w:r>
          </w:p>
        </w:tc>
        <w:tc>
          <w:tcPr>
            <w:tcW w:w="300" w:type="dxa"/>
            <w:tcBorders/>
            <w:shd w:fill="auto" w:val="clear"/>
            <w:vAlign w:val="bottom"/>
          </w:tcPr>
          <w:p>
            <w:pPr>
              <w:pStyle w:val="TableContents"/>
              <w:spacing w:before="0" w:after="283"/>
              <w:jc w:val="center"/>
              <w:rPr/>
            </w:pPr>
            <w:r>
              <w:rPr/>
              <w:t>     </w:t>
            </w:r>
          </w:p>
        </w:tc>
        <w:tc>
          <w:tcPr>
            <w:tcW w:w="956" w:type="dxa"/>
            <w:gridSpan w:val="3"/>
            <w:tcBorders/>
            <w:shd w:fill="auto" w:val="clear"/>
            <w:vAlign w:val="bottom"/>
          </w:tcPr>
          <w:p>
            <w:pPr>
              <w:pStyle w:val="TableContents"/>
              <w:spacing w:before="0" w:after="283"/>
              <w:jc w:val="center"/>
              <w:rPr/>
            </w:pPr>
            <w:r>
              <w:rPr/>
              <w:t> </w:t>
            </w:r>
            <w:r>
              <w:rPr>
                <w:rFonts w:ascii="serif" w:hAnsi="serif"/>
                <w:b/>
                <w:sz w:val="20"/>
              </w:rPr>
              <w:t>(1)</w:t>
            </w:r>
            <w:r>
              <w:rPr/>
              <w:t> </w:t>
            </w:r>
          </w:p>
        </w:tc>
        <w:tc>
          <w:tcPr>
            <w:tcW w:w="305" w:type="dxa"/>
            <w:tcBorders/>
            <w:shd w:fill="auto" w:val="clear"/>
            <w:vAlign w:val="bottom"/>
          </w:tcPr>
          <w:p>
            <w:pPr>
              <w:pStyle w:val="TableContents"/>
              <w:spacing w:before="0" w:after="283"/>
              <w:jc w:val="center"/>
              <w:rPr/>
            </w:pPr>
            <w:r>
              <w:rPr/>
              <w:t>     </w:t>
            </w:r>
          </w:p>
        </w:tc>
        <w:tc>
          <w:tcPr>
            <w:tcW w:w="1100" w:type="dxa"/>
            <w:gridSpan w:val="2"/>
            <w:tcBorders/>
            <w:shd w:fill="auto" w:val="clear"/>
            <w:vAlign w:val="bottom"/>
          </w:tcPr>
          <w:p>
            <w:pPr>
              <w:pStyle w:val="TableContents"/>
              <w:spacing w:before="0" w:after="283"/>
              <w:jc w:val="center"/>
              <w:rPr/>
            </w:pPr>
            <w:r>
              <w:rPr/>
              <w:t> </w:t>
            </w:r>
            <w:r>
              <w:rPr>
                <w:rFonts w:ascii="serif" w:hAnsi="serif"/>
                <w:b/>
                <w:sz w:val="20"/>
              </w:rPr>
              <w:t>(2)</w:t>
            </w:r>
          </w:p>
        </w:tc>
        <w:tc>
          <w:tcPr>
            <w:tcW w:w="305" w:type="dxa"/>
            <w:tcBorders/>
            <w:shd w:fill="auto" w:val="clear"/>
            <w:vAlign w:val="bottom"/>
          </w:tcPr>
          <w:p>
            <w:pPr>
              <w:pStyle w:val="TableContents"/>
              <w:spacing w:before="0" w:after="283"/>
              <w:jc w:val="center"/>
              <w:rPr/>
            </w:pPr>
            <w:r>
              <w:rPr/>
              <w:t>     </w:t>
            </w:r>
          </w:p>
        </w:tc>
        <w:tc>
          <w:tcPr>
            <w:tcW w:w="1078" w:type="dxa"/>
            <w:gridSpan w:val="3"/>
            <w:tcBorders/>
            <w:shd w:fill="auto" w:val="clear"/>
            <w:vAlign w:val="bottom"/>
          </w:tcPr>
          <w:p>
            <w:pPr>
              <w:pStyle w:val="TableContents"/>
              <w:spacing w:before="0" w:after="283"/>
              <w:jc w:val="center"/>
              <w:rPr/>
            </w:pPr>
            <w:r>
              <w:rPr/>
              <w:t> </w:t>
            </w:r>
            <w:r>
              <w:rPr>
                <w:rFonts w:ascii="serif" w:hAnsi="serif"/>
                <w:b/>
                <w:sz w:val="20"/>
              </w:rPr>
              <w:t>($)</w:t>
            </w:r>
            <w:r>
              <w:rPr/>
              <w:t> </w:t>
            </w:r>
          </w:p>
        </w:tc>
        <w:tc>
          <w:tcPr>
            <w:tcW w:w="305" w:type="dxa"/>
            <w:tcBorders/>
            <w:shd w:fill="auto" w:val="clear"/>
            <w:vAlign w:val="bottom"/>
          </w:tcPr>
          <w:p>
            <w:pPr>
              <w:pStyle w:val="TableContents"/>
              <w:spacing w:before="0" w:after="283"/>
              <w:jc w:val="center"/>
              <w:rPr/>
            </w:pPr>
            <w:r>
              <w:rPr/>
              <w:t>     </w:t>
            </w:r>
          </w:p>
        </w:tc>
        <w:tc>
          <w:tcPr>
            <w:tcW w:w="1100" w:type="dxa"/>
            <w:gridSpan w:val="3"/>
            <w:tcBorders/>
            <w:shd w:fill="auto" w:val="clear"/>
            <w:vAlign w:val="bottom"/>
          </w:tcPr>
          <w:p>
            <w:pPr>
              <w:pStyle w:val="TableContents"/>
              <w:spacing w:before="0" w:after="283"/>
              <w:jc w:val="center"/>
              <w:rPr/>
            </w:pPr>
            <w:r>
              <w:rPr/>
              <w:t> </w:t>
            </w:r>
            <w:r>
              <w:rPr>
                <w:rFonts w:ascii="serif" w:hAnsi="serif"/>
                <w:b/>
                <w:sz w:val="20"/>
              </w:rPr>
              <w:t>($)</w:t>
            </w:r>
          </w:p>
        </w:tc>
        <w:tc>
          <w:tcPr>
            <w:tcW w:w="305" w:type="dxa"/>
            <w:tcBorders/>
            <w:shd w:fill="auto" w:val="clear"/>
            <w:vAlign w:val="bottom"/>
          </w:tcPr>
          <w:p>
            <w:pPr>
              <w:pStyle w:val="TableContents"/>
              <w:spacing w:before="0" w:after="283"/>
              <w:jc w:val="center"/>
              <w:rPr/>
            </w:pPr>
            <w:r>
              <w:rPr/>
              <w:t>     </w:t>
            </w:r>
          </w:p>
        </w:tc>
        <w:tc>
          <w:tcPr>
            <w:tcW w:w="1078" w:type="dxa"/>
            <w:gridSpan w:val="3"/>
            <w:tcBorders/>
            <w:shd w:fill="auto" w:val="clear"/>
            <w:vAlign w:val="bottom"/>
          </w:tcPr>
          <w:p>
            <w:pPr>
              <w:pStyle w:val="TableContents"/>
              <w:spacing w:before="0" w:after="283"/>
              <w:jc w:val="center"/>
              <w:rPr/>
            </w:pPr>
            <w:r>
              <w:rPr/>
              <w:t> </w:t>
            </w:r>
            <w:r>
              <w:rPr>
                <w:rFonts w:ascii="serif" w:hAnsi="serif"/>
                <w:b/>
                <w:sz w:val="20"/>
              </w:rPr>
              <w:t>($)</w:t>
            </w:r>
          </w:p>
        </w:tc>
        <w:tc>
          <w:tcPr>
            <w:tcW w:w="305" w:type="dxa"/>
            <w:tcBorders/>
            <w:shd w:fill="auto" w:val="clear"/>
            <w:vAlign w:val="bottom"/>
          </w:tcPr>
          <w:p>
            <w:pPr>
              <w:pStyle w:val="TableContents"/>
              <w:spacing w:before="0" w:after="283"/>
              <w:jc w:val="center"/>
              <w:rPr/>
            </w:pPr>
            <w:r>
              <w:rPr/>
              <w:t>     </w:t>
            </w:r>
          </w:p>
        </w:tc>
        <w:tc>
          <w:tcPr>
            <w:tcW w:w="1100" w:type="dxa"/>
            <w:gridSpan w:val="3"/>
            <w:tcBorders/>
            <w:shd w:fill="auto" w:val="clear"/>
            <w:vAlign w:val="bottom"/>
          </w:tcPr>
          <w:p>
            <w:pPr>
              <w:pStyle w:val="TableContents"/>
              <w:spacing w:before="0" w:after="283"/>
              <w:jc w:val="center"/>
              <w:rPr/>
            </w:pPr>
            <w:r>
              <w:rPr/>
              <w:t> </w:t>
            </w:r>
            <w:r>
              <w:rPr>
                <w:rFonts w:ascii="serif" w:hAnsi="serif"/>
                <w:b/>
                <w:sz w:val="20"/>
              </w:rPr>
              <w:t>($)</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53" w:type="dxa"/>
            <w:tcBorders/>
            <w:shd w:fill="C0C0C0" w:val="clear"/>
            <w:vAlign w:val="bottom"/>
          </w:tcPr>
          <w:p>
            <w:pPr>
              <w:pStyle w:val="TableContents"/>
              <w:spacing w:before="0" w:after="283"/>
              <w:jc w:val="right"/>
              <w:rPr/>
            </w:pPr>
            <w:r>
              <w:rPr/>
              <w:t> </w:t>
            </w:r>
            <w:r>
              <w:rPr>
                <w:rFonts w:ascii="serif" w:hAnsi="serif"/>
                <w:sz w:val="20"/>
              </w:rPr>
              <w:t>45,928</w:t>
            </w:r>
          </w:p>
        </w:tc>
        <w:tc>
          <w:tcPr>
            <w:tcW w:w="305" w:type="dxa"/>
            <w:tcBorders/>
            <w:shd w:fill="C0C0C0" w:val="clear"/>
            <w:vAlign w:val="bottom"/>
          </w:tcPr>
          <w:p>
            <w:pPr>
              <w:pStyle w:val="TableContents"/>
              <w:spacing w:before="0" w:after="283"/>
              <w:rPr>
                <w:sz w:val="4"/>
                <w:szCs w:val="4"/>
              </w:rPr>
            </w:pPr>
            <w:r>
              <w:rPr>
                <w:sz w:val="4"/>
                <w:szCs w:val="4"/>
              </w:rPr>
            </w:r>
          </w:p>
        </w:tc>
        <w:tc>
          <w:tcPr>
            <w:tcW w:w="71" w:type="dxa"/>
            <w:tcBorders/>
            <w:shd w:fill="C0C0C0" w:val="clear"/>
            <w:vAlign w:val="bottom"/>
          </w:tcPr>
          <w:p>
            <w:pPr>
              <w:pStyle w:val="TableContents"/>
              <w:spacing w:before="0" w:after="283"/>
              <w:rPr>
                <w:sz w:val="4"/>
                <w:szCs w:val="4"/>
              </w:rPr>
            </w:pPr>
            <w:r>
              <w:rPr>
                <w:sz w:val="4"/>
                <w:szCs w:val="4"/>
              </w:rPr>
            </w:r>
          </w:p>
        </w:tc>
        <w:tc>
          <w:tcPr>
            <w:tcW w:w="10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5"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C0C0C0" w:val="clear"/>
            <w:vAlign w:val="bottom"/>
          </w:tcPr>
          <w:p>
            <w:pPr>
              <w:pStyle w:val="TableContents"/>
              <w:spacing w:before="0" w:after="283"/>
              <w:jc w:val="right"/>
              <w:rPr/>
            </w:pPr>
            <w:r>
              <w:rPr/>
              <w:t> </w:t>
            </w:r>
            <w:r>
              <w:rPr>
                <w:rFonts w:ascii="serif" w:hAnsi="serif"/>
                <w:sz w:val="20"/>
              </w:rPr>
              <w:t>183,713</w:t>
            </w:r>
          </w:p>
        </w:tc>
        <w:tc>
          <w:tcPr>
            <w:tcW w:w="305" w:type="dxa"/>
            <w:tcBorders/>
            <w:shd w:fill="C0C0C0" w:val="clear"/>
            <w:vAlign w:val="bottom"/>
          </w:tcPr>
          <w:p>
            <w:pPr>
              <w:pStyle w:val="TableContents"/>
              <w:spacing w:before="0" w:after="283"/>
              <w:rPr>
                <w:sz w:val="4"/>
                <w:szCs w:val="4"/>
              </w:rPr>
            </w:pPr>
            <w:r>
              <w:rPr>
                <w:sz w:val="4"/>
                <w:szCs w:val="4"/>
              </w:rPr>
            </w:r>
          </w:p>
        </w:tc>
        <w:tc>
          <w:tcPr>
            <w:tcW w:w="70" w:type="dxa"/>
            <w:tcBorders/>
            <w:shd w:fill="C0C0C0" w:val="clear"/>
            <w:vAlign w:val="bottom"/>
          </w:tcPr>
          <w:p>
            <w:pPr>
              <w:pStyle w:val="TableContents"/>
              <w:spacing w:before="0" w:after="283"/>
              <w:rPr>
                <w:sz w:val="4"/>
                <w:szCs w:val="4"/>
              </w:rPr>
            </w:pPr>
            <w:r>
              <w:rPr>
                <w:sz w:val="4"/>
                <w:szCs w:val="4"/>
              </w:rPr>
            </w:r>
          </w:p>
        </w:tc>
        <w:tc>
          <w:tcPr>
            <w:tcW w:w="163" w:type="dxa"/>
            <w:tcBorders/>
            <w:shd w:fill="C0C0C0" w:val="clear"/>
            <w:vAlign w:val="bottom"/>
          </w:tcPr>
          <w:p>
            <w:pPr>
              <w:pStyle w:val="TableContents"/>
              <w:spacing w:before="0" w:after="283"/>
              <w:rPr>
                <w:sz w:val="4"/>
                <w:szCs w:val="4"/>
              </w:rPr>
            </w:pPr>
            <w:r>
              <w:rPr>
                <w:sz w:val="4"/>
                <w:szCs w:val="4"/>
              </w:rPr>
            </w:r>
          </w:p>
        </w:tc>
        <w:tc>
          <w:tcPr>
            <w:tcW w:w="867"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5"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C0C0C0" w:val="clear"/>
            <w:vAlign w:val="bottom"/>
          </w:tcPr>
          <w:p>
            <w:pPr>
              <w:pStyle w:val="TableContents"/>
              <w:spacing w:before="0" w:after="283"/>
              <w:jc w:val="right"/>
              <w:rPr/>
            </w:pPr>
            <w:r>
              <w:rPr/>
              <w:t> </w:t>
            </w:r>
            <w:r>
              <w:rPr>
                <w:rFonts w:ascii="serif" w:hAnsi="serif"/>
                <w:sz w:val="20"/>
              </w:rPr>
              <w:t>367,426</w:t>
            </w:r>
          </w:p>
        </w:tc>
        <w:tc>
          <w:tcPr>
            <w:tcW w:w="305" w:type="dxa"/>
            <w:tcBorders/>
            <w:shd w:fill="C0C0C0" w:val="clear"/>
            <w:vAlign w:val="bottom"/>
          </w:tcPr>
          <w:p>
            <w:pPr>
              <w:pStyle w:val="TableContents"/>
              <w:spacing w:before="0" w:after="283"/>
              <w:rPr>
                <w:sz w:val="4"/>
                <w:szCs w:val="4"/>
              </w:rPr>
            </w:pPr>
            <w:r>
              <w:rPr>
                <w:sz w:val="4"/>
                <w:szCs w:val="4"/>
              </w:rPr>
            </w:r>
          </w:p>
        </w:tc>
        <w:tc>
          <w:tcPr>
            <w:tcW w:w="69" w:type="dxa"/>
            <w:tcBorders/>
            <w:shd w:fill="C0C0C0" w:val="clear"/>
            <w:vAlign w:val="bottom"/>
          </w:tcPr>
          <w:p>
            <w:pPr>
              <w:pStyle w:val="TableContents"/>
              <w:spacing w:before="0" w:after="283"/>
              <w:rPr>
                <w:sz w:val="4"/>
                <w:szCs w:val="4"/>
              </w:rPr>
            </w:pPr>
            <w:r>
              <w:rPr>
                <w:sz w:val="4"/>
                <w:szCs w:val="4"/>
              </w:rPr>
            </w:r>
          </w:p>
        </w:tc>
        <w:tc>
          <w:tcPr>
            <w:tcW w:w="162" w:type="dxa"/>
            <w:tcBorders/>
            <w:shd w:fill="C0C0C0" w:val="clear"/>
            <w:vAlign w:val="bottom"/>
          </w:tcPr>
          <w:p>
            <w:pPr>
              <w:pStyle w:val="TableContents"/>
              <w:spacing w:before="0" w:after="283"/>
              <w:rPr>
                <w:sz w:val="4"/>
                <w:szCs w:val="4"/>
              </w:rPr>
            </w:pPr>
            <w:r>
              <w:rPr>
                <w:sz w:val="4"/>
                <w:szCs w:val="4"/>
              </w:rPr>
            </w:r>
          </w:p>
        </w:tc>
        <w:tc>
          <w:tcPr>
            <w:tcW w:w="8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2030" w:type="dxa"/>
            <w:tcBorders/>
            <w:shd w:fill="auto" w:val="clear"/>
            <w:vAlign w:val="bottom"/>
          </w:tcPr>
          <w:p>
            <w:pPr>
              <w:pStyle w:val="TableContents"/>
              <w:spacing w:before="0" w:after="283"/>
              <w:jc w:val="left"/>
              <w:rPr>
                <w:rFonts w:ascii="serif" w:hAnsi="serif"/>
                <w:sz w:val="20"/>
              </w:rPr>
            </w:pPr>
            <w:r>
              <w:rPr>
                <w:rFonts w:ascii="serif" w:hAnsi="serif"/>
                <w:sz w:val="20"/>
              </w:rPr>
              <w:t>Andrew N. Peterson</w:t>
            </w:r>
          </w:p>
        </w:tc>
        <w:tc>
          <w:tcPr>
            <w:tcW w:w="30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53" w:type="dxa"/>
            <w:tcBorders/>
            <w:shd w:fill="auto" w:val="clear"/>
            <w:vAlign w:val="bottom"/>
          </w:tcPr>
          <w:p>
            <w:pPr>
              <w:pStyle w:val="TableContents"/>
              <w:spacing w:before="0" w:after="283"/>
              <w:jc w:val="right"/>
              <w:rPr>
                <w:rFonts w:ascii="serif" w:hAnsi="serif"/>
                <w:sz w:val="20"/>
              </w:rPr>
            </w:pPr>
            <w:r>
              <w:rPr>
                <w:rFonts w:ascii="serif" w:hAnsi="serif"/>
                <w:sz w:val="20"/>
              </w:rPr>
              <w:t>17,281</w:t>
            </w:r>
          </w:p>
        </w:tc>
        <w:tc>
          <w:tcPr>
            <w:tcW w:w="30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jc w:val="right"/>
              <w:rPr/>
            </w:pPr>
            <w:r>
              <w:rPr/>
              <w:t> </w:t>
            </w:r>
          </w:p>
        </w:tc>
        <w:tc>
          <w:tcPr>
            <w:tcW w:w="1029" w:type="dxa"/>
            <w:tcBorders/>
            <w:shd w:fill="auto" w:val="clear"/>
            <w:vAlign w:val="bottom"/>
          </w:tcPr>
          <w:p>
            <w:pPr>
              <w:pStyle w:val="TableContents"/>
              <w:spacing w:before="0" w:after="283"/>
              <w:jc w:val="right"/>
              <w:rPr>
                <w:rFonts w:ascii="serif" w:hAnsi="serif"/>
                <w:sz w:val="20"/>
              </w:rPr>
            </w:pPr>
            <w:r>
              <w:rPr>
                <w:rFonts w:ascii="serif" w:hAnsi="serif"/>
                <w:sz w:val="20"/>
              </w:rPr>
              <w:t>$ 20,738</w:t>
            </w:r>
          </w:p>
        </w:tc>
        <w:tc>
          <w:tcPr>
            <w:tcW w:w="30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auto" w:val="clear"/>
            <w:vAlign w:val="bottom"/>
          </w:tcPr>
          <w:p>
            <w:pPr>
              <w:pStyle w:val="TableContents"/>
              <w:spacing w:before="0" w:after="283"/>
              <w:jc w:val="right"/>
              <w:rPr>
                <w:rFonts w:ascii="serif" w:hAnsi="serif"/>
                <w:sz w:val="20"/>
              </w:rPr>
            </w:pPr>
            <w:r>
              <w:rPr>
                <w:rFonts w:ascii="serif" w:hAnsi="serif"/>
                <w:sz w:val="20"/>
              </w:rPr>
              <w:t>69,125</w:t>
            </w:r>
          </w:p>
        </w:tc>
        <w:tc>
          <w:tcPr>
            <w:tcW w:w="305"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67" w:type="dxa"/>
            <w:tcBorders/>
            <w:shd w:fill="auto" w:val="clear"/>
            <w:vAlign w:val="bottom"/>
          </w:tcPr>
          <w:p>
            <w:pPr>
              <w:pStyle w:val="TableContents"/>
              <w:spacing w:before="0" w:after="283"/>
              <w:jc w:val="right"/>
              <w:rPr/>
            </w:pPr>
            <w:r>
              <w:rPr/>
              <w:t> </w:t>
            </w:r>
            <w:r>
              <w:rPr>
                <w:rFonts w:ascii="serif" w:hAnsi="serif"/>
                <w:sz w:val="20"/>
              </w:rPr>
              <w:t>27,650</w:t>
            </w:r>
          </w:p>
        </w:tc>
        <w:tc>
          <w:tcPr>
            <w:tcW w:w="30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auto" w:val="clear"/>
            <w:vAlign w:val="bottom"/>
          </w:tcPr>
          <w:p>
            <w:pPr>
              <w:pStyle w:val="TableContents"/>
              <w:spacing w:before="0" w:after="283"/>
              <w:jc w:val="right"/>
              <w:rPr>
                <w:rFonts w:ascii="serif" w:hAnsi="serif"/>
                <w:sz w:val="20"/>
              </w:rPr>
            </w:pPr>
            <w:r>
              <w:rPr>
                <w:rFonts w:ascii="serif" w:hAnsi="serif"/>
                <w:sz w:val="20"/>
              </w:rPr>
              <w:t>138,250</w:t>
            </w:r>
          </w:p>
        </w:tc>
        <w:tc>
          <w:tcPr>
            <w:tcW w:w="305" w:type="dxa"/>
            <w:tcBorders/>
            <w:shd w:fill="auto" w:val="clear"/>
            <w:vAlign w:val="bottom"/>
          </w:tcPr>
          <w:p>
            <w:pPr>
              <w:pStyle w:val="TableContents"/>
              <w:spacing w:before="0" w:after="283"/>
              <w:jc w:val="right"/>
              <w:rPr/>
            </w:pPr>
            <w:r>
              <w:rPr/>
              <w:t> </w:t>
            </w:r>
          </w:p>
        </w:tc>
        <w:tc>
          <w:tcPr>
            <w:tcW w:w="69"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69" w:type="dxa"/>
            <w:tcBorders/>
            <w:shd w:fill="auto" w:val="clear"/>
            <w:vAlign w:val="bottom"/>
          </w:tcPr>
          <w:p>
            <w:pPr>
              <w:pStyle w:val="TableContents"/>
              <w:spacing w:before="0" w:after="283"/>
              <w:jc w:val="right"/>
              <w:rPr>
                <w:rFonts w:ascii="serif" w:hAnsi="serif"/>
                <w:sz w:val="20"/>
              </w:rPr>
            </w:pPr>
            <w:r>
              <w:rPr>
                <w:rFonts w:ascii="serif" w:hAnsi="serif"/>
                <w:sz w:val="20"/>
              </w:rPr>
              <w:t>55,300</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jc w:val="right"/>
              <w:rPr/>
            </w:pPr>
            <w:r>
              <w:rPr/>
              <w:t> </w:t>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53" w:type="dxa"/>
            <w:tcBorders/>
            <w:shd w:fill="C0C0C0" w:val="clear"/>
            <w:vAlign w:val="bottom"/>
          </w:tcPr>
          <w:p>
            <w:pPr>
              <w:pStyle w:val="TableContents"/>
              <w:spacing w:before="0" w:after="283"/>
              <w:jc w:val="right"/>
              <w:rPr>
                <w:rFonts w:ascii="serif" w:hAnsi="serif"/>
                <w:sz w:val="20"/>
              </w:rPr>
            </w:pPr>
            <w:r>
              <w:rPr>
                <w:rFonts w:ascii="serif" w:hAnsi="serif"/>
                <w:sz w:val="20"/>
              </w:rPr>
              <w:t>19,783</w:t>
            </w:r>
          </w:p>
        </w:tc>
        <w:tc>
          <w:tcPr>
            <w:tcW w:w="305" w:type="dxa"/>
            <w:tcBorders/>
            <w:shd w:fill="C0C0C0" w:val="clear"/>
            <w:vAlign w:val="bottom"/>
          </w:tcPr>
          <w:p>
            <w:pPr>
              <w:pStyle w:val="TableContents"/>
              <w:spacing w:before="0" w:after="283"/>
              <w:rPr>
                <w:sz w:val="4"/>
                <w:szCs w:val="4"/>
              </w:rPr>
            </w:pPr>
            <w:r>
              <w:rPr>
                <w:sz w:val="4"/>
                <w:szCs w:val="4"/>
              </w:rPr>
            </w:r>
          </w:p>
        </w:tc>
        <w:tc>
          <w:tcPr>
            <w:tcW w:w="71" w:type="dxa"/>
            <w:tcBorders/>
            <w:shd w:fill="C0C0C0" w:val="clear"/>
            <w:vAlign w:val="bottom"/>
          </w:tcPr>
          <w:p>
            <w:pPr>
              <w:pStyle w:val="TableContents"/>
              <w:spacing w:before="0" w:after="283"/>
              <w:jc w:val="right"/>
              <w:rPr/>
            </w:pPr>
            <w:r>
              <w:rPr/>
              <w:t> </w:t>
            </w:r>
          </w:p>
        </w:tc>
        <w:tc>
          <w:tcPr>
            <w:tcW w:w="1029" w:type="dxa"/>
            <w:tcBorders/>
            <w:shd w:fill="C0C0C0" w:val="clear"/>
            <w:vAlign w:val="bottom"/>
          </w:tcPr>
          <w:p>
            <w:pPr>
              <w:pStyle w:val="TableContents"/>
              <w:spacing w:before="0" w:after="283"/>
              <w:jc w:val="right"/>
              <w:rPr>
                <w:rFonts w:ascii="serif" w:hAnsi="serif"/>
                <w:sz w:val="20"/>
              </w:rPr>
            </w:pPr>
            <w:r>
              <w:rPr>
                <w:rFonts w:ascii="serif" w:hAnsi="serif"/>
                <w:sz w:val="20"/>
              </w:rPr>
              <w:t>$ 23,740</w:t>
            </w:r>
          </w:p>
        </w:tc>
        <w:tc>
          <w:tcPr>
            <w:tcW w:w="305" w:type="dxa"/>
            <w:tcBorders/>
            <w:shd w:fill="C0C0C0" w:val="clear"/>
            <w:vAlign w:val="bottom"/>
          </w:tcPr>
          <w:p>
            <w:pPr>
              <w:pStyle w:val="TableContents"/>
              <w:spacing w:before="0" w:after="283"/>
              <w:jc w:val="right"/>
              <w:rPr/>
            </w:pPr>
            <w:r>
              <w:rPr/>
              <w:t> </w:t>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C0C0C0" w:val="clear"/>
            <w:vAlign w:val="bottom"/>
          </w:tcPr>
          <w:p>
            <w:pPr>
              <w:pStyle w:val="TableContents"/>
              <w:spacing w:before="0" w:after="283"/>
              <w:jc w:val="right"/>
              <w:rPr>
                <w:rFonts w:ascii="serif" w:hAnsi="serif"/>
                <w:sz w:val="20"/>
              </w:rPr>
            </w:pPr>
            <w:r>
              <w:rPr>
                <w:rFonts w:ascii="serif" w:hAnsi="serif"/>
                <w:sz w:val="20"/>
              </w:rPr>
              <w:t>79,134</w:t>
            </w:r>
          </w:p>
        </w:tc>
        <w:tc>
          <w:tcPr>
            <w:tcW w:w="305" w:type="dxa"/>
            <w:tcBorders/>
            <w:shd w:fill="C0C0C0" w:val="clear"/>
            <w:vAlign w:val="bottom"/>
          </w:tcPr>
          <w:p>
            <w:pPr>
              <w:pStyle w:val="TableContents"/>
              <w:spacing w:before="0" w:after="283"/>
              <w:jc w:val="right"/>
              <w:rPr/>
            </w:pPr>
            <w:r>
              <w:rPr/>
              <w:t> </w:t>
            </w:r>
          </w:p>
        </w:tc>
        <w:tc>
          <w:tcPr>
            <w:tcW w:w="70" w:type="dxa"/>
            <w:tcBorders/>
            <w:shd w:fill="C0C0C0" w:val="clear"/>
            <w:vAlign w:val="bottom"/>
          </w:tcPr>
          <w:p>
            <w:pPr>
              <w:pStyle w:val="TableContents"/>
              <w:spacing w:before="0" w:after="283"/>
              <w:rPr>
                <w:sz w:val="4"/>
                <w:szCs w:val="4"/>
              </w:rPr>
            </w:pPr>
            <w:r>
              <w:rPr>
                <w:sz w:val="4"/>
                <w:szCs w:val="4"/>
              </w:rPr>
            </w:r>
          </w:p>
        </w:tc>
        <w:tc>
          <w:tcPr>
            <w:tcW w:w="163"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7" w:type="dxa"/>
            <w:tcBorders/>
            <w:shd w:fill="C0C0C0" w:val="clear"/>
            <w:vAlign w:val="bottom"/>
          </w:tcPr>
          <w:p>
            <w:pPr>
              <w:pStyle w:val="TableContents"/>
              <w:spacing w:before="0" w:after="283"/>
              <w:jc w:val="right"/>
              <w:rPr>
                <w:rFonts w:ascii="serif" w:hAnsi="serif"/>
                <w:sz w:val="20"/>
              </w:rPr>
            </w:pPr>
            <w:r>
              <w:rPr>
                <w:rFonts w:ascii="serif" w:hAnsi="serif"/>
                <w:sz w:val="20"/>
              </w:rPr>
              <w:t>31,653</w:t>
            </w:r>
          </w:p>
        </w:tc>
        <w:tc>
          <w:tcPr>
            <w:tcW w:w="305"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C0C0C0" w:val="clear"/>
            <w:vAlign w:val="bottom"/>
          </w:tcPr>
          <w:p>
            <w:pPr>
              <w:pStyle w:val="TableContents"/>
              <w:spacing w:before="0" w:after="283"/>
              <w:jc w:val="right"/>
              <w:rPr>
                <w:rFonts w:ascii="serif" w:hAnsi="serif"/>
                <w:sz w:val="20"/>
              </w:rPr>
            </w:pPr>
            <w:r>
              <w:rPr>
                <w:rFonts w:ascii="serif" w:hAnsi="serif"/>
                <w:sz w:val="20"/>
              </w:rPr>
              <w:t>158,267</w:t>
            </w:r>
          </w:p>
        </w:tc>
        <w:tc>
          <w:tcPr>
            <w:tcW w:w="305" w:type="dxa"/>
            <w:tcBorders/>
            <w:shd w:fill="C0C0C0" w:val="clear"/>
            <w:vAlign w:val="bottom"/>
          </w:tcPr>
          <w:p>
            <w:pPr>
              <w:pStyle w:val="TableContents"/>
              <w:spacing w:before="0" w:after="283"/>
              <w:rPr>
                <w:sz w:val="4"/>
                <w:szCs w:val="4"/>
              </w:rPr>
            </w:pPr>
            <w:r>
              <w:rPr>
                <w:sz w:val="4"/>
                <w:szCs w:val="4"/>
              </w:rPr>
            </w:r>
          </w:p>
        </w:tc>
        <w:tc>
          <w:tcPr>
            <w:tcW w:w="69" w:type="dxa"/>
            <w:tcBorders/>
            <w:shd w:fill="C0C0C0" w:val="clear"/>
            <w:vAlign w:val="bottom"/>
          </w:tcPr>
          <w:p>
            <w:pPr>
              <w:pStyle w:val="TableContents"/>
              <w:spacing w:before="0" w:after="283"/>
              <w:jc w:val="right"/>
              <w:rPr/>
            </w:pPr>
            <w:r>
              <w:rPr/>
              <w:t> </w:t>
            </w:r>
          </w:p>
        </w:tc>
        <w:tc>
          <w:tcPr>
            <w:tcW w:w="162" w:type="dxa"/>
            <w:tcBorders/>
            <w:shd w:fill="C0C0C0" w:val="clear"/>
            <w:vAlign w:val="bottom"/>
          </w:tcPr>
          <w:p>
            <w:pPr>
              <w:pStyle w:val="TableContents"/>
              <w:spacing w:before="0" w:after="283"/>
              <w:jc w:val="right"/>
              <w:rPr>
                <w:sz w:val="20"/>
              </w:rPr>
            </w:pPr>
            <w:r>
              <w:rPr>
                <w:sz w:val="20"/>
              </w:rPr>
              <w:t>$</w:t>
            </w:r>
          </w:p>
        </w:tc>
        <w:tc>
          <w:tcPr>
            <w:tcW w:w="869" w:type="dxa"/>
            <w:tcBorders/>
            <w:shd w:fill="C0C0C0" w:val="clear"/>
            <w:vAlign w:val="bottom"/>
          </w:tcPr>
          <w:p>
            <w:pPr>
              <w:pStyle w:val="TableContents"/>
              <w:spacing w:before="0" w:after="283"/>
              <w:jc w:val="right"/>
              <w:rPr>
                <w:rFonts w:ascii="serif" w:hAnsi="serif"/>
                <w:sz w:val="20"/>
              </w:rPr>
            </w:pPr>
            <w:r>
              <w:rPr>
                <w:rFonts w:ascii="serif" w:hAnsi="serif"/>
                <w:sz w:val="20"/>
              </w:rPr>
              <w:t>63,307</w:t>
            </w:r>
          </w:p>
        </w:tc>
      </w:tr>
      <w:tr>
        <w:trPr/>
        <w:tc>
          <w:tcPr>
            <w:tcW w:w="2030" w:type="dxa"/>
            <w:tcBorders/>
            <w:shd w:fill="auto" w:val="clear"/>
            <w:vAlign w:val="bottom"/>
          </w:tcPr>
          <w:p>
            <w:pPr>
              <w:pStyle w:val="TableContents"/>
              <w:spacing w:before="0" w:after="283"/>
              <w:jc w:val="left"/>
              <w:rPr>
                <w:rFonts w:ascii="serif" w:hAnsi="serif"/>
                <w:sz w:val="20"/>
              </w:rPr>
            </w:pPr>
            <w:r>
              <w:rPr>
                <w:rFonts w:ascii="serif" w:hAnsi="serif"/>
                <w:sz w:val="20"/>
              </w:rPr>
              <w:t>Charles P. Brissman</w:t>
            </w:r>
          </w:p>
        </w:tc>
        <w:tc>
          <w:tcPr>
            <w:tcW w:w="300"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753" w:type="dxa"/>
            <w:tcBorders/>
            <w:shd w:fill="auto" w:val="clear"/>
            <w:vAlign w:val="bottom"/>
          </w:tcPr>
          <w:p>
            <w:pPr>
              <w:pStyle w:val="TableContents"/>
              <w:spacing w:before="0" w:after="283"/>
              <w:jc w:val="right"/>
              <w:rPr>
                <w:rFonts w:ascii="serif" w:hAnsi="serif"/>
                <w:sz w:val="20"/>
              </w:rPr>
            </w:pPr>
            <w:r>
              <w:rPr>
                <w:rFonts w:ascii="serif" w:hAnsi="serif"/>
                <w:sz w:val="20"/>
              </w:rPr>
              <w:t>14,953</w:t>
            </w:r>
          </w:p>
        </w:tc>
        <w:tc>
          <w:tcPr>
            <w:tcW w:w="305" w:type="dxa"/>
            <w:tcBorders/>
            <w:shd w:fill="auto" w:val="clear"/>
            <w:vAlign w:val="bottom"/>
          </w:tcPr>
          <w:p>
            <w:pPr>
              <w:pStyle w:val="TableContents"/>
              <w:spacing w:before="0" w:after="283"/>
              <w:jc w:val="right"/>
              <w:rPr/>
            </w:pPr>
            <w:r>
              <w:rPr/>
              <w:t> </w:t>
            </w:r>
          </w:p>
        </w:tc>
        <w:tc>
          <w:tcPr>
            <w:tcW w:w="71" w:type="dxa"/>
            <w:tcBorders/>
            <w:shd w:fill="auto" w:val="clear"/>
            <w:vAlign w:val="bottom"/>
          </w:tcPr>
          <w:p>
            <w:pPr>
              <w:pStyle w:val="TableContents"/>
              <w:spacing w:before="0" w:after="283"/>
              <w:jc w:val="right"/>
              <w:rPr/>
            </w:pPr>
            <w:r>
              <w:rPr/>
              <w:t> </w:t>
            </w:r>
          </w:p>
        </w:tc>
        <w:tc>
          <w:tcPr>
            <w:tcW w:w="1029" w:type="dxa"/>
            <w:tcBorders/>
            <w:shd w:fill="auto" w:val="clear"/>
            <w:vAlign w:val="bottom"/>
          </w:tcPr>
          <w:p>
            <w:pPr>
              <w:pStyle w:val="TableContents"/>
              <w:spacing w:before="0" w:after="283"/>
              <w:jc w:val="right"/>
              <w:rPr>
                <w:rFonts w:ascii="serif" w:hAnsi="serif"/>
                <w:sz w:val="20"/>
              </w:rPr>
            </w:pPr>
            <w:r>
              <w:rPr>
                <w:rFonts w:ascii="serif" w:hAnsi="serif"/>
                <w:sz w:val="20"/>
              </w:rPr>
              <w:t>$ 17,522</w:t>
            </w:r>
          </w:p>
        </w:tc>
        <w:tc>
          <w:tcPr>
            <w:tcW w:w="30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auto" w:val="clear"/>
            <w:vAlign w:val="bottom"/>
          </w:tcPr>
          <w:p>
            <w:pPr>
              <w:pStyle w:val="TableContents"/>
              <w:spacing w:before="0" w:after="283"/>
              <w:jc w:val="right"/>
              <w:rPr>
                <w:rFonts w:ascii="serif" w:hAnsi="serif"/>
                <w:sz w:val="20"/>
              </w:rPr>
            </w:pPr>
            <w:r>
              <w:rPr>
                <w:rFonts w:ascii="serif" w:hAnsi="serif"/>
                <w:sz w:val="20"/>
              </w:rPr>
              <w:t>58,435</w:t>
            </w:r>
          </w:p>
        </w:tc>
        <w:tc>
          <w:tcPr>
            <w:tcW w:w="305"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67" w:type="dxa"/>
            <w:tcBorders/>
            <w:shd w:fill="auto" w:val="clear"/>
            <w:vAlign w:val="bottom"/>
          </w:tcPr>
          <w:p>
            <w:pPr>
              <w:pStyle w:val="TableContents"/>
              <w:spacing w:before="0" w:after="283"/>
              <w:jc w:val="right"/>
              <w:rPr>
                <w:rFonts w:ascii="serif" w:hAnsi="serif"/>
                <w:sz w:val="20"/>
              </w:rPr>
            </w:pPr>
            <w:r>
              <w:rPr>
                <w:rFonts w:ascii="serif" w:hAnsi="serif"/>
                <w:sz w:val="20"/>
              </w:rPr>
              <w:t>23,363</w:t>
            </w:r>
          </w:p>
        </w:tc>
        <w:tc>
          <w:tcPr>
            <w:tcW w:w="30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auto" w:val="clear"/>
            <w:vAlign w:val="bottom"/>
          </w:tcPr>
          <w:p>
            <w:pPr>
              <w:pStyle w:val="TableContents"/>
              <w:spacing w:before="0" w:after="283"/>
              <w:jc w:val="right"/>
              <w:rPr>
                <w:rFonts w:ascii="serif" w:hAnsi="serif"/>
                <w:sz w:val="20"/>
              </w:rPr>
            </w:pPr>
            <w:r>
              <w:rPr>
                <w:rFonts w:ascii="serif" w:hAnsi="serif"/>
                <w:sz w:val="20"/>
              </w:rPr>
              <w:t>116,870</w:t>
            </w:r>
          </w:p>
        </w:tc>
        <w:tc>
          <w:tcPr>
            <w:tcW w:w="305"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jc w:val="right"/>
              <w:rPr>
                <w:sz w:val="20"/>
              </w:rPr>
            </w:pPr>
            <w:r>
              <w:rPr>
                <w:sz w:val="20"/>
              </w:rPr>
              <w:t>$</w:t>
            </w:r>
          </w:p>
        </w:tc>
        <w:tc>
          <w:tcPr>
            <w:tcW w:w="869" w:type="dxa"/>
            <w:tcBorders/>
            <w:shd w:fill="auto" w:val="clear"/>
            <w:vAlign w:val="bottom"/>
          </w:tcPr>
          <w:p>
            <w:pPr>
              <w:pStyle w:val="TableContents"/>
              <w:spacing w:before="0" w:after="283"/>
              <w:jc w:val="right"/>
              <w:rPr>
                <w:rFonts w:ascii="serif" w:hAnsi="serif"/>
                <w:sz w:val="20"/>
              </w:rPr>
            </w:pPr>
            <w:r>
              <w:rPr>
                <w:rFonts w:ascii="serif" w:hAnsi="serif"/>
                <w:sz w:val="20"/>
              </w:rPr>
              <w:t>46,726</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300"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53" w:type="dxa"/>
            <w:tcBorders/>
            <w:shd w:fill="C0C0C0" w:val="clear"/>
            <w:vAlign w:val="bottom"/>
          </w:tcPr>
          <w:p>
            <w:pPr>
              <w:pStyle w:val="TableContents"/>
              <w:spacing w:before="0" w:after="283"/>
              <w:jc w:val="right"/>
              <w:rPr>
                <w:rFonts w:ascii="serif" w:hAnsi="serif"/>
                <w:sz w:val="20"/>
              </w:rPr>
            </w:pPr>
            <w:r>
              <w:rPr>
                <w:rFonts w:ascii="serif" w:hAnsi="serif"/>
                <w:sz w:val="20"/>
              </w:rPr>
              <w:t>13,781</w:t>
            </w:r>
          </w:p>
        </w:tc>
        <w:tc>
          <w:tcPr>
            <w:tcW w:w="305" w:type="dxa"/>
            <w:tcBorders/>
            <w:shd w:fill="C0C0C0" w:val="clear"/>
            <w:vAlign w:val="bottom"/>
          </w:tcPr>
          <w:p>
            <w:pPr>
              <w:pStyle w:val="TableContents"/>
              <w:spacing w:before="0" w:after="283"/>
              <w:rPr>
                <w:sz w:val="4"/>
                <w:szCs w:val="4"/>
              </w:rPr>
            </w:pPr>
            <w:r>
              <w:rPr>
                <w:sz w:val="4"/>
                <w:szCs w:val="4"/>
              </w:rPr>
            </w:r>
          </w:p>
        </w:tc>
        <w:tc>
          <w:tcPr>
            <w:tcW w:w="71" w:type="dxa"/>
            <w:tcBorders/>
            <w:shd w:fill="C0C0C0" w:val="clear"/>
            <w:vAlign w:val="bottom"/>
          </w:tcPr>
          <w:p>
            <w:pPr>
              <w:pStyle w:val="TableContents"/>
              <w:spacing w:before="0" w:after="283"/>
              <w:jc w:val="right"/>
              <w:rPr/>
            </w:pPr>
            <w:r>
              <w:rPr/>
              <w:t> </w:t>
            </w:r>
          </w:p>
        </w:tc>
        <w:tc>
          <w:tcPr>
            <w:tcW w:w="1029" w:type="dxa"/>
            <w:tcBorders/>
            <w:shd w:fill="C0C0C0" w:val="clear"/>
            <w:vAlign w:val="bottom"/>
          </w:tcPr>
          <w:p>
            <w:pPr>
              <w:pStyle w:val="TableContents"/>
              <w:spacing w:before="0" w:after="283"/>
              <w:jc w:val="right"/>
              <w:rPr>
                <w:rFonts w:ascii="serif" w:hAnsi="serif"/>
                <w:sz w:val="20"/>
              </w:rPr>
            </w:pPr>
            <w:r>
              <w:rPr>
                <w:rFonts w:ascii="serif" w:hAnsi="serif"/>
                <w:sz w:val="20"/>
              </w:rPr>
              <w:t>$ 16,538</w:t>
            </w:r>
          </w:p>
        </w:tc>
        <w:tc>
          <w:tcPr>
            <w:tcW w:w="305"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C0C0C0" w:val="clear"/>
            <w:vAlign w:val="bottom"/>
          </w:tcPr>
          <w:p>
            <w:pPr>
              <w:pStyle w:val="TableContents"/>
              <w:spacing w:before="0" w:after="283"/>
              <w:jc w:val="right"/>
              <w:rPr>
                <w:rFonts w:ascii="serif" w:hAnsi="serif"/>
                <w:sz w:val="20"/>
              </w:rPr>
            </w:pPr>
            <w:r>
              <w:rPr>
                <w:rFonts w:ascii="serif" w:hAnsi="serif"/>
                <w:sz w:val="20"/>
              </w:rPr>
              <w:t>55,125</w:t>
            </w:r>
          </w:p>
        </w:tc>
        <w:tc>
          <w:tcPr>
            <w:tcW w:w="305" w:type="dxa"/>
            <w:tcBorders/>
            <w:shd w:fill="C0C0C0" w:val="clear"/>
            <w:vAlign w:val="bottom"/>
          </w:tcPr>
          <w:p>
            <w:pPr>
              <w:pStyle w:val="TableContents"/>
              <w:spacing w:before="0" w:after="283"/>
              <w:rPr>
                <w:sz w:val="4"/>
                <w:szCs w:val="4"/>
              </w:rPr>
            </w:pPr>
            <w:r>
              <w:rPr>
                <w:sz w:val="4"/>
                <w:szCs w:val="4"/>
              </w:rPr>
            </w:r>
          </w:p>
        </w:tc>
        <w:tc>
          <w:tcPr>
            <w:tcW w:w="70" w:type="dxa"/>
            <w:tcBorders/>
            <w:shd w:fill="C0C0C0" w:val="clear"/>
            <w:vAlign w:val="bottom"/>
          </w:tcPr>
          <w:p>
            <w:pPr>
              <w:pStyle w:val="TableContents"/>
              <w:spacing w:before="0" w:after="283"/>
              <w:rPr>
                <w:sz w:val="4"/>
                <w:szCs w:val="4"/>
              </w:rPr>
            </w:pPr>
            <w:r>
              <w:rPr>
                <w:sz w:val="4"/>
                <w:szCs w:val="4"/>
              </w:rPr>
            </w:r>
          </w:p>
        </w:tc>
        <w:tc>
          <w:tcPr>
            <w:tcW w:w="163"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67" w:type="dxa"/>
            <w:tcBorders/>
            <w:shd w:fill="C0C0C0" w:val="clear"/>
            <w:vAlign w:val="bottom"/>
          </w:tcPr>
          <w:p>
            <w:pPr>
              <w:pStyle w:val="TableContents"/>
              <w:spacing w:before="0" w:after="283"/>
              <w:jc w:val="right"/>
              <w:rPr>
                <w:rFonts w:ascii="serif" w:hAnsi="serif"/>
                <w:sz w:val="20"/>
              </w:rPr>
            </w:pPr>
            <w:r>
              <w:rPr>
                <w:rFonts w:ascii="serif" w:hAnsi="serif"/>
                <w:sz w:val="20"/>
              </w:rPr>
              <w:t>22,050</w:t>
            </w:r>
          </w:p>
        </w:tc>
        <w:tc>
          <w:tcPr>
            <w:tcW w:w="305" w:type="dxa"/>
            <w:tcBorders/>
            <w:shd w:fill="C0C0C0" w:val="clear"/>
            <w:vAlign w:val="bottom"/>
          </w:tcPr>
          <w:p>
            <w:pPr>
              <w:pStyle w:val="TableContents"/>
              <w:spacing w:before="0" w:after="283"/>
              <w:rPr>
                <w:sz w:val="4"/>
                <w:szCs w:val="4"/>
              </w:rPr>
            </w:pPr>
            <w:r>
              <w:rPr>
                <w:sz w:val="4"/>
                <w:szCs w:val="4"/>
              </w:rPr>
            </w:r>
          </w:p>
        </w:tc>
        <w:tc>
          <w:tcPr>
            <w:tcW w:w="61" w:type="dxa"/>
            <w:tcBorders/>
            <w:shd w:fill="C0C0C0" w:val="clear"/>
            <w:vAlign w:val="bottom"/>
          </w:tcPr>
          <w:p>
            <w:pPr>
              <w:pStyle w:val="TableContents"/>
              <w:spacing w:before="0" w:after="283"/>
              <w:rPr>
                <w:sz w:val="4"/>
                <w:szCs w:val="4"/>
              </w:rPr>
            </w:pPr>
            <w:r>
              <w:rPr>
                <w:sz w:val="4"/>
                <w:szCs w:val="4"/>
              </w:rPr>
            </w:r>
          </w:p>
        </w:tc>
        <w:tc>
          <w:tcPr>
            <w:tcW w:w="142"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875" w:type="dxa"/>
            <w:tcBorders/>
            <w:shd w:fill="C0C0C0" w:val="clear"/>
            <w:vAlign w:val="bottom"/>
          </w:tcPr>
          <w:p>
            <w:pPr>
              <w:pStyle w:val="TableContents"/>
              <w:spacing w:before="0" w:after="283"/>
              <w:jc w:val="right"/>
              <w:rPr>
                <w:rFonts w:ascii="serif" w:hAnsi="serif"/>
                <w:sz w:val="20"/>
              </w:rPr>
            </w:pPr>
            <w:r>
              <w:rPr>
                <w:rFonts w:ascii="serif" w:hAnsi="serif"/>
                <w:sz w:val="20"/>
              </w:rPr>
              <w:t>110,250</w:t>
            </w:r>
          </w:p>
        </w:tc>
        <w:tc>
          <w:tcPr>
            <w:tcW w:w="305" w:type="dxa"/>
            <w:tcBorders/>
            <w:shd w:fill="C0C0C0" w:val="clear"/>
            <w:vAlign w:val="bottom"/>
          </w:tcPr>
          <w:p>
            <w:pPr>
              <w:pStyle w:val="TableContents"/>
              <w:spacing w:before="0" w:after="283"/>
              <w:rPr>
                <w:sz w:val="4"/>
                <w:szCs w:val="4"/>
              </w:rPr>
            </w:pPr>
            <w:r>
              <w:rPr>
                <w:sz w:val="4"/>
                <w:szCs w:val="4"/>
              </w:rPr>
            </w:r>
          </w:p>
        </w:tc>
        <w:tc>
          <w:tcPr>
            <w:tcW w:w="69" w:type="dxa"/>
            <w:tcBorders/>
            <w:shd w:fill="C0C0C0" w:val="clear"/>
            <w:vAlign w:val="bottom"/>
          </w:tcPr>
          <w:p>
            <w:pPr>
              <w:pStyle w:val="TableContents"/>
              <w:spacing w:before="0" w:after="283"/>
              <w:jc w:val="right"/>
              <w:rPr/>
            </w:pPr>
            <w:r>
              <w:rPr/>
              <w:t> </w:t>
            </w:r>
          </w:p>
        </w:tc>
        <w:tc>
          <w:tcPr>
            <w:tcW w:w="162" w:type="dxa"/>
            <w:tcBorders/>
            <w:shd w:fill="C0C0C0" w:val="clear"/>
            <w:vAlign w:val="bottom"/>
          </w:tcPr>
          <w:p>
            <w:pPr>
              <w:pStyle w:val="TableContents"/>
              <w:spacing w:before="0" w:after="283"/>
              <w:jc w:val="right"/>
              <w:rPr>
                <w:sz w:val="20"/>
              </w:rPr>
            </w:pPr>
            <w:r>
              <w:rPr>
                <w:sz w:val="20"/>
              </w:rPr>
              <w:t>$</w:t>
            </w:r>
          </w:p>
        </w:tc>
        <w:tc>
          <w:tcPr>
            <w:tcW w:w="869" w:type="dxa"/>
            <w:tcBorders/>
            <w:shd w:fill="C0C0C0" w:val="clear"/>
            <w:vAlign w:val="bottom"/>
          </w:tcPr>
          <w:p>
            <w:pPr>
              <w:pStyle w:val="TableContents"/>
              <w:spacing w:before="0" w:after="283"/>
              <w:jc w:val="right"/>
              <w:rPr/>
            </w:pPr>
            <w:r>
              <w:rPr/>
              <w:t> </w:t>
            </w:r>
            <w:r>
              <w:rPr>
                <w:rFonts w:ascii="serif" w:hAnsi="serif"/>
                <w:sz w:val="20"/>
              </w:rPr>
              <w:t>44,100</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4"/>
        <w:gridCol w:w="309"/>
        <w:gridCol w:w="9672"/>
      </w:tblGrid>
      <w:tr>
        <w:trPr/>
        <w:tc>
          <w:tcPr>
            <w:tcW w:w="224" w:type="dxa"/>
            <w:tcBorders/>
            <w:shd w:fill="auto" w:val="clear"/>
          </w:tcPr>
          <w:p>
            <w:pPr>
              <w:pStyle w:val="TableContents"/>
              <w:spacing w:before="0" w:after="283"/>
              <w:rPr>
                <w:sz w:val="20"/>
              </w:rPr>
            </w:pPr>
            <w:r>
              <w:rPr>
                <w:sz w:val="20"/>
              </w:rPr>
              <w:t>(1)</w:t>
            </w:r>
          </w:p>
        </w:tc>
        <w:tc>
          <w:tcPr>
            <w:tcW w:w="309" w:type="dxa"/>
            <w:tcBorders/>
            <w:shd w:fill="auto" w:val="clear"/>
          </w:tcPr>
          <w:p>
            <w:pPr>
              <w:pStyle w:val="TableContents"/>
              <w:spacing w:before="0" w:after="283"/>
              <w:rPr/>
            </w:pPr>
            <w:r>
              <w:rPr/>
              <w:t>     </w:t>
            </w:r>
          </w:p>
        </w:tc>
        <w:tc>
          <w:tcPr>
            <w:tcW w:w="9672" w:type="dxa"/>
            <w:tcBorders/>
            <w:shd w:fill="auto" w:val="clear"/>
          </w:tcPr>
          <w:p>
            <w:pPr>
              <w:pStyle w:val="TableContents"/>
              <w:spacing w:before="0" w:after="283"/>
              <w:rPr>
                <w:sz w:val="20"/>
              </w:rPr>
            </w:pPr>
            <w:r>
              <w:rPr>
                <w:sz w:val="20"/>
              </w:rPr>
              <w:t>The threshold for payment of a cash bonus was adjusted pre-tax, pre-bonus income corresponding to achievement of 86% of our budgeted business plan. No executive deferred bonus was to be awarded at that  level of performance. That achievement level would result in payment of 25% of target cash bonus.</w:t>
            </w:r>
          </w:p>
        </w:tc>
      </w:tr>
      <w:tr>
        <w:trPr/>
        <w:tc>
          <w:tcPr>
            <w:tcW w:w="224" w:type="dxa"/>
            <w:tcBorders/>
            <w:shd w:fill="auto" w:val="clear"/>
          </w:tcPr>
          <w:p>
            <w:pPr>
              <w:pStyle w:val="TableContents"/>
              <w:spacing w:before="0" w:after="283"/>
              <w:rPr>
                <w:sz w:val="4"/>
                <w:szCs w:val="4"/>
              </w:rPr>
            </w:pPr>
            <w:r>
              <w:rPr>
                <w:sz w:val="4"/>
                <w:szCs w:val="4"/>
              </w:rPr>
            </w:r>
          </w:p>
        </w:tc>
        <w:tc>
          <w:tcPr>
            <w:tcW w:w="309" w:type="dxa"/>
            <w:tcBorders/>
            <w:shd w:fill="auto" w:val="clear"/>
          </w:tcPr>
          <w:p>
            <w:pPr>
              <w:pStyle w:val="TableContents"/>
              <w:spacing w:before="0" w:after="283"/>
              <w:rPr>
                <w:sz w:val="4"/>
                <w:szCs w:val="4"/>
              </w:rPr>
            </w:pPr>
            <w:r>
              <w:rPr>
                <w:sz w:val="4"/>
                <w:szCs w:val="4"/>
              </w:rPr>
            </w:r>
          </w:p>
        </w:tc>
        <w:tc>
          <w:tcPr>
            <w:tcW w:w="9672"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sz w:val="20"/>
              </w:rPr>
            </w:pPr>
            <w:r>
              <w:rPr>
                <w:sz w:val="20"/>
              </w:rPr>
              <w:t>(2)</w:t>
            </w:r>
          </w:p>
        </w:tc>
        <w:tc>
          <w:tcPr>
            <w:tcW w:w="309" w:type="dxa"/>
            <w:tcBorders/>
            <w:shd w:fill="auto" w:val="clear"/>
          </w:tcPr>
          <w:p>
            <w:pPr>
              <w:pStyle w:val="TableContents"/>
              <w:spacing w:before="0" w:after="283"/>
              <w:rPr>
                <w:sz w:val="4"/>
                <w:szCs w:val="4"/>
              </w:rPr>
            </w:pPr>
            <w:r>
              <w:rPr>
                <w:sz w:val="4"/>
                <w:szCs w:val="4"/>
              </w:rPr>
            </w:r>
          </w:p>
        </w:tc>
        <w:tc>
          <w:tcPr>
            <w:tcW w:w="9672" w:type="dxa"/>
            <w:tcBorders/>
            <w:shd w:fill="auto" w:val="clear"/>
          </w:tcPr>
          <w:p>
            <w:pPr>
              <w:pStyle w:val="TableContents"/>
              <w:spacing w:before="0" w:after="283"/>
              <w:rPr>
                <w:sz w:val="20"/>
              </w:rPr>
            </w:pPr>
            <w:r>
              <w:rPr>
                <w:sz w:val="20"/>
              </w:rPr>
              <w:t>The threshold for payment of an executive deferred bonus was adjusted pre-tax, pre-bonus income corresponding to achievement of 95% of our budgeted business plan. That achievement level would result in awards of 75% of target executive deferred bonus.</w:t>
            </w:r>
          </w:p>
        </w:tc>
      </w:tr>
      <w:tr>
        <w:trPr/>
        <w:tc>
          <w:tcPr>
            <w:tcW w:w="224" w:type="dxa"/>
            <w:tcBorders/>
            <w:shd w:fill="auto" w:val="clear"/>
          </w:tcPr>
          <w:p>
            <w:pPr>
              <w:pStyle w:val="TableContents"/>
              <w:spacing w:before="0" w:after="283"/>
              <w:rPr>
                <w:sz w:val="4"/>
                <w:szCs w:val="4"/>
              </w:rPr>
            </w:pPr>
            <w:r>
              <w:rPr>
                <w:sz w:val="4"/>
                <w:szCs w:val="4"/>
              </w:rPr>
            </w:r>
          </w:p>
        </w:tc>
        <w:tc>
          <w:tcPr>
            <w:tcW w:w="309" w:type="dxa"/>
            <w:tcBorders/>
            <w:shd w:fill="auto" w:val="clear"/>
          </w:tcPr>
          <w:p>
            <w:pPr>
              <w:pStyle w:val="TableContents"/>
              <w:spacing w:before="0" w:after="283"/>
              <w:rPr>
                <w:sz w:val="4"/>
                <w:szCs w:val="4"/>
              </w:rPr>
            </w:pPr>
            <w:r>
              <w:rPr>
                <w:sz w:val="4"/>
                <w:szCs w:val="4"/>
              </w:rPr>
            </w:r>
          </w:p>
        </w:tc>
        <w:tc>
          <w:tcPr>
            <w:tcW w:w="9672"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sz w:val="20"/>
              </w:rPr>
            </w:pPr>
            <w:r>
              <w:rPr>
                <w:sz w:val="20"/>
              </w:rPr>
              <w:t>(3)</w:t>
            </w:r>
          </w:p>
        </w:tc>
        <w:tc>
          <w:tcPr>
            <w:tcW w:w="309" w:type="dxa"/>
            <w:tcBorders/>
            <w:shd w:fill="auto" w:val="clear"/>
          </w:tcPr>
          <w:p>
            <w:pPr>
              <w:pStyle w:val="TableContents"/>
              <w:spacing w:before="0" w:after="283"/>
              <w:rPr>
                <w:sz w:val="4"/>
                <w:szCs w:val="4"/>
              </w:rPr>
            </w:pPr>
            <w:r>
              <w:rPr>
                <w:sz w:val="4"/>
                <w:szCs w:val="4"/>
              </w:rPr>
            </w:r>
          </w:p>
        </w:tc>
        <w:tc>
          <w:tcPr>
            <w:tcW w:w="9672" w:type="dxa"/>
            <w:tcBorders/>
            <w:shd w:fill="auto" w:val="clear"/>
          </w:tcPr>
          <w:p>
            <w:pPr>
              <w:pStyle w:val="TableContents"/>
              <w:spacing w:before="0" w:after="283"/>
              <w:rPr>
                <w:sz w:val="20"/>
              </w:rPr>
            </w:pPr>
            <w:r>
              <w:rPr>
                <w:sz w:val="20"/>
              </w:rPr>
              <w:t>The maximum amount payable is 200% of target bonus.</w:t>
            </w:r>
          </w:p>
        </w:tc>
      </w:tr>
    </w:tbl>
    <w:p>
      <w:pPr>
        <w:pStyle w:val="TextBody"/>
        <w:rPr/>
      </w:pPr>
      <w:r>
        <w:rPr/>
      </w:r>
    </w:p>
    <w:p>
      <w:pPr>
        <w:pStyle w:val="TextBody"/>
        <w:jc w:val="both"/>
        <w:rPr/>
      </w:pPr>
      <w:r>
        <w:rPr/>
        <w:t>     </w:t>
      </w:r>
      <w:r>
        <w:rPr>
          <w:rFonts w:ascii="serif" w:hAnsi="serif"/>
          <w:sz w:val="20"/>
        </w:rPr>
        <w:t>The table refers to these amounts in future terms, but the amounts have already been paid or accrued to the named executive officers accounts. The amount of the cash bonus is disclosed in the Summary Compensation Table in the column captioned Non-Equity Incentive Plan Compensation. The amount of the deferred bonus accrued to the accounts of the named executive officers is shown in the Non-Qualified Deferred Compensation Table in the column captioned Registrant Contributions. For more information, see the Compensation Discussion &amp; Analysis.</w:t>
      </w:r>
    </w:p>
    <w:p>
      <w:pPr>
        <w:pStyle w:val="TextBody"/>
        <w:jc w:val="center"/>
        <w:rPr>
          <w:rFonts w:ascii="serif" w:hAnsi="serif"/>
          <w:sz w:val="20"/>
        </w:rPr>
      </w:pPr>
      <w:r>
        <w:rPr>
          <w:rFonts w:ascii="serif" w:hAnsi="serif"/>
          <w:sz w:val="20"/>
        </w:rPr>
        <w:t>30</w:t>
      </w:r>
    </w:p>
    <w:p>
      <w:pPr>
        <w:pStyle w:val="HorizontalLine"/>
        <w:pBdr>
          <w:bottom w:val="single" w:sz="12" w:space="0" w:color="808080"/>
        </w:pBdr>
        <w:rPr/>
      </w:pPr>
      <w:r>
        <w:rPr/>
      </w:r>
    </w:p>
    <w:p>
      <w:pPr>
        <w:pStyle w:val="TextBody"/>
        <w:jc w:val="center"/>
        <w:rPr>
          <w:rFonts w:ascii="serif" w:hAnsi="serif"/>
          <w:b/>
        </w:rPr>
      </w:pPr>
      <w:r>
        <w:rPr>
          <w:rFonts w:ascii="serif" w:hAnsi="serif"/>
          <w:b/>
        </w:rPr>
        <w:t>Outstanding Equity Awards at Fiscal 2007 Year-End</w:t>
      </w:r>
    </w:p>
    <w:p>
      <w:pPr>
        <w:pStyle w:val="TextBody"/>
        <w:jc w:val="both"/>
        <w:rPr/>
      </w:pPr>
      <w:r>
        <w:rPr/>
        <w:t>     </w:t>
      </w:r>
      <w:r>
        <w:rPr>
          <w:rFonts w:ascii="serif" w:hAnsi="serif"/>
          <w:sz w:val="20"/>
        </w:rPr>
        <w:t>The following table provides information on the current holdings of stock options and restricted stock by the named executive officers as of the fiscal year ended July 31, 2007. The options and restricted stock held by Daniel S. Jaffee and Thomas F. Cofsky are for shares of Class B Stock. The options and restricted stock held by the other named executive officers are for shares of Common Stock.</w:t>
      </w:r>
    </w:p>
    <w:tbl>
      <w:tblPr>
        <w:tblW w:w="12340" w:type="dxa"/>
        <w:jc w:val="left"/>
        <w:tblInd w:w="0" w:type="dxa"/>
        <w:tblCellMar>
          <w:top w:w="0" w:type="dxa"/>
          <w:left w:w="0" w:type="dxa"/>
          <w:bottom w:w="0" w:type="dxa"/>
          <w:right w:w="0" w:type="dxa"/>
        </w:tblCellMar>
      </w:tblPr>
      <w:tblGrid>
        <w:gridCol w:w="2030"/>
        <w:gridCol w:w="300"/>
        <w:gridCol w:w="1460"/>
        <w:gridCol w:w="300"/>
        <w:gridCol w:w="1655"/>
        <w:gridCol w:w="300"/>
        <w:gridCol w:w="300"/>
        <w:gridCol w:w="140"/>
        <w:gridCol w:w="620"/>
        <w:gridCol w:w="300"/>
        <w:gridCol w:w="1154"/>
        <w:gridCol w:w="126"/>
        <w:gridCol w:w="300"/>
        <w:gridCol w:w="874"/>
        <w:gridCol w:w="451"/>
        <w:gridCol w:w="300"/>
        <w:gridCol w:w="87"/>
        <w:gridCol w:w="204"/>
        <w:gridCol w:w="1439"/>
      </w:tblGrid>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6355" w:type="dxa"/>
            <w:gridSpan w:val="10"/>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Option Awards</w:t>
            </w:r>
            <w:r>
              <w:rPr/>
              <w:t> </w:t>
            </w:r>
          </w:p>
        </w:tc>
        <w:tc>
          <w:tcPr>
            <w:tcW w:w="300" w:type="dxa"/>
            <w:tcBorders/>
            <w:shd w:fill="auto" w:val="clear"/>
            <w:vAlign w:val="bottom"/>
          </w:tcPr>
          <w:p>
            <w:pPr>
              <w:pStyle w:val="TableContents"/>
              <w:spacing w:before="0" w:after="283"/>
              <w:jc w:val="center"/>
              <w:rPr/>
            </w:pPr>
            <w:r>
              <w:rPr/>
              <w:t>     </w:t>
            </w:r>
          </w:p>
        </w:tc>
        <w:tc>
          <w:tcPr>
            <w:tcW w:w="3355" w:type="dxa"/>
            <w:gridSpan w:val="6"/>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Stock Awards</w:t>
            </w:r>
          </w:p>
        </w:tc>
      </w:tr>
      <w:tr>
        <w:trPr/>
        <w:tc>
          <w:tcPr>
            <w:tcW w:w="12340" w:type="dxa"/>
            <w:gridSpan w:val="19"/>
            <w:tcBorders/>
            <w:shd w:fill="auto" w:val="clear"/>
            <w:vAlign w:val="center"/>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pPr>
            <w:r>
              <w:rPr/>
              <w:t> </w:t>
            </w:r>
            <w:r>
              <w:rPr>
                <w:rFonts w:ascii="serif" w:hAnsi="serif"/>
                <w:b/>
                <w:sz w:val="20"/>
              </w:rPr>
              <w:t>Number of</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bottom"/>
          </w:tcPr>
          <w:p>
            <w:pPr>
              <w:pStyle w:val="TableContents"/>
              <w:spacing w:before="0" w:after="283"/>
              <w:jc w:val="center"/>
              <w:rPr/>
            </w:pPr>
            <w:r>
              <w:rPr/>
              <w:t> </w:t>
            </w:r>
            <w:r>
              <w:rPr>
                <w:rFonts w:ascii="serif" w:hAnsi="serif"/>
                <w:b/>
                <w:sz w:val="20"/>
              </w:rPr>
              <w:t>Number of</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25" w:type="dxa"/>
            <w:gridSpan w:val="2"/>
            <w:tcBorders/>
            <w:shd w:fill="auto" w:val="clear"/>
            <w:vAlign w:val="bottom"/>
          </w:tcPr>
          <w:p>
            <w:pPr>
              <w:pStyle w:val="TableContents"/>
              <w:spacing w:before="0" w:after="283"/>
              <w:jc w:val="center"/>
              <w:rPr/>
            </w:pPr>
            <w:r>
              <w:rPr/>
              <w:t> </w:t>
            </w:r>
            <w:r>
              <w:rPr>
                <w:rFonts w:ascii="serif" w:hAnsi="serif"/>
                <w:b/>
                <w:sz w:val="20"/>
              </w:rPr>
              <w:t>Number of</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730" w:type="dxa"/>
            <w:gridSpan w:val="3"/>
            <w:tcBorders/>
            <w:shd w:fill="auto" w:val="clear"/>
            <w:vAlign w:val="bottom"/>
          </w:tcPr>
          <w:p>
            <w:pPr>
              <w:pStyle w:val="TableContents"/>
              <w:spacing w:before="0" w:after="283"/>
              <w:jc w:val="center"/>
              <w:rPr/>
            </w:pPr>
            <w:r>
              <w:rPr/>
              <w:t> </w:t>
            </w:r>
            <w:r>
              <w:rPr>
                <w:rFonts w:ascii="serif" w:hAnsi="serif"/>
                <w:b/>
                <w:sz w:val="20"/>
              </w:rPr>
              <w:t>Market Value</w:t>
            </w: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pPr>
            <w:r>
              <w:rPr/>
              <w:t> </w:t>
            </w:r>
            <w:r>
              <w:rPr>
                <w:rFonts w:ascii="serif" w:hAnsi="serif"/>
                <w:b/>
                <w:sz w:val="20"/>
              </w:rPr>
              <w:t>Securities</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bottom"/>
          </w:tcPr>
          <w:p>
            <w:pPr>
              <w:pStyle w:val="TableContents"/>
              <w:spacing w:before="0" w:after="283"/>
              <w:jc w:val="center"/>
              <w:rPr/>
            </w:pPr>
            <w:r>
              <w:rPr/>
              <w:t> </w:t>
            </w:r>
            <w:r>
              <w:rPr>
                <w:rFonts w:ascii="serif" w:hAnsi="serif"/>
                <w:b/>
                <w:sz w:val="20"/>
              </w:rPr>
              <w:t>Securities</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25" w:type="dxa"/>
            <w:gridSpan w:val="2"/>
            <w:tcBorders/>
            <w:shd w:fill="auto" w:val="clear"/>
            <w:vAlign w:val="bottom"/>
          </w:tcPr>
          <w:p>
            <w:pPr>
              <w:pStyle w:val="TableContents"/>
              <w:spacing w:before="0" w:after="283"/>
              <w:jc w:val="center"/>
              <w:rPr/>
            </w:pPr>
            <w:r>
              <w:rPr/>
              <w:t> </w:t>
            </w:r>
            <w:r>
              <w:rPr>
                <w:rFonts w:ascii="serif" w:hAnsi="serif"/>
                <w:b/>
                <w:sz w:val="20"/>
              </w:rPr>
              <w:t>Shares or</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730" w:type="dxa"/>
            <w:gridSpan w:val="3"/>
            <w:tcBorders/>
            <w:shd w:fill="auto" w:val="clear"/>
            <w:vAlign w:val="bottom"/>
          </w:tcPr>
          <w:p>
            <w:pPr>
              <w:pStyle w:val="TableContents"/>
              <w:spacing w:before="0" w:after="283"/>
              <w:jc w:val="center"/>
              <w:rPr/>
            </w:pPr>
            <w:r>
              <w:rPr/>
              <w:t> </w:t>
            </w:r>
            <w:r>
              <w:rPr>
                <w:rFonts w:ascii="serif" w:hAnsi="serif"/>
                <w:b/>
                <w:sz w:val="20"/>
              </w:rPr>
              <w:t>of Shares or</w:t>
            </w: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pPr>
            <w:r>
              <w:rPr/>
              <w:t> </w:t>
            </w:r>
            <w:r>
              <w:rPr>
                <w:rFonts w:ascii="serif" w:hAnsi="serif"/>
                <w:b/>
                <w:sz w:val="20"/>
              </w:rPr>
              <w:t>Underlying</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bottom"/>
          </w:tcPr>
          <w:p>
            <w:pPr>
              <w:pStyle w:val="TableContents"/>
              <w:spacing w:before="0" w:after="283"/>
              <w:jc w:val="center"/>
              <w:rPr/>
            </w:pPr>
            <w:r>
              <w:rPr/>
              <w:t> </w:t>
            </w:r>
            <w:r>
              <w:rPr>
                <w:rFonts w:ascii="serif" w:hAnsi="serif"/>
                <w:b/>
                <w:sz w:val="20"/>
              </w:rPr>
              <w:t>Underlying</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25" w:type="dxa"/>
            <w:gridSpan w:val="2"/>
            <w:tcBorders/>
            <w:shd w:fill="auto" w:val="clear"/>
            <w:vAlign w:val="bottom"/>
          </w:tcPr>
          <w:p>
            <w:pPr>
              <w:pStyle w:val="TableContents"/>
              <w:spacing w:before="0" w:after="283"/>
              <w:jc w:val="center"/>
              <w:rPr/>
            </w:pPr>
            <w:r>
              <w:rPr/>
              <w:t> </w:t>
            </w:r>
            <w:r>
              <w:rPr>
                <w:rFonts w:ascii="serif" w:hAnsi="serif"/>
                <w:b/>
                <w:sz w:val="20"/>
              </w:rPr>
              <w:t>Units of</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730" w:type="dxa"/>
            <w:gridSpan w:val="3"/>
            <w:tcBorders/>
            <w:shd w:fill="auto" w:val="clear"/>
            <w:vAlign w:val="bottom"/>
          </w:tcPr>
          <w:p>
            <w:pPr>
              <w:pStyle w:val="TableContents"/>
              <w:spacing w:before="0" w:after="283"/>
              <w:jc w:val="center"/>
              <w:rPr/>
            </w:pPr>
            <w:r>
              <w:rPr/>
              <w:t> </w:t>
            </w:r>
            <w:r>
              <w:rPr>
                <w:rFonts w:ascii="serif" w:hAnsi="serif"/>
                <w:b/>
                <w:sz w:val="20"/>
              </w:rPr>
              <w:t>Units of Stock</w:t>
            </w: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pPr>
            <w:r>
              <w:rPr/>
              <w:t> </w:t>
            </w:r>
            <w:r>
              <w:rPr>
                <w:rFonts w:ascii="serif" w:hAnsi="serif"/>
                <w:b/>
                <w:sz w:val="20"/>
              </w:rPr>
              <w:t>Unexercised</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bottom"/>
          </w:tcPr>
          <w:p>
            <w:pPr>
              <w:pStyle w:val="TableContents"/>
              <w:spacing w:before="0" w:after="283"/>
              <w:jc w:val="center"/>
              <w:rPr/>
            </w:pPr>
            <w:r>
              <w:rPr/>
              <w:t> </w:t>
            </w:r>
            <w:r>
              <w:rPr>
                <w:rFonts w:ascii="serif" w:hAnsi="serif"/>
                <w:b/>
                <w:sz w:val="20"/>
              </w:rPr>
              <w:t>Unexercised</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60" w:type="dxa"/>
            <w:gridSpan w:val="3"/>
            <w:tcBorders/>
            <w:shd w:fill="auto" w:val="clear"/>
            <w:vAlign w:val="bottom"/>
          </w:tcPr>
          <w:p>
            <w:pPr>
              <w:pStyle w:val="TableContents"/>
              <w:spacing w:before="0" w:after="283"/>
              <w:jc w:val="center"/>
              <w:rPr/>
            </w:pPr>
            <w:r>
              <w:rPr/>
              <w:t> </w:t>
            </w:r>
            <w:r>
              <w:rPr>
                <w:rFonts w:ascii="serif" w:hAnsi="serif"/>
                <w:b/>
                <w:sz w:val="20"/>
              </w:rPr>
              <w:t>Option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325" w:type="dxa"/>
            <w:gridSpan w:val="2"/>
            <w:tcBorders/>
            <w:shd w:fill="auto" w:val="clear"/>
            <w:vAlign w:val="bottom"/>
          </w:tcPr>
          <w:p>
            <w:pPr>
              <w:pStyle w:val="TableContents"/>
              <w:spacing w:before="0" w:after="283"/>
              <w:jc w:val="center"/>
              <w:rPr/>
            </w:pPr>
            <w:r>
              <w:rPr/>
              <w:t> </w:t>
            </w:r>
            <w:r>
              <w:rPr>
                <w:rFonts w:ascii="serif" w:hAnsi="serif"/>
                <w:b/>
                <w:sz w:val="20"/>
              </w:rPr>
              <w:t>Stock That</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730" w:type="dxa"/>
            <w:gridSpan w:val="3"/>
            <w:tcBorders/>
            <w:shd w:fill="auto" w:val="clear"/>
            <w:vAlign w:val="bottom"/>
          </w:tcPr>
          <w:p>
            <w:pPr>
              <w:pStyle w:val="TableContents"/>
              <w:spacing w:before="0" w:after="283"/>
              <w:jc w:val="center"/>
              <w:rPr/>
            </w:pPr>
            <w:r>
              <w:rPr/>
              <w:t> </w:t>
            </w:r>
            <w:r>
              <w:rPr>
                <w:rFonts w:ascii="serif" w:hAnsi="serif"/>
                <w:b/>
                <w:sz w:val="20"/>
              </w:rPr>
              <w:t>That Have Not</w:t>
            </w: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pPr>
            <w:r>
              <w:rPr/>
              <w:t> </w:t>
            </w:r>
            <w:r>
              <w:rPr>
                <w:rFonts w:ascii="serif" w:hAnsi="serif"/>
                <w:b/>
                <w:sz w:val="20"/>
              </w:rPr>
              <w:t>Options</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bottom"/>
          </w:tcPr>
          <w:p>
            <w:pPr>
              <w:pStyle w:val="TableContents"/>
              <w:spacing w:before="0" w:after="283"/>
              <w:jc w:val="center"/>
              <w:rPr/>
            </w:pPr>
            <w:r>
              <w:rPr/>
              <w:t> </w:t>
            </w:r>
            <w:r>
              <w:rPr>
                <w:rFonts w:ascii="serif" w:hAnsi="serif"/>
                <w:b/>
                <w:sz w:val="20"/>
              </w:rPr>
              <w:t>Options</w:t>
            </w:r>
            <w:r>
              <w:rPr/>
              <w:t> </w:t>
            </w:r>
          </w:p>
        </w:tc>
        <w:tc>
          <w:tcPr>
            <w:tcW w:w="300" w:type="dxa"/>
            <w:tcBorders/>
            <w:shd w:fill="auto" w:val="clear"/>
            <w:vAlign w:val="bottom"/>
          </w:tcPr>
          <w:p>
            <w:pPr>
              <w:pStyle w:val="TableContents"/>
              <w:spacing w:before="0" w:after="283"/>
              <w:jc w:val="center"/>
              <w:rPr/>
            </w:pPr>
            <w:r>
              <w:rPr/>
              <w:t>    </w:t>
            </w:r>
          </w:p>
        </w:tc>
        <w:tc>
          <w:tcPr>
            <w:tcW w:w="1060" w:type="dxa"/>
            <w:gridSpan w:val="3"/>
            <w:tcBorders/>
            <w:shd w:fill="auto" w:val="clear"/>
            <w:vAlign w:val="bottom"/>
          </w:tcPr>
          <w:p>
            <w:pPr>
              <w:pStyle w:val="TableContents"/>
              <w:spacing w:before="0" w:after="283"/>
              <w:jc w:val="center"/>
              <w:rPr/>
            </w:pPr>
            <w:r>
              <w:rPr/>
              <w:t> </w:t>
            </w:r>
            <w:r>
              <w:rPr>
                <w:rFonts w:ascii="serif" w:hAnsi="serif"/>
                <w:b/>
                <w:sz w:val="20"/>
              </w:rPr>
              <w:t>Exercise</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280" w:type="dxa"/>
            <w:gridSpan w:val="2"/>
            <w:tcBorders/>
            <w:shd w:fill="auto" w:val="clear"/>
            <w:vAlign w:val="bottom"/>
          </w:tcPr>
          <w:p>
            <w:pPr>
              <w:pStyle w:val="TableContents"/>
              <w:spacing w:before="0" w:after="283"/>
              <w:jc w:val="center"/>
              <w:rPr/>
            </w:pPr>
            <w:r>
              <w:rPr/>
              <w:t> </w:t>
            </w:r>
            <w:r>
              <w:rPr>
                <w:rFonts w:ascii="serif" w:hAnsi="serif"/>
                <w:b/>
                <w:sz w:val="20"/>
              </w:rPr>
              <w:t>Option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325" w:type="dxa"/>
            <w:gridSpan w:val="2"/>
            <w:tcBorders/>
            <w:shd w:fill="auto" w:val="clear"/>
            <w:vAlign w:val="bottom"/>
          </w:tcPr>
          <w:p>
            <w:pPr>
              <w:pStyle w:val="TableContents"/>
              <w:spacing w:before="0" w:after="283"/>
              <w:jc w:val="center"/>
              <w:rPr/>
            </w:pPr>
            <w:r>
              <w:rPr/>
              <w:t> </w:t>
            </w:r>
            <w:r>
              <w:rPr>
                <w:rFonts w:ascii="serif" w:hAnsi="serif"/>
                <w:b/>
                <w:sz w:val="20"/>
              </w:rPr>
              <w:t>Have Not</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730" w:type="dxa"/>
            <w:gridSpan w:val="3"/>
            <w:tcBorders/>
            <w:shd w:fill="auto" w:val="clear"/>
            <w:vAlign w:val="bottom"/>
          </w:tcPr>
          <w:p>
            <w:pPr>
              <w:pStyle w:val="TableContents"/>
              <w:spacing w:before="0" w:after="283"/>
              <w:jc w:val="center"/>
              <w:rPr/>
            </w:pPr>
            <w:r>
              <w:rPr/>
              <w:t> </w:t>
            </w:r>
            <w:r>
              <w:rPr>
                <w:rFonts w:ascii="serif" w:hAnsi="serif"/>
                <w:b/>
                <w:sz w:val="20"/>
              </w:rPr>
              <w:t>Vested</w:t>
            </w:r>
            <w:r>
              <w:rPr/>
              <w:t> </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60" w:type="dxa"/>
            <w:tcBorders/>
            <w:shd w:fill="auto" w:val="clear"/>
            <w:vAlign w:val="bottom"/>
          </w:tcPr>
          <w:p>
            <w:pPr>
              <w:pStyle w:val="TableContents"/>
              <w:spacing w:before="0" w:after="283"/>
              <w:jc w:val="center"/>
              <w:rPr/>
            </w:pPr>
            <w:r>
              <w:rPr/>
              <w:t> </w:t>
            </w:r>
            <w:r>
              <w:rPr>
                <w:rFonts w:ascii="serif" w:hAnsi="serif"/>
                <w:b/>
                <w:sz w:val="20"/>
              </w:rPr>
              <w:t>(#)</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bottom"/>
          </w:tcPr>
          <w:p>
            <w:pPr>
              <w:pStyle w:val="TableContents"/>
              <w:spacing w:before="0" w:after="283"/>
              <w:jc w:val="center"/>
              <w:rPr/>
            </w:pPr>
            <w:r>
              <w:rPr/>
              <w:t> </w:t>
            </w:r>
            <w:r>
              <w:rPr>
                <w:rFonts w:ascii="serif" w:hAnsi="serif"/>
                <w:b/>
                <w:sz w:val="20"/>
              </w:rPr>
              <w:t>(#)</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60" w:type="dxa"/>
            <w:gridSpan w:val="3"/>
            <w:tcBorders/>
            <w:shd w:fill="auto" w:val="clear"/>
            <w:vAlign w:val="bottom"/>
          </w:tcPr>
          <w:p>
            <w:pPr>
              <w:pStyle w:val="TableContents"/>
              <w:spacing w:before="0" w:after="283"/>
              <w:jc w:val="center"/>
              <w:rPr/>
            </w:pPr>
            <w:r>
              <w:rPr/>
              <w:t> </w:t>
            </w:r>
            <w:r>
              <w:rPr>
                <w:rFonts w:ascii="serif" w:hAnsi="serif"/>
                <w:b/>
                <w:sz w:val="20"/>
              </w:rPr>
              <w:t>Price</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280" w:type="dxa"/>
            <w:gridSpan w:val="2"/>
            <w:tcBorders/>
            <w:shd w:fill="auto" w:val="clear"/>
            <w:vAlign w:val="bottom"/>
          </w:tcPr>
          <w:p>
            <w:pPr>
              <w:pStyle w:val="TableContents"/>
              <w:spacing w:before="0" w:after="283"/>
              <w:jc w:val="center"/>
              <w:rPr/>
            </w:pPr>
            <w:r>
              <w:rPr/>
              <w:t> </w:t>
            </w:r>
            <w:r>
              <w:rPr>
                <w:rFonts w:ascii="serif" w:hAnsi="serif"/>
                <w:b/>
                <w:sz w:val="20"/>
              </w:rPr>
              <w:t>Expiration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325" w:type="dxa"/>
            <w:gridSpan w:val="2"/>
            <w:tcBorders/>
            <w:shd w:fill="auto" w:val="clear"/>
            <w:vAlign w:val="bottom"/>
          </w:tcPr>
          <w:p>
            <w:pPr>
              <w:pStyle w:val="TableContents"/>
              <w:spacing w:before="0" w:after="283"/>
              <w:jc w:val="center"/>
              <w:rPr/>
            </w:pPr>
            <w:r>
              <w:rPr/>
              <w:t> </w:t>
            </w:r>
            <w:r>
              <w:rPr>
                <w:rFonts w:ascii="serif" w:hAnsi="serif"/>
                <w:b/>
                <w:sz w:val="20"/>
              </w:rPr>
              <w:t>Vested</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730" w:type="dxa"/>
            <w:gridSpan w:val="3"/>
            <w:tcBorders/>
            <w:shd w:fill="auto" w:val="clear"/>
            <w:vAlign w:val="bottom"/>
          </w:tcPr>
          <w:p>
            <w:pPr>
              <w:pStyle w:val="TableContents"/>
              <w:spacing w:before="0" w:after="283"/>
              <w:jc w:val="center"/>
              <w:rPr/>
            </w:pPr>
            <w:r>
              <w:rPr/>
              <w:t> </w:t>
            </w:r>
            <w:r>
              <w:rPr>
                <w:rFonts w:ascii="serif" w:hAnsi="serif"/>
                <w:b/>
                <w:sz w:val="20"/>
              </w:rPr>
              <w:t>($)</w:t>
            </w:r>
          </w:p>
        </w:tc>
      </w:tr>
      <w:tr>
        <w:trPr/>
        <w:tc>
          <w:tcPr>
            <w:tcW w:w="203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60"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Exercisable</w:t>
            </w:r>
            <w:r>
              <w:rPr/>
              <w:t>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655"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Unexercisable</w:t>
            </w:r>
            <w:r>
              <w:rPr/>
              <w:t>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60"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Date</w:t>
            </w:r>
            <w:r>
              <w:rPr/>
              <w:t> </w:t>
            </w:r>
          </w:p>
        </w:tc>
        <w:tc>
          <w:tcPr>
            <w:tcW w:w="300" w:type="dxa"/>
            <w:tcBorders/>
            <w:shd w:fill="auto" w:val="clear"/>
            <w:vAlign w:val="bottom"/>
          </w:tcPr>
          <w:p>
            <w:pPr>
              <w:pStyle w:val="TableContents"/>
              <w:spacing w:before="0" w:after="283"/>
              <w:jc w:val="center"/>
              <w:rPr/>
            </w:pPr>
            <w:r>
              <w:rPr/>
              <w:t>     </w:t>
            </w:r>
          </w:p>
        </w:tc>
        <w:tc>
          <w:tcPr>
            <w:tcW w:w="132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w:t>
            </w:r>
            <w:r>
              <w:rPr/>
              <w:t>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730"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(4)</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40,000</w:t>
            </w:r>
          </w:p>
        </w:tc>
        <w:tc>
          <w:tcPr>
            <w:tcW w:w="300" w:type="dxa"/>
            <w:tcBorders/>
            <w:shd w:fill="C0C0C0" w:val="clear"/>
            <w:vAlign w:val="bottom"/>
          </w:tcPr>
          <w:p>
            <w:pPr>
              <w:pStyle w:val="TableContents"/>
              <w:spacing w:before="0" w:after="283"/>
              <w:jc w:val="right"/>
              <w:rPr/>
            </w:pPr>
            <w:r>
              <w:rPr/>
              <w:t> </w:t>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0</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pPr>
            <w:r>
              <w:rPr/>
              <w:t>     </w:t>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9.00</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9/18/2008</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87" w:type="dxa"/>
            <w:tcBorders/>
            <w:shd w:fill="C0C0C0" w:val="clear"/>
            <w:vAlign w:val="bottom"/>
          </w:tcPr>
          <w:p>
            <w:pPr>
              <w:pStyle w:val="TableContents"/>
              <w:spacing w:before="0" w:after="283"/>
              <w:jc w:val="left"/>
              <w:rPr/>
            </w:pPr>
            <w:r>
              <w:rPr/>
              <w:t> </w:t>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18,750</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18,750</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4.92</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10/12/2011</w:t>
            </w:r>
          </w:p>
        </w:tc>
        <w:tc>
          <w:tcPr>
            <w:tcW w:w="126"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center"/>
              <w:rPr>
                <w:sz w:val="20"/>
              </w:rPr>
            </w:pPr>
            <w:r>
              <w:rPr>
                <w:sz w:val="20"/>
              </w:rPr>
              <w:t>(1)</w:t>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right"/>
              <w:rPr/>
            </w:pPr>
            <w:r>
              <w:rPr/>
              <w:t> </w:t>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7,812</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7,813</w:t>
            </w:r>
          </w:p>
        </w:tc>
        <w:tc>
          <w:tcPr>
            <w:tcW w:w="300"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9.43</w:t>
            </w:r>
          </w:p>
        </w:tc>
        <w:tc>
          <w:tcPr>
            <w:tcW w:w="300" w:type="dxa"/>
            <w:tcBorders/>
            <w:shd w:fill="C0C0C0" w:val="clear"/>
            <w:vAlign w:val="bottom"/>
          </w:tcPr>
          <w:p>
            <w:pPr>
              <w:pStyle w:val="TableContents"/>
              <w:spacing w:before="0" w:after="283"/>
              <w:jc w:val="right"/>
              <w:rPr/>
            </w:pPr>
            <w:r>
              <w:rPr/>
              <w:t> </w:t>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9/23/2013</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jc w:val="left"/>
              <w:rPr/>
            </w:pPr>
            <w:r>
              <w:rPr/>
              <w:t> </w:t>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rPr>
                <w:sz w:val="4"/>
                <w:szCs w:val="4"/>
              </w:rPr>
            </w:pPr>
            <w:r>
              <w:rPr>
                <w:sz w:val="4"/>
                <w:szCs w:val="4"/>
              </w:rPr>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jc w:val="right"/>
              <w:rPr>
                <w:rFonts w:ascii="serif" w:hAnsi="serif"/>
                <w:sz w:val="20"/>
              </w:rPr>
            </w:pPr>
            <w:r>
              <w:rPr>
                <w:rFonts w:ascii="serif" w:hAnsi="serif"/>
                <w:sz w:val="20"/>
              </w:rPr>
              <w:t>70,000</w:t>
            </w:r>
          </w:p>
        </w:tc>
        <w:tc>
          <w:tcPr>
            <w:tcW w:w="451" w:type="dxa"/>
            <w:tcBorders/>
            <w:shd w:fill="C0C0C0" w:val="clear"/>
            <w:vAlign w:val="bottom"/>
          </w:tcPr>
          <w:p>
            <w:pPr>
              <w:pStyle w:val="TableContents"/>
              <w:spacing w:before="0" w:after="283"/>
              <w:jc w:val="left"/>
              <w:rPr/>
            </w:pPr>
            <w:r>
              <w:rPr/>
              <w:t> </w:t>
            </w:r>
            <w:r>
              <w:rPr>
                <w:rFonts w:ascii="serif" w:hAnsi="serif"/>
                <w:sz w:val="20"/>
              </w:rPr>
              <w:t>(2)</w:t>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439" w:type="dxa"/>
            <w:tcBorders/>
            <w:shd w:fill="C0C0C0" w:val="clear"/>
            <w:vAlign w:val="bottom"/>
          </w:tcPr>
          <w:p>
            <w:pPr>
              <w:pStyle w:val="TableContents"/>
              <w:spacing w:before="0" w:after="283"/>
              <w:jc w:val="right"/>
              <w:rPr>
                <w:rFonts w:ascii="serif" w:hAnsi="serif"/>
                <w:sz w:val="20"/>
              </w:rPr>
            </w:pPr>
            <w:r>
              <w:rPr>
                <w:rFonts w:ascii="serif" w:hAnsi="serif"/>
                <w:sz w:val="20"/>
              </w:rPr>
              <w:t>1,167,600</w:t>
            </w:r>
          </w:p>
        </w:tc>
      </w:tr>
      <w:tr>
        <w:trPr/>
        <w:tc>
          <w:tcPr>
            <w:tcW w:w="12340" w:type="dxa"/>
            <w:gridSpan w:val="19"/>
            <w:tcBorders/>
            <w:shd w:fill="auto" w:val="clear"/>
            <w:vAlign w:val="center"/>
          </w:tcPr>
          <w:p>
            <w:pPr>
              <w:pStyle w:val="TableContents"/>
              <w:spacing w:before="0" w:after="283"/>
              <w:rPr/>
            </w:pPr>
            <w:r>
              <w:rPr/>
              <w:t> </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Andrew N. Peterson</w:t>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7,812</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23,438</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20" w:type="dxa"/>
            <w:tcBorders/>
            <w:shd w:fill="C0C0C0" w:val="clear"/>
            <w:vAlign w:val="bottom"/>
          </w:tcPr>
          <w:p>
            <w:pPr>
              <w:pStyle w:val="TableContents"/>
              <w:spacing w:before="0" w:after="283"/>
              <w:jc w:val="right"/>
              <w:rPr/>
            </w:pPr>
            <w:r>
              <w:rPr/>
              <w:t> </w:t>
            </w:r>
            <w:r>
              <w:rPr>
                <w:rFonts w:ascii="serif" w:hAnsi="serif"/>
                <w:sz w:val="20"/>
              </w:rPr>
              <w:t>12.00</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10/8/2014</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12340" w:type="dxa"/>
            <w:gridSpan w:val="19"/>
            <w:tcBorders/>
            <w:shd w:fill="auto" w:val="clear"/>
            <w:vAlign w:val="center"/>
          </w:tcPr>
          <w:p>
            <w:pPr>
              <w:pStyle w:val="TableContents"/>
              <w:spacing w:before="0" w:after="283"/>
              <w:rPr/>
            </w:pPr>
            <w:r>
              <w:rPr/>
              <w:t> </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3,125</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0</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9.00</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9/18/2008</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12,500</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0</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11.65</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9/17/2009</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12,500</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0</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6.90</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2/28/2010</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12,500</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12,500</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4.92</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10/12/2011</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center"/>
              <w:rPr>
                <w:sz w:val="20"/>
              </w:rPr>
            </w:pPr>
            <w:r>
              <w:rPr>
                <w:sz w:val="20"/>
              </w:rPr>
              <w:t>(1)</w:t>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3,125</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3,125</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9.43</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9/23/2013</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12340" w:type="dxa"/>
            <w:gridSpan w:val="19"/>
            <w:tcBorders/>
            <w:shd w:fill="auto" w:val="clear"/>
            <w:vAlign w:val="center"/>
          </w:tcPr>
          <w:p>
            <w:pPr>
              <w:pStyle w:val="TableContents"/>
              <w:spacing w:before="0" w:after="283"/>
              <w:rPr/>
            </w:pPr>
            <w:r>
              <w:rPr/>
              <w:t> </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Charles P. Brissman</w:t>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28,125</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9,375</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5.89</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10/21/2012</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6,250</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6,250</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sz w:val="20"/>
              </w:rPr>
            </w:pPr>
            <w:r>
              <w:rPr>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9.43</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9/23/2013</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12340" w:type="dxa"/>
            <w:gridSpan w:val="19"/>
            <w:tcBorders/>
            <w:shd w:fill="auto" w:val="clear"/>
            <w:vAlign w:val="center"/>
          </w:tcPr>
          <w:p>
            <w:pPr>
              <w:pStyle w:val="TableContents"/>
              <w:spacing w:before="0" w:after="283"/>
              <w:rPr/>
            </w:pPr>
            <w:r>
              <w:rPr/>
              <w:t> </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jc w:val="right"/>
              <w:rPr>
                <w:rFonts w:ascii="serif" w:hAnsi="serif"/>
                <w:sz w:val="20"/>
              </w:rPr>
            </w:pPr>
            <w:r>
              <w:rPr>
                <w:rFonts w:ascii="serif" w:hAnsi="serif"/>
                <w:sz w:val="20"/>
              </w:rPr>
              <w:t>3,125</w:t>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jc w:val="right"/>
              <w:rPr>
                <w:rFonts w:ascii="serif" w:hAnsi="serif"/>
                <w:sz w:val="20"/>
              </w:rPr>
            </w:pPr>
            <w:r>
              <w:rPr>
                <w:rFonts w:ascii="serif" w:hAnsi="serif"/>
                <w:sz w:val="20"/>
              </w:rPr>
              <w:t>9,375</w:t>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20" w:type="dxa"/>
            <w:tcBorders/>
            <w:shd w:fill="C0C0C0" w:val="clear"/>
            <w:vAlign w:val="bottom"/>
          </w:tcPr>
          <w:p>
            <w:pPr>
              <w:pStyle w:val="TableContents"/>
              <w:spacing w:before="0" w:after="283"/>
              <w:jc w:val="right"/>
              <w:rPr>
                <w:rFonts w:ascii="serif" w:hAnsi="serif"/>
                <w:sz w:val="20"/>
              </w:rPr>
            </w:pPr>
            <w:r>
              <w:rPr>
                <w:rFonts w:ascii="serif" w:hAnsi="serif"/>
                <w:sz w:val="20"/>
              </w:rPr>
              <w:t>14.76</w:t>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jc w:val="right"/>
              <w:rPr>
                <w:rFonts w:ascii="serif" w:hAnsi="serif"/>
                <w:sz w:val="20"/>
              </w:rPr>
            </w:pPr>
            <w:r>
              <w:rPr>
                <w:rFonts w:ascii="serif" w:hAnsi="serif"/>
                <w:sz w:val="20"/>
              </w:rPr>
              <w:t>2/1/2015</w:t>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rPr>
                <w:sz w:val="4"/>
                <w:szCs w:val="4"/>
              </w:rPr>
            </w:pPr>
            <w:r>
              <w:rPr>
                <w:sz w:val="4"/>
                <w:szCs w:val="4"/>
              </w:rPr>
            </w:r>
          </w:p>
        </w:tc>
        <w:tc>
          <w:tcPr>
            <w:tcW w:w="451"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rPr>
                <w:sz w:val="4"/>
                <w:szCs w:val="4"/>
              </w:rPr>
            </w:pPr>
            <w:r>
              <w:rPr>
                <w:sz w:val="4"/>
                <w:szCs w:val="4"/>
              </w:rPr>
            </w:r>
          </w:p>
        </w:tc>
        <w:tc>
          <w:tcPr>
            <w:tcW w:w="1439" w:type="dxa"/>
            <w:tcBorders/>
            <w:shd w:fill="C0C0C0" w:val="clear"/>
            <w:vAlign w:val="bottom"/>
          </w:tcPr>
          <w:p>
            <w:pPr>
              <w:pStyle w:val="TableContents"/>
              <w:spacing w:before="0" w:after="283"/>
              <w:rPr>
                <w:sz w:val="4"/>
                <w:szCs w:val="4"/>
              </w:rPr>
            </w:pPr>
            <w:r>
              <w:rPr>
                <w:sz w:val="4"/>
                <w:szCs w:val="4"/>
              </w:rPr>
            </w:r>
          </w:p>
        </w:tc>
      </w:tr>
      <w:tr>
        <w:trPr/>
        <w:tc>
          <w:tcPr>
            <w:tcW w:w="203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6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65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62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154" w:type="dxa"/>
            <w:tcBorders/>
            <w:shd w:fill="C0C0C0" w:val="clear"/>
            <w:vAlign w:val="bottom"/>
          </w:tcPr>
          <w:p>
            <w:pPr>
              <w:pStyle w:val="TableContents"/>
              <w:spacing w:before="0" w:after="283"/>
              <w:rPr>
                <w:sz w:val="4"/>
                <w:szCs w:val="4"/>
              </w:rPr>
            </w:pPr>
            <w:r>
              <w:rPr>
                <w:sz w:val="4"/>
                <w:szCs w:val="4"/>
              </w:rPr>
            </w:r>
          </w:p>
        </w:tc>
        <w:tc>
          <w:tcPr>
            <w:tcW w:w="12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874" w:type="dxa"/>
            <w:tcBorders/>
            <w:shd w:fill="C0C0C0" w:val="clear"/>
            <w:vAlign w:val="bottom"/>
          </w:tcPr>
          <w:p>
            <w:pPr>
              <w:pStyle w:val="TableContents"/>
              <w:spacing w:before="0" w:after="283"/>
              <w:jc w:val="right"/>
              <w:rPr>
                <w:rFonts w:ascii="serif" w:hAnsi="serif"/>
                <w:sz w:val="20"/>
              </w:rPr>
            </w:pPr>
            <w:r>
              <w:rPr>
                <w:rFonts w:ascii="serif" w:hAnsi="serif"/>
                <w:sz w:val="20"/>
              </w:rPr>
              <w:t>3,125</w:t>
            </w:r>
          </w:p>
        </w:tc>
        <w:tc>
          <w:tcPr>
            <w:tcW w:w="451" w:type="dxa"/>
            <w:tcBorders/>
            <w:shd w:fill="C0C0C0" w:val="clear"/>
            <w:vAlign w:val="bottom"/>
          </w:tcPr>
          <w:p>
            <w:pPr>
              <w:pStyle w:val="TableContents"/>
              <w:spacing w:before="0" w:after="283"/>
              <w:jc w:val="left"/>
              <w:rPr/>
            </w:pPr>
            <w:r>
              <w:rPr/>
              <w:t> </w:t>
            </w:r>
            <w:r>
              <w:rPr>
                <w:rFonts w:ascii="serif" w:hAnsi="serif"/>
                <w:sz w:val="20"/>
              </w:rPr>
              <w:t>(3)</w:t>
            </w:r>
          </w:p>
        </w:tc>
        <w:tc>
          <w:tcPr>
            <w:tcW w:w="300" w:type="dxa"/>
            <w:tcBorders/>
            <w:shd w:fill="C0C0C0" w:val="clear"/>
            <w:vAlign w:val="bottom"/>
          </w:tcPr>
          <w:p>
            <w:pPr>
              <w:pStyle w:val="TableContents"/>
              <w:spacing w:before="0" w:after="283"/>
              <w:rPr>
                <w:sz w:val="4"/>
                <w:szCs w:val="4"/>
              </w:rPr>
            </w:pPr>
            <w:r>
              <w:rPr>
                <w:sz w:val="4"/>
                <w:szCs w:val="4"/>
              </w:rPr>
            </w:r>
          </w:p>
        </w:tc>
        <w:tc>
          <w:tcPr>
            <w:tcW w:w="87" w:type="dxa"/>
            <w:tcBorders/>
            <w:shd w:fill="C0C0C0" w:val="clear"/>
            <w:vAlign w:val="bottom"/>
          </w:tcPr>
          <w:p>
            <w:pPr>
              <w:pStyle w:val="TableContents"/>
              <w:spacing w:before="0" w:after="283"/>
              <w:rPr>
                <w:sz w:val="4"/>
                <w:szCs w:val="4"/>
              </w:rPr>
            </w:pPr>
            <w:r>
              <w:rPr>
                <w:sz w:val="4"/>
                <w:szCs w:val="4"/>
              </w:rPr>
            </w:r>
          </w:p>
        </w:tc>
        <w:tc>
          <w:tcPr>
            <w:tcW w:w="20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439" w:type="dxa"/>
            <w:tcBorders/>
            <w:shd w:fill="C0C0C0" w:val="clear"/>
            <w:vAlign w:val="bottom"/>
          </w:tcPr>
          <w:p>
            <w:pPr>
              <w:pStyle w:val="TableContents"/>
              <w:spacing w:before="0" w:after="283"/>
              <w:jc w:val="right"/>
              <w:rPr>
                <w:rFonts w:ascii="serif" w:hAnsi="serif"/>
                <w:sz w:val="20"/>
              </w:rPr>
            </w:pPr>
            <w:r>
              <w:rPr>
                <w:rFonts w:ascii="serif" w:hAnsi="serif"/>
                <w:sz w:val="20"/>
              </w:rPr>
              <w:t>52,125</w:t>
            </w:r>
          </w:p>
        </w:tc>
      </w:tr>
    </w:tbl>
    <w:p>
      <w:pPr>
        <w:pStyle w:val="TextBody"/>
        <w:rPr/>
      </w:pPr>
      <w:r>
        <w:rPr/>
      </w:r>
    </w:p>
    <w:p>
      <w:pPr>
        <w:pStyle w:val="TextBody"/>
        <w:jc w:val="both"/>
        <w:rPr/>
      </w:pPr>
      <w:r>
        <w:rPr/>
        <w:t>     </w:t>
      </w:r>
      <w:r>
        <w:rPr>
          <w:rFonts w:ascii="serif" w:hAnsi="serif"/>
          <w:sz w:val="20"/>
        </w:rPr>
        <w:t>Vesting of Option Awards: All option awards have a 10-year term. Except as otherwise noted below, option awards vest ratably over four years commencing on the second anniversary of the grant date.</w:t>
      </w:r>
    </w:p>
    <w:tbl>
      <w:tblPr>
        <w:tblW w:w="5000" w:type="pct"/>
        <w:jc w:val="left"/>
        <w:tblInd w:w="0" w:type="dxa"/>
        <w:tblCellMar>
          <w:top w:w="0" w:type="dxa"/>
          <w:left w:w="0" w:type="dxa"/>
          <w:bottom w:w="0" w:type="dxa"/>
          <w:right w:w="0" w:type="dxa"/>
        </w:tblCellMar>
      </w:tblPr>
      <w:tblGrid>
        <w:gridCol w:w="221"/>
        <w:gridCol w:w="304"/>
        <w:gridCol w:w="9680"/>
      </w:tblGrid>
      <w:tr>
        <w:trPr/>
        <w:tc>
          <w:tcPr>
            <w:tcW w:w="221" w:type="dxa"/>
            <w:tcBorders/>
            <w:shd w:fill="auto" w:val="clear"/>
          </w:tcPr>
          <w:p>
            <w:pPr>
              <w:pStyle w:val="TableContents"/>
              <w:spacing w:before="0" w:after="283"/>
              <w:rPr>
                <w:sz w:val="20"/>
              </w:rPr>
            </w:pPr>
            <w:r>
              <w:rPr>
                <w:sz w:val="20"/>
              </w:rPr>
              <w:t>(1)</w:t>
            </w:r>
          </w:p>
        </w:tc>
        <w:tc>
          <w:tcPr>
            <w:tcW w:w="304" w:type="dxa"/>
            <w:tcBorders/>
            <w:shd w:fill="auto" w:val="clear"/>
          </w:tcPr>
          <w:p>
            <w:pPr>
              <w:pStyle w:val="TableContents"/>
              <w:spacing w:before="0" w:after="283"/>
              <w:rPr/>
            </w:pPr>
            <w:r>
              <w:rPr/>
              <w:t>     </w:t>
            </w:r>
          </w:p>
        </w:tc>
        <w:tc>
          <w:tcPr>
            <w:tcW w:w="9680" w:type="dxa"/>
            <w:tcBorders/>
            <w:shd w:fill="auto" w:val="clear"/>
          </w:tcPr>
          <w:p>
            <w:pPr>
              <w:pStyle w:val="TableContents"/>
              <w:spacing w:before="0" w:after="283"/>
              <w:rPr>
                <w:sz w:val="20"/>
              </w:rPr>
            </w:pPr>
            <w:r>
              <w:rPr>
                <w:sz w:val="20"/>
              </w:rPr>
              <w:t>Vest 50% on the second anniversary of the grant date and 50% on the seventh anniversary of the grant date.</w:t>
            </w:r>
          </w:p>
        </w:tc>
      </w:tr>
      <w:tr>
        <w:trPr/>
        <w:tc>
          <w:tcPr>
            <w:tcW w:w="221" w:type="dxa"/>
            <w:tcBorders/>
            <w:shd w:fill="auto" w:val="clear"/>
          </w:tcPr>
          <w:p>
            <w:pPr>
              <w:pStyle w:val="TableContents"/>
              <w:spacing w:before="0" w:after="283"/>
              <w:rPr>
                <w:sz w:val="4"/>
                <w:szCs w:val="4"/>
              </w:rPr>
            </w:pPr>
            <w:r>
              <w:rPr>
                <w:sz w:val="4"/>
                <w:szCs w:val="4"/>
              </w:rPr>
            </w:r>
          </w:p>
        </w:tc>
        <w:tc>
          <w:tcPr>
            <w:tcW w:w="304" w:type="dxa"/>
            <w:tcBorders/>
            <w:shd w:fill="auto" w:val="clear"/>
          </w:tcPr>
          <w:p>
            <w:pPr>
              <w:pStyle w:val="TableContents"/>
              <w:spacing w:before="0" w:after="283"/>
              <w:rPr>
                <w:sz w:val="4"/>
                <w:szCs w:val="4"/>
              </w:rPr>
            </w:pPr>
            <w:r>
              <w:rPr>
                <w:sz w:val="4"/>
                <w:szCs w:val="4"/>
              </w:rPr>
            </w:r>
          </w:p>
        </w:tc>
        <w:tc>
          <w:tcPr>
            <w:tcW w:w="9680" w:type="dxa"/>
            <w:tcBorders/>
            <w:shd w:fill="auto" w:val="clear"/>
          </w:tcPr>
          <w:p>
            <w:pPr>
              <w:pStyle w:val="TableContents"/>
              <w:spacing w:before="0" w:after="283"/>
              <w:rPr/>
            </w:pPr>
            <w:r>
              <w:rPr/>
              <w:t> </w:t>
            </w:r>
          </w:p>
        </w:tc>
      </w:tr>
      <w:tr>
        <w:trPr/>
        <w:tc>
          <w:tcPr>
            <w:tcW w:w="221" w:type="dxa"/>
            <w:tcBorders/>
            <w:shd w:fill="auto" w:val="clear"/>
          </w:tcPr>
          <w:p>
            <w:pPr>
              <w:pStyle w:val="TableContents"/>
              <w:spacing w:before="0" w:after="283"/>
              <w:rPr>
                <w:sz w:val="20"/>
              </w:rPr>
            </w:pPr>
            <w:r>
              <w:rPr>
                <w:sz w:val="20"/>
              </w:rPr>
              <w:t>(2)</w:t>
            </w:r>
          </w:p>
        </w:tc>
        <w:tc>
          <w:tcPr>
            <w:tcW w:w="304" w:type="dxa"/>
            <w:tcBorders/>
            <w:shd w:fill="auto" w:val="clear"/>
          </w:tcPr>
          <w:p>
            <w:pPr>
              <w:pStyle w:val="TableContents"/>
              <w:spacing w:before="0" w:after="283"/>
              <w:rPr>
                <w:sz w:val="4"/>
                <w:szCs w:val="4"/>
              </w:rPr>
            </w:pPr>
            <w:r>
              <w:rPr>
                <w:sz w:val="4"/>
                <w:szCs w:val="4"/>
              </w:rPr>
            </w:r>
          </w:p>
        </w:tc>
        <w:tc>
          <w:tcPr>
            <w:tcW w:w="9680" w:type="dxa"/>
            <w:tcBorders/>
            <w:shd w:fill="auto" w:val="clear"/>
          </w:tcPr>
          <w:p>
            <w:pPr>
              <w:pStyle w:val="TableContents"/>
              <w:spacing w:before="0" w:after="283"/>
              <w:rPr>
                <w:sz w:val="20"/>
              </w:rPr>
            </w:pPr>
            <w:r>
              <w:rPr>
                <w:sz w:val="20"/>
              </w:rPr>
              <w:t>Restricted stock granted March 14, 2006 vests 20% on December 6, 2006 and 20% on each of the four subsequent anniversaries of that date.</w:t>
            </w:r>
          </w:p>
        </w:tc>
      </w:tr>
      <w:tr>
        <w:trPr/>
        <w:tc>
          <w:tcPr>
            <w:tcW w:w="221"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9680" w:type="dxa"/>
            <w:tcBorders/>
            <w:shd w:fill="auto" w:val="clear"/>
          </w:tcPr>
          <w:p>
            <w:pPr>
              <w:pStyle w:val="TableContents"/>
              <w:spacing w:before="0" w:after="283"/>
              <w:rPr/>
            </w:pPr>
            <w:r>
              <w:rPr/>
              <w:t> </w:t>
            </w:r>
          </w:p>
        </w:tc>
      </w:tr>
      <w:tr>
        <w:trPr/>
        <w:tc>
          <w:tcPr>
            <w:tcW w:w="221" w:type="dxa"/>
            <w:tcBorders/>
            <w:shd w:fill="auto" w:val="clear"/>
          </w:tcPr>
          <w:p>
            <w:pPr>
              <w:pStyle w:val="TableContents"/>
              <w:spacing w:before="0" w:after="283"/>
              <w:rPr>
                <w:sz w:val="20"/>
              </w:rPr>
            </w:pPr>
            <w:r>
              <w:rPr>
                <w:sz w:val="20"/>
              </w:rPr>
              <w:t>(3)</w:t>
            </w:r>
          </w:p>
        </w:tc>
        <w:tc>
          <w:tcPr>
            <w:tcW w:w="304" w:type="dxa"/>
            <w:tcBorders/>
            <w:shd w:fill="auto" w:val="clear"/>
          </w:tcPr>
          <w:p>
            <w:pPr>
              <w:pStyle w:val="TableContents"/>
              <w:spacing w:before="0" w:after="283"/>
              <w:rPr>
                <w:sz w:val="4"/>
                <w:szCs w:val="4"/>
              </w:rPr>
            </w:pPr>
            <w:r>
              <w:rPr>
                <w:sz w:val="4"/>
                <w:szCs w:val="4"/>
              </w:rPr>
            </w:r>
          </w:p>
        </w:tc>
        <w:tc>
          <w:tcPr>
            <w:tcW w:w="9680" w:type="dxa"/>
            <w:tcBorders/>
            <w:shd w:fill="auto" w:val="clear"/>
          </w:tcPr>
          <w:p>
            <w:pPr>
              <w:pStyle w:val="TableContents"/>
              <w:spacing w:before="0" w:after="283"/>
              <w:rPr>
                <w:sz w:val="20"/>
              </w:rPr>
            </w:pPr>
            <w:r>
              <w:rPr>
                <w:sz w:val="20"/>
              </w:rPr>
              <w:t>Restricted stock granted March 15, 2005 vests 20% on March 15, 2006, 30% on March 15, 2007 and 50% on March 15, 2008.</w:t>
            </w:r>
          </w:p>
        </w:tc>
      </w:tr>
      <w:tr>
        <w:trPr/>
        <w:tc>
          <w:tcPr>
            <w:tcW w:w="221" w:type="dxa"/>
            <w:tcBorders/>
            <w:shd w:fill="auto" w:val="clear"/>
          </w:tcPr>
          <w:p>
            <w:pPr>
              <w:pStyle w:val="TableContents"/>
              <w:spacing w:before="0" w:after="283"/>
              <w:rPr>
                <w:sz w:val="4"/>
                <w:szCs w:val="4"/>
              </w:rPr>
            </w:pPr>
            <w:r>
              <w:rPr>
                <w:sz w:val="4"/>
                <w:szCs w:val="4"/>
              </w:rPr>
            </w:r>
          </w:p>
        </w:tc>
        <w:tc>
          <w:tcPr>
            <w:tcW w:w="304" w:type="dxa"/>
            <w:tcBorders/>
            <w:shd w:fill="auto" w:val="clear"/>
          </w:tcPr>
          <w:p>
            <w:pPr>
              <w:pStyle w:val="TableContents"/>
              <w:spacing w:before="0" w:after="283"/>
              <w:rPr>
                <w:sz w:val="4"/>
                <w:szCs w:val="4"/>
              </w:rPr>
            </w:pPr>
            <w:r>
              <w:rPr>
                <w:sz w:val="4"/>
                <w:szCs w:val="4"/>
              </w:rPr>
            </w:r>
          </w:p>
        </w:tc>
        <w:tc>
          <w:tcPr>
            <w:tcW w:w="9680" w:type="dxa"/>
            <w:tcBorders/>
            <w:shd w:fill="auto" w:val="clear"/>
          </w:tcPr>
          <w:p>
            <w:pPr>
              <w:pStyle w:val="TableContents"/>
              <w:spacing w:before="0" w:after="283"/>
              <w:rPr/>
            </w:pPr>
            <w:r>
              <w:rPr/>
              <w:t> </w:t>
            </w:r>
          </w:p>
        </w:tc>
      </w:tr>
      <w:tr>
        <w:trPr/>
        <w:tc>
          <w:tcPr>
            <w:tcW w:w="221" w:type="dxa"/>
            <w:tcBorders/>
            <w:shd w:fill="auto" w:val="clear"/>
          </w:tcPr>
          <w:p>
            <w:pPr>
              <w:pStyle w:val="TableContents"/>
              <w:spacing w:before="0" w:after="283"/>
              <w:rPr>
                <w:sz w:val="20"/>
              </w:rPr>
            </w:pPr>
            <w:r>
              <w:rPr>
                <w:sz w:val="20"/>
              </w:rPr>
              <w:t>(4)</w:t>
            </w:r>
          </w:p>
        </w:tc>
        <w:tc>
          <w:tcPr>
            <w:tcW w:w="304" w:type="dxa"/>
            <w:tcBorders/>
            <w:shd w:fill="auto" w:val="clear"/>
          </w:tcPr>
          <w:p>
            <w:pPr>
              <w:pStyle w:val="TableContents"/>
              <w:spacing w:before="0" w:after="283"/>
              <w:rPr>
                <w:sz w:val="4"/>
                <w:szCs w:val="4"/>
              </w:rPr>
            </w:pPr>
            <w:r>
              <w:rPr>
                <w:sz w:val="4"/>
                <w:szCs w:val="4"/>
              </w:rPr>
            </w:r>
          </w:p>
        </w:tc>
        <w:tc>
          <w:tcPr>
            <w:tcW w:w="9680" w:type="dxa"/>
            <w:tcBorders/>
            <w:shd w:fill="auto" w:val="clear"/>
          </w:tcPr>
          <w:p>
            <w:pPr>
              <w:pStyle w:val="TableContents"/>
              <w:spacing w:before="0" w:after="283"/>
              <w:rPr>
                <w:sz w:val="20"/>
              </w:rPr>
            </w:pPr>
            <w:r>
              <w:rPr>
                <w:sz w:val="20"/>
              </w:rPr>
              <w:t>Market value calculated using the closing price of our Common Stock on July 31, 2007, which was $16.68.</w:t>
            </w:r>
          </w:p>
        </w:tc>
      </w:tr>
    </w:tbl>
    <w:p>
      <w:pPr>
        <w:pStyle w:val="TextBody"/>
        <w:jc w:val="center"/>
        <w:rPr>
          <w:rFonts w:ascii="serif" w:hAnsi="serif"/>
          <w:sz w:val="20"/>
        </w:rPr>
      </w:pPr>
      <w:r>
        <w:rPr>
          <w:rFonts w:ascii="serif" w:hAnsi="serif"/>
          <w:sz w:val="20"/>
        </w:rPr>
        <w:t>31</w:t>
      </w:r>
    </w:p>
    <w:p>
      <w:pPr>
        <w:pStyle w:val="HorizontalLine"/>
        <w:pBdr>
          <w:bottom w:val="single" w:sz="12" w:space="0" w:color="808080"/>
        </w:pBdr>
        <w:rPr/>
      </w:pPr>
      <w:r>
        <w:rPr/>
      </w:r>
    </w:p>
    <w:p>
      <w:pPr>
        <w:pStyle w:val="TextBody"/>
        <w:jc w:val="center"/>
        <w:rPr>
          <w:rFonts w:ascii="serif" w:hAnsi="serif"/>
          <w:b/>
        </w:rPr>
      </w:pPr>
      <w:r>
        <w:rPr>
          <w:rFonts w:ascii="serif" w:hAnsi="serif"/>
          <w:b/>
        </w:rPr>
        <w:t>Option Exercises and Stock Vested for Fiscal 2007</w:t>
      </w:r>
    </w:p>
    <w:p>
      <w:pPr>
        <w:pStyle w:val="TextBody"/>
        <w:jc w:val="both"/>
        <w:rPr/>
      </w:pPr>
      <w:r>
        <w:rPr/>
        <w:t>     </w:t>
      </w:r>
      <w:r>
        <w:rPr>
          <w:rFonts w:ascii="serif" w:hAnsi="serif"/>
          <w:sz w:val="20"/>
        </w:rPr>
        <w:t>The following table provides information for the named executive officers on:</w:t>
      </w:r>
    </w:p>
    <w:p>
      <w:pPr>
        <w:pStyle w:val="TextBody"/>
        <w:numPr>
          <w:ilvl w:val="0"/>
          <w:numId w:val="17"/>
        </w:numPr>
        <w:tabs>
          <w:tab w:val="clear" w:pos="1134"/>
          <w:tab w:val="left" w:pos="707" w:leader="none"/>
        </w:tabs>
        <w:spacing w:before="0" w:after="0"/>
        <w:ind w:left="707" w:hanging="283"/>
        <w:jc w:val="both"/>
        <w:rPr/>
      </w:pPr>
      <w:r>
        <w:rPr>
          <w:sz w:val="20"/>
        </w:rPr>
        <w:t>the number of shares of the Companys stock acquired and the value received from stock option exercise during fiscal 2007; and</w:t>
        <w:br/>
        <w:t> </w:t>
      </w:r>
      <w:r>
        <w:rPr/>
        <w:t xml:space="preserve"> </w:t>
      </w:r>
    </w:p>
    <w:p>
      <w:pPr>
        <w:pStyle w:val="TextBody"/>
        <w:numPr>
          <w:ilvl w:val="0"/>
          <w:numId w:val="17"/>
        </w:numPr>
        <w:tabs>
          <w:tab w:val="clear" w:pos="1134"/>
          <w:tab w:val="left" w:pos="707" w:leader="none"/>
        </w:tabs>
        <w:ind w:left="707" w:hanging="283"/>
        <w:jc w:val="both"/>
        <w:rPr>
          <w:sz w:val="20"/>
        </w:rPr>
      </w:pPr>
      <w:r>
        <w:rPr>
          <w:sz w:val="20"/>
        </w:rPr>
        <w:t>the number of shares of the Companys restricted stock which vested and the value received upon vesting during fiscal 2007.</w:t>
      </w:r>
    </w:p>
    <w:p>
      <w:pPr>
        <w:pStyle w:val="TextBody"/>
        <w:jc w:val="both"/>
        <w:rPr/>
      </w:pPr>
      <w:r>
        <w:rPr/>
        <w:t>     </w:t>
      </w:r>
      <w:r>
        <w:rPr>
          <w:rFonts w:ascii="serif" w:hAnsi="serif"/>
          <w:sz w:val="20"/>
        </w:rPr>
        <w:t>The shares acquired by Daniel S. Jaffee and Thomas F. Cofsky are shares of Class B Stock. The shares acquired by Brian K. Bancroft are shares of Common Stock.</w:t>
      </w:r>
    </w:p>
    <w:tbl>
      <w:tblPr>
        <w:tblW w:w="5000" w:type="pct"/>
        <w:jc w:val="left"/>
        <w:tblInd w:w="0" w:type="dxa"/>
        <w:tblCellMar>
          <w:top w:w="0" w:type="dxa"/>
          <w:left w:w="0" w:type="dxa"/>
          <w:bottom w:w="0" w:type="dxa"/>
          <w:right w:w="0" w:type="dxa"/>
        </w:tblCellMar>
      </w:tblPr>
      <w:tblGrid>
        <w:gridCol w:w="2789"/>
        <w:gridCol w:w="304"/>
        <w:gridCol w:w="1406"/>
        <w:gridCol w:w="304"/>
        <w:gridCol w:w="585"/>
        <w:gridCol w:w="158"/>
        <w:gridCol w:w="948"/>
        <w:gridCol w:w="304"/>
        <w:gridCol w:w="1406"/>
        <w:gridCol w:w="304"/>
        <w:gridCol w:w="585"/>
        <w:gridCol w:w="158"/>
        <w:gridCol w:w="954"/>
      </w:tblGrid>
      <w:tr>
        <w:trPr/>
        <w:tc>
          <w:tcPr>
            <w:tcW w:w="278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jc w:val="center"/>
              <w:rPr/>
            </w:pPr>
            <w:r>
              <w:rPr/>
              <w:t>     </w:t>
            </w:r>
          </w:p>
        </w:tc>
        <w:tc>
          <w:tcPr>
            <w:tcW w:w="3401" w:type="dxa"/>
            <w:gridSpan w:val="5"/>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Option Awards</w:t>
            </w:r>
          </w:p>
        </w:tc>
        <w:tc>
          <w:tcPr>
            <w:tcW w:w="304" w:type="dxa"/>
            <w:tcBorders/>
            <w:shd w:fill="auto" w:val="clear"/>
            <w:vAlign w:val="bottom"/>
          </w:tcPr>
          <w:p>
            <w:pPr>
              <w:pStyle w:val="TableContents"/>
              <w:spacing w:before="0" w:after="283"/>
              <w:rPr>
                <w:sz w:val="4"/>
                <w:szCs w:val="4"/>
              </w:rPr>
            </w:pPr>
            <w:r>
              <w:rPr>
                <w:sz w:val="4"/>
                <w:szCs w:val="4"/>
              </w:rPr>
            </w:r>
          </w:p>
        </w:tc>
        <w:tc>
          <w:tcPr>
            <w:tcW w:w="3407" w:type="dxa"/>
            <w:gridSpan w:val="5"/>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Stock Awards</w:t>
            </w:r>
          </w:p>
        </w:tc>
      </w:tr>
      <w:tr>
        <w:trPr/>
        <w:tc>
          <w:tcPr>
            <w:tcW w:w="278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Number of</w:t>
            </w:r>
          </w:p>
        </w:tc>
        <w:tc>
          <w:tcPr>
            <w:tcW w:w="304" w:type="dxa"/>
            <w:tcBorders/>
            <w:shd w:fill="auto" w:val="clear"/>
            <w:vAlign w:val="bottom"/>
          </w:tcPr>
          <w:p>
            <w:pPr>
              <w:pStyle w:val="TableContents"/>
              <w:spacing w:before="0" w:after="283"/>
              <w:rPr>
                <w:sz w:val="4"/>
                <w:szCs w:val="4"/>
              </w:rPr>
            </w:pPr>
            <w:r>
              <w:rPr>
                <w:sz w:val="4"/>
                <w:szCs w:val="4"/>
              </w:rPr>
            </w:r>
          </w:p>
        </w:tc>
        <w:tc>
          <w:tcPr>
            <w:tcW w:w="1691" w:type="dxa"/>
            <w:gridSpan w:val="3"/>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Number of</w:t>
            </w:r>
          </w:p>
        </w:tc>
        <w:tc>
          <w:tcPr>
            <w:tcW w:w="304" w:type="dxa"/>
            <w:tcBorders/>
            <w:shd w:fill="auto" w:val="clear"/>
            <w:vAlign w:val="bottom"/>
          </w:tcPr>
          <w:p>
            <w:pPr>
              <w:pStyle w:val="TableContents"/>
              <w:spacing w:before="0" w:after="283"/>
              <w:rPr>
                <w:sz w:val="4"/>
                <w:szCs w:val="4"/>
              </w:rPr>
            </w:pPr>
            <w:r>
              <w:rPr>
                <w:sz w:val="4"/>
                <w:szCs w:val="4"/>
              </w:rPr>
            </w:r>
          </w:p>
        </w:tc>
        <w:tc>
          <w:tcPr>
            <w:tcW w:w="1697" w:type="dxa"/>
            <w:gridSpan w:val="3"/>
            <w:tcBorders/>
            <w:shd w:fill="auto" w:val="clear"/>
            <w:vAlign w:val="bottom"/>
          </w:tcPr>
          <w:p>
            <w:pPr>
              <w:pStyle w:val="TableContents"/>
              <w:spacing w:before="0" w:after="283"/>
              <w:rPr>
                <w:sz w:val="4"/>
                <w:szCs w:val="4"/>
              </w:rPr>
            </w:pPr>
            <w:r>
              <w:rPr>
                <w:sz w:val="4"/>
                <w:szCs w:val="4"/>
              </w:rPr>
            </w:r>
          </w:p>
        </w:tc>
      </w:tr>
      <w:tr>
        <w:trPr/>
        <w:tc>
          <w:tcPr>
            <w:tcW w:w="278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Shares</w:t>
            </w:r>
          </w:p>
        </w:tc>
        <w:tc>
          <w:tcPr>
            <w:tcW w:w="304" w:type="dxa"/>
            <w:tcBorders/>
            <w:shd w:fill="auto" w:val="clear"/>
            <w:vAlign w:val="bottom"/>
          </w:tcPr>
          <w:p>
            <w:pPr>
              <w:pStyle w:val="TableContents"/>
              <w:spacing w:before="0" w:after="283"/>
              <w:rPr>
                <w:sz w:val="4"/>
                <w:szCs w:val="4"/>
              </w:rPr>
            </w:pPr>
            <w:r>
              <w:rPr>
                <w:sz w:val="4"/>
                <w:szCs w:val="4"/>
              </w:rPr>
            </w:r>
          </w:p>
        </w:tc>
        <w:tc>
          <w:tcPr>
            <w:tcW w:w="1691" w:type="dxa"/>
            <w:gridSpan w:val="3"/>
            <w:tcBorders/>
            <w:shd w:fill="auto" w:val="clear"/>
            <w:vAlign w:val="bottom"/>
          </w:tcPr>
          <w:p>
            <w:pPr>
              <w:pStyle w:val="TableContents"/>
              <w:spacing w:before="0" w:after="283"/>
              <w:jc w:val="center"/>
              <w:rPr/>
            </w:pPr>
            <w:r>
              <w:rPr/>
              <w:t> </w:t>
            </w:r>
            <w:r>
              <w:rPr>
                <w:rFonts w:ascii="serif" w:hAnsi="serif"/>
                <w:b/>
                <w:sz w:val="20"/>
              </w:rPr>
              <w:t>Value Realized</w:t>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Shares</w:t>
            </w:r>
          </w:p>
        </w:tc>
        <w:tc>
          <w:tcPr>
            <w:tcW w:w="304" w:type="dxa"/>
            <w:tcBorders/>
            <w:shd w:fill="auto" w:val="clear"/>
            <w:vAlign w:val="bottom"/>
          </w:tcPr>
          <w:p>
            <w:pPr>
              <w:pStyle w:val="TableContents"/>
              <w:spacing w:before="0" w:after="283"/>
              <w:rPr>
                <w:sz w:val="4"/>
                <w:szCs w:val="4"/>
              </w:rPr>
            </w:pPr>
            <w:r>
              <w:rPr>
                <w:sz w:val="4"/>
                <w:szCs w:val="4"/>
              </w:rPr>
            </w:r>
          </w:p>
        </w:tc>
        <w:tc>
          <w:tcPr>
            <w:tcW w:w="1697" w:type="dxa"/>
            <w:gridSpan w:val="3"/>
            <w:tcBorders/>
            <w:shd w:fill="auto" w:val="clear"/>
            <w:vAlign w:val="bottom"/>
          </w:tcPr>
          <w:p>
            <w:pPr>
              <w:pStyle w:val="TableContents"/>
              <w:spacing w:before="0" w:after="283"/>
              <w:jc w:val="center"/>
              <w:rPr/>
            </w:pPr>
            <w:r>
              <w:rPr/>
              <w:t> </w:t>
            </w:r>
            <w:r>
              <w:rPr>
                <w:rFonts w:ascii="serif" w:hAnsi="serif"/>
                <w:b/>
                <w:sz w:val="20"/>
              </w:rPr>
              <w:t>Value Realized</w:t>
            </w:r>
          </w:p>
        </w:tc>
      </w:tr>
      <w:tr>
        <w:trPr/>
        <w:tc>
          <w:tcPr>
            <w:tcW w:w="278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Acquired on</w:t>
            </w:r>
          </w:p>
        </w:tc>
        <w:tc>
          <w:tcPr>
            <w:tcW w:w="304" w:type="dxa"/>
            <w:tcBorders/>
            <w:shd w:fill="auto" w:val="clear"/>
            <w:vAlign w:val="bottom"/>
          </w:tcPr>
          <w:p>
            <w:pPr>
              <w:pStyle w:val="TableContents"/>
              <w:spacing w:before="0" w:after="283"/>
              <w:rPr>
                <w:sz w:val="4"/>
                <w:szCs w:val="4"/>
              </w:rPr>
            </w:pPr>
            <w:r>
              <w:rPr>
                <w:sz w:val="4"/>
                <w:szCs w:val="4"/>
              </w:rPr>
            </w:r>
          </w:p>
        </w:tc>
        <w:tc>
          <w:tcPr>
            <w:tcW w:w="1691" w:type="dxa"/>
            <w:gridSpan w:val="3"/>
            <w:tcBorders/>
            <w:shd w:fill="auto" w:val="clear"/>
            <w:vAlign w:val="bottom"/>
          </w:tcPr>
          <w:p>
            <w:pPr>
              <w:pStyle w:val="TableContents"/>
              <w:spacing w:before="0" w:after="283"/>
              <w:jc w:val="center"/>
              <w:rPr/>
            </w:pPr>
            <w:r>
              <w:rPr/>
              <w:t> </w:t>
            </w:r>
            <w:r>
              <w:rPr>
                <w:rFonts w:ascii="serif" w:hAnsi="serif"/>
                <w:b/>
                <w:sz w:val="20"/>
              </w:rPr>
              <w:t>on Exercise</w:t>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Acquired on</w:t>
            </w:r>
          </w:p>
        </w:tc>
        <w:tc>
          <w:tcPr>
            <w:tcW w:w="304" w:type="dxa"/>
            <w:tcBorders/>
            <w:shd w:fill="auto" w:val="clear"/>
            <w:vAlign w:val="bottom"/>
          </w:tcPr>
          <w:p>
            <w:pPr>
              <w:pStyle w:val="TableContents"/>
              <w:spacing w:before="0" w:after="283"/>
              <w:rPr>
                <w:sz w:val="4"/>
                <w:szCs w:val="4"/>
              </w:rPr>
            </w:pPr>
            <w:r>
              <w:rPr>
                <w:sz w:val="4"/>
                <w:szCs w:val="4"/>
              </w:rPr>
            </w:r>
          </w:p>
        </w:tc>
        <w:tc>
          <w:tcPr>
            <w:tcW w:w="1697" w:type="dxa"/>
            <w:gridSpan w:val="3"/>
            <w:tcBorders/>
            <w:shd w:fill="auto" w:val="clear"/>
            <w:vAlign w:val="bottom"/>
          </w:tcPr>
          <w:p>
            <w:pPr>
              <w:pStyle w:val="TableContents"/>
              <w:spacing w:before="0" w:after="283"/>
              <w:jc w:val="center"/>
              <w:rPr/>
            </w:pPr>
            <w:r>
              <w:rPr/>
              <w:t> </w:t>
            </w:r>
            <w:r>
              <w:rPr>
                <w:rFonts w:ascii="serif" w:hAnsi="serif"/>
                <w:b/>
                <w:sz w:val="20"/>
              </w:rPr>
              <w:t>on Vesting</w:t>
            </w:r>
          </w:p>
        </w:tc>
      </w:tr>
      <w:tr>
        <w:trPr/>
        <w:tc>
          <w:tcPr>
            <w:tcW w:w="278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Exercise</w:t>
            </w:r>
          </w:p>
        </w:tc>
        <w:tc>
          <w:tcPr>
            <w:tcW w:w="304" w:type="dxa"/>
            <w:tcBorders/>
            <w:shd w:fill="auto" w:val="clear"/>
            <w:vAlign w:val="bottom"/>
          </w:tcPr>
          <w:p>
            <w:pPr>
              <w:pStyle w:val="TableContents"/>
              <w:spacing w:before="0" w:after="283"/>
              <w:rPr>
                <w:sz w:val="4"/>
                <w:szCs w:val="4"/>
              </w:rPr>
            </w:pPr>
            <w:r>
              <w:rPr>
                <w:sz w:val="4"/>
                <w:szCs w:val="4"/>
              </w:rPr>
            </w:r>
          </w:p>
        </w:tc>
        <w:tc>
          <w:tcPr>
            <w:tcW w:w="1691" w:type="dxa"/>
            <w:gridSpan w:val="3"/>
            <w:tcBorders/>
            <w:shd w:fill="auto" w:val="clear"/>
            <w:vAlign w:val="bottom"/>
          </w:tcPr>
          <w:p>
            <w:pPr>
              <w:pStyle w:val="TableContents"/>
              <w:spacing w:before="0" w:after="283"/>
              <w:jc w:val="center"/>
              <w:rPr/>
            </w:pPr>
            <w:r>
              <w:rPr/>
              <w:t> </w:t>
            </w:r>
            <w:r>
              <w:rPr>
                <w:rFonts w:ascii="serif" w:hAnsi="serif"/>
                <w:b/>
                <w:sz w:val="20"/>
              </w:rPr>
              <w:t>($)</w:t>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center"/>
              <w:rPr/>
            </w:pPr>
            <w:r>
              <w:rPr/>
              <w:t> </w:t>
            </w:r>
            <w:r>
              <w:rPr>
                <w:rFonts w:ascii="serif" w:hAnsi="serif"/>
                <w:b/>
                <w:sz w:val="20"/>
              </w:rPr>
              <w:t>Vesting</w:t>
            </w:r>
          </w:p>
        </w:tc>
        <w:tc>
          <w:tcPr>
            <w:tcW w:w="304" w:type="dxa"/>
            <w:tcBorders/>
            <w:shd w:fill="auto" w:val="clear"/>
            <w:vAlign w:val="bottom"/>
          </w:tcPr>
          <w:p>
            <w:pPr>
              <w:pStyle w:val="TableContents"/>
              <w:spacing w:before="0" w:after="283"/>
              <w:rPr>
                <w:sz w:val="4"/>
                <w:szCs w:val="4"/>
              </w:rPr>
            </w:pPr>
            <w:r>
              <w:rPr>
                <w:sz w:val="4"/>
                <w:szCs w:val="4"/>
              </w:rPr>
            </w:r>
          </w:p>
        </w:tc>
        <w:tc>
          <w:tcPr>
            <w:tcW w:w="1697" w:type="dxa"/>
            <w:gridSpan w:val="3"/>
            <w:tcBorders/>
            <w:shd w:fill="auto" w:val="clear"/>
            <w:vAlign w:val="bottom"/>
          </w:tcPr>
          <w:p>
            <w:pPr>
              <w:pStyle w:val="TableContents"/>
              <w:spacing w:before="0" w:after="283"/>
              <w:jc w:val="center"/>
              <w:rPr/>
            </w:pPr>
            <w:r>
              <w:rPr/>
              <w:t> </w:t>
            </w:r>
            <w:r>
              <w:rPr>
                <w:rFonts w:ascii="serif" w:hAnsi="serif"/>
                <w:b/>
                <w:sz w:val="20"/>
              </w:rPr>
              <w:t>($)</w:t>
            </w:r>
          </w:p>
        </w:tc>
      </w:tr>
      <w:tr>
        <w:trPr/>
        <w:tc>
          <w:tcPr>
            <w:tcW w:w="2789"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30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06"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w:t>
            </w:r>
          </w:p>
        </w:tc>
        <w:tc>
          <w:tcPr>
            <w:tcW w:w="30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691"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(1)</w:t>
            </w:r>
          </w:p>
        </w:tc>
        <w:tc>
          <w:tcPr>
            <w:tcW w:w="30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06"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w:t>
            </w:r>
          </w:p>
        </w:tc>
        <w:tc>
          <w:tcPr>
            <w:tcW w:w="30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697"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(1)</w:t>
            </w:r>
          </w:p>
        </w:tc>
      </w:tr>
      <w:tr>
        <w:trPr/>
        <w:tc>
          <w:tcPr>
            <w:tcW w:w="2789"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304" w:type="dxa"/>
            <w:tcBorders/>
            <w:shd w:fill="C0C0C0" w:val="clear"/>
            <w:vAlign w:val="bottom"/>
          </w:tcPr>
          <w:p>
            <w:pPr>
              <w:pStyle w:val="TableContents"/>
              <w:spacing w:before="0" w:after="283"/>
              <w:rPr>
                <w:sz w:val="4"/>
                <w:szCs w:val="4"/>
              </w:rPr>
            </w:pPr>
            <w:r>
              <w:rPr>
                <w:sz w:val="4"/>
                <w:szCs w:val="4"/>
              </w:rPr>
            </w:r>
          </w:p>
        </w:tc>
        <w:tc>
          <w:tcPr>
            <w:tcW w:w="1406" w:type="dxa"/>
            <w:tcBorders/>
            <w:shd w:fill="C0C0C0" w:val="clear"/>
            <w:vAlign w:val="bottom"/>
          </w:tcPr>
          <w:p>
            <w:pPr>
              <w:pStyle w:val="TableContents"/>
              <w:spacing w:before="0" w:after="283"/>
              <w:jc w:val="right"/>
              <w:rPr>
                <w:rFonts w:ascii="serif" w:hAnsi="serif"/>
                <w:sz w:val="20"/>
              </w:rPr>
            </w:pPr>
            <w:r>
              <w:rPr>
                <w:rFonts w:ascii="serif" w:hAnsi="serif"/>
                <w:sz w:val="20"/>
              </w:rPr>
              <w:t>41,875</w:t>
            </w:r>
          </w:p>
        </w:tc>
        <w:tc>
          <w:tcPr>
            <w:tcW w:w="304" w:type="dxa"/>
            <w:tcBorders/>
            <w:shd w:fill="C0C0C0" w:val="clear"/>
            <w:vAlign w:val="bottom"/>
          </w:tcPr>
          <w:p>
            <w:pPr>
              <w:pStyle w:val="TableContents"/>
              <w:spacing w:before="0" w:after="283"/>
              <w:jc w:val="right"/>
              <w:rPr/>
            </w:pPr>
            <w:r>
              <w:rPr/>
              <w:t> </w:t>
            </w:r>
          </w:p>
        </w:tc>
        <w:tc>
          <w:tcPr>
            <w:tcW w:w="585" w:type="dxa"/>
            <w:tcBorders/>
            <w:shd w:fill="C0C0C0" w:val="clear"/>
            <w:vAlign w:val="bottom"/>
          </w:tcPr>
          <w:p>
            <w:pPr>
              <w:pStyle w:val="TableContents"/>
              <w:spacing w:before="0" w:after="283"/>
              <w:jc w:val="right"/>
              <w:rPr/>
            </w:pPr>
            <w:r>
              <w:rPr/>
              <w:t>         </w:t>
            </w:r>
          </w:p>
        </w:tc>
        <w:tc>
          <w:tcPr>
            <w:tcW w:w="158"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48" w:type="dxa"/>
            <w:tcBorders/>
            <w:shd w:fill="C0C0C0" w:val="clear"/>
            <w:vAlign w:val="bottom"/>
          </w:tcPr>
          <w:p>
            <w:pPr>
              <w:pStyle w:val="TableContents"/>
              <w:spacing w:before="0" w:after="283"/>
              <w:jc w:val="right"/>
              <w:rPr/>
            </w:pPr>
            <w:r>
              <w:rPr/>
              <w:t> </w:t>
            </w:r>
            <w:r>
              <w:rPr>
                <w:rFonts w:ascii="serif" w:hAnsi="serif"/>
                <w:sz w:val="20"/>
              </w:rPr>
              <w:t>281,857</w:t>
            </w:r>
          </w:p>
        </w:tc>
        <w:tc>
          <w:tcPr>
            <w:tcW w:w="304" w:type="dxa"/>
            <w:tcBorders/>
            <w:shd w:fill="C0C0C0" w:val="clear"/>
            <w:vAlign w:val="bottom"/>
          </w:tcPr>
          <w:p>
            <w:pPr>
              <w:pStyle w:val="TableContents"/>
              <w:spacing w:before="0" w:after="283"/>
              <w:rPr>
                <w:sz w:val="4"/>
                <w:szCs w:val="4"/>
              </w:rPr>
            </w:pPr>
            <w:r>
              <w:rPr>
                <w:sz w:val="4"/>
                <w:szCs w:val="4"/>
              </w:rPr>
            </w:r>
          </w:p>
        </w:tc>
        <w:tc>
          <w:tcPr>
            <w:tcW w:w="1406" w:type="dxa"/>
            <w:tcBorders/>
            <w:shd w:fill="C0C0C0" w:val="clear"/>
            <w:vAlign w:val="bottom"/>
          </w:tcPr>
          <w:p>
            <w:pPr>
              <w:pStyle w:val="TableContents"/>
              <w:spacing w:before="0" w:after="283"/>
              <w:jc w:val="right"/>
              <w:rPr>
                <w:rFonts w:ascii="serif" w:hAnsi="serif"/>
                <w:sz w:val="20"/>
              </w:rPr>
            </w:pPr>
            <w:r>
              <w:rPr>
                <w:rFonts w:ascii="serif" w:hAnsi="serif"/>
                <w:sz w:val="20"/>
              </w:rPr>
              <w:t>17,500</w:t>
            </w:r>
          </w:p>
        </w:tc>
        <w:tc>
          <w:tcPr>
            <w:tcW w:w="304" w:type="dxa"/>
            <w:tcBorders/>
            <w:shd w:fill="C0C0C0" w:val="clear"/>
            <w:vAlign w:val="bottom"/>
          </w:tcPr>
          <w:p>
            <w:pPr>
              <w:pStyle w:val="TableContents"/>
              <w:spacing w:before="0" w:after="283"/>
              <w:rPr>
                <w:sz w:val="4"/>
                <w:szCs w:val="4"/>
              </w:rPr>
            </w:pPr>
            <w:r>
              <w:rPr>
                <w:sz w:val="4"/>
                <w:szCs w:val="4"/>
              </w:rPr>
            </w:r>
          </w:p>
        </w:tc>
        <w:tc>
          <w:tcPr>
            <w:tcW w:w="585" w:type="dxa"/>
            <w:tcBorders/>
            <w:shd w:fill="C0C0C0" w:val="clear"/>
            <w:vAlign w:val="bottom"/>
          </w:tcPr>
          <w:p>
            <w:pPr>
              <w:pStyle w:val="TableContents"/>
              <w:spacing w:before="0" w:after="283"/>
              <w:jc w:val="right"/>
              <w:rPr/>
            </w:pPr>
            <w:r>
              <w:rPr/>
              <w:t>         </w:t>
            </w:r>
          </w:p>
        </w:tc>
        <w:tc>
          <w:tcPr>
            <w:tcW w:w="158"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54" w:type="dxa"/>
            <w:tcBorders/>
            <w:shd w:fill="C0C0C0" w:val="clear"/>
            <w:vAlign w:val="bottom"/>
          </w:tcPr>
          <w:p>
            <w:pPr>
              <w:pStyle w:val="TableContents"/>
              <w:spacing w:before="0" w:after="283"/>
              <w:jc w:val="right"/>
              <w:rPr/>
            </w:pPr>
            <w:r>
              <w:rPr/>
              <w:t> </w:t>
            </w:r>
            <w:r>
              <w:rPr>
                <w:rFonts w:ascii="serif" w:hAnsi="serif"/>
                <w:sz w:val="20"/>
              </w:rPr>
              <w:t>296,975</w:t>
            </w:r>
          </w:p>
        </w:tc>
      </w:tr>
      <w:tr>
        <w:trPr/>
        <w:tc>
          <w:tcPr>
            <w:tcW w:w="2789" w:type="dxa"/>
            <w:tcBorders/>
            <w:shd w:fill="auto" w:val="clear"/>
            <w:vAlign w:val="bottom"/>
          </w:tcPr>
          <w:p>
            <w:pPr>
              <w:pStyle w:val="TableContents"/>
              <w:spacing w:before="0" w:after="283"/>
              <w:jc w:val="left"/>
              <w:rPr>
                <w:rFonts w:ascii="serif" w:hAnsi="serif"/>
                <w:sz w:val="20"/>
              </w:rPr>
            </w:pPr>
            <w:r>
              <w:rPr>
                <w:rFonts w:ascii="serif" w:hAnsi="serif"/>
                <w:sz w:val="20"/>
              </w:rPr>
              <w:t>Andrew N. Peterson</w:t>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auto" w:val="clear"/>
            <w:vAlign w:val="bottom"/>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jc w:val="left"/>
              <w:rPr/>
            </w:pPr>
            <w:r>
              <w:rPr/>
              <w:t> </w:t>
            </w:r>
          </w:p>
        </w:tc>
        <w:tc>
          <w:tcPr>
            <w:tcW w:w="158" w:type="dxa"/>
            <w:tcBorders/>
            <w:shd w:fill="auto" w:val="clear"/>
            <w:vAlign w:val="bottom"/>
          </w:tcPr>
          <w:p>
            <w:pPr>
              <w:pStyle w:val="TableContents"/>
              <w:spacing w:before="0" w:after="283"/>
              <w:jc w:val="left"/>
              <w:rPr/>
            </w:pPr>
            <w:r>
              <w:rPr/>
              <w:t> </w:t>
            </w:r>
          </w:p>
        </w:tc>
        <w:tc>
          <w:tcPr>
            <w:tcW w:w="948"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auto" w:val="clear"/>
            <w:vAlign w:val="bottom"/>
          </w:tcPr>
          <w:p>
            <w:pPr>
              <w:pStyle w:val="TableContents"/>
              <w:spacing w:before="0" w:after="283"/>
              <w:jc w:val="left"/>
              <w:rPr/>
            </w:pPr>
            <w:r>
              <w:rPr/>
              <w:t> </w:t>
            </w:r>
          </w:p>
        </w:tc>
        <w:tc>
          <w:tcPr>
            <w:tcW w:w="585"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954"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2789" w:type="dxa"/>
            <w:tcBorders/>
            <w:shd w:fill="C0C0C0" w:val="clear"/>
            <w:vAlign w:val="bottom"/>
          </w:tcPr>
          <w:p>
            <w:pPr>
              <w:pStyle w:val="TableContents"/>
              <w:spacing w:before="0" w:after="283"/>
              <w:jc w:val="left"/>
              <w:rPr>
                <w:rFonts w:ascii="serif" w:hAnsi="serif"/>
                <w:sz w:val="20"/>
              </w:rPr>
            </w:pPr>
            <w:r>
              <w:rPr>
                <w:rFonts w:ascii="serif" w:hAnsi="serif"/>
                <w:sz w:val="20"/>
              </w:rPr>
              <w:t>Thomas F. Cofsky</w:t>
            </w:r>
          </w:p>
        </w:tc>
        <w:tc>
          <w:tcPr>
            <w:tcW w:w="304" w:type="dxa"/>
            <w:tcBorders/>
            <w:shd w:fill="C0C0C0" w:val="clear"/>
            <w:vAlign w:val="bottom"/>
          </w:tcPr>
          <w:p>
            <w:pPr>
              <w:pStyle w:val="TableContents"/>
              <w:spacing w:before="0" w:after="283"/>
              <w:jc w:val="right"/>
              <w:rPr/>
            </w:pPr>
            <w:r>
              <w:rPr/>
              <w:t> </w:t>
            </w:r>
          </w:p>
        </w:tc>
        <w:tc>
          <w:tcPr>
            <w:tcW w:w="1406" w:type="dxa"/>
            <w:tcBorders/>
            <w:shd w:fill="C0C0C0" w:val="clear"/>
            <w:vAlign w:val="bottom"/>
          </w:tcPr>
          <w:p>
            <w:pPr>
              <w:pStyle w:val="TableContents"/>
              <w:spacing w:before="0" w:after="283"/>
              <w:jc w:val="right"/>
              <w:rPr>
                <w:rFonts w:ascii="serif" w:hAnsi="serif"/>
                <w:sz w:val="20"/>
              </w:rPr>
            </w:pPr>
            <w:r>
              <w:rPr>
                <w:rFonts w:ascii="serif" w:hAnsi="serif"/>
                <w:sz w:val="20"/>
              </w:rPr>
              <w:t>6,250</w:t>
            </w:r>
          </w:p>
        </w:tc>
        <w:tc>
          <w:tcPr>
            <w:tcW w:w="304" w:type="dxa"/>
            <w:tcBorders/>
            <w:shd w:fill="C0C0C0" w:val="clear"/>
            <w:vAlign w:val="bottom"/>
          </w:tcPr>
          <w:p>
            <w:pPr>
              <w:pStyle w:val="TableContents"/>
              <w:spacing w:before="0" w:after="283"/>
              <w:rPr>
                <w:sz w:val="4"/>
                <w:szCs w:val="4"/>
              </w:rPr>
            </w:pPr>
            <w:r>
              <w:rPr>
                <w:sz w:val="4"/>
                <w:szCs w:val="4"/>
              </w:rPr>
            </w:r>
          </w:p>
        </w:tc>
        <w:tc>
          <w:tcPr>
            <w:tcW w:w="585" w:type="dxa"/>
            <w:tcBorders/>
            <w:shd w:fill="C0C0C0" w:val="clear"/>
            <w:vAlign w:val="bottom"/>
          </w:tcPr>
          <w:p>
            <w:pPr>
              <w:pStyle w:val="TableContents"/>
              <w:spacing w:before="0" w:after="283"/>
              <w:rPr>
                <w:sz w:val="4"/>
                <w:szCs w:val="4"/>
              </w:rPr>
            </w:pPr>
            <w:r>
              <w:rPr>
                <w:sz w:val="4"/>
                <w:szCs w:val="4"/>
              </w:rPr>
            </w:r>
          </w:p>
        </w:tc>
        <w:tc>
          <w:tcPr>
            <w:tcW w:w="158"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48" w:type="dxa"/>
            <w:tcBorders/>
            <w:shd w:fill="C0C0C0" w:val="clear"/>
            <w:vAlign w:val="bottom"/>
          </w:tcPr>
          <w:p>
            <w:pPr>
              <w:pStyle w:val="TableContents"/>
              <w:spacing w:before="0" w:after="283"/>
              <w:jc w:val="right"/>
              <w:rPr>
                <w:rFonts w:ascii="serif" w:hAnsi="serif"/>
                <w:sz w:val="20"/>
              </w:rPr>
            </w:pPr>
            <w:r>
              <w:rPr>
                <w:rFonts w:ascii="serif" w:hAnsi="serif"/>
                <w:sz w:val="20"/>
              </w:rPr>
              <w:t>58,750</w:t>
            </w:r>
          </w:p>
        </w:tc>
        <w:tc>
          <w:tcPr>
            <w:tcW w:w="304" w:type="dxa"/>
            <w:tcBorders/>
            <w:shd w:fill="C0C0C0" w:val="clear"/>
            <w:vAlign w:val="bottom"/>
          </w:tcPr>
          <w:p>
            <w:pPr>
              <w:pStyle w:val="TableContents"/>
              <w:spacing w:before="0" w:after="283"/>
              <w:rPr>
                <w:sz w:val="4"/>
                <w:szCs w:val="4"/>
              </w:rPr>
            </w:pPr>
            <w:r>
              <w:rPr>
                <w:sz w:val="4"/>
                <w:szCs w:val="4"/>
              </w:rPr>
            </w:r>
          </w:p>
        </w:tc>
        <w:tc>
          <w:tcPr>
            <w:tcW w:w="140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C0C0C0" w:val="clear"/>
            <w:vAlign w:val="bottom"/>
          </w:tcPr>
          <w:p>
            <w:pPr>
              <w:pStyle w:val="TableContents"/>
              <w:spacing w:before="0" w:after="283"/>
              <w:rPr>
                <w:sz w:val="4"/>
                <w:szCs w:val="4"/>
              </w:rPr>
            </w:pPr>
            <w:r>
              <w:rPr>
                <w:sz w:val="4"/>
                <w:szCs w:val="4"/>
              </w:rPr>
            </w:r>
          </w:p>
        </w:tc>
        <w:tc>
          <w:tcPr>
            <w:tcW w:w="585" w:type="dxa"/>
            <w:tcBorders/>
            <w:shd w:fill="C0C0C0" w:val="clear"/>
            <w:vAlign w:val="bottom"/>
          </w:tcPr>
          <w:p>
            <w:pPr>
              <w:pStyle w:val="TableContents"/>
              <w:spacing w:before="0" w:after="283"/>
              <w:rPr>
                <w:sz w:val="4"/>
                <w:szCs w:val="4"/>
              </w:rPr>
            </w:pPr>
            <w:r>
              <w:rPr>
                <w:sz w:val="4"/>
                <w:szCs w:val="4"/>
              </w:rPr>
            </w:r>
          </w:p>
        </w:tc>
        <w:tc>
          <w:tcPr>
            <w:tcW w:w="158" w:type="dxa"/>
            <w:tcBorders/>
            <w:shd w:fill="C0C0C0" w:val="clear"/>
            <w:vAlign w:val="bottom"/>
          </w:tcPr>
          <w:p>
            <w:pPr>
              <w:pStyle w:val="TableContents"/>
              <w:spacing w:before="0" w:after="283"/>
              <w:rPr>
                <w:sz w:val="4"/>
                <w:szCs w:val="4"/>
              </w:rPr>
            </w:pPr>
            <w:r>
              <w:rPr>
                <w:sz w:val="4"/>
                <w:szCs w:val="4"/>
              </w:rPr>
            </w:r>
          </w:p>
        </w:tc>
        <w:tc>
          <w:tcPr>
            <w:tcW w:w="95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2789" w:type="dxa"/>
            <w:tcBorders/>
            <w:shd w:fill="auto" w:val="clear"/>
            <w:vAlign w:val="bottom"/>
          </w:tcPr>
          <w:p>
            <w:pPr>
              <w:pStyle w:val="TableContents"/>
              <w:spacing w:before="0" w:after="283"/>
              <w:jc w:val="left"/>
              <w:rPr>
                <w:rFonts w:ascii="serif" w:hAnsi="serif"/>
                <w:sz w:val="20"/>
              </w:rPr>
            </w:pPr>
            <w:r>
              <w:rPr>
                <w:rFonts w:ascii="serif" w:hAnsi="serif"/>
                <w:sz w:val="20"/>
              </w:rPr>
              <w:t>Charles P. Brissman</w:t>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auto" w:val="clear"/>
            <w:vAlign w:val="bottom"/>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948"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auto" w:val="clear"/>
            <w:vAlign w:val="bottom"/>
          </w:tcPr>
          <w:p>
            <w:pPr>
              <w:pStyle w:val="TableContents"/>
              <w:spacing w:before="0" w:after="283"/>
              <w:rPr>
                <w:sz w:val="4"/>
                <w:szCs w:val="4"/>
              </w:rPr>
            </w:pPr>
            <w:r>
              <w:rPr>
                <w:sz w:val="4"/>
                <w:szCs w:val="4"/>
              </w:rPr>
            </w:r>
          </w:p>
        </w:tc>
        <w:tc>
          <w:tcPr>
            <w:tcW w:w="140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auto" w:val="clear"/>
            <w:vAlign w:val="bottom"/>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954"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2789"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304" w:type="dxa"/>
            <w:tcBorders/>
            <w:shd w:fill="C0C0C0" w:val="clear"/>
            <w:vAlign w:val="bottom"/>
          </w:tcPr>
          <w:p>
            <w:pPr>
              <w:pStyle w:val="TableContents"/>
              <w:spacing w:before="0" w:after="283"/>
              <w:rPr>
                <w:sz w:val="4"/>
                <w:szCs w:val="4"/>
              </w:rPr>
            </w:pPr>
            <w:r>
              <w:rPr>
                <w:sz w:val="4"/>
                <w:szCs w:val="4"/>
              </w:rPr>
            </w:r>
          </w:p>
        </w:tc>
        <w:tc>
          <w:tcPr>
            <w:tcW w:w="140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C0C0C0" w:val="clear"/>
            <w:vAlign w:val="bottom"/>
          </w:tcPr>
          <w:p>
            <w:pPr>
              <w:pStyle w:val="TableContents"/>
              <w:spacing w:before="0" w:after="283"/>
              <w:rPr>
                <w:sz w:val="4"/>
                <w:szCs w:val="4"/>
              </w:rPr>
            </w:pPr>
            <w:r>
              <w:rPr>
                <w:sz w:val="4"/>
                <w:szCs w:val="4"/>
              </w:rPr>
            </w:r>
          </w:p>
        </w:tc>
        <w:tc>
          <w:tcPr>
            <w:tcW w:w="585" w:type="dxa"/>
            <w:tcBorders/>
            <w:shd w:fill="C0C0C0" w:val="clear"/>
            <w:vAlign w:val="bottom"/>
          </w:tcPr>
          <w:p>
            <w:pPr>
              <w:pStyle w:val="TableContents"/>
              <w:spacing w:before="0" w:after="283"/>
              <w:rPr>
                <w:sz w:val="4"/>
                <w:szCs w:val="4"/>
              </w:rPr>
            </w:pPr>
            <w:r>
              <w:rPr>
                <w:sz w:val="4"/>
                <w:szCs w:val="4"/>
              </w:rPr>
            </w:r>
          </w:p>
        </w:tc>
        <w:tc>
          <w:tcPr>
            <w:tcW w:w="158" w:type="dxa"/>
            <w:tcBorders/>
            <w:shd w:fill="C0C0C0" w:val="clear"/>
            <w:vAlign w:val="bottom"/>
          </w:tcPr>
          <w:p>
            <w:pPr>
              <w:pStyle w:val="TableContents"/>
              <w:spacing w:before="0" w:after="283"/>
              <w:rPr>
                <w:sz w:val="4"/>
                <w:szCs w:val="4"/>
              </w:rPr>
            </w:pPr>
            <w:r>
              <w:rPr>
                <w:sz w:val="4"/>
                <w:szCs w:val="4"/>
              </w:rPr>
            </w:r>
          </w:p>
        </w:tc>
        <w:tc>
          <w:tcPr>
            <w:tcW w:w="948"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4" w:type="dxa"/>
            <w:tcBorders/>
            <w:shd w:fill="C0C0C0" w:val="clear"/>
            <w:vAlign w:val="bottom"/>
          </w:tcPr>
          <w:p>
            <w:pPr>
              <w:pStyle w:val="TableContents"/>
              <w:spacing w:before="0" w:after="283"/>
              <w:rPr>
                <w:sz w:val="4"/>
                <w:szCs w:val="4"/>
              </w:rPr>
            </w:pPr>
            <w:r>
              <w:rPr>
                <w:sz w:val="4"/>
                <w:szCs w:val="4"/>
              </w:rPr>
            </w:r>
          </w:p>
        </w:tc>
        <w:tc>
          <w:tcPr>
            <w:tcW w:w="1406" w:type="dxa"/>
            <w:tcBorders/>
            <w:shd w:fill="C0C0C0" w:val="clear"/>
            <w:vAlign w:val="bottom"/>
          </w:tcPr>
          <w:p>
            <w:pPr>
              <w:pStyle w:val="TableContents"/>
              <w:spacing w:before="0" w:after="283"/>
              <w:jc w:val="right"/>
              <w:rPr>
                <w:rFonts w:ascii="serif" w:hAnsi="serif"/>
                <w:sz w:val="20"/>
              </w:rPr>
            </w:pPr>
            <w:r>
              <w:rPr>
                <w:rFonts w:ascii="serif" w:hAnsi="serif"/>
                <w:sz w:val="20"/>
              </w:rPr>
              <w:t>1,875</w:t>
            </w:r>
          </w:p>
        </w:tc>
        <w:tc>
          <w:tcPr>
            <w:tcW w:w="304" w:type="dxa"/>
            <w:tcBorders/>
            <w:shd w:fill="C0C0C0" w:val="clear"/>
            <w:vAlign w:val="bottom"/>
          </w:tcPr>
          <w:p>
            <w:pPr>
              <w:pStyle w:val="TableContents"/>
              <w:spacing w:before="0" w:after="283"/>
              <w:rPr>
                <w:sz w:val="4"/>
                <w:szCs w:val="4"/>
              </w:rPr>
            </w:pPr>
            <w:r>
              <w:rPr>
                <w:sz w:val="4"/>
                <w:szCs w:val="4"/>
              </w:rPr>
            </w:r>
          </w:p>
        </w:tc>
        <w:tc>
          <w:tcPr>
            <w:tcW w:w="585" w:type="dxa"/>
            <w:tcBorders/>
            <w:shd w:fill="C0C0C0" w:val="clear"/>
            <w:vAlign w:val="bottom"/>
          </w:tcPr>
          <w:p>
            <w:pPr>
              <w:pStyle w:val="TableContents"/>
              <w:spacing w:before="0" w:after="283"/>
              <w:rPr>
                <w:sz w:val="4"/>
                <w:szCs w:val="4"/>
              </w:rPr>
            </w:pPr>
            <w:r>
              <w:rPr>
                <w:sz w:val="4"/>
                <w:szCs w:val="4"/>
              </w:rPr>
            </w:r>
          </w:p>
        </w:tc>
        <w:tc>
          <w:tcPr>
            <w:tcW w:w="158"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54" w:type="dxa"/>
            <w:tcBorders/>
            <w:shd w:fill="C0C0C0" w:val="clear"/>
            <w:vAlign w:val="bottom"/>
          </w:tcPr>
          <w:p>
            <w:pPr>
              <w:pStyle w:val="TableContents"/>
              <w:spacing w:before="0" w:after="283"/>
              <w:jc w:val="right"/>
              <w:rPr>
                <w:rFonts w:ascii="serif" w:hAnsi="serif"/>
                <w:sz w:val="20"/>
              </w:rPr>
            </w:pPr>
            <w:r>
              <w:rPr>
                <w:rFonts w:ascii="serif" w:hAnsi="serif"/>
                <w:sz w:val="20"/>
              </w:rPr>
              <w:t>33,994</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4"/>
        <w:gridCol w:w="307"/>
        <w:gridCol w:w="9674"/>
      </w:tblGrid>
      <w:tr>
        <w:trPr/>
        <w:tc>
          <w:tcPr>
            <w:tcW w:w="224" w:type="dxa"/>
            <w:tcBorders/>
            <w:shd w:fill="auto" w:val="clear"/>
          </w:tcPr>
          <w:p>
            <w:pPr>
              <w:pStyle w:val="TableContents"/>
              <w:spacing w:before="0" w:after="283"/>
              <w:rPr>
                <w:sz w:val="20"/>
              </w:rPr>
            </w:pPr>
            <w:r>
              <w:rPr>
                <w:sz w:val="20"/>
              </w:rPr>
              <w:t>(1)</w:t>
            </w:r>
          </w:p>
        </w:tc>
        <w:tc>
          <w:tcPr>
            <w:tcW w:w="307" w:type="dxa"/>
            <w:tcBorders/>
            <w:shd w:fill="auto" w:val="clear"/>
          </w:tcPr>
          <w:p>
            <w:pPr>
              <w:pStyle w:val="TableContents"/>
              <w:spacing w:before="0" w:after="283"/>
              <w:rPr/>
            </w:pPr>
            <w:r>
              <w:rPr/>
              <w:t>     </w:t>
            </w:r>
          </w:p>
        </w:tc>
        <w:tc>
          <w:tcPr>
            <w:tcW w:w="9674" w:type="dxa"/>
            <w:tcBorders/>
            <w:shd w:fill="auto" w:val="clear"/>
          </w:tcPr>
          <w:p>
            <w:pPr>
              <w:pStyle w:val="TableContents"/>
              <w:spacing w:before="0" w:after="283"/>
              <w:rPr>
                <w:sz w:val="20"/>
              </w:rPr>
            </w:pPr>
            <w:r>
              <w:rPr>
                <w:sz w:val="20"/>
              </w:rPr>
              <w:t>The Value Realized represents the difference between the fair market value of our Common Stock on the date of exercise (or vesting, in the case of restricted stock) and the grant price, multiplied by the number of shares acquired or vested.</w:t>
            </w:r>
          </w:p>
        </w:tc>
      </w:tr>
    </w:tbl>
    <w:p>
      <w:pPr>
        <w:pStyle w:val="TextBody"/>
        <w:jc w:val="center"/>
        <w:rPr>
          <w:rFonts w:ascii="serif" w:hAnsi="serif"/>
          <w:b/>
        </w:rPr>
      </w:pPr>
      <w:r>
        <w:rPr>
          <w:rFonts w:ascii="serif" w:hAnsi="serif"/>
          <w:b/>
        </w:rPr>
        <w:t>Pension Benefits for Fiscal 2007</w:t>
      </w:r>
    </w:p>
    <w:p>
      <w:pPr>
        <w:pStyle w:val="TextBody"/>
        <w:jc w:val="both"/>
        <w:rPr/>
      </w:pPr>
      <w:r>
        <w:rPr/>
        <w:t>     </w:t>
      </w:r>
      <w:r>
        <w:rPr>
          <w:rFonts w:ascii="serif" w:hAnsi="serif"/>
          <w:b/>
          <w:sz w:val="20"/>
        </w:rPr>
        <w:t>Defined benefit pension plan</w:t>
      </w:r>
      <w:r>
        <w:rPr>
          <w:rFonts w:ascii="serif" w:hAnsi="serif"/>
          <w:sz w:val="20"/>
        </w:rPr>
        <w:t>: All U.S. based employees participate in Oil-Dris non-contributory, tax-qualified, defined benefit plan (the pension plan) once they reach age 21 and complete one year of service. For salaried employees, including the named executive officers, the pension plan provides for pensions based on credited years of service (capped at 30 years) and Final Average Compensation.</w:t>
      </w:r>
    </w:p>
    <w:p>
      <w:pPr>
        <w:pStyle w:val="TextBody"/>
        <w:jc w:val="both"/>
        <w:rPr/>
      </w:pPr>
      <w:r>
        <w:rPr/>
        <w:t>     </w:t>
      </w:r>
      <w:r>
        <w:rPr>
          <w:rFonts w:ascii="serif" w:hAnsi="serif"/>
          <w:sz w:val="20"/>
        </w:rPr>
        <w:t>The normal form of benefit is a life annuity with five years certain, payable at normal retirement age of 65. The standard form of payment for a participant who is married is a 50% joint and survivor annuity. Other forms of benefit are available. Each form of benefit has approximately the same relative value. The formula for computation of the normal form of benefit is:</w:t>
      </w:r>
    </w:p>
    <w:tbl>
      <w:tblPr>
        <w:tblW w:w="5620" w:type="dxa"/>
        <w:jc w:val="center"/>
        <w:tblInd w:w="0" w:type="dxa"/>
        <w:tblCellMar>
          <w:top w:w="0" w:type="dxa"/>
          <w:left w:w="0" w:type="dxa"/>
          <w:bottom w:w="0" w:type="dxa"/>
          <w:right w:w="0" w:type="dxa"/>
        </w:tblCellMar>
      </w:tblPr>
      <w:tblGrid>
        <w:gridCol w:w="365"/>
        <w:gridCol w:w="5255"/>
      </w:tblGrid>
      <w:tr>
        <w:trPr/>
        <w:tc>
          <w:tcPr>
            <w:tcW w:w="365" w:type="dxa"/>
            <w:tcBorders/>
            <w:shd w:fill="auto" w:val="clear"/>
            <w:vAlign w:val="bottom"/>
          </w:tcPr>
          <w:p>
            <w:pPr>
              <w:pStyle w:val="TableContents"/>
              <w:spacing w:before="0" w:after="283"/>
              <w:rPr>
                <w:sz w:val="4"/>
                <w:szCs w:val="4"/>
              </w:rPr>
            </w:pPr>
            <w:r>
              <w:rPr>
                <w:sz w:val="4"/>
                <w:szCs w:val="4"/>
              </w:rPr>
            </w:r>
          </w:p>
        </w:tc>
        <w:tc>
          <w:tcPr>
            <w:tcW w:w="5255" w:type="dxa"/>
            <w:tcBorders/>
            <w:shd w:fill="auto" w:val="clear"/>
            <w:vAlign w:val="bottom"/>
          </w:tcPr>
          <w:p>
            <w:pPr>
              <w:pStyle w:val="TableContents"/>
              <w:spacing w:before="0" w:after="283"/>
              <w:jc w:val="left"/>
              <w:rPr/>
            </w:pPr>
            <w:r>
              <w:rPr>
                <w:rFonts w:ascii="serif" w:hAnsi="serif"/>
                <w:sz w:val="20"/>
              </w:rPr>
              <w:t>0.55%</w:t>
            </w:r>
            <w:r>
              <w:rPr/>
              <w:t xml:space="preserve"> </w:t>
            </w:r>
            <w:r>
              <w:rPr>
                <w:rFonts w:ascii="serif" w:hAnsi="serif"/>
                <w:sz w:val="20"/>
              </w:rPr>
              <w:t>of Final Average Compensation</w:t>
            </w:r>
          </w:p>
        </w:tc>
      </w:tr>
      <w:tr>
        <w:trPr/>
        <w:tc>
          <w:tcPr>
            <w:tcW w:w="365" w:type="dxa"/>
            <w:tcBorders/>
            <w:shd w:fill="auto" w:val="clear"/>
            <w:vAlign w:val="bottom"/>
          </w:tcPr>
          <w:p>
            <w:pPr>
              <w:pStyle w:val="TableContents"/>
              <w:spacing w:before="0" w:after="283"/>
              <w:jc w:val="left"/>
              <w:rPr/>
            </w:pPr>
            <w:r>
              <w:rPr>
                <w:rFonts w:ascii="serif" w:hAnsi="serif"/>
                <w:sz w:val="20"/>
              </w:rPr>
              <w:t>+</w:t>
            </w:r>
            <w:r>
              <w:rPr/>
              <w:t>   </w:t>
            </w:r>
          </w:p>
        </w:tc>
        <w:tc>
          <w:tcPr>
            <w:tcW w:w="5255" w:type="dxa"/>
            <w:tcBorders/>
            <w:shd w:fill="auto" w:val="clear"/>
            <w:vAlign w:val="bottom"/>
          </w:tcPr>
          <w:p>
            <w:pPr>
              <w:pStyle w:val="TableContents"/>
              <w:spacing w:before="0" w:after="283"/>
              <w:jc w:val="left"/>
              <w:rPr/>
            </w:pPr>
            <w:r>
              <w:rPr>
                <w:rFonts w:ascii="serif" w:hAnsi="serif"/>
                <w:sz w:val="20"/>
              </w:rPr>
              <w:t>0.55%</w:t>
            </w:r>
            <w:r>
              <w:rPr/>
              <w:t xml:space="preserve"> </w:t>
            </w:r>
            <w:r>
              <w:rPr>
                <w:rFonts w:ascii="serif" w:hAnsi="serif"/>
                <w:sz w:val="20"/>
              </w:rPr>
              <w:t>of Final Average Compensation which exceeds</w:t>
            </w:r>
          </w:p>
        </w:tc>
      </w:tr>
      <w:tr>
        <w:trPr/>
        <w:tc>
          <w:tcPr>
            <w:tcW w:w="365" w:type="dxa"/>
            <w:tcBorders/>
            <w:shd w:fill="auto" w:val="clear"/>
            <w:vAlign w:val="bottom"/>
          </w:tcPr>
          <w:p>
            <w:pPr>
              <w:pStyle w:val="TableContents"/>
              <w:spacing w:before="0" w:after="283"/>
              <w:rPr>
                <w:sz w:val="4"/>
                <w:szCs w:val="4"/>
              </w:rPr>
            </w:pPr>
            <w:r>
              <w:rPr>
                <w:sz w:val="4"/>
                <w:szCs w:val="4"/>
              </w:rPr>
            </w:r>
          </w:p>
        </w:tc>
        <w:tc>
          <w:tcPr>
            <w:tcW w:w="5255" w:type="dxa"/>
            <w:tcBorders/>
            <w:shd w:fill="auto" w:val="clear"/>
            <w:vAlign w:val="bottom"/>
          </w:tcPr>
          <w:p>
            <w:pPr>
              <w:pStyle w:val="TableContents"/>
              <w:spacing w:before="0" w:after="283"/>
              <w:jc w:val="left"/>
              <w:rPr/>
            </w:pPr>
            <w:r>
              <w:rPr/>
              <w:t>            </w:t>
            </w:r>
            <w:r>
              <w:rPr>
                <w:rFonts w:ascii="serif" w:hAnsi="serif"/>
                <w:sz w:val="20"/>
              </w:rPr>
              <w:t>Social Security Covered Compensation</w:t>
            </w:r>
          </w:p>
        </w:tc>
      </w:tr>
      <w:tr>
        <w:trPr/>
        <w:tc>
          <w:tcPr>
            <w:tcW w:w="365" w:type="dxa"/>
            <w:tcBorders/>
            <w:shd w:fill="auto" w:val="clear"/>
            <w:vAlign w:val="bottom"/>
          </w:tcPr>
          <w:p>
            <w:pPr>
              <w:pStyle w:val="TableContents"/>
              <w:spacing w:before="0" w:after="283"/>
              <w:rPr>
                <w:sz w:val="4"/>
                <w:szCs w:val="4"/>
              </w:rPr>
            </w:pPr>
            <w:r>
              <w:rPr>
                <w:sz w:val="4"/>
                <w:szCs w:val="4"/>
              </w:rPr>
            </w:r>
          </w:p>
        </w:tc>
        <w:tc>
          <w:tcPr>
            <w:tcW w:w="5255" w:type="dxa"/>
            <w:tcBorders/>
            <w:shd w:fill="auto" w:val="clear"/>
            <w:vAlign w:val="bottom"/>
          </w:tcPr>
          <w:p>
            <w:pPr>
              <w:pStyle w:val="TableContents"/>
              <w:spacing w:before="0" w:after="283"/>
              <w:jc w:val="left"/>
              <w:rPr/>
            </w:pPr>
            <w:r>
              <w:rPr>
                <w:rFonts w:ascii="serif" w:hAnsi="serif"/>
                <w:sz w:val="20"/>
              </w:rPr>
              <w:t>Multiplied by years of credited service</w:t>
            </w:r>
            <w:r>
              <w:rPr/>
              <w:t> </w:t>
            </w:r>
          </w:p>
        </w:tc>
      </w:tr>
    </w:tbl>
    <w:p>
      <w:pPr>
        <w:pStyle w:val="TextBody"/>
        <w:rPr/>
      </w:pPr>
      <w:r>
        <w:rPr/>
      </w:r>
    </w:p>
    <w:p>
      <w:pPr>
        <w:pStyle w:val="TextBody"/>
        <w:jc w:val="both"/>
        <w:rPr/>
      </w:pPr>
      <w:r>
        <w:rPr/>
        <w:t>     </w:t>
      </w:r>
      <w:r>
        <w:rPr>
          <w:rFonts w:ascii="serif" w:hAnsi="serif"/>
          <w:sz w:val="20"/>
        </w:rPr>
        <w:t>Final Average Compensation is the monthly average of the participants compensation paid during the highest paid consecutive five years during the last 10 years of employment. Compensation for pension plan purposes is base salary, commissions, and bonuses other than those paid under our annual incentive plan. Social Security Covered Compensation is the average of the taxable wage bases in effect for each calendar year in the 35-year period ending with the year the participant attains Social Security retirement age.</w:t>
      </w:r>
    </w:p>
    <w:p>
      <w:pPr>
        <w:pStyle w:val="TextBody"/>
        <w:jc w:val="center"/>
        <w:rPr>
          <w:rFonts w:ascii="serif" w:hAnsi="serif"/>
          <w:sz w:val="20"/>
        </w:rPr>
      </w:pPr>
      <w:r>
        <w:rPr>
          <w:rFonts w:ascii="serif" w:hAnsi="serif"/>
          <w:sz w:val="20"/>
        </w:rPr>
        <w:t>32</w:t>
      </w:r>
    </w:p>
    <w:p>
      <w:pPr>
        <w:pStyle w:val="HorizontalLine"/>
        <w:pBdr>
          <w:bottom w:val="single" w:sz="12" w:space="0" w:color="808080"/>
        </w:pBdr>
        <w:rPr/>
      </w:pPr>
      <w:r>
        <w:rPr/>
      </w:r>
    </w:p>
    <w:p>
      <w:pPr>
        <w:pStyle w:val="TextBody"/>
        <w:jc w:val="both"/>
        <w:rPr/>
      </w:pPr>
      <w:r>
        <w:rPr/>
        <w:t>     </w:t>
      </w:r>
      <w:r>
        <w:rPr>
          <w:rFonts w:ascii="serif" w:hAnsi="serif"/>
          <w:sz w:val="20"/>
        </w:rPr>
        <w:t>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pStyle w:val="TextBody"/>
        <w:jc w:val="both"/>
        <w:rPr/>
      </w:pPr>
      <w:r>
        <w:rPr/>
        <w:t>     </w:t>
      </w:r>
      <w:r>
        <w:rPr>
          <w:rFonts w:ascii="serif" w:hAnsi="serif"/>
          <w:sz w:val="20"/>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pStyle w:val="TextBody"/>
        <w:jc w:val="both"/>
        <w:rPr/>
      </w:pPr>
      <w:r>
        <w:rPr/>
        <w:t>     </w:t>
      </w:r>
      <w:r>
        <w:rPr>
          <w:rFonts w:ascii="serif" w:hAnsi="serif"/>
          <w:b/>
          <w:sz w:val="20"/>
        </w:rPr>
        <w:t>SERP</w:t>
      </w:r>
      <w:r>
        <w:rPr>
          <w:rFonts w:ascii="serif" w:hAnsi="serif"/>
          <w:sz w:val="20"/>
        </w:rPr>
        <w:t>: Our supplemental executive retirement plan (SERP) provides benefits which would have been provided under our pension plan absent Code limitations on benefits and on compensation for purposes of calculating benefits. All employees whose pension plan benefits are limited by those Code limitations will participate in the SERP. Currently, Daniel S. Jaffee is the only participant. Benefits provided by the SERP are generally paid in the same manner and at the same time as benefits under the pension plan; however, if upon termination of employment the present value of the participants accumulated benefits does not exceed $50,000, payment will be made as soon as practicable in a lump sum.</w:t>
      </w:r>
    </w:p>
    <w:p>
      <w:pPr>
        <w:pStyle w:val="TextBody"/>
        <w:jc w:val="both"/>
        <w:rPr/>
      </w:pPr>
      <w:r>
        <w:rPr/>
        <w:t>     </w:t>
      </w:r>
      <w:r>
        <w:rPr>
          <w:rFonts w:ascii="serif" w:hAnsi="serif"/>
          <w:sz w:val="20"/>
        </w:rPr>
        <w:t>The following table shows the present value of the accumulated benefits under the pension plan and under the SERP for each of the named executive officers. No payments were made to any named executive officer under the pension plan or SERP during fiscal year 2007.</w:t>
      </w:r>
    </w:p>
    <w:tbl>
      <w:tblPr>
        <w:tblW w:w="5000" w:type="pct"/>
        <w:jc w:val="left"/>
        <w:tblInd w:w="0" w:type="dxa"/>
        <w:tblCellMar>
          <w:top w:w="0" w:type="dxa"/>
          <w:left w:w="0" w:type="dxa"/>
          <w:bottom w:w="0" w:type="dxa"/>
          <w:right w:w="0" w:type="dxa"/>
        </w:tblCellMar>
      </w:tblPr>
      <w:tblGrid>
        <w:gridCol w:w="2195"/>
        <w:gridCol w:w="301"/>
        <w:gridCol w:w="4040"/>
        <w:gridCol w:w="301"/>
        <w:gridCol w:w="1268"/>
        <w:gridCol w:w="301"/>
        <w:gridCol w:w="725"/>
        <w:gridCol w:w="169"/>
        <w:gridCol w:w="905"/>
      </w:tblGrid>
      <w:tr>
        <w:trPr/>
        <w:tc>
          <w:tcPr>
            <w:tcW w:w="2195"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center"/>
              <w:rPr/>
            </w:pPr>
            <w:r>
              <w:rPr/>
              <w:t>     </w:t>
            </w:r>
          </w:p>
        </w:tc>
        <w:tc>
          <w:tcPr>
            <w:tcW w:w="404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jc w:val="center"/>
              <w:rPr/>
            </w:pPr>
            <w:r>
              <w:rPr/>
              <w:t>     </w:t>
            </w:r>
          </w:p>
        </w:tc>
        <w:tc>
          <w:tcPr>
            <w:tcW w:w="1268" w:type="dxa"/>
            <w:tcBorders/>
            <w:shd w:fill="auto" w:val="clear"/>
            <w:vAlign w:val="bottom"/>
          </w:tcPr>
          <w:p>
            <w:pPr>
              <w:pStyle w:val="TableContents"/>
              <w:spacing w:before="0" w:after="283"/>
              <w:jc w:val="center"/>
              <w:rPr/>
            </w:pPr>
            <w:r>
              <w:rPr/>
              <w:t> </w:t>
            </w:r>
            <w:r>
              <w:rPr>
                <w:rFonts w:ascii="serif" w:hAnsi="serif"/>
                <w:b/>
                <w:sz w:val="20"/>
              </w:rPr>
              <w:t>Number of</w:t>
            </w:r>
          </w:p>
        </w:tc>
        <w:tc>
          <w:tcPr>
            <w:tcW w:w="301" w:type="dxa"/>
            <w:tcBorders/>
            <w:shd w:fill="auto" w:val="clear"/>
            <w:vAlign w:val="bottom"/>
          </w:tcPr>
          <w:p>
            <w:pPr>
              <w:pStyle w:val="TableContents"/>
              <w:spacing w:before="0" w:after="283"/>
              <w:jc w:val="center"/>
              <w:rPr/>
            </w:pPr>
            <w:r>
              <w:rPr/>
              <w:t>     </w:t>
            </w:r>
          </w:p>
        </w:tc>
        <w:tc>
          <w:tcPr>
            <w:tcW w:w="1799" w:type="dxa"/>
            <w:gridSpan w:val="3"/>
            <w:tcBorders/>
            <w:shd w:fill="auto" w:val="clear"/>
            <w:vAlign w:val="bottom"/>
          </w:tcPr>
          <w:p>
            <w:pPr>
              <w:pStyle w:val="TableContents"/>
              <w:spacing w:before="0" w:after="283"/>
              <w:jc w:val="center"/>
              <w:rPr/>
            </w:pPr>
            <w:r>
              <w:rPr/>
              <w:t>   </w:t>
            </w:r>
          </w:p>
        </w:tc>
      </w:tr>
      <w:tr>
        <w:trPr/>
        <w:tc>
          <w:tcPr>
            <w:tcW w:w="2195"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404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bottom"/>
          </w:tcPr>
          <w:p>
            <w:pPr>
              <w:pStyle w:val="TableContents"/>
              <w:spacing w:before="0" w:after="283"/>
              <w:jc w:val="center"/>
              <w:rPr/>
            </w:pPr>
            <w:r>
              <w:rPr/>
              <w:t> </w:t>
            </w:r>
            <w:r>
              <w:rPr>
                <w:rFonts w:ascii="serif" w:hAnsi="serif"/>
                <w:b/>
                <w:sz w:val="20"/>
              </w:rPr>
              <w:t>Years of</w:t>
            </w:r>
          </w:p>
        </w:tc>
        <w:tc>
          <w:tcPr>
            <w:tcW w:w="301" w:type="dxa"/>
            <w:tcBorders/>
            <w:shd w:fill="auto" w:val="clear"/>
            <w:vAlign w:val="bottom"/>
          </w:tcPr>
          <w:p>
            <w:pPr>
              <w:pStyle w:val="TableContents"/>
              <w:spacing w:before="0" w:after="283"/>
              <w:rPr>
                <w:sz w:val="4"/>
                <w:szCs w:val="4"/>
              </w:rPr>
            </w:pPr>
            <w:r>
              <w:rPr>
                <w:sz w:val="4"/>
                <w:szCs w:val="4"/>
              </w:rPr>
            </w:r>
          </w:p>
        </w:tc>
        <w:tc>
          <w:tcPr>
            <w:tcW w:w="1799" w:type="dxa"/>
            <w:gridSpan w:val="3"/>
            <w:tcBorders/>
            <w:shd w:fill="auto" w:val="clear"/>
            <w:vAlign w:val="bottom"/>
          </w:tcPr>
          <w:p>
            <w:pPr>
              <w:pStyle w:val="TableContents"/>
              <w:spacing w:before="0" w:after="283"/>
              <w:jc w:val="center"/>
              <w:rPr/>
            </w:pPr>
            <w:r>
              <w:rPr/>
              <w:t> </w:t>
            </w:r>
            <w:r>
              <w:rPr>
                <w:rFonts w:ascii="serif" w:hAnsi="serif"/>
                <w:b/>
                <w:sz w:val="20"/>
              </w:rPr>
              <w:t>Present Value</w:t>
            </w:r>
          </w:p>
        </w:tc>
      </w:tr>
      <w:tr>
        <w:trPr/>
        <w:tc>
          <w:tcPr>
            <w:tcW w:w="2195"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404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bottom"/>
          </w:tcPr>
          <w:p>
            <w:pPr>
              <w:pStyle w:val="TableContents"/>
              <w:spacing w:before="0" w:after="283"/>
              <w:jc w:val="center"/>
              <w:rPr/>
            </w:pPr>
            <w:r>
              <w:rPr/>
              <w:t> </w:t>
            </w:r>
            <w:r>
              <w:rPr>
                <w:rFonts w:ascii="serif" w:hAnsi="serif"/>
                <w:b/>
                <w:sz w:val="20"/>
              </w:rPr>
              <w:t>Credited</w:t>
            </w:r>
          </w:p>
        </w:tc>
        <w:tc>
          <w:tcPr>
            <w:tcW w:w="301" w:type="dxa"/>
            <w:tcBorders/>
            <w:shd w:fill="auto" w:val="clear"/>
            <w:vAlign w:val="bottom"/>
          </w:tcPr>
          <w:p>
            <w:pPr>
              <w:pStyle w:val="TableContents"/>
              <w:spacing w:before="0" w:after="283"/>
              <w:rPr>
                <w:sz w:val="4"/>
                <w:szCs w:val="4"/>
              </w:rPr>
            </w:pPr>
            <w:r>
              <w:rPr>
                <w:sz w:val="4"/>
                <w:szCs w:val="4"/>
              </w:rPr>
            </w:r>
          </w:p>
        </w:tc>
        <w:tc>
          <w:tcPr>
            <w:tcW w:w="1799" w:type="dxa"/>
            <w:gridSpan w:val="3"/>
            <w:tcBorders/>
            <w:shd w:fill="auto" w:val="clear"/>
            <w:vAlign w:val="bottom"/>
          </w:tcPr>
          <w:p>
            <w:pPr>
              <w:pStyle w:val="TableContents"/>
              <w:spacing w:before="0" w:after="283"/>
              <w:jc w:val="center"/>
              <w:rPr/>
            </w:pPr>
            <w:r>
              <w:rPr/>
              <w:t> </w:t>
            </w:r>
            <w:r>
              <w:rPr>
                <w:rFonts w:ascii="serif" w:hAnsi="serif"/>
                <w:b/>
                <w:sz w:val="20"/>
              </w:rPr>
              <w:t>of Accumulated</w:t>
            </w:r>
          </w:p>
        </w:tc>
      </w:tr>
      <w:tr>
        <w:trPr/>
        <w:tc>
          <w:tcPr>
            <w:tcW w:w="2195"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404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bottom"/>
          </w:tcPr>
          <w:p>
            <w:pPr>
              <w:pStyle w:val="TableContents"/>
              <w:spacing w:before="0" w:after="283"/>
              <w:jc w:val="center"/>
              <w:rPr/>
            </w:pPr>
            <w:r>
              <w:rPr/>
              <w:t> </w:t>
            </w:r>
            <w:r>
              <w:rPr>
                <w:rFonts w:ascii="serif" w:hAnsi="serif"/>
                <w:b/>
                <w:sz w:val="20"/>
              </w:rPr>
              <w:t>Service</w:t>
            </w:r>
          </w:p>
        </w:tc>
        <w:tc>
          <w:tcPr>
            <w:tcW w:w="301" w:type="dxa"/>
            <w:tcBorders/>
            <w:shd w:fill="auto" w:val="clear"/>
            <w:vAlign w:val="bottom"/>
          </w:tcPr>
          <w:p>
            <w:pPr>
              <w:pStyle w:val="TableContents"/>
              <w:spacing w:before="0" w:after="283"/>
              <w:rPr>
                <w:sz w:val="4"/>
                <w:szCs w:val="4"/>
              </w:rPr>
            </w:pPr>
            <w:r>
              <w:rPr>
                <w:sz w:val="4"/>
                <w:szCs w:val="4"/>
              </w:rPr>
            </w:r>
          </w:p>
        </w:tc>
        <w:tc>
          <w:tcPr>
            <w:tcW w:w="1799" w:type="dxa"/>
            <w:gridSpan w:val="3"/>
            <w:tcBorders/>
            <w:shd w:fill="auto" w:val="clear"/>
            <w:vAlign w:val="bottom"/>
          </w:tcPr>
          <w:p>
            <w:pPr>
              <w:pStyle w:val="TableContents"/>
              <w:spacing w:before="0" w:after="283"/>
              <w:jc w:val="center"/>
              <w:rPr/>
            </w:pPr>
            <w:r>
              <w:rPr/>
              <w:t> </w:t>
            </w:r>
            <w:r>
              <w:rPr>
                <w:rFonts w:ascii="serif" w:hAnsi="serif"/>
                <w:b/>
                <w:sz w:val="20"/>
              </w:rPr>
              <w:t>Benefits</w:t>
            </w:r>
          </w:p>
        </w:tc>
      </w:tr>
      <w:tr>
        <w:trPr/>
        <w:tc>
          <w:tcPr>
            <w:tcW w:w="2195"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404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bottom"/>
          </w:tcPr>
          <w:p>
            <w:pPr>
              <w:pStyle w:val="TableContents"/>
              <w:spacing w:before="0" w:after="283"/>
              <w:jc w:val="center"/>
              <w:rPr/>
            </w:pPr>
            <w:r>
              <w:rPr/>
              <w:t> </w:t>
            </w:r>
            <w:r>
              <w:rPr>
                <w:rFonts w:ascii="serif" w:hAnsi="serif"/>
                <w:b/>
                <w:sz w:val="20"/>
              </w:rPr>
              <w:t>(#)</w:t>
            </w:r>
          </w:p>
        </w:tc>
        <w:tc>
          <w:tcPr>
            <w:tcW w:w="301" w:type="dxa"/>
            <w:tcBorders/>
            <w:shd w:fill="auto" w:val="clear"/>
            <w:vAlign w:val="bottom"/>
          </w:tcPr>
          <w:p>
            <w:pPr>
              <w:pStyle w:val="TableContents"/>
              <w:spacing w:before="0" w:after="283"/>
              <w:jc w:val="center"/>
              <w:rPr/>
            </w:pPr>
            <w:r>
              <w:rPr/>
              <w:t> </w:t>
            </w:r>
          </w:p>
        </w:tc>
        <w:tc>
          <w:tcPr>
            <w:tcW w:w="1799" w:type="dxa"/>
            <w:gridSpan w:val="3"/>
            <w:tcBorders/>
            <w:shd w:fill="auto" w:val="clear"/>
            <w:vAlign w:val="bottom"/>
          </w:tcPr>
          <w:p>
            <w:pPr>
              <w:pStyle w:val="TableContents"/>
              <w:spacing w:before="0" w:after="283"/>
              <w:jc w:val="center"/>
              <w:rPr/>
            </w:pPr>
            <w:r>
              <w:rPr/>
              <w:t> </w:t>
            </w:r>
            <w:r>
              <w:rPr>
                <w:rFonts w:ascii="serif" w:hAnsi="serif"/>
                <w:b/>
                <w:sz w:val="20"/>
              </w:rPr>
              <w:t>($)</w:t>
            </w:r>
          </w:p>
        </w:tc>
      </w:tr>
      <w:tr>
        <w:trPr/>
        <w:tc>
          <w:tcPr>
            <w:tcW w:w="2195"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301"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4040"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Plan Name</w:t>
            </w:r>
          </w:p>
        </w:tc>
        <w:tc>
          <w:tcPr>
            <w:tcW w:w="301"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68" w:type="dxa"/>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(1)</w:t>
            </w:r>
          </w:p>
        </w:tc>
        <w:tc>
          <w:tcPr>
            <w:tcW w:w="301"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799"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rFonts w:ascii="serif" w:hAnsi="serif"/>
                <w:b/>
                <w:sz w:val="20"/>
              </w:rPr>
              <w:t>(2)</w:t>
            </w:r>
          </w:p>
        </w:tc>
      </w:tr>
      <w:tr>
        <w:trPr/>
        <w:tc>
          <w:tcPr>
            <w:tcW w:w="2195"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301" w:type="dxa"/>
            <w:tcBorders/>
            <w:shd w:fill="C0C0C0" w:val="clear"/>
            <w:vAlign w:val="bottom"/>
          </w:tcPr>
          <w:p>
            <w:pPr>
              <w:pStyle w:val="TableContents"/>
              <w:spacing w:before="0" w:after="283"/>
              <w:rPr>
                <w:sz w:val="4"/>
                <w:szCs w:val="4"/>
              </w:rPr>
            </w:pPr>
            <w:r>
              <w:rPr>
                <w:sz w:val="4"/>
                <w:szCs w:val="4"/>
              </w:rPr>
            </w:r>
          </w:p>
        </w:tc>
        <w:tc>
          <w:tcPr>
            <w:tcW w:w="4040" w:type="dxa"/>
            <w:tcBorders/>
            <w:shd w:fill="C0C0C0" w:val="clear"/>
            <w:vAlign w:val="bottom"/>
          </w:tcPr>
          <w:p>
            <w:pPr>
              <w:pStyle w:val="TableContents"/>
              <w:spacing w:before="0" w:after="283"/>
              <w:jc w:val="center"/>
              <w:rPr>
                <w:rFonts w:ascii="serif" w:hAnsi="serif"/>
                <w:sz w:val="20"/>
              </w:rPr>
            </w:pPr>
            <w:r>
              <w:rPr>
                <w:rFonts w:ascii="serif" w:hAnsi="serif"/>
                <w:sz w:val="20"/>
              </w:rPr>
              <w:t>Pension Plan</w:t>
            </w:r>
          </w:p>
        </w:tc>
        <w:tc>
          <w:tcPr>
            <w:tcW w:w="301" w:type="dxa"/>
            <w:tcBorders/>
            <w:shd w:fill="C0C0C0" w:val="clear"/>
            <w:vAlign w:val="bottom"/>
          </w:tcPr>
          <w:p>
            <w:pPr>
              <w:pStyle w:val="TableContents"/>
              <w:spacing w:before="0" w:after="283"/>
              <w:rPr>
                <w:sz w:val="4"/>
                <w:szCs w:val="4"/>
              </w:rPr>
            </w:pPr>
            <w:r>
              <w:rPr>
                <w:sz w:val="4"/>
                <w:szCs w:val="4"/>
              </w:rPr>
            </w:r>
          </w:p>
        </w:tc>
        <w:tc>
          <w:tcPr>
            <w:tcW w:w="1268" w:type="dxa"/>
            <w:tcBorders/>
            <w:shd w:fill="C0C0C0" w:val="clear"/>
            <w:vAlign w:val="bottom"/>
          </w:tcPr>
          <w:p>
            <w:pPr>
              <w:pStyle w:val="TableContents"/>
              <w:spacing w:before="0" w:after="283"/>
              <w:jc w:val="right"/>
              <w:rPr>
                <w:rFonts w:ascii="serif" w:hAnsi="serif"/>
                <w:sz w:val="20"/>
              </w:rPr>
            </w:pPr>
            <w:r>
              <w:rPr>
                <w:rFonts w:ascii="serif" w:hAnsi="serif"/>
                <w:sz w:val="20"/>
              </w:rPr>
              <w:t>19.75</w:t>
            </w:r>
          </w:p>
        </w:tc>
        <w:tc>
          <w:tcPr>
            <w:tcW w:w="301"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jc w:val="right"/>
              <w:rPr/>
            </w:pPr>
            <w:r>
              <w:rPr/>
              <w:t>          </w:t>
            </w:r>
          </w:p>
        </w:tc>
        <w:tc>
          <w:tcPr>
            <w:tcW w:w="1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05" w:type="dxa"/>
            <w:tcBorders/>
            <w:shd w:fill="C0C0C0" w:val="clear"/>
            <w:vAlign w:val="bottom"/>
          </w:tcPr>
          <w:p>
            <w:pPr>
              <w:pStyle w:val="TableContents"/>
              <w:spacing w:before="0" w:after="283"/>
              <w:jc w:val="right"/>
              <w:rPr/>
            </w:pPr>
            <w:r>
              <w:rPr/>
              <w:t> </w:t>
            </w:r>
            <w:r>
              <w:rPr>
                <w:rFonts w:ascii="serif" w:hAnsi="serif"/>
                <w:sz w:val="20"/>
              </w:rPr>
              <w:t>93,438</w:t>
            </w:r>
          </w:p>
        </w:tc>
      </w:tr>
      <w:tr>
        <w:trPr/>
        <w:tc>
          <w:tcPr>
            <w:tcW w:w="2195"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4040" w:type="dxa"/>
            <w:tcBorders/>
            <w:shd w:fill="auto" w:val="clear"/>
            <w:vAlign w:val="bottom"/>
          </w:tcPr>
          <w:p>
            <w:pPr>
              <w:pStyle w:val="TableContents"/>
              <w:spacing w:before="0" w:after="283"/>
              <w:jc w:val="center"/>
              <w:rPr>
                <w:rFonts w:ascii="serif" w:hAnsi="serif"/>
                <w:sz w:val="20"/>
              </w:rPr>
            </w:pPr>
            <w:r>
              <w:rPr>
                <w:rFonts w:ascii="serif" w:hAnsi="serif"/>
                <w:sz w:val="20"/>
              </w:rPr>
              <w:t>Supplemental Executive Retirement Plan</w:t>
            </w:r>
          </w:p>
        </w:tc>
        <w:tc>
          <w:tcPr>
            <w:tcW w:w="301"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bottom"/>
          </w:tcPr>
          <w:p>
            <w:pPr>
              <w:pStyle w:val="TableContents"/>
              <w:spacing w:before="0" w:after="283"/>
              <w:jc w:val="right"/>
              <w:rPr>
                <w:rFonts w:ascii="serif" w:hAnsi="serif"/>
                <w:sz w:val="20"/>
              </w:rPr>
            </w:pPr>
            <w:r>
              <w:rPr>
                <w:rFonts w:ascii="serif" w:hAnsi="serif"/>
                <w:sz w:val="20"/>
              </w:rPr>
              <w:t>19.75</w:t>
            </w:r>
          </w:p>
        </w:tc>
        <w:tc>
          <w:tcPr>
            <w:tcW w:w="301"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05" w:type="dxa"/>
            <w:tcBorders/>
            <w:shd w:fill="auto" w:val="clear"/>
            <w:vAlign w:val="bottom"/>
          </w:tcPr>
          <w:p>
            <w:pPr>
              <w:pStyle w:val="TableContents"/>
              <w:spacing w:before="0" w:after="283"/>
              <w:jc w:val="right"/>
              <w:rPr>
                <w:rFonts w:ascii="serif" w:hAnsi="serif"/>
                <w:sz w:val="20"/>
              </w:rPr>
            </w:pPr>
            <w:r>
              <w:rPr>
                <w:rFonts w:ascii="serif" w:hAnsi="serif"/>
                <w:sz w:val="20"/>
              </w:rPr>
              <w:t>52,955</w:t>
            </w:r>
          </w:p>
        </w:tc>
      </w:tr>
      <w:tr>
        <w:trPr/>
        <w:tc>
          <w:tcPr>
            <w:tcW w:w="2195" w:type="dxa"/>
            <w:tcBorders/>
            <w:shd w:fill="C0C0C0" w:val="clear"/>
            <w:vAlign w:val="bottom"/>
          </w:tcPr>
          <w:p>
            <w:pPr>
              <w:pStyle w:val="TableContents"/>
              <w:spacing w:before="0" w:after="283"/>
              <w:jc w:val="left"/>
              <w:rPr>
                <w:rFonts w:ascii="serif" w:hAnsi="serif"/>
                <w:sz w:val="20"/>
              </w:rPr>
            </w:pPr>
            <w:r>
              <w:rPr>
                <w:rFonts w:ascii="serif" w:hAnsi="serif"/>
                <w:sz w:val="20"/>
              </w:rPr>
              <w:t>Andrew N. Peterson</w:t>
            </w:r>
          </w:p>
        </w:tc>
        <w:tc>
          <w:tcPr>
            <w:tcW w:w="301" w:type="dxa"/>
            <w:tcBorders/>
            <w:shd w:fill="C0C0C0" w:val="clear"/>
            <w:vAlign w:val="bottom"/>
          </w:tcPr>
          <w:p>
            <w:pPr>
              <w:pStyle w:val="TableContents"/>
              <w:spacing w:before="0" w:after="283"/>
              <w:jc w:val="center"/>
              <w:rPr/>
            </w:pPr>
            <w:r>
              <w:rPr/>
              <w:t> </w:t>
            </w:r>
          </w:p>
        </w:tc>
        <w:tc>
          <w:tcPr>
            <w:tcW w:w="4040" w:type="dxa"/>
            <w:tcBorders/>
            <w:shd w:fill="C0C0C0" w:val="clear"/>
            <w:vAlign w:val="bottom"/>
          </w:tcPr>
          <w:p>
            <w:pPr>
              <w:pStyle w:val="TableContents"/>
              <w:spacing w:before="0" w:after="283"/>
              <w:jc w:val="center"/>
              <w:rPr>
                <w:rFonts w:ascii="serif" w:hAnsi="serif"/>
                <w:sz w:val="20"/>
              </w:rPr>
            </w:pPr>
            <w:r>
              <w:rPr>
                <w:rFonts w:ascii="serif" w:hAnsi="serif"/>
                <w:sz w:val="20"/>
              </w:rPr>
              <w:t>Pension Plan</w:t>
            </w:r>
          </w:p>
        </w:tc>
        <w:tc>
          <w:tcPr>
            <w:tcW w:w="301" w:type="dxa"/>
            <w:tcBorders/>
            <w:shd w:fill="C0C0C0" w:val="clear"/>
            <w:vAlign w:val="bottom"/>
          </w:tcPr>
          <w:p>
            <w:pPr>
              <w:pStyle w:val="TableContents"/>
              <w:spacing w:before="0" w:after="283"/>
              <w:jc w:val="right"/>
              <w:rPr/>
            </w:pPr>
            <w:r>
              <w:rPr/>
              <w:t> </w:t>
            </w:r>
          </w:p>
        </w:tc>
        <w:tc>
          <w:tcPr>
            <w:tcW w:w="1268" w:type="dxa"/>
            <w:tcBorders/>
            <w:shd w:fill="C0C0C0" w:val="clear"/>
            <w:vAlign w:val="bottom"/>
          </w:tcPr>
          <w:p>
            <w:pPr>
              <w:pStyle w:val="TableContents"/>
              <w:spacing w:before="0" w:after="283"/>
              <w:jc w:val="right"/>
              <w:rPr>
                <w:rFonts w:ascii="serif" w:hAnsi="serif"/>
                <w:sz w:val="20"/>
              </w:rPr>
            </w:pPr>
            <w:r>
              <w:rPr>
                <w:rFonts w:ascii="serif" w:hAnsi="serif"/>
                <w:sz w:val="20"/>
              </w:rPr>
              <w:t>2.81</w:t>
            </w:r>
          </w:p>
        </w:tc>
        <w:tc>
          <w:tcPr>
            <w:tcW w:w="301"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rPr>
                <w:sz w:val="4"/>
                <w:szCs w:val="4"/>
              </w:rPr>
            </w:pPr>
            <w:r>
              <w:rPr>
                <w:sz w:val="4"/>
                <w:szCs w:val="4"/>
              </w:rPr>
            </w:r>
          </w:p>
        </w:tc>
        <w:tc>
          <w:tcPr>
            <w:tcW w:w="1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05" w:type="dxa"/>
            <w:tcBorders/>
            <w:shd w:fill="C0C0C0" w:val="clear"/>
            <w:vAlign w:val="bottom"/>
          </w:tcPr>
          <w:p>
            <w:pPr>
              <w:pStyle w:val="TableContents"/>
              <w:spacing w:before="0" w:after="283"/>
              <w:jc w:val="right"/>
              <w:rPr>
                <w:rFonts w:ascii="serif" w:hAnsi="serif"/>
                <w:sz w:val="20"/>
              </w:rPr>
            </w:pPr>
            <w:r>
              <w:rPr>
                <w:rFonts w:ascii="serif" w:hAnsi="serif"/>
                <w:sz w:val="20"/>
              </w:rPr>
              <w:t>19,342</w:t>
            </w:r>
          </w:p>
        </w:tc>
      </w:tr>
      <w:tr>
        <w:trPr/>
        <w:tc>
          <w:tcPr>
            <w:tcW w:w="2195" w:type="dxa"/>
            <w:tcBorders/>
            <w:shd w:fill="auto" w:val="clear"/>
            <w:vAlign w:val="bottom"/>
          </w:tcPr>
          <w:p>
            <w:pPr>
              <w:pStyle w:val="TableContents"/>
              <w:spacing w:before="0" w:after="283"/>
              <w:jc w:val="left"/>
              <w:rPr>
                <w:rFonts w:ascii="serif" w:hAnsi="serif"/>
                <w:sz w:val="20"/>
              </w:rPr>
            </w:pPr>
            <w:r>
              <w:rPr>
                <w:rFonts w:ascii="serif" w:hAnsi="serif"/>
                <w:sz w:val="20"/>
              </w:rPr>
              <w:t>Thomas F. Cofsky</w:t>
            </w:r>
          </w:p>
        </w:tc>
        <w:tc>
          <w:tcPr>
            <w:tcW w:w="301" w:type="dxa"/>
            <w:tcBorders/>
            <w:shd w:fill="auto" w:val="clear"/>
            <w:vAlign w:val="bottom"/>
          </w:tcPr>
          <w:p>
            <w:pPr>
              <w:pStyle w:val="TableContents"/>
              <w:spacing w:before="0" w:after="283"/>
              <w:rPr>
                <w:sz w:val="4"/>
                <w:szCs w:val="4"/>
              </w:rPr>
            </w:pPr>
            <w:r>
              <w:rPr>
                <w:sz w:val="4"/>
                <w:szCs w:val="4"/>
              </w:rPr>
            </w:r>
          </w:p>
        </w:tc>
        <w:tc>
          <w:tcPr>
            <w:tcW w:w="4040" w:type="dxa"/>
            <w:tcBorders/>
            <w:shd w:fill="auto" w:val="clear"/>
            <w:vAlign w:val="bottom"/>
          </w:tcPr>
          <w:p>
            <w:pPr>
              <w:pStyle w:val="TableContents"/>
              <w:spacing w:before="0" w:after="283"/>
              <w:jc w:val="center"/>
              <w:rPr>
                <w:rFonts w:ascii="serif" w:hAnsi="serif"/>
                <w:sz w:val="20"/>
              </w:rPr>
            </w:pPr>
            <w:r>
              <w:rPr>
                <w:rFonts w:ascii="serif" w:hAnsi="serif"/>
                <w:sz w:val="20"/>
              </w:rPr>
              <w:t>Pension Plan</w:t>
            </w:r>
          </w:p>
        </w:tc>
        <w:tc>
          <w:tcPr>
            <w:tcW w:w="301"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bottom"/>
          </w:tcPr>
          <w:p>
            <w:pPr>
              <w:pStyle w:val="TableContents"/>
              <w:spacing w:before="0" w:after="283"/>
              <w:jc w:val="right"/>
              <w:rPr>
                <w:rFonts w:ascii="serif" w:hAnsi="serif"/>
                <w:sz w:val="20"/>
              </w:rPr>
            </w:pPr>
            <w:r>
              <w:rPr>
                <w:rFonts w:ascii="serif" w:hAnsi="serif"/>
                <w:sz w:val="20"/>
              </w:rPr>
              <w:t>20.33</w:t>
            </w:r>
          </w:p>
        </w:tc>
        <w:tc>
          <w:tcPr>
            <w:tcW w:w="301"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05" w:type="dxa"/>
            <w:tcBorders/>
            <w:shd w:fill="auto" w:val="clear"/>
            <w:vAlign w:val="bottom"/>
          </w:tcPr>
          <w:p>
            <w:pPr>
              <w:pStyle w:val="TableContents"/>
              <w:spacing w:before="0" w:after="283"/>
              <w:jc w:val="right"/>
              <w:rPr>
                <w:rFonts w:ascii="serif" w:hAnsi="serif"/>
                <w:sz w:val="20"/>
              </w:rPr>
            </w:pPr>
            <w:r>
              <w:rPr>
                <w:rFonts w:ascii="serif" w:hAnsi="serif"/>
                <w:sz w:val="20"/>
              </w:rPr>
              <w:t>74,212</w:t>
            </w:r>
          </w:p>
        </w:tc>
      </w:tr>
      <w:tr>
        <w:trPr/>
        <w:tc>
          <w:tcPr>
            <w:tcW w:w="2195" w:type="dxa"/>
            <w:tcBorders/>
            <w:shd w:fill="C0C0C0" w:val="clear"/>
            <w:vAlign w:val="bottom"/>
          </w:tcPr>
          <w:p>
            <w:pPr>
              <w:pStyle w:val="TableContents"/>
              <w:spacing w:before="0" w:after="283"/>
              <w:jc w:val="left"/>
              <w:rPr>
                <w:rFonts w:ascii="serif" w:hAnsi="serif"/>
                <w:sz w:val="20"/>
              </w:rPr>
            </w:pPr>
            <w:r>
              <w:rPr>
                <w:rFonts w:ascii="serif" w:hAnsi="serif"/>
                <w:sz w:val="20"/>
              </w:rPr>
              <w:t>Charles P. Brissman</w:t>
            </w:r>
          </w:p>
        </w:tc>
        <w:tc>
          <w:tcPr>
            <w:tcW w:w="301" w:type="dxa"/>
            <w:tcBorders/>
            <w:shd w:fill="C0C0C0" w:val="clear"/>
            <w:vAlign w:val="bottom"/>
          </w:tcPr>
          <w:p>
            <w:pPr>
              <w:pStyle w:val="TableContents"/>
              <w:spacing w:before="0" w:after="283"/>
              <w:rPr>
                <w:sz w:val="4"/>
                <w:szCs w:val="4"/>
              </w:rPr>
            </w:pPr>
            <w:r>
              <w:rPr>
                <w:sz w:val="4"/>
                <w:szCs w:val="4"/>
              </w:rPr>
            </w:r>
          </w:p>
        </w:tc>
        <w:tc>
          <w:tcPr>
            <w:tcW w:w="4040" w:type="dxa"/>
            <w:tcBorders/>
            <w:shd w:fill="C0C0C0" w:val="clear"/>
            <w:vAlign w:val="bottom"/>
          </w:tcPr>
          <w:p>
            <w:pPr>
              <w:pStyle w:val="TableContents"/>
              <w:spacing w:before="0" w:after="283"/>
              <w:jc w:val="center"/>
              <w:rPr>
                <w:rFonts w:ascii="serif" w:hAnsi="serif"/>
                <w:sz w:val="20"/>
              </w:rPr>
            </w:pPr>
            <w:r>
              <w:rPr>
                <w:rFonts w:ascii="serif" w:hAnsi="serif"/>
                <w:sz w:val="20"/>
              </w:rPr>
              <w:t>Pension Plan</w:t>
            </w:r>
          </w:p>
        </w:tc>
        <w:tc>
          <w:tcPr>
            <w:tcW w:w="301" w:type="dxa"/>
            <w:tcBorders/>
            <w:shd w:fill="C0C0C0" w:val="clear"/>
            <w:vAlign w:val="bottom"/>
          </w:tcPr>
          <w:p>
            <w:pPr>
              <w:pStyle w:val="TableContents"/>
              <w:spacing w:before="0" w:after="283"/>
              <w:rPr>
                <w:sz w:val="4"/>
                <w:szCs w:val="4"/>
              </w:rPr>
            </w:pPr>
            <w:r>
              <w:rPr>
                <w:sz w:val="4"/>
                <w:szCs w:val="4"/>
              </w:rPr>
            </w:r>
          </w:p>
        </w:tc>
        <w:tc>
          <w:tcPr>
            <w:tcW w:w="1268" w:type="dxa"/>
            <w:tcBorders/>
            <w:shd w:fill="C0C0C0" w:val="clear"/>
            <w:vAlign w:val="bottom"/>
          </w:tcPr>
          <w:p>
            <w:pPr>
              <w:pStyle w:val="TableContents"/>
              <w:spacing w:before="0" w:after="283"/>
              <w:jc w:val="right"/>
              <w:rPr>
                <w:rFonts w:ascii="serif" w:hAnsi="serif"/>
                <w:sz w:val="20"/>
              </w:rPr>
            </w:pPr>
            <w:r>
              <w:rPr>
                <w:rFonts w:ascii="serif" w:hAnsi="serif"/>
                <w:sz w:val="20"/>
              </w:rPr>
              <w:t>4.77</w:t>
            </w:r>
          </w:p>
        </w:tc>
        <w:tc>
          <w:tcPr>
            <w:tcW w:w="301" w:type="dxa"/>
            <w:tcBorders/>
            <w:shd w:fill="C0C0C0" w:val="clear"/>
            <w:vAlign w:val="bottom"/>
          </w:tcPr>
          <w:p>
            <w:pPr>
              <w:pStyle w:val="TableContents"/>
              <w:spacing w:before="0" w:after="283"/>
              <w:rPr>
                <w:sz w:val="4"/>
                <w:szCs w:val="4"/>
              </w:rPr>
            </w:pPr>
            <w:r>
              <w:rPr>
                <w:sz w:val="4"/>
                <w:szCs w:val="4"/>
              </w:rPr>
            </w:r>
          </w:p>
        </w:tc>
        <w:tc>
          <w:tcPr>
            <w:tcW w:w="725" w:type="dxa"/>
            <w:tcBorders/>
            <w:shd w:fill="C0C0C0" w:val="clear"/>
            <w:vAlign w:val="bottom"/>
          </w:tcPr>
          <w:p>
            <w:pPr>
              <w:pStyle w:val="TableContents"/>
              <w:spacing w:before="0" w:after="283"/>
              <w:rPr>
                <w:sz w:val="4"/>
                <w:szCs w:val="4"/>
              </w:rPr>
            </w:pPr>
            <w:r>
              <w:rPr>
                <w:sz w:val="4"/>
                <w:szCs w:val="4"/>
              </w:rPr>
            </w:r>
          </w:p>
        </w:tc>
        <w:tc>
          <w:tcPr>
            <w:tcW w:w="1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05" w:type="dxa"/>
            <w:tcBorders/>
            <w:shd w:fill="C0C0C0" w:val="clear"/>
            <w:vAlign w:val="bottom"/>
          </w:tcPr>
          <w:p>
            <w:pPr>
              <w:pStyle w:val="TableContents"/>
              <w:spacing w:before="0" w:after="283"/>
              <w:jc w:val="right"/>
              <w:rPr>
                <w:rFonts w:ascii="serif" w:hAnsi="serif"/>
                <w:sz w:val="20"/>
              </w:rPr>
            </w:pPr>
            <w:r>
              <w:rPr>
                <w:rFonts w:ascii="serif" w:hAnsi="serif"/>
                <w:sz w:val="20"/>
              </w:rPr>
              <w:t>18,054</w:t>
            </w:r>
          </w:p>
        </w:tc>
      </w:tr>
      <w:tr>
        <w:trPr/>
        <w:tc>
          <w:tcPr>
            <w:tcW w:w="2195" w:type="dxa"/>
            <w:tcBorders/>
            <w:shd w:fill="auto" w:val="clear"/>
            <w:vAlign w:val="bottom"/>
          </w:tcPr>
          <w:p>
            <w:pPr>
              <w:pStyle w:val="TableContents"/>
              <w:spacing w:before="0" w:after="283"/>
              <w:jc w:val="left"/>
              <w:rPr>
                <w:rFonts w:ascii="serif" w:hAnsi="serif"/>
                <w:sz w:val="20"/>
              </w:rPr>
            </w:pPr>
            <w:r>
              <w:rPr>
                <w:rFonts w:ascii="serif" w:hAnsi="serif"/>
                <w:sz w:val="20"/>
              </w:rPr>
              <w:t>Brian K. Bancroft</w:t>
            </w:r>
          </w:p>
        </w:tc>
        <w:tc>
          <w:tcPr>
            <w:tcW w:w="301" w:type="dxa"/>
            <w:tcBorders/>
            <w:shd w:fill="auto" w:val="clear"/>
            <w:vAlign w:val="bottom"/>
          </w:tcPr>
          <w:p>
            <w:pPr>
              <w:pStyle w:val="TableContents"/>
              <w:spacing w:before="0" w:after="283"/>
              <w:rPr>
                <w:sz w:val="4"/>
                <w:szCs w:val="4"/>
              </w:rPr>
            </w:pPr>
            <w:r>
              <w:rPr>
                <w:sz w:val="4"/>
                <w:szCs w:val="4"/>
              </w:rPr>
            </w:r>
          </w:p>
        </w:tc>
        <w:tc>
          <w:tcPr>
            <w:tcW w:w="4040" w:type="dxa"/>
            <w:tcBorders/>
            <w:shd w:fill="auto" w:val="clear"/>
            <w:vAlign w:val="bottom"/>
          </w:tcPr>
          <w:p>
            <w:pPr>
              <w:pStyle w:val="TableContents"/>
              <w:spacing w:before="0" w:after="283"/>
              <w:jc w:val="center"/>
              <w:rPr>
                <w:rFonts w:ascii="serif" w:hAnsi="serif"/>
                <w:sz w:val="20"/>
              </w:rPr>
            </w:pPr>
            <w:r>
              <w:rPr>
                <w:rFonts w:ascii="serif" w:hAnsi="serif"/>
                <w:sz w:val="20"/>
              </w:rPr>
              <w:t>Pension Plan</w:t>
            </w:r>
          </w:p>
        </w:tc>
        <w:tc>
          <w:tcPr>
            <w:tcW w:w="301"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bottom"/>
          </w:tcPr>
          <w:p>
            <w:pPr>
              <w:pStyle w:val="TableContents"/>
              <w:spacing w:before="0" w:after="283"/>
              <w:jc w:val="right"/>
              <w:rPr>
                <w:rFonts w:ascii="serif" w:hAnsi="serif"/>
                <w:sz w:val="20"/>
              </w:rPr>
            </w:pPr>
            <w:r>
              <w:rPr>
                <w:rFonts w:ascii="serif" w:hAnsi="serif"/>
                <w:sz w:val="20"/>
              </w:rPr>
              <w:t>2.32</w:t>
            </w:r>
          </w:p>
        </w:tc>
        <w:tc>
          <w:tcPr>
            <w:tcW w:w="301"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05" w:type="dxa"/>
            <w:tcBorders/>
            <w:shd w:fill="auto" w:val="clear"/>
            <w:vAlign w:val="bottom"/>
          </w:tcPr>
          <w:p>
            <w:pPr>
              <w:pStyle w:val="TableContents"/>
              <w:spacing w:before="0" w:after="283"/>
              <w:jc w:val="right"/>
              <w:rPr>
                <w:rFonts w:ascii="serif" w:hAnsi="serif"/>
                <w:sz w:val="20"/>
              </w:rPr>
            </w:pPr>
            <w:r>
              <w:rPr>
                <w:rFonts w:ascii="serif" w:hAnsi="serif"/>
                <w:sz w:val="20"/>
              </w:rPr>
              <w:t>4,424</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90"/>
        <w:gridCol w:w="300"/>
        <w:gridCol w:w="9615"/>
      </w:tblGrid>
      <w:tr>
        <w:trPr/>
        <w:tc>
          <w:tcPr>
            <w:tcW w:w="290" w:type="dxa"/>
            <w:tcBorders/>
            <w:shd w:fill="auto" w:val="clear"/>
          </w:tcPr>
          <w:p>
            <w:pPr>
              <w:pStyle w:val="TableContents"/>
              <w:spacing w:before="0" w:after="283"/>
              <w:rPr>
                <w:rFonts w:ascii="serif" w:hAnsi="serif"/>
                <w:sz w:val="20"/>
              </w:rPr>
            </w:pPr>
            <w:r>
              <w:rPr>
                <w:rFonts w:ascii="serif" w:hAnsi="serif"/>
                <w:sz w:val="20"/>
              </w:rPr>
              <w:t>(1)</w:t>
            </w:r>
          </w:p>
        </w:tc>
        <w:tc>
          <w:tcPr>
            <w:tcW w:w="300" w:type="dxa"/>
            <w:tcBorders/>
            <w:shd w:fill="auto" w:val="clear"/>
            <w:vAlign w:val="center"/>
          </w:tcPr>
          <w:p>
            <w:pPr>
              <w:pStyle w:val="TableContents"/>
              <w:spacing w:before="0" w:after="283"/>
              <w:rPr/>
            </w:pPr>
            <w:r>
              <w:rPr/>
              <w:t>     </w:t>
            </w:r>
          </w:p>
        </w:tc>
        <w:tc>
          <w:tcPr>
            <w:tcW w:w="9615" w:type="dxa"/>
            <w:tcBorders/>
            <w:shd w:fill="auto" w:val="clear"/>
            <w:vAlign w:val="center"/>
          </w:tcPr>
          <w:p>
            <w:pPr>
              <w:pStyle w:val="TableContents"/>
              <w:spacing w:before="0" w:after="283"/>
              <w:rPr>
                <w:rFonts w:ascii="serif" w:hAnsi="serif"/>
                <w:sz w:val="20"/>
              </w:rPr>
            </w:pPr>
            <w:r>
              <w:rPr>
                <w:rFonts w:ascii="serif" w:hAnsi="serif"/>
                <w:sz w:val="20"/>
              </w:rPr>
              <w:t>Credited service is actual years of employment with Oil-Dri.</w:t>
            </w:r>
          </w:p>
        </w:tc>
      </w:tr>
      <w:tr>
        <w:trPr/>
        <w:tc>
          <w:tcPr>
            <w:tcW w:w="10205" w:type="dxa"/>
            <w:gridSpan w:val="3"/>
            <w:tcBorders/>
            <w:shd w:fill="auto" w:val="clear"/>
            <w:vAlign w:val="center"/>
          </w:tcPr>
          <w:p>
            <w:pPr>
              <w:pStyle w:val="TableContents"/>
              <w:spacing w:before="0" w:after="283"/>
              <w:rPr/>
            </w:pPr>
            <w:r>
              <w:rPr/>
              <w:t> </w:t>
            </w:r>
          </w:p>
        </w:tc>
      </w:tr>
      <w:tr>
        <w:trPr/>
        <w:tc>
          <w:tcPr>
            <w:tcW w:w="290" w:type="dxa"/>
            <w:tcBorders/>
            <w:shd w:fill="auto" w:val="clear"/>
          </w:tcPr>
          <w:p>
            <w:pPr>
              <w:pStyle w:val="TableContents"/>
              <w:spacing w:before="0" w:after="283"/>
              <w:rPr>
                <w:rFonts w:ascii="serif" w:hAnsi="serif"/>
                <w:sz w:val="20"/>
              </w:rPr>
            </w:pPr>
            <w:r>
              <w:rPr>
                <w:rFonts w:ascii="serif" w:hAnsi="serif"/>
                <w:sz w:val="20"/>
              </w:rPr>
              <w:t>(2)</w:t>
            </w:r>
          </w:p>
        </w:tc>
        <w:tc>
          <w:tcPr>
            <w:tcW w:w="300" w:type="dxa"/>
            <w:tcBorders/>
            <w:shd w:fill="auto" w:val="clear"/>
            <w:vAlign w:val="center"/>
          </w:tcPr>
          <w:p>
            <w:pPr>
              <w:pStyle w:val="TableContents"/>
              <w:spacing w:before="0" w:after="283"/>
              <w:rPr>
                <w:sz w:val="4"/>
                <w:szCs w:val="4"/>
              </w:rPr>
            </w:pPr>
            <w:r>
              <w:rPr>
                <w:sz w:val="4"/>
                <w:szCs w:val="4"/>
              </w:rPr>
            </w:r>
          </w:p>
        </w:tc>
        <w:tc>
          <w:tcPr>
            <w:tcW w:w="9615" w:type="dxa"/>
            <w:tcBorders/>
            <w:shd w:fill="auto" w:val="clear"/>
            <w:vAlign w:val="center"/>
          </w:tcPr>
          <w:p>
            <w:pPr>
              <w:pStyle w:val="TableContents"/>
              <w:spacing w:before="0" w:after="283"/>
              <w:rPr>
                <w:rFonts w:ascii="serif" w:hAnsi="serif"/>
                <w:sz w:val="20"/>
              </w:rPr>
            </w:pPr>
            <w:r>
              <w:rPr>
                <w:rFonts w:ascii="serif" w:hAnsi="serif"/>
                <w:sz w:val="20"/>
              </w:rPr>
              <w:t>The amounts shown for Messrs. Bancroft, Brissman and Peterson have not yet vested.</w:t>
            </w:r>
          </w:p>
        </w:tc>
      </w:tr>
      <w:tr>
        <w:trPr/>
        <w:tc>
          <w:tcPr>
            <w:tcW w:w="10205" w:type="dxa"/>
            <w:gridSpan w:val="3"/>
            <w:tcBorders/>
            <w:shd w:fill="auto" w:val="clear"/>
            <w:vAlign w:val="center"/>
          </w:tcPr>
          <w:p>
            <w:pPr>
              <w:pStyle w:val="TableContents"/>
              <w:spacing w:before="0" w:after="283"/>
              <w:rPr/>
            </w:pPr>
            <w:r>
              <w:rPr/>
              <w:t> </w:t>
            </w:r>
          </w:p>
        </w:tc>
      </w:tr>
      <w:tr>
        <w:trPr/>
        <w:tc>
          <w:tcPr>
            <w:tcW w:w="290" w:type="dxa"/>
            <w:tcBorders/>
            <w:shd w:fill="auto" w:val="clear"/>
            <w:vAlign w:val="center"/>
          </w:tcPr>
          <w:p>
            <w:pPr>
              <w:pStyle w:val="TableContents"/>
              <w:spacing w:before="0" w:after="283"/>
              <w:rPr/>
            </w:pPr>
            <w:r>
              <w:rPr/>
              <w:t> </w:t>
            </w:r>
          </w:p>
        </w:tc>
        <w:tc>
          <w:tcPr>
            <w:tcW w:w="300" w:type="dxa"/>
            <w:tcBorders/>
            <w:shd w:fill="auto" w:val="clear"/>
            <w:vAlign w:val="center"/>
          </w:tcPr>
          <w:p>
            <w:pPr>
              <w:pStyle w:val="TableContents"/>
              <w:spacing w:before="0" w:after="283"/>
              <w:rPr>
                <w:sz w:val="4"/>
                <w:szCs w:val="4"/>
              </w:rPr>
            </w:pPr>
            <w:r>
              <w:rPr>
                <w:sz w:val="4"/>
                <w:szCs w:val="4"/>
              </w:rPr>
            </w:r>
          </w:p>
        </w:tc>
        <w:tc>
          <w:tcPr>
            <w:tcW w:w="9615" w:type="dxa"/>
            <w:tcBorders/>
            <w:shd w:fill="auto" w:val="clear"/>
            <w:vAlign w:val="center"/>
          </w:tcPr>
          <w:p>
            <w:pPr>
              <w:pStyle w:val="TableContents"/>
              <w:spacing w:before="0" w:after="283"/>
              <w:rPr>
                <w:rFonts w:ascii="serif" w:hAnsi="serif"/>
                <w:sz w:val="20"/>
              </w:rPr>
            </w:pPr>
            <w:r>
              <w:rPr>
                <w:rFonts w:ascii="serif" w:hAnsi="serif"/>
                <w:sz w:val="20"/>
              </w:rPr>
              <w:t>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Note 8 of the financial statements in our Form 10-K for the fiscal year ended July 31, 2007.</w:t>
            </w:r>
          </w:p>
        </w:tc>
      </w:tr>
    </w:tbl>
    <w:p>
      <w:pPr>
        <w:pStyle w:val="TextBody"/>
        <w:jc w:val="center"/>
        <w:rPr>
          <w:rFonts w:ascii="serif" w:hAnsi="serif"/>
          <w:sz w:val="20"/>
        </w:rPr>
      </w:pPr>
      <w:r>
        <w:rPr>
          <w:rFonts w:ascii="serif" w:hAnsi="serif"/>
          <w:sz w:val="20"/>
        </w:rPr>
        <w:t>33</w:t>
      </w:r>
    </w:p>
    <w:p>
      <w:pPr>
        <w:pStyle w:val="HorizontalLine"/>
        <w:pBdr>
          <w:bottom w:val="single" w:sz="12" w:space="0" w:color="808080"/>
        </w:pBdr>
        <w:rPr/>
      </w:pPr>
      <w:r>
        <w:rPr/>
      </w:r>
    </w:p>
    <w:p>
      <w:pPr>
        <w:pStyle w:val="TextBody"/>
        <w:jc w:val="center"/>
        <w:rPr>
          <w:rFonts w:ascii="serif" w:hAnsi="serif"/>
          <w:b/>
        </w:rPr>
      </w:pPr>
      <w:r>
        <w:rPr>
          <w:rFonts w:ascii="serif" w:hAnsi="serif"/>
          <w:b/>
        </w:rPr>
        <w:t>Nonqualified Deferred Compensation for Fiscal 2007</w:t>
      </w:r>
    </w:p>
    <w:p>
      <w:pPr>
        <w:pStyle w:val="TextBody"/>
        <w:jc w:val="both"/>
        <w:rPr/>
      </w:pPr>
      <w:r>
        <w:rPr/>
        <w:t>     </w:t>
      </w:r>
      <w:r>
        <w:rPr>
          <w:rFonts w:ascii="serif" w:hAnsi="serif"/>
          <w:b/>
          <w:sz w:val="20"/>
        </w:rPr>
        <w:t>Executive deferred compensation plan:</w:t>
      </w:r>
      <w:r>
        <w:rPr/>
        <w:t xml:space="preserve"> </w:t>
      </w:r>
      <w:r>
        <w:rPr>
          <w:rFonts w:ascii="serif" w:hAnsi="serif"/>
          <w:sz w:val="20"/>
        </w:rPr>
        <w:t>Oil-Dri provides an executive deferred compensation plan in which all executive officers and other senior managers are eligible to participate. Participating executives may defer up to 50% of base salary and 100% of annual cash incentive bonus into the plan. Oil-Dri makes no contributions. Executives deferrals earn a return equal to Oil-Dris long term cost of borrowing plus one percent.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w:t>
      </w:r>
    </w:p>
    <w:p>
      <w:pPr>
        <w:pStyle w:val="TextBody"/>
        <w:jc w:val="both"/>
        <w:rPr/>
      </w:pPr>
      <w:r>
        <w:rPr/>
        <w:t>     </w:t>
      </w:r>
      <w:r>
        <w:rPr>
          <w:rFonts w:ascii="serif" w:hAnsi="serif"/>
          <w:b/>
          <w:sz w:val="20"/>
        </w:rPr>
        <w:t>Annual incentive plan:</w:t>
      </w:r>
      <w:r>
        <w:rPr/>
        <w:t xml:space="preserve"> </w:t>
      </w:r>
      <w:r>
        <w:rPr>
          <w:rFonts w:ascii="serif" w:hAnsi="serif"/>
          <w:sz w:val="20"/>
        </w:rPr>
        <w:t>Oil-Dris performance based annual incentive plan provides the opportunity for our executive officers to earn an executive deferred bonus award. This program is described more fully under the heading Annual and Deferred Incentive Compensation in the Compensation Discussion and Analysis. Fiscal 2007 was the first year of this program. Deferred bonuses awarded under this program earn a return equal to Oil-Dris long term cost of borrowing plus one percent. Deferred bonus awards vest (become payable) according to a vesting schedule established by the Compensation Committee for each fiscal years award. Deferred bonuses awarded for fiscal 2007 vest on July 31, 2010. Generally, a participant must be employed by Oil-Dri on the vesting date in order to receive payment of his award. However, awards are immediately 100% vested and payable upon a participants death, retirement with age plus years of service equal to 80, disability or a change in control of the Company.</w:t>
      </w:r>
    </w:p>
    <w:p>
      <w:pPr>
        <w:pStyle w:val="TextBody"/>
        <w:jc w:val="both"/>
        <w:rPr/>
      </w:pPr>
      <w:r>
        <w:rPr/>
        <w:t>     </w:t>
      </w:r>
      <w:r>
        <w:rPr>
          <w:rFonts w:ascii="serif" w:hAnsi="serif"/>
          <w:sz w:val="20"/>
        </w:rPr>
        <w:t>Both of our deferred compensation plans are unfunded and subject to the claims of the Companys creditors.</w:t>
      </w:r>
    </w:p>
    <w:p>
      <w:pPr>
        <w:pStyle w:val="TextBody"/>
        <w:jc w:val="both"/>
        <w:rPr/>
      </w:pPr>
      <w:r>
        <w:rPr/>
        <w:t>     </w:t>
      </w:r>
      <w:r>
        <w:rPr>
          <w:rFonts w:ascii="serif" w:hAnsi="serif"/>
          <w:sz w:val="20"/>
        </w:rPr>
        <w:t>The following table shows contributions, earnings and balances in our deferred compensation plans for the named executive officers for fiscal 2007.</w:t>
      </w:r>
    </w:p>
    <w:tbl>
      <w:tblPr>
        <w:tblW w:w="10455" w:type="dxa"/>
        <w:jc w:val="left"/>
        <w:tblInd w:w="0" w:type="dxa"/>
        <w:tblCellMar>
          <w:top w:w="0" w:type="dxa"/>
          <w:left w:w="0" w:type="dxa"/>
          <w:bottom w:w="0" w:type="dxa"/>
          <w:right w:w="0" w:type="dxa"/>
        </w:tblCellMar>
      </w:tblPr>
      <w:tblGrid>
        <w:gridCol w:w="2030"/>
        <w:gridCol w:w="300"/>
        <w:gridCol w:w="42"/>
        <w:gridCol w:w="237"/>
        <w:gridCol w:w="1241"/>
        <w:gridCol w:w="300"/>
        <w:gridCol w:w="100"/>
        <w:gridCol w:w="313"/>
        <w:gridCol w:w="1107"/>
        <w:gridCol w:w="300"/>
        <w:gridCol w:w="90"/>
        <w:gridCol w:w="189"/>
        <w:gridCol w:w="986"/>
        <w:gridCol w:w="300"/>
        <w:gridCol w:w="1445"/>
        <w:gridCol w:w="300"/>
        <w:gridCol w:w="73"/>
        <w:gridCol w:w="154"/>
        <w:gridCol w:w="948"/>
      </w:tblGrid>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Executive</w:t>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Registrant</w:t>
            </w:r>
          </w:p>
        </w:tc>
        <w:tc>
          <w:tcPr>
            <w:tcW w:w="300" w:type="dxa"/>
            <w:tcBorders/>
            <w:shd w:fill="auto" w:val="clear"/>
            <w:vAlign w:val="bottom"/>
          </w:tcPr>
          <w:p>
            <w:pPr>
              <w:pStyle w:val="TableContents"/>
              <w:spacing w:before="0" w:after="283"/>
              <w:jc w:val="center"/>
              <w:rPr/>
            </w:pPr>
            <w:r>
              <w:rPr/>
              <w:t>     </w:t>
            </w:r>
          </w:p>
        </w:tc>
        <w:tc>
          <w:tcPr>
            <w:tcW w:w="126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Aggregate</w:t>
            </w:r>
          </w:p>
        </w:tc>
        <w:tc>
          <w:tcPr>
            <w:tcW w:w="300" w:type="dxa"/>
            <w:tcBorders/>
            <w:shd w:fill="auto" w:val="clear"/>
            <w:vAlign w:val="bottom"/>
          </w:tcPr>
          <w:p>
            <w:pPr>
              <w:pStyle w:val="TableContents"/>
              <w:spacing w:before="0" w:after="283"/>
              <w:jc w:val="center"/>
              <w:rPr/>
            </w:pPr>
            <w:r>
              <w:rPr/>
              <w:t>     </w:t>
            </w:r>
          </w:p>
        </w:tc>
        <w:tc>
          <w:tcPr>
            <w:tcW w:w="144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175" w:type="dxa"/>
            <w:gridSpan w:val="3"/>
            <w:tcBorders/>
            <w:shd w:fill="auto" w:val="clear"/>
            <w:vAlign w:val="bottom"/>
          </w:tcPr>
          <w:p>
            <w:pPr>
              <w:pStyle w:val="TableContents"/>
              <w:spacing w:before="0" w:after="283"/>
              <w:rPr>
                <w:sz w:val="4"/>
                <w:szCs w:val="4"/>
              </w:rPr>
            </w:pPr>
            <w:r>
              <w:rPr>
                <w:sz w:val="4"/>
                <w:szCs w:val="4"/>
              </w:rPr>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Contributions</w:t>
            </w:r>
          </w:p>
        </w:tc>
        <w:tc>
          <w:tcPr>
            <w:tcW w:w="300" w:type="dxa"/>
            <w:tcBorders/>
            <w:shd w:fill="auto" w:val="clear"/>
            <w:vAlign w:val="bottom"/>
          </w:tcPr>
          <w:p>
            <w:pPr>
              <w:pStyle w:val="TableContents"/>
              <w:spacing w:before="0" w:after="283"/>
              <w:rPr>
                <w:sz w:val="4"/>
                <w:szCs w:val="4"/>
              </w:rPr>
            </w:pPr>
            <w:r>
              <w:rPr>
                <w:sz w:val="4"/>
                <w:szCs w:val="4"/>
              </w:rPr>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Contributions</w:t>
            </w:r>
          </w:p>
        </w:tc>
        <w:tc>
          <w:tcPr>
            <w:tcW w:w="300" w:type="dxa"/>
            <w:tcBorders/>
            <w:shd w:fill="auto" w:val="clear"/>
            <w:vAlign w:val="bottom"/>
          </w:tcPr>
          <w:p>
            <w:pPr>
              <w:pStyle w:val="TableContents"/>
              <w:spacing w:before="0" w:after="283"/>
              <w:rPr>
                <w:sz w:val="4"/>
                <w:szCs w:val="4"/>
              </w:rPr>
            </w:pPr>
            <w:r>
              <w:rPr>
                <w:sz w:val="4"/>
                <w:szCs w:val="4"/>
              </w:rPr>
            </w:r>
          </w:p>
        </w:tc>
        <w:tc>
          <w:tcPr>
            <w:tcW w:w="126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Earnings in</w:t>
            </w:r>
          </w:p>
        </w:tc>
        <w:tc>
          <w:tcPr>
            <w:tcW w:w="30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Aggregate</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in Last Fiscal</w:t>
            </w:r>
          </w:p>
        </w:tc>
        <w:tc>
          <w:tcPr>
            <w:tcW w:w="300" w:type="dxa"/>
            <w:tcBorders/>
            <w:shd w:fill="auto" w:val="clear"/>
            <w:vAlign w:val="bottom"/>
          </w:tcPr>
          <w:p>
            <w:pPr>
              <w:pStyle w:val="TableContents"/>
              <w:spacing w:before="0" w:after="283"/>
              <w:rPr>
                <w:sz w:val="4"/>
                <w:szCs w:val="4"/>
              </w:rPr>
            </w:pPr>
            <w:r>
              <w:rPr>
                <w:sz w:val="4"/>
                <w:szCs w:val="4"/>
              </w:rPr>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in Last Fiscal</w:t>
            </w:r>
          </w:p>
        </w:tc>
        <w:tc>
          <w:tcPr>
            <w:tcW w:w="300" w:type="dxa"/>
            <w:tcBorders/>
            <w:shd w:fill="auto" w:val="clear"/>
            <w:vAlign w:val="bottom"/>
          </w:tcPr>
          <w:p>
            <w:pPr>
              <w:pStyle w:val="TableContents"/>
              <w:spacing w:before="0" w:after="283"/>
              <w:rPr>
                <w:sz w:val="4"/>
                <w:szCs w:val="4"/>
              </w:rPr>
            </w:pPr>
            <w:r>
              <w:rPr>
                <w:sz w:val="4"/>
                <w:szCs w:val="4"/>
              </w:rPr>
            </w:r>
          </w:p>
        </w:tc>
        <w:tc>
          <w:tcPr>
            <w:tcW w:w="126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Last Fiscal</w:t>
            </w:r>
          </w:p>
        </w:tc>
        <w:tc>
          <w:tcPr>
            <w:tcW w:w="30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jc w:val="center"/>
              <w:rPr>
                <w:rFonts w:ascii="serif" w:hAnsi="serif"/>
                <w:b/>
                <w:sz w:val="20"/>
              </w:rPr>
            </w:pPr>
            <w:r>
              <w:rPr>
                <w:rFonts w:ascii="serif" w:hAnsi="serif"/>
                <w:b/>
                <w:sz w:val="20"/>
              </w:rPr>
              <w:t>Aggregate</w:t>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Balance at</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Year</w:t>
            </w:r>
          </w:p>
        </w:tc>
        <w:tc>
          <w:tcPr>
            <w:tcW w:w="300" w:type="dxa"/>
            <w:tcBorders/>
            <w:shd w:fill="auto" w:val="clear"/>
            <w:vAlign w:val="bottom"/>
          </w:tcPr>
          <w:p>
            <w:pPr>
              <w:pStyle w:val="TableContents"/>
              <w:spacing w:before="0" w:after="283"/>
              <w:rPr>
                <w:sz w:val="4"/>
                <w:szCs w:val="4"/>
              </w:rPr>
            </w:pPr>
            <w:r>
              <w:rPr>
                <w:sz w:val="4"/>
                <w:szCs w:val="4"/>
              </w:rPr>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Year</w:t>
            </w:r>
          </w:p>
        </w:tc>
        <w:tc>
          <w:tcPr>
            <w:tcW w:w="300" w:type="dxa"/>
            <w:tcBorders/>
            <w:shd w:fill="auto" w:val="clear"/>
            <w:vAlign w:val="bottom"/>
          </w:tcPr>
          <w:p>
            <w:pPr>
              <w:pStyle w:val="TableContents"/>
              <w:spacing w:before="0" w:after="283"/>
              <w:rPr>
                <w:sz w:val="4"/>
                <w:szCs w:val="4"/>
              </w:rPr>
            </w:pPr>
            <w:r>
              <w:rPr>
                <w:sz w:val="4"/>
                <w:szCs w:val="4"/>
              </w:rPr>
            </w:r>
          </w:p>
        </w:tc>
        <w:tc>
          <w:tcPr>
            <w:tcW w:w="126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Year</w:t>
            </w:r>
          </w:p>
        </w:tc>
        <w:tc>
          <w:tcPr>
            <w:tcW w:w="30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jc w:val="center"/>
              <w:rPr>
                <w:rFonts w:ascii="serif" w:hAnsi="serif"/>
                <w:b/>
                <w:sz w:val="20"/>
              </w:rPr>
            </w:pPr>
            <w:r>
              <w:rPr>
                <w:rFonts w:ascii="serif" w:hAnsi="serif"/>
                <w:b/>
                <w:sz w:val="20"/>
              </w:rPr>
              <w:t>Withdrawals/</w:t>
            </w:r>
          </w:p>
        </w:tc>
        <w:tc>
          <w:tcPr>
            <w:tcW w:w="300" w:type="dxa"/>
            <w:tcBorders/>
            <w:shd w:fill="auto" w:val="clear"/>
            <w:vAlign w:val="bottom"/>
          </w:tcPr>
          <w:p>
            <w:pPr>
              <w:pStyle w:val="TableContents"/>
              <w:spacing w:before="0" w:after="283"/>
              <w:jc w:val="center"/>
              <w:rPr/>
            </w:pPr>
            <w:r>
              <w:rPr/>
              <w:t> </w:t>
            </w:r>
          </w:p>
        </w:tc>
        <w:tc>
          <w:tcPr>
            <w:tcW w:w="117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Last Fiscal</w:t>
            </w:r>
          </w:p>
        </w:tc>
      </w:tr>
      <w:tr>
        <w:trPr/>
        <w:tc>
          <w:tcPr>
            <w:tcW w:w="203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52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6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jc w:val="center"/>
              <w:rPr/>
            </w:pPr>
            <w:r>
              <w:rPr/>
              <w:t> </w:t>
            </w:r>
          </w:p>
        </w:tc>
        <w:tc>
          <w:tcPr>
            <w:tcW w:w="1445" w:type="dxa"/>
            <w:tcBorders/>
            <w:shd w:fill="auto" w:val="clear"/>
            <w:vAlign w:val="bottom"/>
          </w:tcPr>
          <w:p>
            <w:pPr>
              <w:pStyle w:val="TableContents"/>
              <w:spacing w:before="0" w:after="283"/>
              <w:jc w:val="center"/>
              <w:rPr>
                <w:rFonts w:ascii="serif" w:hAnsi="serif"/>
                <w:b/>
                <w:sz w:val="20"/>
              </w:rPr>
            </w:pPr>
            <w:r>
              <w:rPr>
                <w:rFonts w:ascii="serif" w:hAnsi="serif"/>
                <w:b/>
                <w:sz w:val="20"/>
              </w:rPr>
              <w:t>Distributions</w:t>
            </w:r>
          </w:p>
        </w:tc>
        <w:tc>
          <w:tcPr>
            <w:tcW w:w="300" w:type="dxa"/>
            <w:tcBorders/>
            <w:shd w:fill="auto" w:val="clear"/>
            <w:vAlign w:val="bottom"/>
          </w:tcPr>
          <w:p>
            <w:pPr>
              <w:pStyle w:val="TableContents"/>
              <w:spacing w:before="0" w:after="283"/>
              <w:rPr>
                <w:sz w:val="4"/>
                <w:szCs w:val="4"/>
              </w:rPr>
            </w:pPr>
            <w:r>
              <w:rPr>
                <w:sz w:val="4"/>
                <w:szCs w:val="4"/>
              </w:rPr>
            </w:r>
          </w:p>
        </w:tc>
        <w:tc>
          <w:tcPr>
            <w:tcW w:w="1175"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Year End</w:t>
            </w:r>
          </w:p>
        </w:tc>
      </w:tr>
      <w:tr>
        <w:trPr/>
        <w:tc>
          <w:tcPr>
            <w:tcW w:w="203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520"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520"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65"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45"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75"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300" w:type="dxa"/>
            <w:tcBorders/>
            <w:shd w:fill="C0C0C0" w:val="clear"/>
            <w:vAlign w:val="bottom"/>
          </w:tcPr>
          <w:p>
            <w:pPr>
              <w:pStyle w:val="TableContents"/>
              <w:spacing w:before="0" w:after="283"/>
              <w:rPr>
                <w:sz w:val="4"/>
                <w:szCs w:val="4"/>
              </w:rPr>
            </w:pPr>
            <w:r>
              <w:rPr>
                <w:sz w:val="4"/>
                <w:szCs w:val="4"/>
              </w:rPr>
            </w:r>
          </w:p>
        </w:tc>
        <w:tc>
          <w:tcPr>
            <w:tcW w:w="42" w:type="dxa"/>
            <w:tcBorders/>
            <w:shd w:fill="C0C0C0" w:val="clear"/>
            <w:vAlign w:val="bottom"/>
          </w:tcPr>
          <w:p>
            <w:pPr>
              <w:pStyle w:val="TableContents"/>
              <w:spacing w:before="0" w:after="283"/>
              <w:rPr>
                <w:sz w:val="4"/>
                <w:szCs w:val="4"/>
              </w:rPr>
            </w:pPr>
            <w:r>
              <w:rPr>
                <w:sz w:val="4"/>
                <w:szCs w:val="4"/>
              </w:rPr>
            </w:r>
          </w:p>
        </w:tc>
        <w:tc>
          <w:tcPr>
            <w:tcW w:w="237" w:type="dxa"/>
            <w:tcBorders/>
            <w:shd w:fill="C0C0C0" w:val="clear"/>
            <w:vAlign w:val="bottom"/>
          </w:tcPr>
          <w:p>
            <w:pPr>
              <w:pStyle w:val="TableContents"/>
              <w:spacing w:before="0" w:after="283"/>
              <w:jc w:val="right"/>
              <w:rPr>
                <w:sz w:val="20"/>
              </w:rPr>
            </w:pPr>
            <w:r>
              <w:rPr>
                <w:sz w:val="20"/>
              </w:rPr>
              <w:t>$</w:t>
            </w:r>
          </w:p>
        </w:tc>
        <w:tc>
          <w:tcPr>
            <w:tcW w:w="1241" w:type="dxa"/>
            <w:tcBorders/>
            <w:shd w:fill="C0C0C0" w:val="clear"/>
            <w:vAlign w:val="bottom"/>
          </w:tcPr>
          <w:p>
            <w:pPr>
              <w:pStyle w:val="TableContents"/>
              <w:spacing w:before="0" w:after="283"/>
              <w:jc w:val="right"/>
              <w:rPr/>
            </w:pPr>
            <w:r>
              <w:rPr/>
              <w:t> </w:t>
            </w:r>
            <w:r>
              <w:rPr>
                <w:sz w:val="20"/>
              </w:rPr>
              <w:t>81,063</w:t>
            </w:r>
          </w:p>
        </w:tc>
        <w:tc>
          <w:tcPr>
            <w:tcW w:w="300" w:type="dxa"/>
            <w:tcBorders/>
            <w:shd w:fill="C0C0C0" w:val="clear"/>
            <w:vAlign w:val="bottom"/>
          </w:tcPr>
          <w:p>
            <w:pPr>
              <w:pStyle w:val="TableContents"/>
              <w:spacing w:before="0" w:after="283"/>
              <w:jc w:val="left"/>
              <w:rPr/>
            </w:pPr>
            <w:r>
              <w:rPr/>
              <w:t> </w:t>
            </w:r>
          </w:p>
        </w:tc>
        <w:tc>
          <w:tcPr>
            <w:tcW w:w="100" w:type="dxa"/>
            <w:tcBorders/>
            <w:shd w:fill="C0C0C0" w:val="clear"/>
            <w:vAlign w:val="bottom"/>
          </w:tcPr>
          <w:p>
            <w:pPr>
              <w:pStyle w:val="TableContents"/>
              <w:spacing w:before="0" w:after="283"/>
              <w:rPr>
                <w:sz w:val="4"/>
                <w:szCs w:val="4"/>
              </w:rPr>
            </w:pPr>
            <w:r>
              <w:rPr>
                <w:sz w:val="4"/>
                <w:szCs w:val="4"/>
              </w:rPr>
            </w:r>
          </w:p>
        </w:tc>
        <w:tc>
          <w:tcPr>
            <w:tcW w:w="1420" w:type="dxa"/>
            <w:gridSpan w:val="2"/>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jc w:val="right"/>
              <w:rPr/>
            </w:pPr>
            <w:r>
              <w:rPr/>
              <w:t> </w:t>
            </w:r>
          </w:p>
        </w:tc>
        <w:tc>
          <w:tcPr>
            <w:tcW w:w="90" w:type="dxa"/>
            <w:tcBorders/>
            <w:shd w:fill="C0C0C0" w:val="clear"/>
            <w:vAlign w:val="bottom"/>
          </w:tcPr>
          <w:p>
            <w:pPr>
              <w:pStyle w:val="TableContents"/>
              <w:spacing w:before="0" w:after="283"/>
              <w:rPr>
                <w:sz w:val="4"/>
                <w:szCs w:val="4"/>
              </w:rPr>
            </w:pPr>
            <w:r>
              <w:rPr>
                <w:sz w:val="4"/>
                <w:szCs w:val="4"/>
              </w:rPr>
            </w:r>
          </w:p>
        </w:tc>
        <w:tc>
          <w:tcPr>
            <w:tcW w:w="189" w:type="dxa"/>
            <w:tcBorders/>
            <w:shd w:fill="C0C0C0" w:val="clear"/>
            <w:vAlign w:val="bottom"/>
          </w:tcPr>
          <w:p>
            <w:pPr>
              <w:pStyle w:val="TableContents"/>
              <w:spacing w:before="0" w:after="283"/>
              <w:jc w:val="right"/>
              <w:rPr>
                <w:sz w:val="20"/>
              </w:rPr>
            </w:pPr>
            <w:r>
              <w:rPr>
                <w:sz w:val="20"/>
              </w:rPr>
              <w:t>$</w:t>
            </w:r>
          </w:p>
        </w:tc>
        <w:tc>
          <w:tcPr>
            <w:tcW w:w="986" w:type="dxa"/>
            <w:tcBorders/>
            <w:shd w:fill="C0C0C0" w:val="clear"/>
            <w:vAlign w:val="bottom"/>
          </w:tcPr>
          <w:p>
            <w:pPr>
              <w:pStyle w:val="TableContents"/>
              <w:spacing w:before="0" w:after="283"/>
              <w:jc w:val="right"/>
              <w:rPr/>
            </w:pPr>
            <w:r>
              <w:rPr/>
              <w:t> </w:t>
            </w:r>
            <w:r>
              <w:rPr>
                <w:sz w:val="20"/>
              </w:rPr>
              <w:t>18,923</w:t>
            </w:r>
          </w:p>
        </w:tc>
        <w:tc>
          <w:tcPr>
            <w:tcW w:w="300" w:type="dxa"/>
            <w:tcBorders/>
            <w:shd w:fill="C0C0C0" w:val="clear"/>
            <w:vAlign w:val="bottom"/>
          </w:tcPr>
          <w:p>
            <w:pPr>
              <w:pStyle w:val="TableContents"/>
              <w:spacing w:before="0" w:after="283"/>
              <w:rPr>
                <w:sz w:val="4"/>
                <w:szCs w:val="4"/>
              </w:rPr>
            </w:pPr>
            <w:r>
              <w:rPr>
                <w:sz w:val="4"/>
                <w:szCs w:val="4"/>
              </w:rPr>
            </w:r>
          </w:p>
        </w:tc>
        <w:tc>
          <w:tcPr>
            <w:tcW w:w="144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54" w:type="dxa"/>
            <w:tcBorders/>
            <w:shd w:fill="C0C0C0" w:val="clear"/>
            <w:vAlign w:val="bottom"/>
          </w:tcPr>
          <w:p>
            <w:pPr>
              <w:pStyle w:val="TableContents"/>
              <w:spacing w:before="0" w:after="283"/>
              <w:jc w:val="right"/>
              <w:rPr>
                <w:sz w:val="20"/>
              </w:rPr>
            </w:pPr>
            <w:r>
              <w:rPr>
                <w:sz w:val="20"/>
              </w:rPr>
              <w:t>$</w:t>
            </w:r>
          </w:p>
        </w:tc>
        <w:tc>
          <w:tcPr>
            <w:tcW w:w="948" w:type="dxa"/>
            <w:tcBorders/>
            <w:shd w:fill="C0C0C0" w:val="clear"/>
            <w:vAlign w:val="bottom"/>
          </w:tcPr>
          <w:p>
            <w:pPr>
              <w:pStyle w:val="TableContents"/>
              <w:spacing w:before="0" w:after="283"/>
              <w:jc w:val="right"/>
              <w:rPr/>
            </w:pPr>
            <w:r>
              <w:rPr/>
              <w:t> </w:t>
            </w:r>
            <w:r>
              <w:rPr>
                <w:sz w:val="20"/>
              </w:rPr>
              <w:t>372,324</w:t>
            </w:r>
          </w:p>
        </w:tc>
      </w:tr>
      <w:tr>
        <w:trPr/>
        <w:tc>
          <w:tcPr>
            <w:tcW w:w="2030" w:type="dxa"/>
            <w:tcBorders/>
            <w:shd w:fill="auto" w:val="clear"/>
            <w:vAlign w:val="bottom"/>
          </w:tcPr>
          <w:p>
            <w:pPr>
              <w:pStyle w:val="TableContents"/>
              <w:spacing w:before="0" w:after="283"/>
              <w:jc w:val="left"/>
              <w:rPr>
                <w:rFonts w:ascii="serif" w:hAnsi="serif"/>
                <w:sz w:val="20"/>
              </w:rPr>
            </w:pPr>
            <w:r>
              <w:rPr>
                <w:rFonts w:ascii="serif" w:hAnsi="serif"/>
                <w:sz w:val="20"/>
              </w:rPr>
              <w:t>Andrew N. Peterson</w:t>
            </w:r>
          </w:p>
        </w:tc>
        <w:tc>
          <w:tcPr>
            <w:tcW w:w="300" w:type="dxa"/>
            <w:tcBorders/>
            <w:shd w:fill="auto" w:val="clear"/>
            <w:vAlign w:val="bottom"/>
          </w:tcPr>
          <w:p>
            <w:pPr>
              <w:pStyle w:val="TableContents"/>
              <w:spacing w:before="0" w:after="283"/>
              <w:rPr>
                <w:sz w:val="4"/>
                <w:szCs w:val="4"/>
              </w:rPr>
            </w:pPr>
            <w:r>
              <w:rPr>
                <w:sz w:val="4"/>
                <w:szCs w:val="4"/>
              </w:rPr>
            </w:r>
          </w:p>
        </w:tc>
        <w:tc>
          <w:tcPr>
            <w:tcW w:w="42" w:type="dxa"/>
            <w:tcBorders/>
            <w:shd w:fill="auto" w:val="clear"/>
            <w:vAlign w:val="bottom"/>
          </w:tcPr>
          <w:p>
            <w:pPr>
              <w:pStyle w:val="TableContents"/>
              <w:spacing w:before="0" w:after="283"/>
              <w:rPr>
                <w:sz w:val="4"/>
                <w:szCs w:val="4"/>
              </w:rPr>
            </w:pPr>
            <w:r>
              <w:rPr>
                <w:sz w:val="4"/>
                <w:szCs w:val="4"/>
              </w:rPr>
            </w:r>
          </w:p>
        </w:tc>
        <w:tc>
          <w:tcPr>
            <w:tcW w:w="1478"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jc w:val="right"/>
              <w:rPr>
                <w:sz w:val="20"/>
              </w:rPr>
            </w:pPr>
            <w:r>
              <w:rPr>
                <w:sz w:val="20"/>
              </w:rPr>
              <w:t>$</w:t>
            </w:r>
          </w:p>
        </w:tc>
        <w:tc>
          <w:tcPr>
            <w:tcW w:w="1107" w:type="dxa"/>
            <w:tcBorders/>
            <w:shd w:fill="auto" w:val="clear"/>
            <w:vAlign w:val="bottom"/>
          </w:tcPr>
          <w:p>
            <w:pPr>
              <w:pStyle w:val="TableContents"/>
              <w:spacing w:before="0" w:after="283"/>
              <w:jc w:val="right"/>
              <w:rPr/>
            </w:pPr>
            <w:r>
              <w:rPr/>
              <w:t> </w:t>
            </w:r>
            <w:r>
              <w:rPr>
                <w:sz w:val="20"/>
              </w:rPr>
              <w:t>48,802</w:t>
            </w:r>
          </w:p>
        </w:tc>
        <w:tc>
          <w:tcPr>
            <w:tcW w:w="30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117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102"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Thomas F. Cofsky</w:t>
            </w:r>
          </w:p>
        </w:tc>
        <w:tc>
          <w:tcPr>
            <w:tcW w:w="300" w:type="dxa"/>
            <w:tcBorders/>
            <w:shd w:fill="C0C0C0" w:val="clear"/>
            <w:vAlign w:val="bottom"/>
          </w:tcPr>
          <w:p>
            <w:pPr>
              <w:pStyle w:val="TableContents"/>
              <w:spacing w:before="0" w:after="283"/>
              <w:rPr>
                <w:sz w:val="4"/>
                <w:szCs w:val="4"/>
              </w:rPr>
            </w:pPr>
            <w:r>
              <w:rPr>
                <w:sz w:val="4"/>
                <w:szCs w:val="4"/>
              </w:rPr>
            </w:r>
          </w:p>
        </w:tc>
        <w:tc>
          <w:tcPr>
            <w:tcW w:w="42" w:type="dxa"/>
            <w:tcBorders/>
            <w:shd w:fill="C0C0C0" w:val="clear"/>
            <w:vAlign w:val="bottom"/>
          </w:tcPr>
          <w:p>
            <w:pPr>
              <w:pStyle w:val="TableContents"/>
              <w:spacing w:before="0" w:after="283"/>
              <w:rPr>
                <w:sz w:val="4"/>
                <w:szCs w:val="4"/>
              </w:rPr>
            </w:pPr>
            <w:r>
              <w:rPr>
                <w:sz w:val="4"/>
                <w:szCs w:val="4"/>
              </w:rPr>
            </w:r>
          </w:p>
        </w:tc>
        <w:tc>
          <w:tcPr>
            <w:tcW w:w="237" w:type="dxa"/>
            <w:tcBorders/>
            <w:shd w:fill="C0C0C0" w:val="clear"/>
            <w:vAlign w:val="bottom"/>
          </w:tcPr>
          <w:p>
            <w:pPr>
              <w:pStyle w:val="TableContents"/>
              <w:spacing w:before="0" w:after="283"/>
              <w:jc w:val="right"/>
              <w:rPr>
                <w:sz w:val="20"/>
              </w:rPr>
            </w:pPr>
            <w:r>
              <w:rPr>
                <w:sz w:val="20"/>
              </w:rPr>
              <w:t>$</w:t>
            </w:r>
          </w:p>
        </w:tc>
        <w:tc>
          <w:tcPr>
            <w:tcW w:w="1241" w:type="dxa"/>
            <w:tcBorders/>
            <w:shd w:fill="C0C0C0" w:val="clear"/>
            <w:vAlign w:val="bottom"/>
          </w:tcPr>
          <w:p>
            <w:pPr>
              <w:pStyle w:val="TableContents"/>
              <w:spacing w:before="0" w:after="283"/>
              <w:jc w:val="right"/>
              <w:rPr>
                <w:sz w:val="20"/>
              </w:rPr>
            </w:pPr>
            <w:r>
              <w:rPr>
                <w:sz w:val="20"/>
              </w:rPr>
              <w:t>40,000</w:t>
            </w:r>
          </w:p>
        </w:tc>
        <w:tc>
          <w:tcPr>
            <w:tcW w:w="300" w:type="dxa"/>
            <w:tcBorders/>
            <w:shd w:fill="C0C0C0" w:val="clear"/>
            <w:vAlign w:val="bottom"/>
          </w:tcPr>
          <w:p>
            <w:pPr>
              <w:pStyle w:val="TableContents"/>
              <w:spacing w:before="0" w:after="283"/>
              <w:rPr>
                <w:sz w:val="4"/>
                <w:szCs w:val="4"/>
              </w:rPr>
            </w:pPr>
            <w:r>
              <w:rPr>
                <w:sz w:val="4"/>
                <w:szCs w:val="4"/>
              </w:rPr>
            </w:r>
          </w:p>
        </w:tc>
        <w:tc>
          <w:tcPr>
            <w:tcW w:w="100" w:type="dxa"/>
            <w:tcBorders/>
            <w:shd w:fill="C0C0C0" w:val="clear"/>
            <w:vAlign w:val="bottom"/>
          </w:tcPr>
          <w:p>
            <w:pPr>
              <w:pStyle w:val="TableContents"/>
              <w:spacing w:before="0" w:after="283"/>
              <w:jc w:val="right"/>
              <w:rPr/>
            </w:pPr>
            <w:r>
              <w:rPr/>
              <w:t> </w:t>
            </w:r>
          </w:p>
        </w:tc>
        <w:tc>
          <w:tcPr>
            <w:tcW w:w="313" w:type="dxa"/>
            <w:tcBorders/>
            <w:shd w:fill="C0C0C0" w:val="clear"/>
            <w:vAlign w:val="bottom"/>
          </w:tcPr>
          <w:p>
            <w:pPr>
              <w:pStyle w:val="TableContents"/>
              <w:spacing w:before="0" w:after="283"/>
              <w:jc w:val="right"/>
              <w:rPr>
                <w:sz w:val="20"/>
              </w:rPr>
            </w:pPr>
            <w:r>
              <w:rPr>
                <w:sz w:val="20"/>
              </w:rPr>
              <w:t>$</w:t>
            </w:r>
          </w:p>
        </w:tc>
        <w:tc>
          <w:tcPr>
            <w:tcW w:w="1107" w:type="dxa"/>
            <w:tcBorders/>
            <w:shd w:fill="C0C0C0" w:val="clear"/>
            <w:vAlign w:val="bottom"/>
          </w:tcPr>
          <w:p>
            <w:pPr>
              <w:pStyle w:val="TableContents"/>
              <w:spacing w:before="0" w:after="283"/>
              <w:jc w:val="right"/>
              <w:rPr>
                <w:sz w:val="20"/>
              </w:rPr>
            </w:pPr>
            <w:r>
              <w:rPr>
                <w:sz w:val="20"/>
              </w:rPr>
              <w:t>55,868</w:t>
            </w:r>
          </w:p>
        </w:tc>
        <w:tc>
          <w:tcPr>
            <w:tcW w:w="300" w:type="dxa"/>
            <w:tcBorders/>
            <w:shd w:fill="C0C0C0" w:val="clear"/>
            <w:vAlign w:val="bottom"/>
          </w:tcPr>
          <w:p>
            <w:pPr>
              <w:pStyle w:val="TableContents"/>
              <w:spacing w:before="0" w:after="283"/>
              <w:rPr>
                <w:sz w:val="4"/>
                <w:szCs w:val="4"/>
              </w:rPr>
            </w:pPr>
            <w:r>
              <w:rPr>
                <w:sz w:val="4"/>
                <w:szCs w:val="4"/>
              </w:rPr>
            </w:r>
          </w:p>
        </w:tc>
        <w:tc>
          <w:tcPr>
            <w:tcW w:w="90" w:type="dxa"/>
            <w:tcBorders/>
            <w:shd w:fill="C0C0C0" w:val="clear"/>
            <w:vAlign w:val="bottom"/>
          </w:tcPr>
          <w:p>
            <w:pPr>
              <w:pStyle w:val="TableContents"/>
              <w:spacing w:before="0" w:after="283"/>
              <w:jc w:val="right"/>
              <w:rPr/>
            </w:pPr>
            <w:r>
              <w:rPr/>
              <w:t> </w:t>
            </w:r>
          </w:p>
        </w:tc>
        <w:tc>
          <w:tcPr>
            <w:tcW w:w="189" w:type="dxa"/>
            <w:tcBorders/>
            <w:shd w:fill="C0C0C0" w:val="clear"/>
            <w:vAlign w:val="bottom"/>
          </w:tcPr>
          <w:p>
            <w:pPr>
              <w:pStyle w:val="TableContents"/>
              <w:spacing w:before="0" w:after="283"/>
              <w:jc w:val="right"/>
              <w:rPr>
                <w:sz w:val="20"/>
              </w:rPr>
            </w:pPr>
            <w:r>
              <w:rPr>
                <w:sz w:val="20"/>
              </w:rPr>
              <w:t>$</w:t>
            </w:r>
          </w:p>
        </w:tc>
        <w:tc>
          <w:tcPr>
            <w:tcW w:w="986" w:type="dxa"/>
            <w:tcBorders/>
            <w:shd w:fill="C0C0C0" w:val="clear"/>
            <w:vAlign w:val="bottom"/>
          </w:tcPr>
          <w:p>
            <w:pPr>
              <w:pStyle w:val="TableContents"/>
              <w:spacing w:before="0" w:after="283"/>
              <w:jc w:val="right"/>
              <w:rPr>
                <w:sz w:val="20"/>
              </w:rPr>
            </w:pPr>
            <w:r>
              <w:rPr>
                <w:sz w:val="20"/>
              </w:rPr>
              <w:t>18,157</w:t>
            </w:r>
          </w:p>
        </w:tc>
        <w:tc>
          <w:tcPr>
            <w:tcW w:w="300" w:type="dxa"/>
            <w:tcBorders/>
            <w:shd w:fill="C0C0C0" w:val="clear"/>
            <w:vAlign w:val="bottom"/>
          </w:tcPr>
          <w:p>
            <w:pPr>
              <w:pStyle w:val="TableContents"/>
              <w:spacing w:before="0" w:after="283"/>
              <w:rPr>
                <w:sz w:val="4"/>
                <w:szCs w:val="4"/>
              </w:rPr>
            </w:pPr>
            <w:r>
              <w:rPr>
                <w:sz w:val="4"/>
                <w:szCs w:val="4"/>
              </w:rPr>
            </w:r>
          </w:p>
        </w:tc>
        <w:tc>
          <w:tcPr>
            <w:tcW w:w="144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jc w:val="right"/>
              <w:rPr/>
            </w:pPr>
            <w:r>
              <w:rPr/>
              <w:t> </w:t>
            </w:r>
          </w:p>
        </w:tc>
        <w:tc>
          <w:tcPr>
            <w:tcW w:w="154" w:type="dxa"/>
            <w:tcBorders/>
            <w:shd w:fill="C0C0C0" w:val="clear"/>
            <w:vAlign w:val="bottom"/>
          </w:tcPr>
          <w:p>
            <w:pPr>
              <w:pStyle w:val="TableContents"/>
              <w:spacing w:before="0" w:after="283"/>
              <w:jc w:val="right"/>
              <w:rPr>
                <w:sz w:val="20"/>
              </w:rPr>
            </w:pPr>
            <w:r>
              <w:rPr>
                <w:sz w:val="20"/>
              </w:rPr>
              <w:t>$</w:t>
            </w:r>
          </w:p>
        </w:tc>
        <w:tc>
          <w:tcPr>
            <w:tcW w:w="948" w:type="dxa"/>
            <w:tcBorders/>
            <w:shd w:fill="C0C0C0" w:val="clear"/>
            <w:vAlign w:val="bottom"/>
          </w:tcPr>
          <w:p>
            <w:pPr>
              <w:pStyle w:val="TableContents"/>
              <w:spacing w:before="0" w:after="283"/>
              <w:jc w:val="right"/>
              <w:rPr>
                <w:sz w:val="20"/>
              </w:rPr>
            </w:pPr>
            <w:r>
              <w:rPr>
                <w:sz w:val="20"/>
              </w:rPr>
              <w:t>309,302</w:t>
            </w:r>
          </w:p>
        </w:tc>
      </w:tr>
      <w:tr>
        <w:trPr/>
        <w:tc>
          <w:tcPr>
            <w:tcW w:w="2030" w:type="dxa"/>
            <w:tcBorders/>
            <w:shd w:fill="auto" w:val="clear"/>
            <w:vAlign w:val="bottom"/>
          </w:tcPr>
          <w:p>
            <w:pPr>
              <w:pStyle w:val="TableContents"/>
              <w:spacing w:before="0" w:after="283"/>
              <w:jc w:val="left"/>
              <w:rPr>
                <w:rFonts w:ascii="serif" w:hAnsi="serif"/>
                <w:sz w:val="20"/>
              </w:rPr>
            </w:pPr>
            <w:r>
              <w:rPr>
                <w:rFonts w:ascii="serif" w:hAnsi="serif"/>
                <w:sz w:val="20"/>
              </w:rPr>
              <w:t>Charles P. Brissman</w:t>
            </w:r>
          </w:p>
        </w:tc>
        <w:tc>
          <w:tcPr>
            <w:tcW w:w="300" w:type="dxa"/>
            <w:tcBorders/>
            <w:shd w:fill="auto" w:val="clear"/>
            <w:vAlign w:val="bottom"/>
          </w:tcPr>
          <w:p>
            <w:pPr>
              <w:pStyle w:val="TableContents"/>
              <w:spacing w:before="0" w:after="283"/>
              <w:rPr>
                <w:sz w:val="4"/>
                <w:szCs w:val="4"/>
              </w:rPr>
            </w:pPr>
            <w:r>
              <w:rPr>
                <w:sz w:val="4"/>
                <w:szCs w:val="4"/>
              </w:rPr>
            </w:r>
          </w:p>
        </w:tc>
        <w:tc>
          <w:tcPr>
            <w:tcW w:w="42" w:type="dxa"/>
            <w:tcBorders/>
            <w:shd w:fill="auto" w:val="clear"/>
            <w:vAlign w:val="bottom"/>
          </w:tcPr>
          <w:p>
            <w:pPr>
              <w:pStyle w:val="TableContents"/>
              <w:spacing w:before="0" w:after="283"/>
              <w:rPr>
                <w:sz w:val="4"/>
                <w:szCs w:val="4"/>
              </w:rPr>
            </w:pPr>
            <w:r>
              <w:rPr>
                <w:sz w:val="4"/>
                <w:szCs w:val="4"/>
              </w:rPr>
            </w:r>
          </w:p>
        </w:tc>
        <w:tc>
          <w:tcPr>
            <w:tcW w:w="1478"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jc w:val="right"/>
              <w:rPr/>
            </w:pPr>
            <w:r>
              <w:rPr/>
              <w:t> </w:t>
            </w:r>
            <w:r>
              <w:rPr>
                <w:sz w:val="20"/>
              </w:rPr>
              <w:t>$</w:t>
            </w:r>
          </w:p>
        </w:tc>
        <w:tc>
          <w:tcPr>
            <w:tcW w:w="1107" w:type="dxa"/>
            <w:tcBorders/>
            <w:shd w:fill="auto" w:val="clear"/>
            <w:vAlign w:val="bottom"/>
          </w:tcPr>
          <w:p>
            <w:pPr>
              <w:pStyle w:val="TableContents"/>
              <w:spacing w:before="0" w:after="283"/>
              <w:jc w:val="right"/>
              <w:rPr>
                <w:sz w:val="20"/>
              </w:rPr>
            </w:pPr>
            <w:r>
              <w:rPr>
                <w:sz w:val="20"/>
              </w:rPr>
              <w:t>41,236</w:t>
            </w:r>
          </w:p>
        </w:tc>
        <w:tc>
          <w:tcPr>
            <w:tcW w:w="30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117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102"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2030"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300" w:type="dxa"/>
            <w:tcBorders/>
            <w:shd w:fill="C0C0C0" w:val="clear"/>
            <w:vAlign w:val="bottom"/>
          </w:tcPr>
          <w:p>
            <w:pPr>
              <w:pStyle w:val="TableContents"/>
              <w:spacing w:before="0" w:after="283"/>
              <w:rPr>
                <w:sz w:val="4"/>
                <w:szCs w:val="4"/>
              </w:rPr>
            </w:pPr>
            <w:r>
              <w:rPr>
                <w:sz w:val="4"/>
                <w:szCs w:val="4"/>
              </w:rPr>
            </w:r>
          </w:p>
        </w:tc>
        <w:tc>
          <w:tcPr>
            <w:tcW w:w="42" w:type="dxa"/>
            <w:tcBorders/>
            <w:shd w:fill="C0C0C0" w:val="clear"/>
            <w:vAlign w:val="bottom"/>
          </w:tcPr>
          <w:p>
            <w:pPr>
              <w:pStyle w:val="TableContents"/>
              <w:spacing w:before="0" w:after="283"/>
              <w:rPr>
                <w:sz w:val="4"/>
                <w:szCs w:val="4"/>
              </w:rPr>
            </w:pPr>
            <w:r>
              <w:rPr>
                <w:sz w:val="4"/>
                <w:szCs w:val="4"/>
              </w:rPr>
            </w:r>
          </w:p>
        </w:tc>
        <w:tc>
          <w:tcPr>
            <w:tcW w:w="1478" w:type="dxa"/>
            <w:gridSpan w:val="2"/>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00" w:type="dxa"/>
            <w:tcBorders/>
            <w:shd w:fill="C0C0C0" w:val="clear"/>
            <w:vAlign w:val="bottom"/>
          </w:tcPr>
          <w:p>
            <w:pPr>
              <w:pStyle w:val="TableContents"/>
              <w:spacing w:before="0" w:after="283"/>
              <w:jc w:val="right"/>
              <w:rPr/>
            </w:pPr>
            <w:r>
              <w:rPr/>
              <w:t> </w:t>
            </w:r>
          </w:p>
        </w:tc>
        <w:tc>
          <w:tcPr>
            <w:tcW w:w="313" w:type="dxa"/>
            <w:tcBorders/>
            <w:shd w:fill="C0C0C0" w:val="clear"/>
            <w:vAlign w:val="bottom"/>
          </w:tcPr>
          <w:p>
            <w:pPr>
              <w:pStyle w:val="TableContents"/>
              <w:spacing w:before="0" w:after="283"/>
              <w:jc w:val="right"/>
              <w:rPr>
                <w:sz w:val="20"/>
              </w:rPr>
            </w:pPr>
            <w:r>
              <w:rPr>
                <w:sz w:val="20"/>
              </w:rPr>
              <w:t>$</w:t>
            </w:r>
          </w:p>
        </w:tc>
        <w:tc>
          <w:tcPr>
            <w:tcW w:w="1107" w:type="dxa"/>
            <w:tcBorders/>
            <w:shd w:fill="C0C0C0" w:val="clear"/>
            <w:vAlign w:val="bottom"/>
          </w:tcPr>
          <w:p>
            <w:pPr>
              <w:pStyle w:val="TableContents"/>
              <w:spacing w:before="0" w:after="283"/>
              <w:jc w:val="right"/>
              <w:rPr>
                <w:sz w:val="20"/>
              </w:rPr>
            </w:pPr>
            <w:r>
              <w:rPr>
                <w:sz w:val="20"/>
              </w:rPr>
              <w:t>38,918</w:t>
            </w:r>
          </w:p>
        </w:tc>
        <w:tc>
          <w:tcPr>
            <w:tcW w:w="300" w:type="dxa"/>
            <w:tcBorders/>
            <w:shd w:fill="C0C0C0" w:val="clear"/>
            <w:vAlign w:val="bottom"/>
          </w:tcPr>
          <w:p>
            <w:pPr>
              <w:pStyle w:val="TableContents"/>
              <w:spacing w:before="0" w:after="283"/>
              <w:rPr>
                <w:sz w:val="4"/>
                <w:szCs w:val="4"/>
              </w:rPr>
            </w:pPr>
            <w:r>
              <w:rPr>
                <w:sz w:val="4"/>
                <w:szCs w:val="4"/>
              </w:rPr>
            </w:r>
          </w:p>
        </w:tc>
        <w:tc>
          <w:tcPr>
            <w:tcW w:w="90" w:type="dxa"/>
            <w:tcBorders/>
            <w:shd w:fill="C0C0C0" w:val="clear"/>
            <w:vAlign w:val="bottom"/>
          </w:tcPr>
          <w:p>
            <w:pPr>
              <w:pStyle w:val="TableContents"/>
              <w:spacing w:before="0" w:after="283"/>
              <w:rPr>
                <w:sz w:val="4"/>
                <w:szCs w:val="4"/>
              </w:rPr>
            </w:pPr>
            <w:r>
              <w:rPr>
                <w:sz w:val="4"/>
                <w:szCs w:val="4"/>
              </w:rPr>
            </w:r>
          </w:p>
        </w:tc>
        <w:tc>
          <w:tcPr>
            <w:tcW w:w="1175" w:type="dxa"/>
            <w:gridSpan w:val="2"/>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4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102" w:type="dxa"/>
            <w:gridSpan w:val="2"/>
            <w:tcBorders/>
            <w:shd w:fill="C0C0C0" w:val="clear"/>
            <w:vAlign w:val="bottom"/>
          </w:tcPr>
          <w:p>
            <w:pPr>
              <w:pStyle w:val="TableContents"/>
              <w:spacing w:before="0" w:after="283"/>
              <w:jc w:val="right"/>
              <w:rPr>
                <w:rFonts w:ascii="serif" w:hAnsi="serif"/>
                <w:sz w:val="20"/>
              </w:rPr>
            </w:pPr>
            <w:r>
              <w:rPr>
                <w:rFonts w:ascii="serif" w:hAnsi="serif"/>
                <w:sz w:val="20"/>
              </w:rPr>
              <w: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44"/>
        <w:gridCol w:w="305"/>
        <w:gridCol w:w="9656"/>
      </w:tblGrid>
      <w:tr>
        <w:trPr/>
        <w:tc>
          <w:tcPr>
            <w:tcW w:w="244" w:type="dxa"/>
            <w:tcBorders/>
            <w:shd w:fill="auto" w:val="clear"/>
          </w:tcPr>
          <w:p>
            <w:pPr>
              <w:pStyle w:val="TableContents"/>
              <w:spacing w:before="0" w:after="283"/>
              <w:rPr>
                <w:rFonts w:ascii="serif" w:hAnsi="serif"/>
                <w:sz w:val="20"/>
              </w:rPr>
            </w:pPr>
            <w:r>
              <w:rPr>
                <w:rFonts w:ascii="serif" w:hAnsi="serif"/>
                <w:sz w:val="20"/>
              </w:rPr>
              <w:t>(1)</w:t>
            </w:r>
          </w:p>
        </w:tc>
        <w:tc>
          <w:tcPr>
            <w:tcW w:w="305" w:type="dxa"/>
            <w:tcBorders/>
            <w:shd w:fill="auto" w:val="clear"/>
          </w:tcPr>
          <w:p>
            <w:pPr>
              <w:pStyle w:val="TableContents"/>
              <w:spacing w:before="0" w:after="283"/>
              <w:rPr/>
            </w:pPr>
            <w:r>
              <w:rPr/>
              <w:t>     </w:t>
            </w:r>
          </w:p>
        </w:tc>
        <w:tc>
          <w:tcPr>
            <w:tcW w:w="9656" w:type="dxa"/>
            <w:tcBorders/>
            <w:shd w:fill="auto" w:val="clear"/>
          </w:tcPr>
          <w:p>
            <w:pPr>
              <w:pStyle w:val="TableContents"/>
              <w:spacing w:before="0" w:after="283"/>
              <w:rPr>
                <w:rFonts w:ascii="serif" w:hAnsi="serif"/>
                <w:sz w:val="20"/>
              </w:rPr>
            </w:pPr>
            <w:r>
              <w:rPr>
                <w:rFonts w:ascii="serif" w:hAnsi="serif"/>
                <w:sz w:val="20"/>
              </w:rPr>
              <w:t>The amounts in this column are voluntary deductions from salary and cash incentive award by the named executive officers</w:t>
            </w:r>
          </w:p>
        </w:tc>
      </w:tr>
    </w:tbl>
    <w:p>
      <w:pPr>
        <w:pStyle w:val="TextBody"/>
        <w:jc w:val="center"/>
        <w:rPr>
          <w:rFonts w:ascii="serif" w:hAnsi="serif"/>
          <w:sz w:val="20"/>
        </w:rPr>
      </w:pPr>
      <w:r>
        <w:rPr>
          <w:rFonts w:ascii="serif" w:hAnsi="serif"/>
          <w:sz w:val="20"/>
        </w:rPr>
        <w:t>34</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42"/>
        <w:gridCol w:w="304"/>
        <w:gridCol w:w="9659"/>
      </w:tblGrid>
      <w:tr>
        <w:trPr/>
        <w:tc>
          <w:tcPr>
            <w:tcW w:w="242" w:type="dxa"/>
            <w:tcBorders/>
            <w:shd w:fill="auto" w:val="clear"/>
          </w:tcPr>
          <w:p>
            <w:pPr>
              <w:pStyle w:val="TableContents"/>
              <w:spacing w:before="0" w:after="283"/>
              <w:rPr>
                <w:rFonts w:ascii="serif" w:hAnsi="serif"/>
                <w:sz w:val="20"/>
              </w:rPr>
            </w:pPr>
            <w:r>
              <w:rPr>
                <w:rFonts w:ascii="serif" w:hAnsi="serif"/>
                <w:sz w:val="20"/>
              </w:rPr>
              <w:t>(2)</w:t>
            </w:r>
          </w:p>
        </w:tc>
        <w:tc>
          <w:tcPr>
            <w:tcW w:w="304" w:type="dxa"/>
            <w:tcBorders/>
            <w:shd w:fill="auto" w:val="clear"/>
          </w:tcPr>
          <w:p>
            <w:pPr>
              <w:pStyle w:val="TableContents"/>
              <w:spacing w:before="0" w:after="283"/>
              <w:rPr/>
            </w:pPr>
            <w:r>
              <w:rPr/>
              <w:t>     </w:t>
            </w:r>
          </w:p>
        </w:tc>
        <w:tc>
          <w:tcPr>
            <w:tcW w:w="9659" w:type="dxa"/>
            <w:tcBorders/>
            <w:shd w:fill="auto" w:val="clear"/>
          </w:tcPr>
          <w:p>
            <w:pPr>
              <w:pStyle w:val="TableContents"/>
              <w:spacing w:before="0" w:after="283"/>
              <w:rPr>
                <w:rFonts w:ascii="serif" w:hAnsi="serif"/>
                <w:sz w:val="20"/>
              </w:rPr>
            </w:pPr>
            <w:r>
              <w:rPr>
                <w:rFonts w:ascii="serif" w:hAnsi="serif"/>
                <w:sz w:val="20"/>
              </w:rPr>
              <w:t>The Company makes no contribution to the executive deferred compensation plan. The Companys contributions to the deferred compensation accounts of the named executive officers are made under the provisions of our annual incentive plan.</w:t>
            </w:r>
          </w:p>
        </w:tc>
      </w:tr>
      <w:tr>
        <w:trPr/>
        <w:tc>
          <w:tcPr>
            <w:tcW w:w="242" w:type="dxa"/>
            <w:tcBorders/>
            <w:shd w:fill="auto" w:val="clear"/>
          </w:tcPr>
          <w:p>
            <w:pPr>
              <w:pStyle w:val="TableContents"/>
              <w:spacing w:before="0" w:after="283"/>
              <w:rPr>
                <w:sz w:val="4"/>
                <w:szCs w:val="4"/>
              </w:rPr>
            </w:pPr>
            <w:r>
              <w:rPr>
                <w:sz w:val="4"/>
                <w:szCs w:val="4"/>
              </w:rPr>
            </w:r>
          </w:p>
        </w:tc>
        <w:tc>
          <w:tcPr>
            <w:tcW w:w="304" w:type="dxa"/>
            <w:tcBorders/>
            <w:shd w:fill="auto" w:val="clear"/>
          </w:tcPr>
          <w:p>
            <w:pPr>
              <w:pStyle w:val="TableContents"/>
              <w:spacing w:before="0" w:after="283"/>
              <w:rPr>
                <w:sz w:val="4"/>
                <w:szCs w:val="4"/>
              </w:rPr>
            </w:pPr>
            <w:r>
              <w:rPr>
                <w:sz w:val="4"/>
                <w:szCs w:val="4"/>
              </w:rPr>
            </w:r>
          </w:p>
        </w:tc>
        <w:tc>
          <w:tcPr>
            <w:tcW w:w="9659" w:type="dxa"/>
            <w:tcBorders/>
            <w:shd w:fill="auto" w:val="clear"/>
          </w:tcPr>
          <w:p>
            <w:pPr>
              <w:pStyle w:val="TableContents"/>
              <w:spacing w:before="0" w:after="283"/>
              <w:rPr/>
            </w:pPr>
            <w:r>
              <w:rPr/>
              <w:t> </w:t>
            </w:r>
          </w:p>
        </w:tc>
      </w:tr>
      <w:tr>
        <w:trPr/>
        <w:tc>
          <w:tcPr>
            <w:tcW w:w="242" w:type="dxa"/>
            <w:tcBorders/>
            <w:shd w:fill="auto" w:val="clear"/>
          </w:tcPr>
          <w:p>
            <w:pPr>
              <w:pStyle w:val="TableContents"/>
              <w:spacing w:before="0" w:after="283"/>
              <w:rPr>
                <w:sz w:val="20"/>
              </w:rPr>
            </w:pPr>
            <w:r>
              <w:rPr>
                <w:sz w:val="20"/>
              </w:rPr>
              <w:t>(3)</w:t>
            </w:r>
          </w:p>
        </w:tc>
        <w:tc>
          <w:tcPr>
            <w:tcW w:w="304" w:type="dxa"/>
            <w:tcBorders/>
            <w:shd w:fill="auto" w:val="clear"/>
          </w:tcPr>
          <w:p>
            <w:pPr>
              <w:pStyle w:val="TableContents"/>
              <w:spacing w:before="0" w:after="283"/>
              <w:rPr>
                <w:sz w:val="4"/>
                <w:szCs w:val="4"/>
              </w:rPr>
            </w:pPr>
            <w:r>
              <w:rPr>
                <w:sz w:val="4"/>
                <w:szCs w:val="4"/>
              </w:rPr>
            </w:r>
          </w:p>
        </w:tc>
        <w:tc>
          <w:tcPr>
            <w:tcW w:w="9659" w:type="dxa"/>
            <w:tcBorders/>
            <w:shd w:fill="auto" w:val="clear"/>
          </w:tcPr>
          <w:p>
            <w:pPr>
              <w:pStyle w:val="TableContents"/>
              <w:spacing w:before="0" w:after="283"/>
              <w:rPr>
                <w:sz w:val="20"/>
              </w:rPr>
            </w:pPr>
            <w:r>
              <w:rPr>
                <w:sz w:val="20"/>
              </w:rPr>
              <w:t>The amounts shown are the earnings on the executive officers account. We credit the account under the terms of the plans with a return equal to Oil-Dris long term cost of borrowing plus one percent. The amounts shown include the following amounts reported as compensation to such named executive officer in the Summary Compensation Table above: Daniel S. Jaffee $1,416 and Thomas F. Cofsky $1,596.</w:t>
            </w:r>
          </w:p>
        </w:tc>
      </w:tr>
    </w:tbl>
    <w:p>
      <w:pPr>
        <w:pStyle w:val="TextBody"/>
        <w:jc w:val="both"/>
        <w:rPr/>
      </w:pPr>
      <w:r>
        <w:rPr/>
        <w:t> </w:t>
      </w:r>
    </w:p>
    <w:p>
      <w:pPr>
        <w:pStyle w:val="TextBody"/>
        <w:jc w:val="center"/>
        <w:rPr>
          <w:rFonts w:ascii="serif" w:hAnsi="serif"/>
          <w:b/>
        </w:rPr>
      </w:pPr>
      <w:r>
        <w:rPr>
          <w:rFonts w:ascii="serif" w:hAnsi="serif"/>
          <w:b/>
        </w:rPr>
        <w:t>Equity Compensation Plans</w:t>
      </w:r>
    </w:p>
    <w:p>
      <w:pPr>
        <w:pStyle w:val="TextBody"/>
        <w:jc w:val="both"/>
        <w:rPr/>
      </w:pPr>
      <w:r>
        <w:rPr/>
        <w:t>     </w:t>
      </w:r>
      <w:r>
        <w:rPr>
          <w:rFonts w:ascii="serif" w:hAnsi="serif"/>
          <w:sz w:val="20"/>
        </w:rPr>
        <w:t>The following table provides information as of July 31, 2007 about our equity compensation plans and Stock (as defined in those plans) which may be issued upon the exercise of options and rights which have been or may be granted to employees or members of the Board of Directors under those plans.</w:t>
      </w:r>
    </w:p>
    <w:tbl>
      <w:tblPr>
        <w:tblW w:w="12305" w:type="dxa"/>
        <w:jc w:val="left"/>
        <w:tblInd w:w="0" w:type="dxa"/>
        <w:tblCellMar>
          <w:top w:w="0" w:type="dxa"/>
          <w:left w:w="0" w:type="dxa"/>
          <w:bottom w:w="0" w:type="dxa"/>
          <w:right w:w="0" w:type="dxa"/>
        </w:tblCellMar>
      </w:tblPr>
      <w:tblGrid>
        <w:gridCol w:w="4295"/>
        <w:gridCol w:w="1291"/>
        <w:gridCol w:w="140"/>
        <w:gridCol w:w="2669"/>
        <w:gridCol w:w="300"/>
        <w:gridCol w:w="436"/>
        <w:gridCol w:w="964"/>
        <w:gridCol w:w="300"/>
        <w:gridCol w:w="1339"/>
        <w:gridCol w:w="571"/>
      </w:tblGrid>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400" w:type="dxa"/>
            <w:gridSpan w:val="2"/>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910" w:type="dxa"/>
            <w:gridSpan w:val="2"/>
            <w:tcBorders/>
            <w:shd w:fill="auto" w:val="clear"/>
            <w:vAlign w:val="bottom"/>
          </w:tcPr>
          <w:p>
            <w:pPr>
              <w:pStyle w:val="TableContents"/>
              <w:spacing w:before="0" w:after="283"/>
              <w:jc w:val="center"/>
              <w:rPr/>
            </w:pPr>
            <w:r>
              <w:rPr>
                <w:rFonts w:ascii="serif" w:hAnsi="serif"/>
                <w:b/>
                <w:sz w:val="20"/>
              </w:rPr>
              <w:t>Number of</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Shares of Stock</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Remaining</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Available for</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center"/>
              <w:rPr/>
            </w:pPr>
            <w:r>
              <w:rPr>
                <w:rFonts w:ascii="serif" w:hAnsi="serif"/>
                <w:b/>
                <w:sz w:val="20"/>
              </w:rPr>
              <w:t>Weighted</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Future Issuance</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center"/>
              <w:rPr/>
            </w:pPr>
            <w:r>
              <w:rPr>
                <w:rFonts w:ascii="serif" w:hAnsi="serif"/>
                <w:b/>
                <w:sz w:val="20"/>
              </w:rPr>
              <w:t>Average</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Under Equity</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center"/>
              <w:rPr/>
            </w:pPr>
            <w:r>
              <w:rPr>
                <w:rFonts w:ascii="serif" w:hAnsi="serif"/>
                <w:b/>
                <w:sz w:val="20"/>
              </w:rPr>
              <w:t>Exercise</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Compensation</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t>   </w:t>
            </w:r>
            <w:r>
              <w:rPr>
                <w:rFonts w:ascii="serif" w:hAnsi="serif"/>
                <w:b/>
                <w:sz w:val="20"/>
              </w:rPr>
              <w:t>Number of Shares of Stock to be</w:t>
            </w:r>
            <w:r>
              <w:rPr/>
              <w:t> </w:t>
            </w:r>
          </w:p>
        </w:tc>
        <w:tc>
          <w:tcPr>
            <w:tcW w:w="300" w:type="dxa"/>
            <w:tcBorders/>
            <w:shd w:fill="auto" w:val="clear"/>
            <w:vAlign w:val="bottom"/>
          </w:tcPr>
          <w:p>
            <w:pPr>
              <w:pStyle w:val="TableContents"/>
              <w:spacing w:before="0" w:after="283"/>
              <w:jc w:val="center"/>
              <w:rPr/>
            </w:pPr>
            <w:r>
              <w:rPr/>
              <w:t> </w:t>
            </w:r>
          </w:p>
        </w:tc>
        <w:tc>
          <w:tcPr>
            <w:tcW w:w="1400" w:type="dxa"/>
            <w:gridSpan w:val="2"/>
            <w:tcBorders/>
            <w:shd w:fill="auto" w:val="clear"/>
            <w:vAlign w:val="bottom"/>
          </w:tcPr>
          <w:p>
            <w:pPr>
              <w:pStyle w:val="TableContents"/>
              <w:spacing w:before="0" w:after="283"/>
              <w:jc w:val="center"/>
              <w:rPr/>
            </w:pPr>
            <w:r>
              <w:rPr>
                <w:rFonts w:ascii="serif" w:hAnsi="serif"/>
                <w:b/>
                <w:sz w:val="20"/>
              </w:rPr>
              <w:t>Price of</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Plans (excluding</w:t>
            </w:r>
            <w:r>
              <w:rPr/>
              <w:t> </w:t>
            </w:r>
          </w:p>
        </w:tc>
      </w:tr>
      <w:tr>
        <w:trPr/>
        <w:tc>
          <w:tcPr>
            <w:tcW w:w="4295" w:type="dxa"/>
            <w:tcBorders/>
            <w:shd w:fill="auto" w:val="clear"/>
            <w:vAlign w:val="bottom"/>
          </w:tcPr>
          <w:p>
            <w:pPr>
              <w:pStyle w:val="TableContents"/>
              <w:spacing w:before="0" w:after="283"/>
              <w:jc w:val="left"/>
              <w:rPr/>
            </w:pPr>
            <w:r>
              <w:rPr/>
              <w:t> </w:t>
            </w:r>
          </w:p>
        </w:tc>
        <w:tc>
          <w:tcPr>
            <w:tcW w:w="4100" w:type="dxa"/>
            <w:gridSpan w:val="3"/>
            <w:tcBorders/>
            <w:shd w:fill="auto" w:val="clear"/>
            <w:vAlign w:val="bottom"/>
          </w:tcPr>
          <w:p>
            <w:pPr>
              <w:pStyle w:val="TableContents"/>
              <w:spacing w:before="0" w:after="283"/>
              <w:jc w:val="center"/>
              <w:rPr/>
            </w:pPr>
            <w:r>
              <w:rPr>
                <w:rFonts w:ascii="serif" w:hAnsi="serif"/>
                <w:b/>
                <w:sz w:val="20"/>
              </w:rPr>
              <w:t>Issued Upon Exercise of Outstanding</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center"/>
              <w:rPr/>
            </w:pPr>
            <w:r>
              <w:rPr>
                <w:rFonts w:ascii="serif" w:hAnsi="serif"/>
                <w:b/>
                <w:sz w:val="20"/>
              </w:rPr>
              <w:t>Outstanding</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center"/>
              <w:rPr/>
            </w:pPr>
            <w:r>
              <w:rPr>
                <w:rFonts w:ascii="serif" w:hAnsi="serif"/>
                <w:b/>
                <w:sz w:val="20"/>
              </w:rPr>
              <w:t>those listed in</w:t>
            </w:r>
            <w:r>
              <w:rPr/>
              <w:t> </w:t>
            </w:r>
          </w:p>
        </w:tc>
      </w:tr>
      <w:tr>
        <w:trPr/>
        <w:tc>
          <w:tcPr>
            <w:tcW w:w="4295" w:type="dxa"/>
            <w:tcBorders>
              <w:bottom w:val="single" w:sz="8" w:space="0" w:color="000000"/>
            </w:tcBorders>
            <w:shd w:fill="auto" w:val="clear"/>
            <w:tcMar>
              <w:bottom w:w="28" w:type="dxa"/>
            </w:tcMar>
            <w:vAlign w:val="bottom"/>
          </w:tcPr>
          <w:p>
            <w:pPr>
              <w:pStyle w:val="TableContents"/>
              <w:spacing w:before="0" w:after="283"/>
              <w:jc w:val="left"/>
              <w:rPr/>
            </w:pPr>
            <w:r>
              <w:rPr>
                <w:rFonts w:ascii="serif" w:hAnsi="serif"/>
                <w:b/>
                <w:sz w:val="20"/>
              </w:rPr>
              <w:t>Plan Category</w:t>
            </w:r>
            <w:r>
              <w:rPr/>
              <w:t> </w:t>
            </w:r>
          </w:p>
        </w:tc>
        <w:tc>
          <w:tcPr>
            <w:tcW w:w="4100" w:type="dxa"/>
            <w:gridSpan w:val="3"/>
            <w:tcBorders>
              <w:bottom w:val="single" w:sz="8" w:space="0" w:color="000000"/>
            </w:tcBorders>
            <w:shd w:fill="auto" w:val="clear"/>
            <w:tcMar>
              <w:bottom w:w="28" w:type="dxa"/>
            </w:tcMar>
            <w:vAlign w:val="bottom"/>
          </w:tcPr>
          <w:p>
            <w:pPr>
              <w:pStyle w:val="TableContents"/>
              <w:spacing w:before="0" w:after="283"/>
              <w:jc w:val="center"/>
              <w:rPr/>
            </w:pPr>
            <w:r>
              <w:rPr>
                <w:rFonts w:ascii="serif" w:hAnsi="serif"/>
                <w:b/>
                <w:sz w:val="20"/>
              </w:rPr>
              <w:t>Options</w:t>
            </w:r>
            <w:r>
              <w:rPr/>
              <w:t>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00"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serif" w:hAnsi="serif"/>
                <w:b/>
                <w:sz w:val="20"/>
              </w:rPr>
              <w:t>Options</w:t>
            </w:r>
            <w:r>
              <w:rPr/>
              <w:t>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910"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serif" w:hAnsi="serif"/>
                <w:b/>
                <w:sz w:val="20"/>
              </w:rPr>
              <w:t>the first column)</w:t>
            </w:r>
            <w:r>
              <w:rPr/>
              <w:t> </w:t>
            </w:r>
          </w:p>
        </w:tc>
      </w:tr>
      <w:tr>
        <w:trPr/>
        <w:tc>
          <w:tcPr>
            <w:tcW w:w="4295" w:type="dxa"/>
            <w:tcBorders/>
            <w:shd w:fill="C0C0C0" w:val="clear"/>
            <w:vAlign w:val="bottom"/>
          </w:tcPr>
          <w:p>
            <w:pPr>
              <w:pStyle w:val="TableContents"/>
              <w:spacing w:before="0" w:after="283"/>
              <w:jc w:val="left"/>
              <w:rPr/>
            </w:pPr>
            <w:r>
              <w:rPr>
                <w:rFonts w:ascii="serif" w:hAnsi="serif"/>
                <w:sz w:val="20"/>
              </w:rPr>
              <w:t>Equity Compensation Plans</w:t>
            </w:r>
            <w:r>
              <w:rPr/>
              <w:t> </w:t>
            </w:r>
          </w:p>
        </w:tc>
        <w:tc>
          <w:tcPr>
            <w:tcW w:w="1291" w:type="dxa"/>
            <w:tcBorders/>
            <w:shd w:fill="C0C0C0" w:val="clear"/>
            <w:vAlign w:val="bottom"/>
          </w:tcPr>
          <w:p>
            <w:pPr>
              <w:pStyle w:val="TableContents"/>
              <w:spacing w:before="0" w:after="283"/>
              <w:jc w:val="right"/>
              <w:rPr/>
            </w:pPr>
            <w:r>
              <w:rPr/>
              <w:t>   </w:t>
            </w:r>
            <w:r>
              <w:rPr>
                <w:rFonts w:ascii="serif" w:hAnsi="serif"/>
                <w:sz w:val="20"/>
              </w:rPr>
              <w:t>180,627</w:t>
            </w:r>
            <w:r>
              <w:rPr/>
              <w:t> </w:t>
            </w:r>
          </w:p>
        </w:tc>
        <w:tc>
          <w:tcPr>
            <w:tcW w:w="140" w:type="dxa"/>
            <w:tcBorders/>
            <w:shd w:fill="C0C0C0" w:val="clear"/>
            <w:vAlign w:val="bottom"/>
          </w:tcPr>
          <w:p>
            <w:pPr>
              <w:pStyle w:val="TableContents"/>
              <w:spacing w:before="0" w:after="283"/>
              <w:jc w:val="left"/>
              <w:rPr/>
            </w:pPr>
            <w:r>
              <w:rPr/>
              <w:t>  </w:t>
            </w:r>
          </w:p>
        </w:tc>
        <w:tc>
          <w:tcPr>
            <w:tcW w:w="2669" w:type="dxa"/>
            <w:tcBorders/>
            <w:shd w:fill="C0C0C0" w:val="clear"/>
            <w:vAlign w:val="bottom"/>
          </w:tcPr>
          <w:p>
            <w:pPr>
              <w:pStyle w:val="TableContents"/>
              <w:spacing w:before="0" w:after="283"/>
              <w:jc w:val="left"/>
              <w:rPr/>
            </w:pPr>
            <w:r>
              <w:rPr>
                <w:rFonts w:ascii="serif" w:hAnsi="serif"/>
                <w:sz w:val="20"/>
              </w:rPr>
              <w:t>Class B Stock</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436" w:type="dxa"/>
            <w:tcBorders/>
            <w:shd w:fill="C0C0C0" w:val="clear"/>
            <w:vAlign w:val="bottom"/>
          </w:tcPr>
          <w:p>
            <w:pPr>
              <w:pStyle w:val="TableContents"/>
              <w:spacing w:before="0" w:after="283"/>
              <w:jc w:val="right"/>
              <w:rPr>
                <w:rFonts w:ascii="serif" w:hAnsi="serif"/>
                <w:sz w:val="20"/>
              </w:rPr>
            </w:pPr>
            <w:r>
              <w:rPr>
                <w:rFonts w:ascii="serif" w:hAnsi="serif"/>
                <w:sz w:val="20"/>
              </w:rPr>
              <w:t>$ </w:t>
            </w:r>
          </w:p>
        </w:tc>
        <w:tc>
          <w:tcPr>
            <w:tcW w:w="964" w:type="dxa"/>
            <w:tcBorders/>
            <w:shd w:fill="C0C0C0" w:val="clear"/>
            <w:vAlign w:val="bottom"/>
          </w:tcPr>
          <w:p>
            <w:pPr>
              <w:pStyle w:val="TableContents"/>
              <w:spacing w:before="0" w:after="283"/>
              <w:jc w:val="right"/>
              <w:rPr/>
            </w:pPr>
            <w:r>
              <w:rPr>
                <w:sz w:val="20"/>
              </w:rPr>
              <w:t>7.63</w:t>
            </w:r>
            <w:r>
              <w:rPr/>
              <w:t> </w:t>
            </w:r>
          </w:p>
        </w:tc>
        <w:tc>
          <w:tcPr>
            <w:tcW w:w="300" w:type="dxa"/>
            <w:tcBorders/>
            <w:shd w:fill="C0C0C0" w:val="clear"/>
            <w:vAlign w:val="bottom"/>
          </w:tcPr>
          <w:p>
            <w:pPr>
              <w:pStyle w:val="TableContents"/>
              <w:spacing w:before="0" w:after="283"/>
              <w:jc w:val="left"/>
              <w:rPr/>
            </w:pPr>
            <w:r>
              <w:rPr/>
              <w:t> </w:t>
            </w:r>
          </w:p>
        </w:tc>
        <w:tc>
          <w:tcPr>
            <w:tcW w:w="1910" w:type="dxa"/>
            <w:gridSpan w:val="2"/>
            <w:tcBorders/>
            <w:shd w:fill="C0C0C0" w:val="clear"/>
            <w:vAlign w:val="bottom"/>
          </w:tcPr>
          <w:p>
            <w:pPr>
              <w:pStyle w:val="TableContents"/>
              <w:spacing w:before="0" w:after="283"/>
              <w:jc w:val="left"/>
              <w:rPr/>
            </w:pPr>
            <w:r>
              <w:rPr/>
              <w:t> </w:t>
            </w:r>
          </w:p>
        </w:tc>
      </w:tr>
      <w:tr>
        <w:trPr/>
        <w:tc>
          <w:tcPr>
            <w:tcW w:w="4295" w:type="dxa"/>
            <w:tcBorders/>
            <w:shd w:fill="auto" w:val="clear"/>
            <w:vAlign w:val="bottom"/>
          </w:tcPr>
          <w:p>
            <w:pPr>
              <w:pStyle w:val="TableContents"/>
              <w:spacing w:before="0" w:after="283"/>
              <w:jc w:val="left"/>
              <w:rPr/>
            </w:pPr>
            <w:r>
              <w:rPr>
                <w:rFonts w:ascii="serif" w:hAnsi="serif"/>
                <w:sz w:val="20"/>
              </w:rPr>
              <w:t>Approved by Oil-Dris stockholders (1)</w:t>
            </w:r>
            <w:r>
              <w:rPr/>
              <w:t> </w:t>
            </w:r>
          </w:p>
        </w:tc>
        <w:tc>
          <w:tcPr>
            <w:tcW w:w="1291" w:type="dxa"/>
            <w:tcBorders>
              <w:bottom w:val="single" w:sz="8" w:space="0" w:color="000000"/>
            </w:tcBorders>
            <w:shd w:fill="auto" w:val="clear"/>
            <w:tcMar>
              <w:bottom w:w="28" w:type="dxa"/>
            </w:tcMar>
            <w:vAlign w:val="bottom"/>
          </w:tcPr>
          <w:p>
            <w:pPr>
              <w:pStyle w:val="TableContents"/>
              <w:spacing w:before="0" w:after="283"/>
              <w:jc w:val="right"/>
              <w:rPr/>
            </w:pPr>
            <w:r>
              <w:rPr/>
              <w:t xml:space="preserve">    </w:t>
            </w:r>
            <w:r>
              <w:rPr>
                <w:rFonts w:ascii="serif" w:hAnsi="serif"/>
                <w:sz w:val="20"/>
              </w:rPr>
              <w:t>499,101</w:t>
            </w:r>
            <w:r>
              <w:rPr/>
              <w:t> </w:t>
            </w:r>
          </w:p>
        </w:tc>
        <w:tc>
          <w:tcPr>
            <w:tcW w:w="140" w:type="dxa"/>
            <w:tcBorders/>
            <w:shd w:fill="auto" w:val="clear"/>
            <w:vAlign w:val="bottom"/>
          </w:tcPr>
          <w:p>
            <w:pPr>
              <w:pStyle w:val="TableContents"/>
              <w:spacing w:before="0" w:after="283"/>
              <w:jc w:val="left"/>
              <w:rPr/>
            </w:pPr>
            <w:r>
              <w:rPr/>
              <w:t> </w:t>
            </w:r>
          </w:p>
        </w:tc>
        <w:tc>
          <w:tcPr>
            <w:tcW w:w="2669" w:type="dxa"/>
            <w:tcBorders/>
            <w:shd w:fill="auto" w:val="clear"/>
            <w:vAlign w:val="bottom"/>
          </w:tcPr>
          <w:p>
            <w:pPr>
              <w:pStyle w:val="TableContents"/>
              <w:spacing w:before="0" w:after="283"/>
              <w:jc w:val="left"/>
              <w:rPr/>
            </w:pPr>
            <w:r>
              <w:rPr>
                <w:rFonts w:ascii="serif" w:hAnsi="serif"/>
                <w:sz w:val="20"/>
              </w:rPr>
              <w:t>Common Stock</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436" w:type="dxa"/>
            <w:tcBorders>
              <w:bottom w:val="single" w:sz="8" w:space="0" w:color="000000"/>
            </w:tcBorders>
            <w:shd w:fill="auto" w:val="clear"/>
            <w:tcMar>
              <w:bottom w:w="28" w:type="dxa"/>
            </w:tcMar>
            <w:vAlign w:val="bottom"/>
          </w:tcPr>
          <w:p>
            <w:pPr>
              <w:pStyle w:val="TableContents"/>
              <w:spacing w:before="0" w:after="283"/>
              <w:jc w:val="right"/>
              <w:rPr>
                <w:rFonts w:ascii="serif" w:hAnsi="serif"/>
                <w:sz w:val="20"/>
              </w:rPr>
            </w:pPr>
            <w:r>
              <w:rPr>
                <w:rFonts w:ascii="serif" w:hAnsi="serif"/>
                <w:sz w:val="20"/>
              </w:rPr>
              <w:t>$ </w:t>
            </w:r>
          </w:p>
        </w:tc>
        <w:tc>
          <w:tcPr>
            <w:tcW w:w="964" w:type="dxa"/>
            <w:tcBorders>
              <w:bottom w:val="single" w:sz="8" w:space="0" w:color="000000"/>
            </w:tcBorders>
            <w:shd w:fill="auto" w:val="clear"/>
            <w:tcMar>
              <w:bottom w:w="28" w:type="dxa"/>
            </w:tcMar>
            <w:vAlign w:val="bottom"/>
          </w:tcPr>
          <w:p>
            <w:pPr>
              <w:pStyle w:val="TableContents"/>
              <w:spacing w:before="0" w:after="283"/>
              <w:jc w:val="right"/>
              <w:rPr/>
            </w:pPr>
            <w:r>
              <w:rPr>
                <w:sz w:val="20"/>
              </w:rPr>
              <w:t>9.30</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left"/>
              <w:rPr/>
            </w:pPr>
            <w:r>
              <w:rPr/>
              <w:t> </w:t>
            </w:r>
          </w:p>
        </w:tc>
      </w:tr>
      <w:tr>
        <w:trPr/>
        <w:tc>
          <w:tcPr>
            <w:tcW w:w="4295" w:type="dxa"/>
            <w:tcBorders/>
            <w:shd w:fill="C0C0C0" w:val="clear"/>
            <w:vAlign w:val="bottom"/>
          </w:tcPr>
          <w:p>
            <w:pPr>
              <w:pStyle w:val="TableContents"/>
              <w:spacing w:before="0" w:after="283"/>
              <w:jc w:val="left"/>
              <w:rPr/>
            </w:pPr>
            <w:r>
              <w:rPr/>
              <w:t> </w:t>
            </w:r>
          </w:p>
        </w:tc>
        <w:tc>
          <w:tcPr>
            <w:tcW w:w="1291" w:type="dxa"/>
            <w:tcBorders>
              <w:bottom w:val="double" w:sz="5" w:space="0" w:color="000000"/>
            </w:tcBorders>
            <w:shd w:fill="C0C0C0" w:val="clear"/>
            <w:tcMar>
              <w:bottom w:w="28" w:type="dxa"/>
            </w:tcMar>
            <w:vAlign w:val="bottom"/>
          </w:tcPr>
          <w:p>
            <w:pPr>
              <w:pStyle w:val="TableContents"/>
              <w:spacing w:before="0" w:after="283"/>
              <w:jc w:val="right"/>
              <w:rPr/>
            </w:pPr>
            <w:r>
              <w:rPr/>
              <w:t>   </w:t>
            </w:r>
            <w:r>
              <w:rPr>
                <w:rFonts w:ascii="serif" w:hAnsi="serif"/>
                <w:sz w:val="20"/>
              </w:rPr>
              <w:t>679,728</w:t>
            </w:r>
            <w:r>
              <w:rPr/>
              <w:t> </w:t>
            </w:r>
          </w:p>
        </w:tc>
        <w:tc>
          <w:tcPr>
            <w:tcW w:w="140" w:type="dxa"/>
            <w:tcBorders/>
            <w:shd w:fill="C0C0C0" w:val="clear"/>
            <w:vAlign w:val="bottom"/>
          </w:tcPr>
          <w:p>
            <w:pPr>
              <w:pStyle w:val="TableContents"/>
              <w:spacing w:before="0" w:after="283"/>
              <w:rPr>
                <w:sz w:val="4"/>
                <w:szCs w:val="4"/>
              </w:rPr>
            </w:pPr>
            <w:r>
              <w:rPr>
                <w:sz w:val="4"/>
                <w:szCs w:val="4"/>
              </w:rPr>
            </w:r>
          </w:p>
        </w:tc>
        <w:tc>
          <w:tcPr>
            <w:tcW w:w="2669" w:type="dxa"/>
            <w:tcBorders>
              <w:bottom w:val="single" w:sz="16" w:space="0" w:color="C0C0C0"/>
            </w:tcBorders>
            <w:shd w:fill="C0C0C0" w:val="clear"/>
            <w:tcMar>
              <w:bottom w:w="28" w:type="dxa"/>
            </w:tcMar>
            <w:vAlign w:val="bottom"/>
          </w:tcPr>
          <w:p>
            <w:pPr>
              <w:pStyle w:val="TableContents"/>
              <w:spacing w:before="0" w:after="283"/>
              <w:jc w:val="left"/>
              <w:rPr/>
            </w:pPr>
            <w:r>
              <w:rPr>
                <w:rFonts w:ascii="serif" w:hAnsi="serif"/>
                <w:sz w:val="20"/>
              </w:rPr>
              <w:t>(2)</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436" w:type="dxa"/>
            <w:tcBorders>
              <w:bottom w:val="double" w:sz="5" w:space="0" w:color="000000"/>
            </w:tcBorders>
            <w:shd w:fill="C0C0C0" w:val="clear"/>
            <w:tcMar>
              <w:bottom w:w="28" w:type="dxa"/>
            </w:tcMar>
            <w:vAlign w:val="bottom"/>
          </w:tcPr>
          <w:p>
            <w:pPr>
              <w:pStyle w:val="TableContents"/>
              <w:spacing w:before="0" w:after="283"/>
              <w:jc w:val="right"/>
              <w:rPr>
                <w:rFonts w:ascii="serif" w:hAnsi="serif"/>
                <w:sz w:val="20"/>
              </w:rPr>
            </w:pPr>
            <w:r>
              <w:rPr>
                <w:rFonts w:ascii="serif" w:hAnsi="serif"/>
                <w:sz w:val="20"/>
              </w:rPr>
              <w:t>$ </w:t>
            </w:r>
          </w:p>
        </w:tc>
        <w:tc>
          <w:tcPr>
            <w:tcW w:w="964" w:type="dxa"/>
            <w:tcBorders>
              <w:bottom w:val="double" w:sz="5" w:space="0" w:color="000000"/>
            </w:tcBorders>
            <w:shd w:fill="C0C0C0" w:val="clear"/>
            <w:tcMar>
              <w:bottom w:w="28" w:type="dxa"/>
            </w:tcMar>
            <w:vAlign w:val="bottom"/>
          </w:tcPr>
          <w:p>
            <w:pPr>
              <w:pStyle w:val="TableContents"/>
              <w:spacing w:before="0" w:after="283"/>
              <w:jc w:val="right"/>
              <w:rPr/>
            </w:pPr>
            <w:r>
              <w:rPr>
                <w:sz w:val="20"/>
              </w:rPr>
              <w:t>8.85</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339" w:type="dxa"/>
            <w:tcBorders>
              <w:bottom w:val="single" w:sz="16" w:space="0" w:color="C0C0C0"/>
            </w:tcBorders>
            <w:shd w:fill="C0C0C0" w:val="clear"/>
            <w:tcMar>
              <w:bottom w:w="28" w:type="dxa"/>
            </w:tcMar>
            <w:vAlign w:val="bottom"/>
          </w:tcPr>
          <w:p>
            <w:pPr>
              <w:pStyle w:val="TableContents"/>
              <w:spacing w:before="0" w:after="283"/>
              <w:jc w:val="right"/>
              <w:rPr>
                <w:rFonts w:ascii="serif" w:hAnsi="serif"/>
                <w:sz w:val="20"/>
              </w:rPr>
            </w:pPr>
            <w:r>
              <w:rPr>
                <w:rFonts w:ascii="serif" w:hAnsi="serif"/>
                <w:sz w:val="20"/>
              </w:rPr>
              <w:t>790,000 </w:t>
            </w:r>
          </w:p>
        </w:tc>
        <w:tc>
          <w:tcPr>
            <w:tcW w:w="571" w:type="dxa"/>
            <w:tcBorders>
              <w:bottom w:val="single" w:sz="16" w:space="0" w:color="C0C0C0"/>
            </w:tcBorders>
            <w:shd w:fill="C0C0C0" w:val="clear"/>
            <w:tcMar>
              <w:bottom w:w="28" w:type="dxa"/>
            </w:tcMar>
            <w:vAlign w:val="bottom"/>
          </w:tcPr>
          <w:p>
            <w:pPr>
              <w:pStyle w:val="TableContents"/>
              <w:spacing w:before="0" w:after="283"/>
              <w:jc w:val="right"/>
              <w:rPr/>
            </w:pPr>
            <w:r>
              <w:rPr/>
              <w:t xml:space="preserve">    </w:t>
            </w:r>
            <w:r>
              <w:rPr>
                <w:sz w:val="20"/>
              </w:rPr>
              <w:t>(4)</w:t>
            </w:r>
            <w:r>
              <w:rPr/>
              <w:t> </w:t>
            </w:r>
          </w:p>
        </w:tc>
      </w:tr>
      <w:tr>
        <w:trPr/>
        <w:tc>
          <w:tcPr>
            <w:tcW w:w="4295" w:type="dxa"/>
            <w:tcBorders/>
            <w:shd w:fill="auto" w:val="clear"/>
            <w:vAlign w:val="bottom"/>
          </w:tcPr>
          <w:p>
            <w:pPr>
              <w:pStyle w:val="TableContents"/>
              <w:spacing w:before="0" w:after="283"/>
              <w:jc w:val="left"/>
              <w:rPr/>
            </w:pPr>
            <w:r>
              <w:rPr>
                <w:rFonts w:ascii="serif" w:hAnsi="serif"/>
                <w:sz w:val="20"/>
              </w:rPr>
              <w:t>Equity Compensation Plans</w:t>
            </w:r>
            <w:r>
              <w:rPr/>
              <w:t> </w:t>
            </w:r>
          </w:p>
        </w:tc>
        <w:tc>
          <w:tcPr>
            <w:tcW w:w="1291"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2669"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0" w:type="dxa"/>
            <w:gridSpan w:val="2"/>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910" w:type="dxa"/>
            <w:gridSpan w:val="2"/>
            <w:tcBorders/>
            <w:shd w:fill="auto" w:val="clear"/>
            <w:vAlign w:val="bottom"/>
          </w:tcPr>
          <w:p>
            <w:pPr>
              <w:pStyle w:val="TableContents"/>
              <w:spacing w:before="0" w:after="283"/>
              <w:jc w:val="left"/>
              <w:rPr/>
            </w:pPr>
            <w:r>
              <w:rPr/>
              <w:t> </w:t>
            </w:r>
          </w:p>
        </w:tc>
      </w:tr>
      <w:tr>
        <w:trPr/>
        <w:tc>
          <w:tcPr>
            <w:tcW w:w="4295" w:type="dxa"/>
            <w:tcBorders/>
            <w:shd w:fill="C0C0C0" w:val="clear"/>
            <w:vAlign w:val="bottom"/>
          </w:tcPr>
          <w:p>
            <w:pPr>
              <w:pStyle w:val="TableContents"/>
              <w:spacing w:before="0" w:after="283"/>
              <w:jc w:val="left"/>
              <w:rPr/>
            </w:pPr>
            <w:r>
              <w:rPr>
                <w:rFonts w:ascii="serif" w:hAnsi="serif"/>
                <w:sz w:val="20"/>
              </w:rPr>
              <w:t>Not Approved by Oil-Dris stockholders (3)</w:t>
            </w:r>
            <w:r>
              <w:rPr/>
              <w:t> </w:t>
            </w:r>
          </w:p>
        </w:tc>
        <w:tc>
          <w:tcPr>
            <w:tcW w:w="1291" w:type="dxa"/>
            <w:tcBorders>
              <w:bottom w:val="double" w:sz="5" w:space="0" w:color="000000"/>
            </w:tcBorders>
            <w:shd w:fill="C0C0C0" w:val="clear"/>
            <w:tcMar>
              <w:bottom w:w="28" w:type="dxa"/>
            </w:tcMar>
            <w:vAlign w:val="bottom"/>
          </w:tcPr>
          <w:p>
            <w:pPr>
              <w:pStyle w:val="TableContents"/>
              <w:spacing w:before="0" w:after="283"/>
              <w:jc w:val="right"/>
              <w:rPr/>
            </w:pPr>
            <w:r>
              <w:rPr/>
              <w:t>   </w:t>
            </w:r>
            <w:r>
              <w:rPr>
                <w:rFonts w:ascii="serif" w:hAnsi="serif"/>
                <w:sz w:val="20"/>
              </w:rPr>
              <w:t>106,250</w:t>
            </w:r>
            <w:r>
              <w:rPr/>
              <w:t> </w:t>
            </w:r>
          </w:p>
        </w:tc>
        <w:tc>
          <w:tcPr>
            <w:tcW w:w="140" w:type="dxa"/>
            <w:tcBorders/>
            <w:shd w:fill="C0C0C0" w:val="clear"/>
            <w:vAlign w:val="bottom"/>
          </w:tcPr>
          <w:p>
            <w:pPr>
              <w:pStyle w:val="TableContents"/>
              <w:spacing w:before="0" w:after="283"/>
              <w:rPr>
                <w:sz w:val="4"/>
                <w:szCs w:val="4"/>
              </w:rPr>
            </w:pPr>
            <w:r>
              <w:rPr>
                <w:sz w:val="4"/>
                <w:szCs w:val="4"/>
              </w:rPr>
            </w:r>
          </w:p>
        </w:tc>
        <w:tc>
          <w:tcPr>
            <w:tcW w:w="2669" w:type="dxa"/>
            <w:tcBorders>
              <w:bottom w:val="single" w:sz="16" w:space="0" w:color="C0C0C0"/>
            </w:tcBorders>
            <w:shd w:fill="C0C0C0" w:val="clear"/>
            <w:tcMar>
              <w:bottom w:w="28" w:type="dxa"/>
            </w:tcMar>
            <w:vAlign w:val="bottom"/>
          </w:tcPr>
          <w:p>
            <w:pPr>
              <w:pStyle w:val="TableContents"/>
              <w:spacing w:before="0" w:after="283"/>
              <w:jc w:val="left"/>
              <w:rPr/>
            </w:pPr>
            <w:r>
              <w:rPr>
                <w:rFonts w:ascii="serif" w:hAnsi="serif"/>
                <w:sz w:val="20"/>
              </w:rPr>
              <w:t>Common Stock</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436" w:type="dxa"/>
            <w:tcBorders>
              <w:bottom w:val="double" w:sz="5" w:space="0" w:color="000000"/>
            </w:tcBorders>
            <w:shd w:fill="C0C0C0" w:val="clear"/>
            <w:tcMar>
              <w:bottom w:w="28" w:type="dxa"/>
            </w:tcMar>
            <w:vAlign w:val="bottom"/>
          </w:tcPr>
          <w:p>
            <w:pPr>
              <w:pStyle w:val="TableContents"/>
              <w:spacing w:before="0" w:after="283"/>
              <w:jc w:val="right"/>
              <w:rPr>
                <w:rFonts w:ascii="serif" w:hAnsi="serif"/>
                <w:sz w:val="20"/>
              </w:rPr>
            </w:pPr>
            <w:r>
              <w:rPr>
                <w:rFonts w:ascii="serif" w:hAnsi="serif"/>
                <w:sz w:val="20"/>
              </w:rPr>
              <w:t>$ </w:t>
            </w:r>
          </w:p>
        </w:tc>
        <w:tc>
          <w:tcPr>
            <w:tcW w:w="964" w:type="dxa"/>
            <w:tcBorders>
              <w:bottom w:val="double" w:sz="5" w:space="0" w:color="000000"/>
            </w:tcBorders>
            <w:shd w:fill="C0C0C0" w:val="clear"/>
            <w:tcMar>
              <w:bottom w:w="28" w:type="dxa"/>
            </w:tcMar>
            <w:vAlign w:val="bottom"/>
          </w:tcPr>
          <w:p>
            <w:pPr>
              <w:pStyle w:val="TableContents"/>
              <w:spacing w:before="0" w:after="283"/>
              <w:jc w:val="right"/>
              <w:rPr/>
            </w:pPr>
            <w:r>
              <w:rPr>
                <w:sz w:val="20"/>
              </w:rPr>
              <w:t>8.96</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910" w:type="dxa"/>
            <w:gridSpan w:val="2"/>
            <w:tcBorders/>
            <w:shd w:fill="C0C0C0" w:val="clear"/>
            <w:vAlign w:val="bottom"/>
          </w:tcPr>
          <w:p>
            <w:pPr>
              <w:pStyle w:val="TableContents"/>
              <w:spacing w:before="0" w:after="283"/>
              <w:jc w:val="right"/>
              <w:rPr/>
            </w:pPr>
            <w:r>
              <w:rPr>
                <w:rFonts w:ascii="serif" w:hAnsi="serif"/>
                <w:sz w:val="20"/>
              </w:rPr>
              <w:t>--</w:t>
            </w:r>
            <w:r>
              <w:rPr/>
              <w:t> </w:t>
            </w:r>
          </w:p>
        </w:tc>
      </w:tr>
      <w:tr>
        <w:trPr/>
        <w:tc>
          <w:tcPr>
            <w:tcW w:w="12305" w:type="dxa"/>
            <w:gridSpan w:val="10"/>
            <w:tcBorders/>
            <w:shd w:fill="auto" w:val="clear"/>
            <w:vAlign w:val="center"/>
          </w:tcPr>
          <w:p>
            <w:pPr>
              <w:pStyle w:val="TableContents"/>
              <w:spacing w:before="0" w:after="283"/>
              <w:rPr/>
            </w:pPr>
            <w:r>
              <w:rPr/>
              <w:t> </w:t>
            </w:r>
          </w:p>
        </w:tc>
      </w:tr>
      <w:tr>
        <w:trPr/>
        <w:tc>
          <w:tcPr>
            <w:tcW w:w="4295" w:type="dxa"/>
            <w:tcBorders/>
            <w:shd w:fill="C0C0C0" w:val="clear"/>
            <w:vAlign w:val="bottom"/>
          </w:tcPr>
          <w:p>
            <w:pPr>
              <w:pStyle w:val="TableContents"/>
              <w:spacing w:before="0" w:after="283"/>
              <w:jc w:val="left"/>
              <w:rPr/>
            </w:pPr>
            <w:r>
              <w:rPr>
                <w:sz w:val="20"/>
              </w:rPr>
              <w:t>Total</w:t>
            </w:r>
            <w:r>
              <w:rPr/>
              <w:t> </w:t>
            </w:r>
          </w:p>
        </w:tc>
        <w:tc>
          <w:tcPr>
            <w:tcW w:w="1291" w:type="dxa"/>
            <w:tcBorders>
              <w:bottom w:val="double" w:sz="5" w:space="0" w:color="000000"/>
            </w:tcBorders>
            <w:shd w:fill="C0C0C0" w:val="clear"/>
            <w:tcMar>
              <w:bottom w:w="28" w:type="dxa"/>
            </w:tcMar>
            <w:vAlign w:val="bottom"/>
          </w:tcPr>
          <w:p>
            <w:pPr>
              <w:pStyle w:val="TableContents"/>
              <w:spacing w:before="0" w:after="283"/>
              <w:jc w:val="right"/>
              <w:rPr/>
            </w:pPr>
            <w:r>
              <w:rPr/>
              <w:t> </w:t>
            </w:r>
            <w:r>
              <w:rPr>
                <w:sz w:val="20"/>
              </w:rPr>
              <w:t>785,978</w:t>
            </w:r>
            <w:r>
              <w:rPr/>
              <w:t> </w:t>
            </w:r>
          </w:p>
        </w:tc>
        <w:tc>
          <w:tcPr>
            <w:tcW w:w="140" w:type="dxa"/>
            <w:tcBorders/>
            <w:shd w:fill="C0C0C0" w:val="clear"/>
            <w:vAlign w:val="bottom"/>
          </w:tcPr>
          <w:p>
            <w:pPr>
              <w:pStyle w:val="TableContents"/>
              <w:spacing w:before="0" w:after="283"/>
              <w:rPr>
                <w:sz w:val="4"/>
                <w:szCs w:val="4"/>
              </w:rPr>
            </w:pPr>
            <w:r>
              <w:rPr>
                <w:sz w:val="4"/>
                <w:szCs w:val="4"/>
              </w:rPr>
            </w:r>
          </w:p>
        </w:tc>
        <w:tc>
          <w:tcPr>
            <w:tcW w:w="2669" w:type="dxa"/>
            <w:tcBorders>
              <w:bottom w:val="single" w:sz="16" w:space="0" w:color="C0C0C0"/>
            </w:tcBorders>
            <w:shd w:fill="C0C0C0" w:val="clear"/>
            <w:tcMar>
              <w:bottom w:w="28" w:type="dxa"/>
            </w:tcMar>
            <w:vAlign w:val="bottom"/>
          </w:tcPr>
          <w:p>
            <w:pPr>
              <w:pStyle w:val="TableContents"/>
              <w:spacing w:before="0" w:after="283"/>
              <w:jc w:val="left"/>
              <w:rPr/>
            </w:pPr>
            <w:r>
              <w:rPr>
                <w:sz w:val="20"/>
              </w:rPr>
              <w:t>Common &amp; Class B</w:t>
            </w:r>
            <w:r>
              <w:rPr/>
              <w:t> </w:t>
            </w:r>
            <w:r>
              <w:rPr>
                <w:sz w:val="20"/>
              </w:rPr>
              <w:t>Stock</w:t>
            </w: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436" w:type="dxa"/>
            <w:tcBorders>
              <w:bottom w:val="double" w:sz="5" w:space="0" w:color="000000"/>
            </w:tcBorders>
            <w:shd w:fill="C0C0C0" w:val="clear"/>
            <w:tcMar>
              <w:bottom w:w="28" w:type="dxa"/>
            </w:tcMar>
            <w:vAlign w:val="bottom"/>
          </w:tcPr>
          <w:p>
            <w:pPr>
              <w:pStyle w:val="TableContents"/>
              <w:spacing w:before="0" w:after="283"/>
              <w:jc w:val="right"/>
              <w:rPr>
                <w:rFonts w:ascii="serif" w:hAnsi="serif"/>
                <w:sz w:val="20"/>
              </w:rPr>
            </w:pPr>
            <w:r>
              <w:rPr>
                <w:rFonts w:ascii="serif" w:hAnsi="serif"/>
                <w:sz w:val="20"/>
              </w:rPr>
              <w:t>$ </w:t>
            </w:r>
          </w:p>
        </w:tc>
        <w:tc>
          <w:tcPr>
            <w:tcW w:w="964" w:type="dxa"/>
            <w:tcBorders>
              <w:bottom w:val="double" w:sz="5" w:space="0" w:color="000000"/>
            </w:tcBorders>
            <w:shd w:fill="C0C0C0" w:val="clear"/>
            <w:tcMar>
              <w:bottom w:w="28" w:type="dxa"/>
            </w:tcMar>
            <w:vAlign w:val="bottom"/>
          </w:tcPr>
          <w:p>
            <w:pPr>
              <w:pStyle w:val="TableContents"/>
              <w:spacing w:before="0" w:after="283"/>
              <w:jc w:val="right"/>
              <w:rPr/>
            </w:pPr>
            <w:r>
              <w:rPr>
                <w:sz w:val="20"/>
              </w:rPr>
              <w:t>8.87</w:t>
            </w:r>
            <w:r>
              <w:rPr/>
              <w:t> </w:t>
            </w:r>
          </w:p>
        </w:tc>
        <w:tc>
          <w:tcPr>
            <w:tcW w:w="300" w:type="dxa"/>
            <w:tcBorders>
              <w:bottom w:val="double" w:sz="5" w:space="0" w:color="000000"/>
            </w:tcBorders>
            <w:shd w:fill="C0C0C0" w:val="clear"/>
            <w:tcMar>
              <w:bottom w:w="28" w:type="dxa"/>
            </w:tcMar>
            <w:vAlign w:val="bottom"/>
          </w:tcPr>
          <w:p>
            <w:pPr>
              <w:pStyle w:val="TableContents"/>
              <w:spacing w:before="0" w:after="283"/>
              <w:jc w:val="left"/>
              <w:rPr/>
            </w:pPr>
            <w:r>
              <w:rPr/>
              <w:t> </w:t>
            </w:r>
          </w:p>
        </w:tc>
        <w:tc>
          <w:tcPr>
            <w:tcW w:w="1339" w:type="dxa"/>
            <w:tcBorders>
              <w:bottom w:val="double" w:sz="5" w:space="0" w:color="000000"/>
            </w:tcBorders>
            <w:shd w:fill="C0C0C0" w:val="clear"/>
            <w:tcMar>
              <w:bottom w:w="28" w:type="dxa"/>
            </w:tcMar>
            <w:vAlign w:val="bottom"/>
          </w:tcPr>
          <w:p>
            <w:pPr>
              <w:pStyle w:val="TableContents"/>
              <w:spacing w:before="0" w:after="283"/>
              <w:jc w:val="left"/>
              <w:rPr/>
            </w:pPr>
            <w:r>
              <w:rPr/>
              <w:t>       </w:t>
            </w:r>
            <w:r>
              <w:rPr>
                <w:rFonts w:ascii="serif" w:hAnsi="serif"/>
                <w:sz w:val="20"/>
              </w:rPr>
              <w:t>790,000</w:t>
            </w:r>
            <w:r>
              <w:rPr/>
              <w:t> </w:t>
            </w:r>
          </w:p>
        </w:tc>
        <w:tc>
          <w:tcPr>
            <w:tcW w:w="571"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47"/>
        <w:gridCol w:w="310"/>
        <w:gridCol w:w="9648"/>
      </w:tblGrid>
      <w:tr>
        <w:trPr/>
        <w:tc>
          <w:tcPr>
            <w:tcW w:w="247" w:type="dxa"/>
            <w:tcBorders/>
            <w:shd w:fill="auto" w:val="clear"/>
          </w:tcPr>
          <w:p>
            <w:pPr>
              <w:pStyle w:val="TableContents"/>
              <w:spacing w:before="0" w:after="283"/>
              <w:rPr>
                <w:rFonts w:ascii="serif" w:hAnsi="serif"/>
                <w:sz w:val="20"/>
              </w:rPr>
            </w:pPr>
            <w:r>
              <w:rPr>
                <w:rFonts w:ascii="serif" w:hAnsi="serif"/>
                <w:sz w:val="20"/>
              </w:rPr>
              <w:t>(1)</w:t>
            </w:r>
          </w:p>
        </w:tc>
        <w:tc>
          <w:tcPr>
            <w:tcW w:w="310" w:type="dxa"/>
            <w:tcBorders/>
            <w:shd w:fill="auto" w:val="clear"/>
          </w:tcPr>
          <w:p>
            <w:pPr>
              <w:pStyle w:val="TableContents"/>
              <w:spacing w:before="0" w:after="283"/>
              <w:rPr/>
            </w:pPr>
            <w:r>
              <w:rPr/>
              <w:t>     </w:t>
            </w:r>
          </w:p>
        </w:tc>
        <w:tc>
          <w:tcPr>
            <w:tcW w:w="9648" w:type="dxa"/>
            <w:tcBorders/>
            <w:shd w:fill="auto" w:val="clear"/>
          </w:tcPr>
          <w:p>
            <w:pPr>
              <w:pStyle w:val="TableContents"/>
              <w:spacing w:before="0" w:after="283"/>
              <w:rPr>
                <w:rFonts w:ascii="serif" w:hAnsi="serif"/>
                <w:sz w:val="20"/>
              </w:rPr>
            </w:pPr>
            <w:r>
              <w:rPr>
                <w:rFonts w:ascii="serif" w:hAnsi="serif"/>
                <w:sz w:val="20"/>
              </w:rPr>
              <w:t>These plans are the Companys 1995 Long-Term Incentive Plan and 2006 Long Term Incentive Plan.</w:t>
            </w:r>
          </w:p>
        </w:tc>
      </w:tr>
      <w:tr>
        <w:trPr/>
        <w:tc>
          <w:tcPr>
            <w:tcW w:w="247" w:type="dxa"/>
            <w:tcBorders/>
            <w:shd w:fill="auto" w:val="clear"/>
          </w:tcPr>
          <w:p>
            <w:pPr>
              <w:pStyle w:val="TableContents"/>
              <w:spacing w:before="0" w:after="283"/>
              <w:rPr>
                <w:sz w:val="4"/>
                <w:szCs w:val="4"/>
              </w:rPr>
            </w:pPr>
            <w:r>
              <w:rPr>
                <w:sz w:val="4"/>
                <w:szCs w:val="4"/>
              </w:rPr>
            </w:r>
          </w:p>
        </w:tc>
        <w:tc>
          <w:tcPr>
            <w:tcW w:w="310" w:type="dxa"/>
            <w:tcBorders/>
            <w:shd w:fill="auto" w:val="clear"/>
          </w:tcPr>
          <w:p>
            <w:pPr>
              <w:pStyle w:val="TableContents"/>
              <w:spacing w:before="0" w:after="283"/>
              <w:rPr>
                <w:sz w:val="4"/>
                <w:szCs w:val="4"/>
              </w:rPr>
            </w:pPr>
            <w:r>
              <w:rPr>
                <w:sz w:val="4"/>
                <w:szCs w:val="4"/>
              </w:rPr>
            </w:r>
          </w:p>
        </w:tc>
        <w:tc>
          <w:tcPr>
            <w:tcW w:w="9648" w:type="dxa"/>
            <w:tcBorders/>
            <w:shd w:fill="auto" w:val="clear"/>
          </w:tcPr>
          <w:p>
            <w:pPr>
              <w:pStyle w:val="TableContents"/>
              <w:spacing w:before="0" w:after="283"/>
              <w:rPr/>
            </w:pPr>
            <w:r>
              <w:rPr/>
              <w:t> </w:t>
            </w:r>
          </w:p>
        </w:tc>
      </w:tr>
      <w:tr>
        <w:trPr/>
        <w:tc>
          <w:tcPr>
            <w:tcW w:w="247" w:type="dxa"/>
            <w:tcBorders/>
            <w:shd w:fill="auto" w:val="clear"/>
          </w:tcPr>
          <w:p>
            <w:pPr>
              <w:pStyle w:val="TableContents"/>
              <w:spacing w:before="0" w:after="283"/>
              <w:rPr>
                <w:sz w:val="20"/>
              </w:rPr>
            </w:pPr>
            <w:r>
              <w:rPr>
                <w:sz w:val="20"/>
              </w:rPr>
              <w:t>(2)</w:t>
            </w:r>
          </w:p>
        </w:tc>
        <w:tc>
          <w:tcPr>
            <w:tcW w:w="310" w:type="dxa"/>
            <w:tcBorders/>
            <w:shd w:fill="auto" w:val="clear"/>
          </w:tcPr>
          <w:p>
            <w:pPr>
              <w:pStyle w:val="TableContents"/>
              <w:spacing w:before="0" w:after="283"/>
              <w:rPr>
                <w:sz w:val="4"/>
                <w:szCs w:val="4"/>
              </w:rPr>
            </w:pPr>
            <w:r>
              <w:rPr>
                <w:sz w:val="4"/>
                <w:szCs w:val="4"/>
              </w:rPr>
            </w:r>
          </w:p>
        </w:tc>
        <w:tc>
          <w:tcPr>
            <w:tcW w:w="9648" w:type="dxa"/>
            <w:tcBorders/>
            <w:shd w:fill="auto" w:val="clear"/>
          </w:tcPr>
          <w:p>
            <w:pPr>
              <w:pStyle w:val="TableContents"/>
              <w:spacing w:before="0" w:after="283"/>
              <w:rPr>
                <w:sz w:val="20"/>
              </w:rPr>
            </w:pPr>
            <w:r>
              <w:rPr>
                <w:sz w:val="20"/>
              </w:rPr>
              <w:t>Under these plans, awards made to members of the Jaffee family are for shares of Class B Stock. Awards made to any other employees or non-employee directors are for shares of Common Stock.</w:t>
            </w:r>
          </w:p>
        </w:tc>
      </w:tr>
      <w:tr>
        <w:trPr/>
        <w:tc>
          <w:tcPr>
            <w:tcW w:w="247" w:type="dxa"/>
            <w:tcBorders/>
            <w:shd w:fill="auto" w:val="clear"/>
          </w:tcPr>
          <w:p>
            <w:pPr>
              <w:pStyle w:val="TableContents"/>
              <w:spacing w:before="0" w:after="283"/>
              <w:rPr>
                <w:sz w:val="4"/>
                <w:szCs w:val="4"/>
              </w:rPr>
            </w:pPr>
            <w:r>
              <w:rPr>
                <w:sz w:val="4"/>
                <w:szCs w:val="4"/>
              </w:rPr>
            </w:r>
          </w:p>
        </w:tc>
        <w:tc>
          <w:tcPr>
            <w:tcW w:w="310" w:type="dxa"/>
            <w:tcBorders/>
            <w:shd w:fill="auto" w:val="clear"/>
          </w:tcPr>
          <w:p>
            <w:pPr>
              <w:pStyle w:val="TableContents"/>
              <w:spacing w:before="0" w:after="283"/>
              <w:rPr>
                <w:sz w:val="4"/>
                <w:szCs w:val="4"/>
              </w:rPr>
            </w:pPr>
            <w:r>
              <w:rPr>
                <w:sz w:val="4"/>
                <w:szCs w:val="4"/>
              </w:rPr>
            </w:r>
          </w:p>
        </w:tc>
        <w:tc>
          <w:tcPr>
            <w:tcW w:w="9648" w:type="dxa"/>
            <w:tcBorders/>
            <w:shd w:fill="auto" w:val="clear"/>
          </w:tcPr>
          <w:p>
            <w:pPr>
              <w:pStyle w:val="TableContents"/>
              <w:spacing w:before="0" w:after="283"/>
              <w:rPr/>
            </w:pPr>
            <w:r>
              <w:rPr/>
              <w:t> </w:t>
            </w:r>
          </w:p>
        </w:tc>
      </w:tr>
      <w:tr>
        <w:trPr/>
        <w:tc>
          <w:tcPr>
            <w:tcW w:w="247" w:type="dxa"/>
            <w:tcBorders/>
            <w:shd w:fill="auto" w:val="clear"/>
          </w:tcPr>
          <w:p>
            <w:pPr>
              <w:pStyle w:val="TableContents"/>
              <w:spacing w:before="0" w:after="283"/>
              <w:rPr>
                <w:sz w:val="20"/>
              </w:rPr>
            </w:pPr>
            <w:r>
              <w:rPr>
                <w:sz w:val="20"/>
              </w:rPr>
              <w:t>(3)</w:t>
            </w:r>
          </w:p>
        </w:tc>
        <w:tc>
          <w:tcPr>
            <w:tcW w:w="310" w:type="dxa"/>
            <w:tcBorders/>
            <w:shd w:fill="auto" w:val="clear"/>
          </w:tcPr>
          <w:p>
            <w:pPr>
              <w:pStyle w:val="TableContents"/>
              <w:spacing w:before="0" w:after="283"/>
              <w:rPr>
                <w:sz w:val="4"/>
                <w:szCs w:val="4"/>
              </w:rPr>
            </w:pPr>
            <w:r>
              <w:rPr>
                <w:sz w:val="4"/>
                <w:szCs w:val="4"/>
              </w:rPr>
            </w:r>
          </w:p>
        </w:tc>
        <w:tc>
          <w:tcPr>
            <w:tcW w:w="9648" w:type="dxa"/>
            <w:tcBorders/>
            <w:shd w:fill="auto" w:val="clear"/>
          </w:tcPr>
          <w:p>
            <w:pPr>
              <w:pStyle w:val="TableContents"/>
              <w:spacing w:before="0" w:after="283"/>
              <w:rPr>
                <w:sz w:val="20"/>
              </w:rPr>
            </w:pPr>
            <w:r>
              <w:rPr>
                <w:sz w:val="20"/>
              </w:rPr>
              <w:t>This plan is the Companys Outside Director Stock Plan which was adopted by our Board in 1998. The Outside Director Stock Plan provides for grants of stock options to non-employee directors at an option price per share of 100% of the fair market value of Common Stock on the date of grant. Stock options have been granted to our directors for a 10-year term with a one-year vesting period. All stock issued under the plan is issued from shares held in the Companys treasury.</w:t>
            </w:r>
          </w:p>
        </w:tc>
      </w:tr>
      <w:tr>
        <w:trPr/>
        <w:tc>
          <w:tcPr>
            <w:tcW w:w="247" w:type="dxa"/>
            <w:tcBorders/>
            <w:shd w:fill="auto" w:val="clear"/>
          </w:tcPr>
          <w:p>
            <w:pPr>
              <w:pStyle w:val="TableContents"/>
              <w:spacing w:before="0" w:after="283"/>
              <w:rPr>
                <w:sz w:val="4"/>
                <w:szCs w:val="4"/>
              </w:rPr>
            </w:pPr>
            <w:r>
              <w:rPr>
                <w:sz w:val="4"/>
                <w:szCs w:val="4"/>
              </w:rPr>
            </w:r>
          </w:p>
        </w:tc>
        <w:tc>
          <w:tcPr>
            <w:tcW w:w="310" w:type="dxa"/>
            <w:tcBorders/>
            <w:shd w:fill="auto" w:val="clear"/>
          </w:tcPr>
          <w:p>
            <w:pPr>
              <w:pStyle w:val="TableContents"/>
              <w:spacing w:before="0" w:after="283"/>
              <w:rPr>
                <w:sz w:val="4"/>
                <w:szCs w:val="4"/>
              </w:rPr>
            </w:pPr>
            <w:r>
              <w:rPr>
                <w:sz w:val="4"/>
                <w:szCs w:val="4"/>
              </w:rPr>
            </w:r>
          </w:p>
        </w:tc>
        <w:tc>
          <w:tcPr>
            <w:tcW w:w="9648" w:type="dxa"/>
            <w:tcBorders/>
            <w:shd w:fill="auto" w:val="clear"/>
          </w:tcPr>
          <w:p>
            <w:pPr>
              <w:pStyle w:val="TableContents"/>
              <w:spacing w:before="0" w:after="283"/>
              <w:rPr/>
            </w:pPr>
            <w:r>
              <w:rPr/>
              <w:t> </w:t>
            </w:r>
          </w:p>
        </w:tc>
      </w:tr>
      <w:tr>
        <w:trPr/>
        <w:tc>
          <w:tcPr>
            <w:tcW w:w="247" w:type="dxa"/>
            <w:tcBorders/>
            <w:shd w:fill="auto" w:val="clear"/>
          </w:tcPr>
          <w:p>
            <w:pPr>
              <w:pStyle w:val="TableContents"/>
              <w:spacing w:before="0" w:after="283"/>
              <w:rPr>
                <w:sz w:val="20"/>
              </w:rPr>
            </w:pPr>
            <w:r>
              <w:rPr>
                <w:sz w:val="20"/>
              </w:rPr>
              <w:t>(4)</w:t>
            </w:r>
          </w:p>
        </w:tc>
        <w:tc>
          <w:tcPr>
            <w:tcW w:w="310" w:type="dxa"/>
            <w:tcBorders/>
            <w:shd w:fill="auto" w:val="clear"/>
          </w:tcPr>
          <w:p>
            <w:pPr>
              <w:pStyle w:val="TableContents"/>
              <w:spacing w:before="0" w:after="283"/>
              <w:rPr>
                <w:sz w:val="4"/>
                <w:szCs w:val="4"/>
              </w:rPr>
            </w:pPr>
            <w:r>
              <w:rPr>
                <w:sz w:val="4"/>
                <w:szCs w:val="4"/>
              </w:rPr>
            </w:r>
          </w:p>
        </w:tc>
        <w:tc>
          <w:tcPr>
            <w:tcW w:w="9648" w:type="dxa"/>
            <w:tcBorders/>
            <w:shd w:fill="auto" w:val="clear"/>
          </w:tcPr>
          <w:p>
            <w:pPr>
              <w:pStyle w:val="TableContents"/>
              <w:spacing w:before="0" w:after="283"/>
              <w:rPr>
                <w:sz w:val="20"/>
              </w:rPr>
            </w:pPr>
            <w:r>
              <w:rPr>
                <w:sz w:val="20"/>
              </w:rPr>
              <w:t>Prior to issuance of awards under these plans, it is not possible to determine whether awards will be for shares of Common Stock or shares of Class B Stock. Awards made to members of the Jaffee family will be for shares of Class B Stock. Awards made to any other employees or non-employee directors will be for shares of Common Stock.</w:t>
            </w:r>
          </w:p>
        </w:tc>
      </w:tr>
    </w:tbl>
    <w:p>
      <w:pPr>
        <w:pStyle w:val="TextBody"/>
        <w:jc w:val="center"/>
        <w:rPr>
          <w:rFonts w:ascii="serif" w:hAnsi="serif"/>
          <w:sz w:val="20"/>
        </w:rPr>
      </w:pPr>
      <w:r>
        <w:rPr>
          <w:rFonts w:ascii="serif" w:hAnsi="serif"/>
          <w:sz w:val="20"/>
        </w:rPr>
        <w:t>35</w:t>
      </w:r>
    </w:p>
    <w:p>
      <w:pPr>
        <w:pStyle w:val="HorizontalLine"/>
        <w:pBdr>
          <w:bottom w:val="single" w:sz="12" w:space="0" w:color="808080"/>
        </w:pBdr>
        <w:rPr/>
      </w:pPr>
      <w:r>
        <w:rPr/>
      </w:r>
    </w:p>
    <w:p>
      <w:pPr>
        <w:pStyle w:val="TextBody"/>
        <w:jc w:val="center"/>
        <w:rPr>
          <w:rFonts w:ascii="serif" w:hAnsi="serif"/>
          <w:b/>
        </w:rPr>
      </w:pPr>
      <w:r>
        <w:rPr>
          <w:rFonts w:ascii="serif" w:hAnsi="serif"/>
          <w:b/>
        </w:rPr>
        <w:t>Benefits upon Termination or Change in Control</w:t>
      </w:r>
    </w:p>
    <w:p>
      <w:pPr>
        <w:pStyle w:val="TextBody"/>
        <w:jc w:val="both"/>
        <w:rPr/>
      </w:pPr>
      <w:r>
        <w:rPr/>
        <w:t>     </w:t>
      </w:r>
      <w:r>
        <w:rPr>
          <w:rFonts w:ascii="serif" w:hAnsi="serif"/>
          <w:sz w:val="20"/>
        </w:rPr>
        <w:t>The following summaries and table set forth potential payments to our named executive officers upon termination of their employment or a change in control of Oil-Dri. None of our named executive officers are of normal or early retirement age so those termination scenarios are not shown.</w:t>
      </w:r>
    </w:p>
    <w:p>
      <w:pPr>
        <w:pStyle w:val="TextBody"/>
        <w:jc w:val="both"/>
        <w:rPr/>
      </w:pPr>
      <w:r>
        <w:rPr/>
        <w:t>     </w:t>
      </w:r>
      <w:r>
        <w:rPr>
          <w:rFonts w:ascii="serif" w:hAnsi="serif"/>
          <w:sz w:val="20"/>
        </w:rPr>
        <w:t>We do not have a severance plan which covers any of our executive officers and generally have no employment or severance agreements with our executive officers, except that we agreed with Charles P. Brissman at the time of his employment that he would receive a minimum of six months severance pay of base salary and medical benefits if he were terminated without cause after two years or more of employment.</w:t>
      </w:r>
    </w:p>
    <w:p>
      <w:pPr>
        <w:pStyle w:val="TextBody"/>
        <w:jc w:val="both"/>
        <w:rPr/>
      </w:pPr>
      <w:r>
        <w:rPr/>
        <w:t>     </w:t>
      </w:r>
      <w:r>
        <w:rPr>
          <w:rFonts w:ascii="serif" w:hAnsi="serif"/>
          <w:sz w:val="20"/>
        </w:rPr>
        <w:t>Our only other provisions for benefits upon termination of employment or change in control are in existing compensation plans and apply to all participants in those plans:</w:t>
      </w:r>
    </w:p>
    <w:p>
      <w:pPr>
        <w:pStyle w:val="TextBody"/>
        <w:numPr>
          <w:ilvl w:val="0"/>
          <w:numId w:val="18"/>
        </w:numPr>
        <w:tabs>
          <w:tab w:val="clear" w:pos="1134"/>
          <w:tab w:val="left" w:pos="707" w:leader="none"/>
        </w:tabs>
        <w:ind w:left="707" w:hanging="283"/>
        <w:jc w:val="both"/>
        <w:rPr>
          <w:rFonts w:ascii="serif" w:hAnsi="serif"/>
          <w:sz w:val="20"/>
        </w:rPr>
      </w:pPr>
      <w:r>
        <w:rPr>
          <w:rFonts w:ascii="serif" w:hAnsi="serif"/>
          <w:sz w:val="20"/>
        </w:rPr>
        <w:t>Our annual incentive plan provides for immediate vesting and payment, as allowed by law, of a participants executive deferred bonus award account upon the participants death, disability, retirement with age plus years of service equal to 80, or change in control of the Company.</w:t>
      </w:r>
    </w:p>
    <w:p>
      <w:pPr>
        <w:pStyle w:val="TextBody"/>
        <w:numPr>
          <w:ilvl w:val="0"/>
          <w:numId w:val="18"/>
        </w:numPr>
        <w:tabs>
          <w:tab w:val="clear" w:pos="1134"/>
          <w:tab w:val="left" w:pos="707" w:leader="none"/>
        </w:tabs>
        <w:ind w:left="707" w:hanging="283"/>
        <w:jc w:val="both"/>
        <w:rPr/>
      </w:pPr>
      <w:r>
        <w:rPr>
          <w:rFonts w:ascii="serif" w:hAnsi="serif"/>
          <w:sz w:val="20"/>
        </w:rPr>
        <w:t>Our equity incentive plans and the agreements issued under those plans provide for immediate vesting of restricted stock and immediate vesting and exercisability of stock options upon a participants death, disability or a change in control of the Company. Upon retirement with age plus years of service equal to 80, all stock options become immediately vested and exercisable.</w:t>
      </w:r>
      <w:r>
        <w:rPr/>
        <w:t xml:space="preserve"> </w:t>
      </w:r>
      <w:r>
        <w:rPr>
          <w:rFonts w:ascii="serif" w:hAnsi="serif"/>
          <w:sz w:val="20"/>
        </w:rPr>
        <w:t>Upon any of these termination events, the participant, or his beneficiary in the case of the participants death, may exercise any outstanding stock options for a period of three years or until their expiration dates, whichever occurs first.</w:t>
      </w:r>
    </w:p>
    <w:p>
      <w:pPr>
        <w:pStyle w:val="TextBody"/>
        <w:jc w:val="both"/>
        <w:rPr/>
      </w:pPr>
      <w:r>
        <w:rPr/>
        <w:t>     </w:t>
      </w:r>
      <w:r>
        <w:rPr>
          <w:rFonts w:ascii="serif" w:hAnsi="serif"/>
          <w:sz w:val="20"/>
        </w:rPr>
        <w:t>The table does not include amounts payable to our named executive officers under plans that are generally available on the same basis to all of our salaried employees, such as payments under the pension plan, the 401(k) plan, the life insurance plan, the disability insurance plan and payment of prorated annual incentive compensation.</w:t>
      </w:r>
    </w:p>
    <w:p>
      <w:pPr>
        <w:pStyle w:val="TextBody"/>
        <w:jc w:val="both"/>
        <w:rPr/>
      </w:pPr>
      <w:r>
        <w:rPr/>
        <w:t>     </w:t>
      </w:r>
      <w:r>
        <w:rPr>
          <w:rFonts w:ascii="serif" w:hAnsi="serif"/>
          <w:sz w:val="20"/>
        </w:rPr>
        <w:t>The amounts shown assume that the named executive officers employment terminated on July 31, 2007, the last day of our most recently completed fiscal year, and when applicable, the closing price of our Common Stock on that date of $16.68.</w:t>
      </w:r>
    </w:p>
    <w:tbl>
      <w:tblPr>
        <w:tblW w:w="10944" w:type="dxa"/>
        <w:jc w:val="left"/>
        <w:tblInd w:w="0" w:type="dxa"/>
        <w:tblCellMar>
          <w:top w:w="0" w:type="dxa"/>
          <w:left w:w="0" w:type="dxa"/>
          <w:bottom w:w="0" w:type="dxa"/>
          <w:right w:w="0" w:type="dxa"/>
        </w:tblCellMar>
      </w:tblPr>
      <w:tblGrid>
        <w:gridCol w:w="3830"/>
        <w:gridCol w:w="1190"/>
        <w:gridCol w:w="300"/>
        <w:gridCol w:w="1165"/>
        <w:gridCol w:w="322"/>
        <w:gridCol w:w="206"/>
        <w:gridCol w:w="1029"/>
        <w:gridCol w:w="322"/>
        <w:gridCol w:w="164"/>
        <w:gridCol w:w="1071"/>
        <w:gridCol w:w="300"/>
        <w:gridCol w:w="140"/>
        <w:gridCol w:w="905"/>
      </w:tblGrid>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4279" w:type="dxa"/>
            <w:gridSpan w:val="7"/>
            <w:tcBorders/>
            <w:shd w:fill="auto" w:val="clear"/>
            <w:vAlign w:val="bottom"/>
          </w:tcPr>
          <w:p>
            <w:pPr>
              <w:pStyle w:val="TableContents"/>
              <w:spacing w:before="0" w:after="283"/>
              <w:jc w:val="center"/>
              <w:rPr/>
            </w:pPr>
            <w:r>
              <w:rPr>
                <w:rFonts w:ascii="serif" w:hAnsi="serif"/>
                <w:b/>
                <w:sz w:val="20"/>
              </w:rPr>
              <w:t>Vesting of Awards under Incentive</w:t>
            </w:r>
            <w:r>
              <w:rPr/>
              <w:t> </w:t>
            </w:r>
          </w:p>
        </w:tc>
        <w:tc>
          <w:tcPr>
            <w:tcW w:w="300" w:type="dxa"/>
            <w:tcBorders/>
            <w:shd w:fill="auto" w:val="clear"/>
            <w:vAlign w:val="bottom"/>
          </w:tcPr>
          <w:p>
            <w:pPr>
              <w:pStyle w:val="TableContents"/>
              <w:spacing w:before="0" w:after="283"/>
              <w:jc w:val="center"/>
              <w:rPr/>
            </w:pPr>
            <w:r>
              <w:rPr/>
              <w:t>     </w:t>
            </w:r>
          </w:p>
        </w:tc>
        <w:tc>
          <w:tcPr>
            <w:tcW w:w="1045" w:type="dxa"/>
            <w:gridSpan w:val="2"/>
            <w:tcBorders/>
            <w:shd w:fill="auto" w:val="clear"/>
            <w:vAlign w:val="bottom"/>
          </w:tcPr>
          <w:p>
            <w:pPr>
              <w:pStyle w:val="TableContents"/>
              <w:spacing w:before="0" w:after="283"/>
              <w:jc w:val="center"/>
              <w:rPr/>
            </w:pPr>
            <w:r>
              <w:rPr/>
              <w:t> </w:t>
            </w:r>
          </w:p>
        </w:tc>
      </w:tr>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4279" w:type="dxa"/>
            <w:gridSpan w:val="7"/>
            <w:tcBorders>
              <w:bottom w:val="single" w:sz="8" w:space="0" w:color="000000"/>
            </w:tcBorders>
            <w:shd w:fill="auto" w:val="clear"/>
            <w:tcMar>
              <w:bottom w:w="28" w:type="dxa"/>
            </w:tcMar>
            <w:vAlign w:val="bottom"/>
          </w:tcPr>
          <w:p>
            <w:pPr>
              <w:pStyle w:val="TableContents"/>
              <w:spacing w:before="0" w:after="283"/>
              <w:jc w:val="center"/>
              <w:rPr/>
            </w:pPr>
            <w:r>
              <w:rPr>
                <w:rFonts w:ascii="serif" w:hAnsi="serif"/>
                <w:b/>
                <w:sz w:val="20"/>
              </w:rPr>
              <w:t>Plans</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center"/>
              <w:rPr/>
            </w:pPr>
            <w:r>
              <w:rPr/>
              <w:t> </w:t>
            </w:r>
          </w:p>
        </w:tc>
      </w:tr>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65" w:type="dxa"/>
            <w:tcBorders/>
            <w:shd w:fill="auto" w:val="clear"/>
            <w:vAlign w:val="bottom"/>
          </w:tcPr>
          <w:p>
            <w:pPr>
              <w:pStyle w:val="TableContents"/>
              <w:spacing w:before="0" w:after="283"/>
              <w:jc w:val="center"/>
              <w:rPr/>
            </w:pPr>
            <w:r>
              <w:rPr>
                <w:rFonts w:ascii="serif" w:hAnsi="serif"/>
                <w:b/>
                <w:sz w:val="20"/>
              </w:rPr>
              <w:t>Annual</w:t>
            </w:r>
            <w:r>
              <w:rPr/>
              <w:t> </w:t>
            </w:r>
          </w:p>
        </w:tc>
        <w:tc>
          <w:tcPr>
            <w:tcW w:w="322"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center"/>
              <w:rPr/>
            </w:pPr>
            <w:r>
              <w:rPr/>
              <w:t> </w:t>
            </w:r>
          </w:p>
        </w:tc>
      </w:tr>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65" w:type="dxa"/>
            <w:tcBorders/>
            <w:shd w:fill="auto" w:val="clear"/>
            <w:vAlign w:val="bottom"/>
          </w:tcPr>
          <w:p>
            <w:pPr>
              <w:pStyle w:val="TableContents"/>
              <w:spacing w:before="0" w:after="283"/>
              <w:jc w:val="center"/>
              <w:rPr/>
            </w:pPr>
            <w:r>
              <w:rPr>
                <w:rFonts w:ascii="serif" w:hAnsi="serif"/>
                <w:b/>
                <w:sz w:val="20"/>
              </w:rPr>
              <w:t>Incentive</w:t>
            </w:r>
            <w:r>
              <w:rPr/>
              <w:t> </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pPr>
            <w:r>
              <w:rPr>
                <w:rFonts w:ascii="serif" w:hAnsi="serif"/>
                <w:b/>
                <w:sz w:val="20"/>
              </w:rPr>
              <w:t>1995 Long</w:t>
            </w:r>
            <w:r>
              <w:rPr/>
              <w:t> </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pPr>
            <w:r>
              <w:rPr>
                <w:rFonts w:ascii="serif" w:hAnsi="serif"/>
                <w:b/>
                <w:sz w:val="20"/>
              </w:rPr>
              <w:t>2006 Long</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center"/>
              <w:rPr/>
            </w:pPr>
            <w:r>
              <w:rPr/>
              <w:t> </w:t>
            </w:r>
          </w:p>
        </w:tc>
      </w:tr>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165" w:type="dxa"/>
            <w:tcBorders/>
            <w:shd w:fill="auto" w:val="clear"/>
            <w:vAlign w:val="bottom"/>
          </w:tcPr>
          <w:p>
            <w:pPr>
              <w:pStyle w:val="TableContents"/>
              <w:spacing w:before="0" w:after="283"/>
              <w:jc w:val="center"/>
              <w:rPr/>
            </w:pPr>
            <w:r>
              <w:rPr>
                <w:rFonts w:ascii="serif" w:hAnsi="serif"/>
                <w:b/>
                <w:sz w:val="20"/>
              </w:rPr>
              <w:t>Plan</w:t>
            </w:r>
            <w:r>
              <w:rPr/>
              <w:t> </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Term</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Term</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center"/>
              <w:rPr/>
            </w:pPr>
            <w:r>
              <w:rPr/>
              <w:t> </w:t>
            </w:r>
          </w:p>
        </w:tc>
      </w:tr>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jc w:val="center"/>
              <w:rPr>
                <w:rFonts w:ascii="serif" w:hAnsi="serif"/>
                <w:b/>
                <w:sz w:val="20"/>
              </w:rPr>
            </w:pPr>
            <w:r>
              <w:rPr>
                <w:rFonts w:ascii="serif" w:hAnsi="serif"/>
                <w:b/>
                <w:sz w:val="20"/>
              </w:rPr>
              <w:t>Separation</w:t>
            </w:r>
          </w:p>
        </w:tc>
        <w:tc>
          <w:tcPr>
            <w:tcW w:w="300" w:type="dxa"/>
            <w:tcBorders/>
            <w:shd w:fill="auto" w:val="clear"/>
            <w:vAlign w:val="bottom"/>
          </w:tcPr>
          <w:p>
            <w:pPr>
              <w:pStyle w:val="TableContents"/>
              <w:spacing w:before="0" w:after="283"/>
              <w:rPr>
                <w:sz w:val="4"/>
                <w:szCs w:val="4"/>
              </w:rPr>
            </w:pPr>
            <w:r>
              <w:rPr>
                <w:sz w:val="4"/>
                <w:szCs w:val="4"/>
              </w:rPr>
            </w:r>
          </w:p>
        </w:tc>
        <w:tc>
          <w:tcPr>
            <w:tcW w:w="1165" w:type="dxa"/>
            <w:tcBorders/>
            <w:shd w:fill="auto" w:val="clear"/>
            <w:vAlign w:val="bottom"/>
          </w:tcPr>
          <w:p>
            <w:pPr>
              <w:pStyle w:val="TableContents"/>
              <w:spacing w:before="0" w:after="283"/>
              <w:jc w:val="center"/>
              <w:rPr/>
            </w:pPr>
            <w:r>
              <w:rPr>
                <w:rFonts w:ascii="serif" w:hAnsi="serif"/>
                <w:b/>
                <w:sz w:val="20"/>
              </w:rPr>
              <w:t>Deferred</w:t>
            </w:r>
            <w:r>
              <w:rPr/>
              <w:t> </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Incentive</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Incentive</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center"/>
              <w:rPr/>
            </w:pPr>
            <w:r>
              <w:rPr/>
              <w:t> </w:t>
            </w:r>
          </w:p>
        </w:tc>
      </w:tr>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jc w:val="center"/>
              <w:rPr>
                <w:rFonts w:ascii="serif" w:hAnsi="serif"/>
                <w:b/>
                <w:sz w:val="20"/>
              </w:rPr>
            </w:pPr>
            <w:r>
              <w:rPr>
                <w:rFonts w:ascii="serif" w:hAnsi="serif"/>
                <w:b/>
                <w:sz w:val="20"/>
              </w:rPr>
              <w:t>Benefit</w:t>
            </w:r>
          </w:p>
        </w:tc>
        <w:tc>
          <w:tcPr>
            <w:tcW w:w="300" w:type="dxa"/>
            <w:tcBorders/>
            <w:shd w:fill="auto" w:val="clear"/>
            <w:vAlign w:val="bottom"/>
          </w:tcPr>
          <w:p>
            <w:pPr>
              <w:pStyle w:val="TableContents"/>
              <w:spacing w:before="0" w:after="283"/>
              <w:rPr>
                <w:sz w:val="4"/>
                <w:szCs w:val="4"/>
              </w:rPr>
            </w:pPr>
            <w:r>
              <w:rPr>
                <w:sz w:val="4"/>
                <w:szCs w:val="4"/>
              </w:rPr>
            </w:r>
          </w:p>
        </w:tc>
        <w:tc>
          <w:tcPr>
            <w:tcW w:w="1165" w:type="dxa"/>
            <w:tcBorders/>
            <w:shd w:fill="auto" w:val="clear"/>
            <w:vAlign w:val="bottom"/>
          </w:tcPr>
          <w:p>
            <w:pPr>
              <w:pStyle w:val="TableContents"/>
              <w:spacing w:before="0" w:after="283"/>
              <w:jc w:val="center"/>
              <w:rPr>
                <w:rFonts w:ascii="serif" w:hAnsi="serif"/>
                <w:b/>
                <w:sz w:val="20"/>
              </w:rPr>
            </w:pPr>
            <w:r>
              <w:rPr>
                <w:rFonts w:ascii="serif" w:hAnsi="serif"/>
                <w:b/>
                <w:sz w:val="20"/>
              </w:rPr>
              <w:t>Account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Plan</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Plan</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center"/>
              <w:rPr/>
            </w:pPr>
            <w:r>
              <w:rPr/>
              <w:t> </w:t>
            </w:r>
          </w:p>
        </w:tc>
      </w:tr>
      <w:tr>
        <w:trPr/>
        <w:tc>
          <w:tcPr>
            <w:tcW w:w="383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165" w:type="dxa"/>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22"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Total</w:t>
            </w:r>
          </w:p>
        </w:tc>
      </w:tr>
      <w:tr>
        <w:trPr/>
        <w:tc>
          <w:tcPr>
            <w:tcW w:w="383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1190"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65"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(2)</w:t>
            </w:r>
          </w:p>
        </w:tc>
        <w:tc>
          <w:tcPr>
            <w:tcW w:w="322"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(3)</w:t>
            </w:r>
          </w:p>
        </w:tc>
        <w:tc>
          <w:tcPr>
            <w:tcW w:w="322"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45"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Daniel S. Jaffee</w:t>
            </w:r>
          </w:p>
        </w:tc>
        <w:tc>
          <w:tcPr>
            <w:tcW w:w="1190"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165"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235" w:type="dxa"/>
            <w:gridSpan w:val="2"/>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235" w:type="dxa"/>
            <w:gridSpan w:val="2"/>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1045" w:type="dxa"/>
            <w:gridSpan w:val="2"/>
            <w:tcBorders/>
            <w:shd w:fill="C0C0C0"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Voluntary Separation</w:t>
            </w:r>
          </w:p>
        </w:tc>
        <w:tc>
          <w:tcPr>
            <w:tcW w:w="119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16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Involuntary Not for Cause Termination</w:t>
            </w:r>
          </w:p>
        </w:tc>
        <w:tc>
          <w:tcPr>
            <w:tcW w:w="119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16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235" w:type="dxa"/>
            <w:gridSpan w:val="2"/>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235" w:type="dxa"/>
            <w:gridSpan w:val="2"/>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045" w:type="dxa"/>
            <w:gridSpan w:val="2"/>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Involuntary for Cause Termination</w:t>
            </w:r>
          </w:p>
        </w:tc>
        <w:tc>
          <w:tcPr>
            <w:tcW w:w="119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jc w:val="right"/>
              <w:rPr/>
            </w:pPr>
            <w:r>
              <w:rPr/>
              <w:t> </w:t>
            </w:r>
          </w:p>
        </w:tc>
        <w:tc>
          <w:tcPr>
            <w:tcW w:w="116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045" w:type="dxa"/>
            <w:gridSpan w:val="2"/>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Change in Control</w:t>
            </w:r>
          </w:p>
        </w:tc>
        <w:tc>
          <w:tcPr>
            <w:tcW w:w="119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16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jc w:val="right"/>
              <w:rPr/>
            </w:pPr>
            <w:r>
              <w:rPr/>
              <w:t> </w:t>
            </w:r>
          </w:p>
        </w:tc>
        <w:tc>
          <w:tcPr>
            <w:tcW w:w="20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029" w:type="dxa"/>
            <w:tcBorders/>
            <w:shd w:fill="C0C0C0" w:val="clear"/>
            <w:vAlign w:val="bottom"/>
          </w:tcPr>
          <w:p>
            <w:pPr>
              <w:pStyle w:val="TableContents"/>
              <w:spacing w:before="0" w:after="283"/>
              <w:jc w:val="right"/>
              <w:rPr>
                <w:sz w:val="20"/>
              </w:rPr>
            </w:pPr>
            <w:r>
              <w:rPr>
                <w:sz w:val="20"/>
              </w:rPr>
              <w:t>277,129</w:t>
            </w:r>
          </w:p>
        </w:tc>
        <w:tc>
          <w:tcPr>
            <w:tcW w:w="322" w:type="dxa"/>
            <w:tcBorders/>
            <w:shd w:fill="C0C0C0" w:val="clear"/>
            <w:vAlign w:val="bottom"/>
          </w:tcPr>
          <w:p>
            <w:pPr>
              <w:pStyle w:val="TableContents"/>
              <w:spacing w:before="0" w:after="283"/>
              <w:rPr>
                <w:sz w:val="4"/>
                <w:szCs w:val="4"/>
              </w:rPr>
            </w:pPr>
            <w:r>
              <w:rPr>
                <w:sz w:val="4"/>
                <w:szCs w:val="4"/>
              </w:rPr>
            </w:r>
          </w:p>
        </w:tc>
        <w:tc>
          <w:tcPr>
            <w:tcW w:w="164"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1071" w:type="dxa"/>
            <w:tcBorders/>
            <w:shd w:fill="C0C0C0" w:val="clear"/>
            <w:vAlign w:val="bottom"/>
          </w:tcPr>
          <w:p>
            <w:pPr>
              <w:pStyle w:val="TableContents"/>
              <w:spacing w:before="0" w:after="283"/>
              <w:jc w:val="right"/>
              <w:rPr/>
            </w:pPr>
            <w:r>
              <w:rPr/>
              <w:t> </w:t>
            </w:r>
            <w:r>
              <w:rPr>
                <w:sz w:val="20"/>
              </w:rPr>
              <w:t>1,167,600</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05" w:type="dxa"/>
            <w:tcBorders/>
            <w:shd w:fill="C0C0C0" w:val="clear"/>
            <w:vAlign w:val="bottom"/>
          </w:tcPr>
          <w:p>
            <w:pPr>
              <w:pStyle w:val="TableContents"/>
              <w:spacing w:before="0" w:after="283"/>
              <w:jc w:val="right"/>
              <w:rPr/>
            </w:pPr>
            <w:r>
              <w:rPr/>
              <w:t> </w:t>
            </w:r>
            <w:r>
              <w:rPr>
                <w:sz w:val="20"/>
              </w:rPr>
              <w:t>1,444,729</w:t>
            </w:r>
          </w:p>
        </w:tc>
      </w:tr>
      <w:tr>
        <w:trPr/>
        <w:tc>
          <w:tcPr>
            <w:tcW w:w="3830" w:type="dxa"/>
            <w:tcBorders/>
            <w:shd w:fill="auto" w:val="clear"/>
            <w:vAlign w:val="center"/>
          </w:tcPr>
          <w:p>
            <w:pPr>
              <w:pStyle w:val="TableContents"/>
              <w:spacing w:before="0" w:after="283"/>
              <w:jc w:val="left"/>
              <w:rPr>
                <w:sz w:val="20"/>
              </w:rPr>
            </w:pPr>
            <w:r>
              <w:rPr>
                <w:sz w:val="20"/>
              </w:rPr>
              <w:t>Death</w:t>
            </w:r>
          </w:p>
        </w:tc>
        <w:tc>
          <w:tcPr>
            <w:tcW w:w="1190" w:type="dxa"/>
            <w:tcBorders/>
            <w:shd w:fill="auto" w:val="clear"/>
            <w:vAlign w:val="center"/>
          </w:tcPr>
          <w:p>
            <w:pPr>
              <w:pStyle w:val="TableContents"/>
              <w:spacing w:before="0" w:after="283"/>
              <w:jc w:val="right"/>
              <w:rPr>
                <w:sz w:val="20"/>
              </w:rPr>
            </w:pPr>
            <w:r>
              <w:rPr>
                <w:sz w:val="20"/>
              </w:rPr>
              <w:t>--</w:t>
            </w:r>
          </w:p>
        </w:tc>
        <w:tc>
          <w:tcPr>
            <w:tcW w:w="30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jc w:val="right"/>
              <w:rPr>
                <w:sz w:val="20"/>
              </w:rPr>
            </w:pPr>
            <w:r>
              <w:rPr>
                <w:sz w:val="20"/>
              </w:rPr>
              <w:t>--</w:t>
            </w:r>
          </w:p>
        </w:tc>
        <w:tc>
          <w:tcPr>
            <w:tcW w:w="32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jc w:val="right"/>
              <w:rPr>
                <w:sz w:val="20"/>
              </w:rPr>
            </w:pPr>
            <w:r>
              <w:rPr>
                <w:sz w:val="20"/>
              </w:rPr>
              <w:t>$</w:t>
            </w:r>
          </w:p>
        </w:tc>
        <w:tc>
          <w:tcPr>
            <w:tcW w:w="1029" w:type="dxa"/>
            <w:tcBorders/>
            <w:shd w:fill="auto" w:val="clear"/>
            <w:vAlign w:val="center"/>
          </w:tcPr>
          <w:p>
            <w:pPr>
              <w:pStyle w:val="TableContents"/>
              <w:spacing w:before="0" w:after="283"/>
              <w:jc w:val="right"/>
              <w:rPr>
                <w:sz w:val="20"/>
              </w:rPr>
            </w:pPr>
            <w:r>
              <w:rPr>
                <w:sz w:val="20"/>
              </w:rPr>
              <w:t>277,129</w:t>
            </w:r>
          </w:p>
        </w:tc>
        <w:tc>
          <w:tcPr>
            <w:tcW w:w="32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jc w:val="right"/>
              <w:rPr>
                <w:sz w:val="20"/>
              </w:rPr>
            </w:pPr>
            <w:r>
              <w:rPr>
                <w:sz w:val="20"/>
              </w:rPr>
              <w:t>$</w:t>
            </w:r>
          </w:p>
        </w:tc>
        <w:tc>
          <w:tcPr>
            <w:tcW w:w="1071" w:type="dxa"/>
            <w:tcBorders/>
            <w:shd w:fill="auto" w:val="clear"/>
            <w:vAlign w:val="center"/>
          </w:tcPr>
          <w:p>
            <w:pPr>
              <w:pStyle w:val="TableContents"/>
              <w:spacing w:before="0" w:after="283"/>
              <w:jc w:val="right"/>
              <w:rPr/>
            </w:pPr>
            <w:r>
              <w:rPr/>
              <w:t> </w:t>
            </w:r>
            <w:r>
              <w:rPr>
                <w:sz w:val="20"/>
              </w:rPr>
              <w:t>1,167,600</w:t>
            </w:r>
          </w:p>
        </w:tc>
        <w:tc>
          <w:tcPr>
            <w:tcW w:w="3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right"/>
              <w:rPr>
                <w:sz w:val="20"/>
              </w:rPr>
            </w:pPr>
            <w:r>
              <w:rPr>
                <w:sz w:val="20"/>
              </w:rPr>
              <w:t>$</w:t>
            </w:r>
          </w:p>
        </w:tc>
        <w:tc>
          <w:tcPr>
            <w:tcW w:w="905" w:type="dxa"/>
            <w:tcBorders/>
            <w:shd w:fill="auto" w:val="clear"/>
            <w:vAlign w:val="center"/>
          </w:tcPr>
          <w:p>
            <w:pPr>
              <w:pStyle w:val="TableContents"/>
              <w:spacing w:before="0" w:after="283"/>
              <w:jc w:val="right"/>
              <w:rPr/>
            </w:pPr>
            <w:r>
              <w:rPr/>
              <w:t> </w:t>
            </w:r>
            <w:r>
              <w:rPr>
                <w:sz w:val="20"/>
              </w:rPr>
              <w:t>1,444,729</w:t>
            </w:r>
          </w:p>
        </w:tc>
      </w:tr>
      <w:tr>
        <w:trPr/>
        <w:tc>
          <w:tcPr>
            <w:tcW w:w="3830" w:type="dxa"/>
            <w:tcBorders/>
            <w:shd w:fill="C0C0C0" w:val="clear"/>
            <w:vAlign w:val="center"/>
          </w:tcPr>
          <w:p>
            <w:pPr>
              <w:pStyle w:val="TableContents"/>
              <w:spacing w:before="0" w:after="283"/>
              <w:jc w:val="left"/>
              <w:rPr>
                <w:sz w:val="20"/>
              </w:rPr>
            </w:pPr>
            <w:r>
              <w:rPr>
                <w:sz w:val="20"/>
              </w:rPr>
              <w:t>Disability</w:t>
            </w:r>
          </w:p>
        </w:tc>
        <w:tc>
          <w:tcPr>
            <w:tcW w:w="1190" w:type="dxa"/>
            <w:tcBorders/>
            <w:shd w:fill="C0C0C0" w:val="clear"/>
            <w:vAlign w:val="center"/>
          </w:tcPr>
          <w:p>
            <w:pPr>
              <w:pStyle w:val="TableContents"/>
              <w:spacing w:before="0" w:after="283"/>
              <w:jc w:val="right"/>
              <w:rPr>
                <w:sz w:val="20"/>
              </w:rPr>
            </w:pPr>
            <w:r>
              <w:rPr>
                <w:sz w:val="20"/>
              </w:rPr>
              <w:t>--</w:t>
            </w:r>
          </w:p>
        </w:tc>
        <w:tc>
          <w:tcPr>
            <w:tcW w:w="300" w:type="dxa"/>
            <w:tcBorders/>
            <w:shd w:fill="C0C0C0" w:val="clear"/>
            <w:vAlign w:val="center"/>
          </w:tcPr>
          <w:p>
            <w:pPr>
              <w:pStyle w:val="TableContents"/>
              <w:spacing w:before="0" w:after="283"/>
              <w:rPr>
                <w:sz w:val="4"/>
                <w:szCs w:val="4"/>
              </w:rPr>
            </w:pPr>
            <w:r>
              <w:rPr>
                <w:sz w:val="4"/>
                <w:szCs w:val="4"/>
              </w:rPr>
            </w:r>
          </w:p>
        </w:tc>
        <w:tc>
          <w:tcPr>
            <w:tcW w:w="1165" w:type="dxa"/>
            <w:tcBorders/>
            <w:shd w:fill="C0C0C0" w:val="clear"/>
            <w:vAlign w:val="center"/>
          </w:tcPr>
          <w:p>
            <w:pPr>
              <w:pStyle w:val="TableContents"/>
              <w:spacing w:before="0" w:after="283"/>
              <w:jc w:val="right"/>
              <w:rPr>
                <w:sz w:val="20"/>
              </w:rPr>
            </w:pPr>
            <w:r>
              <w:rPr>
                <w:sz w:val="20"/>
              </w:rPr>
              <w:t>--</w:t>
            </w:r>
          </w:p>
        </w:tc>
        <w:tc>
          <w:tcPr>
            <w:tcW w:w="322" w:type="dxa"/>
            <w:tcBorders/>
            <w:shd w:fill="C0C0C0" w:val="clear"/>
            <w:vAlign w:val="center"/>
          </w:tcPr>
          <w:p>
            <w:pPr>
              <w:pStyle w:val="TableContents"/>
              <w:spacing w:before="0" w:after="283"/>
              <w:rPr>
                <w:sz w:val="4"/>
                <w:szCs w:val="4"/>
              </w:rPr>
            </w:pPr>
            <w:r>
              <w:rPr>
                <w:sz w:val="4"/>
                <w:szCs w:val="4"/>
              </w:rPr>
            </w:r>
          </w:p>
        </w:tc>
        <w:tc>
          <w:tcPr>
            <w:tcW w:w="206" w:type="dxa"/>
            <w:tcBorders/>
            <w:shd w:fill="C0C0C0" w:val="clear"/>
            <w:vAlign w:val="center"/>
          </w:tcPr>
          <w:p>
            <w:pPr>
              <w:pStyle w:val="TableContents"/>
              <w:spacing w:before="0" w:after="283"/>
              <w:jc w:val="right"/>
              <w:rPr>
                <w:sz w:val="20"/>
              </w:rPr>
            </w:pPr>
            <w:r>
              <w:rPr>
                <w:sz w:val="20"/>
              </w:rPr>
              <w:t>$</w:t>
            </w:r>
          </w:p>
        </w:tc>
        <w:tc>
          <w:tcPr>
            <w:tcW w:w="1029" w:type="dxa"/>
            <w:tcBorders/>
            <w:shd w:fill="C0C0C0" w:val="clear"/>
            <w:vAlign w:val="center"/>
          </w:tcPr>
          <w:p>
            <w:pPr>
              <w:pStyle w:val="TableContents"/>
              <w:spacing w:before="0" w:after="283"/>
              <w:jc w:val="right"/>
              <w:rPr>
                <w:sz w:val="20"/>
              </w:rPr>
            </w:pPr>
            <w:r>
              <w:rPr>
                <w:sz w:val="20"/>
              </w:rPr>
              <w:t>277,129</w:t>
            </w:r>
          </w:p>
        </w:tc>
        <w:tc>
          <w:tcPr>
            <w:tcW w:w="322" w:type="dxa"/>
            <w:tcBorders/>
            <w:shd w:fill="C0C0C0" w:val="clear"/>
            <w:vAlign w:val="center"/>
          </w:tcPr>
          <w:p>
            <w:pPr>
              <w:pStyle w:val="TableContents"/>
              <w:spacing w:before="0" w:after="283"/>
              <w:rPr>
                <w:sz w:val="4"/>
                <w:szCs w:val="4"/>
              </w:rPr>
            </w:pPr>
            <w:r>
              <w:rPr>
                <w:sz w:val="4"/>
                <w:szCs w:val="4"/>
              </w:rPr>
            </w:r>
          </w:p>
        </w:tc>
        <w:tc>
          <w:tcPr>
            <w:tcW w:w="164" w:type="dxa"/>
            <w:tcBorders/>
            <w:shd w:fill="C0C0C0" w:val="clear"/>
            <w:vAlign w:val="center"/>
          </w:tcPr>
          <w:p>
            <w:pPr>
              <w:pStyle w:val="TableContents"/>
              <w:spacing w:before="0" w:after="283"/>
              <w:jc w:val="right"/>
              <w:rPr>
                <w:sz w:val="20"/>
              </w:rPr>
            </w:pPr>
            <w:r>
              <w:rPr>
                <w:sz w:val="20"/>
              </w:rPr>
              <w:t>$</w:t>
            </w:r>
          </w:p>
        </w:tc>
        <w:tc>
          <w:tcPr>
            <w:tcW w:w="1071" w:type="dxa"/>
            <w:tcBorders/>
            <w:shd w:fill="C0C0C0" w:val="clear"/>
            <w:vAlign w:val="center"/>
          </w:tcPr>
          <w:p>
            <w:pPr>
              <w:pStyle w:val="TableContents"/>
              <w:spacing w:before="0" w:after="283"/>
              <w:jc w:val="right"/>
              <w:rPr/>
            </w:pPr>
            <w:r>
              <w:rPr/>
              <w:t> </w:t>
            </w:r>
            <w:r>
              <w:rPr>
                <w:sz w:val="20"/>
              </w:rPr>
              <w:t>1,167,600</w:t>
            </w:r>
          </w:p>
        </w:tc>
        <w:tc>
          <w:tcPr>
            <w:tcW w:w="300" w:type="dxa"/>
            <w:tcBorders/>
            <w:shd w:fill="C0C0C0" w:val="clear"/>
            <w:vAlign w:val="center"/>
          </w:tcPr>
          <w:p>
            <w:pPr>
              <w:pStyle w:val="TableContents"/>
              <w:spacing w:before="0" w:after="283"/>
              <w:rPr>
                <w:sz w:val="4"/>
                <w:szCs w:val="4"/>
              </w:rPr>
            </w:pPr>
            <w:r>
              <w:rPr>
                <w:sz w:val="4"/>
                <w:szCs w:val="4"/>
              </w:rPr>
            </w:r>
          </w:p>
        </w:tc>
        <w:tc>
          <w:tcPr>
            <w:tcW w:w="140" w:type="dxa"/>
            <w:tcBorders/>
            <w:shd w:fill="C0C0C0" w:val="clear"/>
            <w:vAlign w:val="center"/>
          </w:tcPr>
          <w:p>
            <w:pPr>
              <w:pStyle w:val="TableContents"/>
              <w:spacing w:before="0" w:after="283"/>
              <w:jc w:val="right"/>
              <w:rPr>
                <w:sz w:val="20"/>
              </w:rPr>
            </w:pPr>
            <w:r>
              <w:rPr>
                <w:sz w:val="20"/>
              </w:rPr>
              <w:t>$</w:t>
            </w:r>
          </w:p>
        </w:tc>
        <w:tc>
          <w:tcPr>
            <w:tcW w:w="905" w:type="dxa"/>
            <w:tcBorders/>
            <w:shd w:fill="C0C0C0" w:val="clear"/>
            <w:vAlign w:val="center"/>
          </w:tcPr>
          <w:p>
            <w:pPr>
              <w:pStyle w:val="TableContents"/>
              <w:spacing w:before="0" w:after="283"/>
              <w:jc w:val="right"/>
              <w:rPr/>
            </w:pPr>
            <w:r>
              <w:rPr/>
              <w:t> </w:t>
            </w:r>
            <w:r>
              <w:rPr>
                <w:sz w:val="20"/>
              </w:rPr>
              <w:t>1,444,729</w:t>
            </w:r>
          </w:p>
        </w:tc>
      </w:tr>
    </w:tbl>
    <w:p>
      <w:pPr>
        <w:pStyle w:val="TextBody"/>
        <w:rPr/>
      </w:pPr>
      <w:r>
        <w:rPr/>
      </w:r>
    </w:p>
    <w:p>
      <w:pPr>
        <w:pStyle w:val="TextBody"/>
        <w:jc w:val="center"/>
        <w:rPr>
          <w:rFonts w:ascii="serif" w:hAnsi="serif"/>
          <w:sz w:val="20"/>
        </w:rPr>
      </w:pPr>
      <w:r>
        <w:rPr>
          <w:rFonts w:ascii="serif" w:hAnsi="serif"/>
          <w:sz w:val="20"/>
        </w:rPr>
        <w:t>36</w:t>
      </w:r>
    </w:p>
    <w:p>
      <w:pPr>
        <w:pStyle w:val="HorizontalLine"/>
        <w:pBdr>
          <w:bottom w:val="single" w:sz="12" w:space="0" w:color="808080"/>
        </w:pBdr>
        <w:rPr/>
      </w:pPr>
      <w:r>
        <w:rPr/>
      </w:r>
    </w:p>
    <w:p>
      <w:pPr>
        <w:pStyle w:val="TextBody"/>
        <w:spacing w:before="0" w:after="0"/>
        <w:rPr/>
      </w:pPr>
      <w:r>
        <w:rPr/>
      </w:r>
    </w:p>
    <w:tbl>
      <w:tblPr>
        <w:tblW w:w="11033" w:type="dxa"/>
        <w:jc w:val="left"/>
        <w:tblInd w:w="0" w:type="dxa"/>
        <w:tblCellMar>
          <w:top w:w="0" w:type="dxa"/>
          <w:left w:w="0" w:type="dxa"/>
          <w:bottom w:w="0" w:type="dxa"/>
          <w:right w:w="0" w:type="dxa"/>
        </w:tblCellMar>
      </w:tblPr>
      <w:tblGrid>
        <w:gridCol w:w="3830"/>
        <w:gridCol w:w="194"/>
        <w:gridCol w:w="1056"/>
        <w:gridCol w:w="300"/>
        <w:gridCol w:w="168"/>
        <w:gridCol w:w="917"/>
        <w:gridCol w:w="322"/>
        <w:gridCol w:w="166"/>
        <w:gridCol w:w="1069"/>
        <w:gridCol w:w="322"/>
        <w:gridCol w:w="1329"/>
        <w:gridCol w:w="300"/>
        <w:gridCol w:w="140"/>
        <w:gridCol w:w="920"/>
      </w:tblGrid>
      <w:tr>
        <w:trPr/>
        <w:tc>
          <w:tcPr>
            <w:tcW w:w="383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4293" w:type="dxa"/>
            <w:gridSpan w:val="7"/>
            <w:tcBorders/>
            <w:shd w:fill="auto" w:val="clear"/>
            <w:vAlign w:val="bottom"/>
          </w:tcPr>
          <w:p>
            <w:pPr>
              <w:pStyle w:val="TableContents"/>
              <w:spacing w:before="0" w:after="283"/>
              <w:jc w:val="center"/>
              <w:rPr>
                <w:rFonts w:ascii="serif" w:hAnsi="serif"/>
                <w:sz w:val="20"/>
              </w:rPr>
            </w:pPr>
            <w:r>
              <w:rPr>
                <w:rFonts w:ascii="serif" w:hAnsi="serif"/>
                <w:b/>
                <w:sz w:val="20"/>
              </w:rPr>
              <w:t>Vesting of Awards under Incentive</w:t>
            </w:r>
            <w:r>
              <w:rPr>
                <w:rFonts w:ascii="serif" w:hAnsi="serif"/>
                <w:sz w:val="20"/>
              </w:rPr>
              <w:t> </w:t>
            </w:r>
          </w:p>
        </w:tc>
        <w:tc>
          <w:tcPr>
            <w:tcW w:w="300" w:type="dxa"/>
            <w:tcBorders/>
            <w:shd w:fill="auto" w:val="clear"/>
            <w:vAlign w:val="bottom"/>
          </w:tcPr>
          <w:p>
            <w:pPr>
              <w:pStyle w:val="TableContents"/>
              <w:spacing w:before="0" w:after="283"/>
              <w:jc w:val="left"/>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4293" w:type="dxa"/>
            <w:gridSpan w:val="7"/>
            <w:tcBorders>
              <w:bottom w:val="single" w:sz="8" w:space="0" w:color="000000"/>
            </w:tcBorders>
            <w:shd w:fill="auto" w:val="clear"/>
            <w:tcMar>
              <w:bottom w:w="28" w:type="dxa"/>
            </w:tcMar>
            <w:vAlign w:val="bottom"/>
          </w:tcPr>
          <w:p>
            <w:pPr>
              <w:pStyle w:val="TableContents"/>
              <w:spacing w:before="0" w:after="283"/>
              <w:jc w:val="center"/>
              <w:rPr>
                <w:rFonts w:ascii="serif" w:hAnsi="serif"/>
                <w:sz w:val="20"/>
              </w:rPr>
            </w:pPr>
            <w:r>
              <w:rPr>
                <w:rFonts w:ascii="serif" w:hAnsi="serif"/>
                <w:b/>
                <w:sz w:val="20"/>
              </w:rPr>
              <w:t>Plans</w:t>
            </w:r>
            <w:r>
              <w:rPr>
                <w:rFonts w:ascii="serif" w:hAnsi="serif"/>
                <w:sz w:val="20"/>
              </w:rPr>
              <w:t> </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8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Annual</w:t>
            </w:r>
          </w:p>
        </w:tc>
        <w:tc>
          <w:tcPr>
            <w:tcW w:w="322"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pPr>
            <w:r>
              <w:rPr/>
              <w:t> </w:t>
            </w:r>
          </w:p>
        </w:tc>
        <w:tc>
          <w:tcPr>
            <w:tcW w:w="322" w:type="dxa"/>
            <w:tcBorders/>
            <w:shd w:fill="auto" w:val="clear"/>
            <w:vAlign w:val="bottom"/>
          </w:tcPr>
          <w:p>
            <w:pPr>
              <w:pStyle w:val="TableContents"/>
              <w:spacing w:before="0" w:after="283"/>
              <w:jc w:val="center"/>
              <w:rPr/>
            </w:pPr>
            <w:r>
              <w:rPr/>
              <w:t>     </w:t>
            </w:r>
          </w:p>
        </w:tc>
        <w:tc>
          <w:tcPr>
            <w:tcW w:w="1329"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85" w:type="dxa"/>
            <w:gridSpan w:val="2"/>
            <w:tcBorders/>
            <w:shd w:fill="auto" w:val="clear"/>
            <w:vAlign w:val="bottom"/>
          </w:tcPr>
          <w:p>
            <w:pPr>
              <w:pStyle w:val="TableContents"/>
              <w:spacing w:before="0" w:after="283"/>
              <w:jc w:val="center"/>
              <w:rPr/>
            </w:pPr>
            <w:r>
              <w:rPr>
                <w:rFonts w:ascii="serif" w:hAnsi="serif"/>
                <w:b/>
                <w:sz w:val="20"/>
              </w:rPr>
              <w:t>Incentive</w:t>
            </w:r>
            <w:r>
              <w:rPr/>
              <w:t> </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pPr>
            <w:r>
              <w:rPr>
                <w:rFonts w:ascii="serif" w:hAnsi="serif"/>
                <w:b/>
                <w:sz w:val="20"/>
              </w:rPr>
              <w:t>1995 Long</w:t>
            </w:r>
            <w:r>
              <w:rPr/>
              <w:t> </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center"/>
              <w:rPr/>
            </w:pPr>
            <w:r>
              <w:rPr>
                <w:rFonts w:ascii="serif" w:hAnsi="serif"/>
                <w:b/>
                <w:sz w:val="20"/>
              </w:rPr>
              <w:t>2006 Long</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8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Plan</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Term</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center"/>
              <w:rPr/>
            </w:pPr>
            <w:r>
              <w:rPr>
                <w:rFonts w:ascii="serif" w:hAnsi="serif"/>
                <w:b/>
                <w:sz w:val="20"/>
              </w:rPr>
              <w:t>Term</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rPr>
                <w:sz w:val="4"/>
                <w:szCs w:val="4"/>
              </w:rPr>
            </w:pPr>
            <w:r>
              <w:rPr>
                <w:sz w:val="4"/>
                <w:szCs w:val="4"/>
              </w:rPr>
            </w:r>
          </w:p>
        </w:tc>
        <w:tc>
          <w:tcPr>
            <w:tcW w:w="1250" w:type="dxa"/>
            <w:gridSpan w:val="2"/>
            <w:tcBorders/>
            <w:shd w:fill="auto" w:val="clear"/>
            <w:vAlign w:val="bottom"/>
          </w:tcPr>
          <w:p>
            <w:pPr>
              <w:pStyle w:val="TableContents"/>
              <w:spacing w:before="0" w:after="283"/>
              <w:jc w:val="center"/>
              <w:rPr/>
            </w:pPr>
            <w:r>
              <w:rPr>
                <w:rFonts w:ascii="serif" w:hAnsi="serif"/>
                <w:b/>
                <w:sz w:val="20"/>
              </w:rPr>
              <w:t>Separation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85" w:type="dxa"/>
            <w:gridSpan w:val="2"/>
            <w:tcBorders/>
            <w:shd w:fill="auto" w:val="clear"/>
            <w:vAlign w:val="bottom"/>
          </w:tcPr>
          <w:p>
            <w:pPr>
              <w:pStyle w:val="TableContents"/>
              <w:spacing w:before="0" w:after="283"/>
              <w:jc w:val="center"/>
              <w:rPr/>
            </w:pPr>
            <w:r>
              <w:rPr>
                <w:rFonts w:ascii="serif" w:hAnsi="serif"/>
                <w:b/>
                <w:sz w:val="20"/>
              </w:rPr>
              <w:t>Deferred</w:t>
            </w:r>
            <w:r>
              <w:rPr/>
              <w:t> </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Incentive</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center"/>
              <w:rPr>
                <w:rFonts w:ascii="serif" w:hAnsi="serif"/>
                <w:b/>
                <w:sz w:val="20"/>
              </w:rPr>
            </w:pPr>
            <w:r>
              <w:rPr>
                <w:rFonts w:ascii="serif" w:hAnsi="serif"/>
                <w:b/>
                <w:sz w:val="20"/>
              </w:rPr>
              <w:t>Incentive</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rPr>
                <w:sz w:val="4"/>
                <w:szCs w:val="4"/>
              </w:rPr>
            </w:pPr>
            <w:r>
              <w:rPr>
                <w:sz w:val="4"/>
                <w:szCs w:val="4"/>
              </w:rPr>
            </w:r>
          </w:p>
        </w:tc>
        <w:tc>
          <w:tcPr>
            <w:tcW w:w="1250" w:type="dxa"/>
            <w:gridSpan w:val="2"/>
            <w:tcBorders/>
            <w:shd w:fill="auto" w:val="clear"/>
            <w:vAlign w:val="bottom"/>
          </w:tcPr>
          <w:p>
            <w:pPr>
              <w:pStyle w:val="TableContents"/>
              <w:spacing w:before="0" w:after="283"/>
              <w:jc w:val="center"/>
              <w:rPr/>
            </w:pPr>
            <w:r>
              <w:rPr>
                <w:rFonts w:ascii="serif" w:hAnsi="serif"/>
                <w:b/>
                <w:sz w:val="20"/>
              </w:rPr>
              <w:t>Benefit</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8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Account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Plan</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center"/>
              <w:rPr/>
            </w:pPr>
            <w:r>
              <w:rPr>
                <w:rFonts w:ascii="serif" w:hAnsi="serif"/>
                <w:b/>
                <w:sz w:val="20"/>
              </w:rPr>
              <w:t>Plan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rPr>
                <w:sz w:val="4"/>
                <w:szCs w:val="4"/>
              </w:rPr>
            </w:pPr>
            <w:r>
              <w:rPr>
                <w:sz w:val="4"/>
                <w:szCs w:val="4"/>
              </w:rPr>
            </w:r>
          </w:p>
        </w:tc>
        <w:tc>
          <w:tcPr>
            <w:tcW w:w="1250" w:type="dxa"/>
            <w:gridSpan w:val="2"/>
            <w:tcBorders/>
            <w:shd w:fill="auto" w:val="clear"/>
            <w:vAlign w:val="bottom"/>
          </w:tcPr>
          <w:p>
            <w:pPr>
              <w:pStyle w:val="TableContents"/>
              <w:spacing w:before="0" w:after="283"/>
              <w:jc w:val="center"/>
              <w:rPr/>
            </w:pPr>
            <w:r>
              <w:rPr>
                <w:rFonts w:ascii="serif" w:hAnsi="serif"/>
                <w:b/>
                <w:sz w:val="20"/>
              </w:rPr>
              <w:t>($)</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8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235"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center"/>
              <w:rPr>
                <w:rFonts w:ascii="serif" w:hAnsi="serif"/>
                <w:b/>
                <w:sz w:val="20"/>
              </w:rPr>
            </w:pPr>
            <w:r>
              <w:rPr>
                <w:rFonts w:ascii="serif" w:hAnsi="serif"/>
                <w:b/>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060" w:type="dxa"/>
            <w:gridSpan w:val="2"/>
            <w:tcBorders/>
            <w:shd w:fill="auto" w:val="clear"/>
            <w:vAlign w:val="bottom"/>
          </w:tcPr>
          <w:p>
            <w:pPr>
              <w:pStyle w:val="TableContents"/>
              <w:spacing w:before="0" w:after="283"/>
              <w:jc w:val="center"/>
              <w:rPr>
                <w:rFonts w:ascii="serif" w:hAnsi="serif"/>
                <w:b/>
                <w:sz w:val="20"/>
              </w:rPr>
            </w:pPr>
            <w:r>
              <w:rPr>
                <w:rFonts w:ascii="serif" w:hAnsi="serif"/>
                <w:b/>
                <w:sz w:val="20"/>
              </w:rPr>
              <w:t>Total</w:t>
            </w:r>
          </w:p>
        </w:tc>
      </w:tr>
      <w:tr>
        <w:trPr/>
        <w:tc>
          <w:tcPr>
            <w:tcW w:w="383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w:t>
            </w:r>
          </w:p>
        </w:tc>
        <w:tc>
          <w:tcPr>
            <w:tcW w:w="1250"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serif" w:hAnsi="serif"/>
                <w:b/>
                <w:sz w:val="20"/>
              </w:rPr>
              <w:t>(1)</w:t>
            </w:r>
            <w:r>
              <w:rPr/>
              <w:t>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(2)</w:t>
            </w:r>
          </w:p>
        </w:tc>
        <w:tc>
          <w:tcPr>
            <w:tcW w:w="322"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(3)</w:t>
            </w:r>
          </w:p>
        </w:tc>
        <w:tc>
          <w:tcPr>
            <w:tcW w:w="322"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29"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Andrew N. Peterson</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rPr>
                <w:sz w:val="4"/>
                <w:szCs w:val="4"/>
              </w:rPr>
            </w:pPr>
            <w:r>
              <w:rPr>
                <w:sz w:val="4"/>
                <w:szCs w:val="4"/>
              </w:rPr>
            </w:r>
          </w:p>
        </w:tc>
        <w:tc>
          <w:tcPr>
            <w:tcW w:w="920" w:type="dxa"/>
            <w:tcBorders/>
            <w:shd w:fill="C0C0C0"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Voluntary Separation</w:t>
            </w:r>
          </w:p>
        </w:tc>
        <w:tc>
          <w:tcPr>
            <w:tcW w:w="194" w:type="dxa"/>
            <w:tcBorders/>
            <w:shd w:fill="auto" w:val="clear"/>
            <w:vAlign w:val="bottom"/>
          </w:tcPr>
          <w:p>
            <w:pPr>
              <w:pStyle w:val="TableContents"/>
              <w:spacing w:before="0" w:after="283"/>
              <w:jc w:val="right"/>
              <w:rPr/>
            </w:pPr>
            <w:r>
              <w:rPr/>
              <w:t> </w:t>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Involuntary Not for Cause Termination</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jc w:val="right"/>
              <w:rPr/>
            </w:pPr>
            <w:r>
              <w:rPr/>
              <w:t> </w:t>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Involuntary for Cause Termination</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Change in Control</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48,402</w:t>
            </w:r>
          </w:p>
        </w:tc>
        <w:tc>
          <w:tcPr>
            <w:tcW w:w="322" w:type="dxa"/>
            <w:tcBorders/>
            <w:shd w:fill="C0C0C0" w:val="clear"/>
            <w:vAlign w:val="bottom"/>
          </w:tcPr>
          <w:p>
            <w:pPr>
              <w:pStyle w:val="TableContents"/>
              <w:spacing w:before="0" w:after="283"/>
              <w:jc w:val="right"/>
              <w:rPr/>
            </w:pPr>
            <w:r>
              <w:rPr/>
              <w:t> </w:t>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109,689</w:t>
            </w:r>
          </w:p>
        </w:tc>
        <w:tc>
          <w:tcPr>
            <w:tcW w:w="322" w:type="dxa"/>
            <w:tcBorders/>
            <w:shd w:fill="C0C0C0" w:val="clear"/>
            <w:vAlign w:val="bottom"/>
          </w:tcPr>
          <w:p>
            <w:pPr>
              <w:pStyle w:val="TableContents"/>
              <w:spacing w:before="0" w:after="283"/>
              <w:jc w:val="right"/>
              <w:rPr/>
            </w:pPr>
            <w:r>
              <w:rPr/>
              <w:t> </w:t>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pPr>
            <w:r>
              <w:rPr/>
              <w:t xml:space="preserve">  </w:t>
            </w:r>
            <w:r>
              <w:rPr>
                <w:rFonts w:ascii="serif" w:hAnsi="serif"/>
                <w:sz w:val="20"/>
              </w:rPr>
              <w:t>158,491</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Death</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jc w:val="right"/>
              <w:rPr>
                <w:sz w:val="20"/>
              </w:rPr>
            </w:pPr>
            <w:r>
              <w:rPr>
                <w:sz w:val="20"/>
              </w:rPr>
              <w:t>$</w:t>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48,402</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jc w:val="right"/>
              <w:rPr>
                <w:sz w:val="20"/>
              </w:rPr>
            </w:pPr>
            <w:r>
              <w:rPr>
                <w:sz w:val="20"/>
              </w:rPr>
              <w:t>$</w:t>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109,689</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158,491</w:t>
            </w:r>
          </w:p>
        </w:tc>
      </w:tr>
      <w:tr>
        <w:trPr/>
        <w:tc>
          <w:tcPr>
            <w:tcW w:w="3830" w:type="dxa"/>
            <w:tcBorders/>
            <w:shd w:fill="C0C0C0" w:val="clear"/>
            <w:vAlign w:val="bottom"/>
          </w:tcPr>
          <w:p>
            <w:pPr>
              <w:pStyle w:val="TableContents"/>
              <w:spacing w:before="0" w:after="283"/>
              <w:jc w:val="left"/>
              <w:rPr/>
            </w:pPr>
            <w:r>
              <w:rPr>
                <w:rFonts w:ascii="serif" w:hAnsi="serif"/>
                <w:sz w:val="20"/>
              </w:rPr>
              <w:t>Disability</w:t>
            </w:r>
            <w:r>
              <w:rPr/>
              <w:t> </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48,402</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109,689</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158,491</w:t>
            </w:r>
          </w:p>
        </w:tc>
      </w:tr>
      <w:tr>
        <w:trPr/>
        <w:tc>
          <w:tcPr>
            <w:tcW w:w="11033" w:type="dxa"/>
            <w:gridSpan w:val="14"/>
            <w:tcBorders/>
            <w:shd w:fill="auto" w:val="clear"/>
            <w:vAlign w:val="center"/>
          </w:tcPr>
          <w:p>
            <w:pPr>
              <w:pStyle w:val="TableContents"/>
              <w:spacing w:before="0" w:after="283"/>
              <w:rPr/>
            </w:pPr>
            <w:r>
              <w:rPr/>
              <w:t> </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Thomas F. Cofsky</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920" w:type="dxa"/>
            <w:tcBorders/>
            <w:shd w:fill="C0C0C0"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Voluntary Separation</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Involuntary Not for Cause Termination</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Involuntary for Cause Termination</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Change in Control</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55,868</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169,650</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225,518</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Death</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jc w:val="right"/>
              <w:rPr>
                <w:sz w:val="20"/>
              </w:rPr>
            </w:pPr>
            <w:r>
              <w:rPr>
                <w:sz w:val="20"/>
              </w:rPr>
              <w:t>$</w:t>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55,868</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jc w:val="right"/>
              <w:rPr>
                <w:sz w:val="20"/>
              </w:rPr>
            </w:pPr>
            <w:r>
              <w:rPr>
                <w:sz w:val="20"/>
              </w:rPr>
              <w:t>$</w:t>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169,650</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225,518</w:t>
            </w:r>
          </w:p>
        </w:tc>
      </w:tr>
      <w:tr>
        <w:trPr/>
        <w:tc>
          <w:tcPr>
            <w:tcW w:w="3830" w:type="dxa"/>
            <w:tcBorders/>
            <w:shd w:fill="C0C0C0" w:val="clear"/>
            <w:vAlign w:val="bottom"/>
          </w:tcPr>
          <w:p>
            <w:pPr>
              <w:pStyle w:val="TableContents"/>
              <w:spacing w:before="0" w:after="283"/>
              <w:jc w:val="left"/>
              <w:rPr/>
            </w:pPr>
            <w:r>
              <w:rPr>
                <w:rFonts w:ascii="serif" w:hAnsi="serif"/>
                <w:sz w:val="20"/>
              </w:rPr>
              <w:t>Disability</w:t>
            </w:r>
            <w:r>
              <w:rPr/>
              <w:t> </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55,868</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169,650</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225,518</w:t>
            </w:r>
          </w:p>
        </w:tc>
      </w:tr>
      <w:tr>
        <w:trPr/>
        <w:tc>
          <w:tcPr>
            <w:tcW w:w="11033" w:type="dxa"/>
            <w:gridSpan w:val="14"/>
            <w:tcBorders/>
            <w:shd w:fill="auto" w:val="clear"/>
            <w:vAlign w:val="center"/>
          </w:tcPr>
          <w:p>
            <w:pPr>
              <w:pStyle w:val="TableContents"/>
              <w:spacing w:before="0" w:after="283"/>
              <w:rPr/>
            </w:pPr>
            <w:r>
              <w:rPr/>
              <w:t> </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Charles P. Brissman</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920" w:type="dxa"/>
            <w:tcBorders/>
            <w:shd w:fill="C0C0C0"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Voluntary Separation</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Involuntary Not for Cause Termination</w:t>
            </w:r>
          </w:p>
        </w:tc>
        <w:tc>
          <w:tcPr>
            <w:tcW w:w="194" w:type="dxa"/>
            <w:tcBorders/>
            <w:shd w:fill="C0C0C0" w:val="clear"/>
            <w:vAlign w:val="bottom"/>
          </w:tcPr>
          <w:p>
            <w:pPr>
              <w:pStyle w:val="TableContents"/>
              <w:spacing w:before="0" w:after="283"/>
              <w:jc w:val="right"/>
              <w:rPr>
                <w:sz w:val="20"/>
              </w:rPr>
            </w:pPr>
            <w:r>
              <w:rPr>
                <w:sz w:val="20"/>
              </w:rPr>
              <w:t>$</w:t>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97,000</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97,000</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Involuntary for Cause Termination</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Change in Control</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41,236</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146,475</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187,711</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Death</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jc w:val="right"/>
              <w:rPr>
                <w:sz w:val="20"/>
              </w:rPr>
            </w:pPr>
            <w:r>
              <w:rPr>
                <w:sz w:val="20"/>
              </w:rPr>
              <w:t>$</w:t>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41,236</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jc w:val="right"/>
              <w:rPr>
                <w:sz w:val="20"/>
              </w:rPr>
            </w:pPr>
            <w:r>
              <w:rPr>
                <w:sz w:val="20"/>
              </w:rPr>
              <w:t>$</w:t>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146,475</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187,711</w:t>
            </w:r>
          </w:p>
        </w:tc>
      </w:tr>
      <w:tr>
        <w:trPr/>
        <w:tc>
          <w:tcPr>
            <w:tcW w:w="3830" w:type="dxa"/>
            <w:tcBorders/>
            <w:shd w:fill="C0C0C0" w:val="clear"/>
            <w:vAlign w:val="bottom"/>
          </w:tcPr>
          <w:p>
            <w:pPr>
              <w:pStyle w:val="TableContents"/>
              <w:spacing w:before="0" w:after="283"/>
              <w:jc w:val="left"/>
              <w:rPr/>
            </w:pPr>
            <w:r>
              <w:rPr>
                <w:rFonts w:ascii="serif" w:hAnsi="serif"/>
                <w:sz w:val="20"/>
              </w:rPr>
              <w:t>Disability</w:t>
            </w:r>
            <w:r>
              <w:rPr/>
              <w:t> </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41,236</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146,475</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187,711</w:t>
            </w:r>
          </w:p>
        </w:tc>
      </w:tr>
      <w:tr>
        <w:trPr/>
        <w:tc>
          <w:tcPr>
            <w:tcW w:w="11033" w:type="dxa"/>
            <w:gridSpan w:val="14"/>
            <w:tcBorders/>
            <w:shd w:fill="auto" w:val="clear"/>
            <w:vAlign w:val="center"/>
          </w:tcPr>
          <w:p>
            <w:pPr>
              <w:pStyle w:val="TableContents"/>
              <w:spacing w:before="0" w:after="283"/>
              <w:rPr/>
            </w:pPr>
            <w:r>
              <w:rPr/>
              <w:t> </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rPr>
                <w:sz w:val="4"/>
                <w:szCs w:val="4"/>
              </w:rPr>
            </w:pPr>
            <w:r>
              <w:rPr>
                <w:sz w:val="4"/>
                <w:szCs w:val="4"/>
              </w:rPr>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920" w:type="dxa"/>
            <w:tcBorders/>
            <w:shd w:fill="C0C0C0" w:val="clear"/>
            <w:vAlign w:val="bottom"/>
          </w:tcPr>
          <w:p>
            <w:pPr>
              <w:pStyle w:val="TableContents"/>
              <w:spacing w:before="0" w:after="283"/>
              <w:rPr>
                <w:sz w:val="4"/>
                <w:szCs w:val="4"/>
              </w:rPr>
            </w:pPr>
            <w:r>
              <w:rPr>
                <w:sz w:val="4"/>
                <w:szCs w:val="4"/>
              </w:rPr>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Voluntary Separation</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Involuntary Not for Cause Termination</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rPr>
                <w:sz w:val="4"/>
                <w:szCs w:val="4"/>
              </w:rPr>
            </w:pPr>
            <w:r>
              <w:rPr>
                <w:sz w:val="4"/>
                <w:szCs w:val="4"/>
              </w:rPr>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rPr>
                <w:sz w:val="4"/>
                <w:szCs w:val="4"/>
              </w:rPr>
            </w:pPr>
            <w:r>
              <w:rPr>
                <w:sz w:val="4"/>
                <w:szCs w:val="4"/>
              </w:rPr>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Involuntary for Cause Termination</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830" w:type="dxa"/>
            <w:tcBorders/>
            <w:shd w:fill="C0C0C0" w:val="clear"/>
            <w:vAlign w:val="bottom"/>
          </w:tcPr>
          <w:p>
            <w:pPr>
              <w:pStyle w:val="TableContents"/>
              <w:spacing w:before="0" w:after="283"/>
              <w:jc w:val="left"/>
              <w:rPr>
                <w:rFonts w:ascii="serif" w:hAnsi="serif"/>
                <w:sz w:val="20"/>
              </w:rPr>
            </w:pPr>
            <w:r>
              <w:rPr>
                <w:rFonts w:ascii="serif" w:hAnsi="serif"/>
                <w:sz w:val="20"/>
              </w:rPr>
              <w:t>Change in Control</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38,918</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70,125</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109,043</w:t>
            </w:r>
          </w:p>
        </w:tc>
      </w:tr>
      <w:tr>
        <w:trPr/>
        <w:tc>
          <w:tcPr>
            <w:tcW w:w="3830" w:type="dxa"/>
            <w:tcBorders/>
            <w:shd w:fill="auto" w:val="clear"/>
            <w:vAlign w:val="bottom"/>
          </w:tcPr>
          <w:p>
            <w:pPr>
              <w:pStyle w:val="TableContents"/>
              <w:spacing w:before="0" w:after="283"/>
              <w:jc w:val="left"/>
              <w:rPr>
                <w:rFonts w:ascii="serif" w:hAnsi="serif"/>
                <w:sz w:val="20"/>
              </w:rPr>
            </w:pPr>
            <w:r>
              <w:rPr>
                <w:rFonts w:ascii="serif" w:hAnsi="serif"/>
                <w:sz w:val="20"/>
              </w:rPr>
              <w:t>Death</w:t>
            </w:r>
          </w:p>
        </w:tc>
        <w:tc>
          <w:tcPr>
            <w:tcW w:w="194"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jc w:val="right"/>
              <w:rPr>
                <w:sz w:val="20"/>
              </w:rPr>
            </w:pPr>
            <w:r>
              <w:rPr>
                <w:sz w:val="20"/>
              </w:rPr>
              <w:t>$</w:t>
            </w:r>
          </w:p>
        </w:tc>
        <w:tc>
          <w:tcPr>
            <w:tcW w:w="917" w:type="dxa"/>
            <w:tcBorders/>
            <w:shd w:fill="auto" w:val="clear"/>
            <w:vAlign w:val="bottom"/>
          </w:tcPr>
          <w:p>
            <w:pPr>
              <w:pStyle w:val="TableContents"/>
              <w:spacing w:before="0" w:after="283"/>
              <w:jc w:val="right"/>
              <w:rPr>
                <w:rFonts w:ascii="serif" w:hAnsi="serif"/>
                <w:sz w:val="20"/>
              </w:rPr>
            </w:pPr>
            <w:r>
              <w:rPr>
                <w:rFonts w:ascii="serif" w:hAnsi="serif"/>
                <w:sz w:val="20"/>
              </w:rPr>
              <w:t>38,918</w:t>
            </w:r>
          </w:p>
        </w:tc>
        <w:tc>
          <w:tcPr>
            <w:tcW w:w="32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jc w:val="right"/>
              <w:rPr>
                <w:sz w:val="20"/>
              </w:rPr>
            </w:pPr>
            <w:r>
              <w:rPr>
                <w:sz w:val="20"/>
              </w:rPr>
              <w:t>$</w:t>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70,125</w:t>
            </w:r>
          </w:p>
        </w:tc>
        <w:tc>
          <w:tcPr>
            <w:tcW w:w="322" w:type="dxa"/>
            <w:tcBorders/>
            <w:shd w:fill="auto" w:val="clear"/>
            <w:vAlign w:val="bottom"/>
          </w:tcPr>
          <w:p>
            <w:pPr>
              <w:pStyle w:val="TableContents"/>
              <w:spacing w:before="0" w:after="283"/>
              <w:rPr>
                <w:sz w:val="4"/>
                <w:szCs w:val="4"/>
              </w:rPr>
            </w:pPr>
            <w:r>
              <w:rPr>
                <w:sz w:val="4"/>
                <w:szCs w:val="4"/>
              </w:rPr>
            </w:r>
          </w:p>
        </w:tc>
        <w:tc>
          <w:tcPr>
            <w:tcW w:w="1329"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auto" w:val="clear"/>
            <w:vAlign w:val="bottom"/>
          </w:tcPr>
          <w:p>
            <w:pPr>
              <w:pStyle w:val="TableContents"/>
              <w:spacing w:before="0" w:after="283"/>
              <w:jc w:val="right"/>
              <w:rPr>
                <w:rFonts w:ascii="serif" w:hAnsi="serif"/>
                <w:sz w:val="20"/>
              </w:rPr>
            </w:pPr>
            <w:r>
              <w:rPr>
                <w:rFonts w:ascii="serif" w:hAnsi="serif"/>
                <w:sz w:val="20"/>
              </w:rPr>
              <w:t>109,043</w:t>
            </w:r>
          </w:p>
        </w:tc>
      </w:tr>
      <w:tr>
        <w:trPr/>
        <w:tc>
          <w:tcPr>
            <w:tcW w:w="3830" w:type="dxa"/>
            <w:tcBorders/>
            <w:shd w:fill="C0C0C0" w:val="clear"/>
            <w:vAlign w:val="bottom"/>
          </w:tcPr>
          <w:p>
            <w:pPr>
              <w:pStyle w:val="TableContents"/>
              <w:spacing w:before="0" w:after="283"/>
              <w:jc w:val="left"/>
              <w:rPr/>
            </w:pPr>
            <w:r>
              <w:rPr>
                <w:rFonts w:ascii="serif" w:hAnsi="serif"/>
                <w:sz w:val="20"/>
              </w:rPr>
              <w:t>Disability</w:t>
            </w:r>
            <w:r>
              <w:rPr/>
              <w:t> </w:t>
            </w:r>
          </w:p>
        </w:tc>
        <w:tc>
          <w:tcPr>
            <w:tcW w:w="194" w:type="dxa"/>
            <w:tcBorders/>
            <w:shd w:fill="C0C0C0" w:val="clear"/>
            <w:vAlign w:val="bottom"/>
          </w:tcPr>
          <w:p>
            <w:pPr>
              <w:pStyle w:val="TableContents"/>
              <w:spacing w:before="0" w:after="283"/>
              <w:rPr>
                <w:sz w:val="4"/>
                <w:szCs w:val="4"/>
              </w:rPr>
            </w:pPr>
            <w:r>
              <w:rPr>
                <w:sz w:val="4"/>
                <w:szCs w:val="4"/>
              </w:rPr>
            </w:r>
          </w:p>
        </w:tc>
        <w:tc>
          <w:tcPr>
            <w:tcW w:w="1056"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68" w:type="dxa"/>
            <w:tcBorders/>
            <w:shd w:fill="C0C0C0" w:val="clear"/>
            <w:vAlign w:val="bottom"/>
          </w:tcPr>
          <w:p>
            <w:pPr>
              <w:pStyle w:val="TableContents"/>
              <w:spacing w:before="0" w:after="283"/>
              <w:jc w:val="right"/>
              <w:rPr>
                <w:sz w:val="20"/>
              </w:rPr>
            </w:pPr>
            <w:r>
              <w:rPr>
                <w:sz w:val="20"/>
              </w:rPr>
              <w:t>$</w:t>
            </w:r>
          </w:p>
        </w:tc>
        <w:tc>
          <w:tcPr>
            <w:tcW w:w="917" w:type="dxa"/>
            <w:tcBorders/>
            <w:shd w:fill="C0C0C0" w:val="clear"/>
            <w:vAlign w:val="bottom"/>
          </w:tcPr>
          <w:p>
            <w:pPr>
              <w:pStyle w:val="TableContents"/>
              <w:spacing w:before="0" w:after="283"/>
              <w:jc w:val="right"/>
              <w:rPr>
                <w:rFonts w:ascii="serif" w:hAnsi="serif"/>
                <w:sz w:val="20"/>
              </w:rPr>
            </w:pPr>
            <w:r>
              <w:rPr>
                <w:rFonts w:ascii="serif" w:hAnsi="serif"/>
                <w:sz w:val="20"/>
              </w:rPr>
              <w:t>38,918</w:t>
            </w:r>
          </w:p>
        </w:tc>
        <w:tc>
          <w:tcPr>
            <w:tcW w:w="322" w:type="dxa"/>
            <w:tcBorders/>
            <w:shd w:fill="C0C0C0" w:val="clear"/>
            <w:vAlign w:val="bottom"/>
          </w:tcPr>
          <w:p>
            <w:pPr>
              <w:pStyle w:val="TableContents"/>
              <w:spacing w:before="0" w:after="283"/>
              <w:rPr>
                <w:sz w:val="4"/>
                <w:szCs w:val="4"/>
              </w:rPr>
            </w:pPr>
            <w:r>
              <w:rPr>
                <w:sz w:val="4"/>
                <w:szCs w:val="4"/>
              </w:rPr>
            </w:r>
          </w:p>
        </w:tc>
        <w:tc>
          <w:tcPr>
            <w:tcW w:w="166" w:type="dxa"/>
            <w:tcBorders/>
            <w:shd w:fill="C0C0C0" w:val="clear"/>
            <w:vAlign w:val="bottom"/>
          </w:tcPr>
          <w:p>
            <w:pPr>
              <w:pStyle w:val="TableContents"/>
              <w:spacing w:before="0" w:after="283"/>
              <w:jc w:val="right"/>
              <w:rPr>
                <w:sz w:val="20"/>
              </w:rPr>
            </w:pPr>
            <w:r>
              <w:rPr>
                <w:sz w:val="20"/>
              </w:rPr>
              <w:t>$</w:t>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70,125</w:t>
            </w:r>
          </w:p>
        </w:tc>
        <w:tc>
          <w:tcPr>
            <w:tcW w:w="322" w:type="dxa"/>
            <w:tcBorders/>
            <w:shd w:fill="C0C0C0" w:val="clear"/>
            <w:vAlign w:val="bottom"/>
          </w:tcPr>
          <w:p>
            <w:pPr>
              <w:pStyle w:val="TableContents"/>
              <w:spacing w:before="0" w:after="283"/>
              <w:rPr>
                <w:sz w:val="4"/>
                <w:szCs w:val="4"/>
              </w:rPr>
            </w:pPr>
            <w:r>
              <w:rPr>
                <w:sz w:val="4"/>
                <w:szCs w:val="4"/>
              </w:rPr>
            </w:r>
          </w:p>
        </w:tc>
        <w:tc>
          <w:tcPr>
            <w:tcW w:w="1329"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40"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920" w:type="dxa"/>
            <w:tcBorders/>
            <w:shd w:fill="C0C0C0" w:val="clear"/>
            <w:vAlign w:val="bottom"/>
          </w:tcPr>
          <w:p>
            <w:pPr>
              <w:pStyle w:val="TableContents"/>
              <w:spacing w:before="0" w:after="283"/>
              <w:jc w:val="right"/>
              <w:rPr>
                <w:rFonts w:ascii="serif" w:hAnsi="serif"/>
                <w:sz w:val="20"/>
              </w:rPr>
            </w:pPr>
            <w:r>
              <w:rPr>
                <w:rFonts w:ascii="serif" w:hAnsi="serif"/>
                <w:sz w:val="20"/>
              </w:rPr>
              <w:t>109,043</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44"/>
        <w:gridCol w:w="305"/>
        <w:gridCol w:w="9656"/>
      </w:tblGrid>
      <w:tr>
        <w:trPr/>
        <w:tc>
          <w:tcPr>
            <w:tcW w:w="244" w:type="dxa"/>
            <w:tcBorders/>
            <w:shd w:fill="auto" w:val="clear"/>
          </w:tcPr>
          <w:p>
            <w:pPr>
              <w:pStyle w:val="TableContents"/>
              <w:spacing w:before="0" w:after="283"/>
              <w:rPr>
                <w:rFonts w:ascii="serif" w:hAnsi="serif"/>
                <w:sz w:val="20"/>
              </w:rPr>
            </w:pPr>
            <w:r>
              <w:rPr>
                <w:rFonts w:ascii="serif" w:hAnsi="serif"/>
                <w:sz w:val="20"/>
              </w:rPr>
              <w:t>(1)</w:t>
            </w:r>
          </w:p>
        </w:tc>
        <w:tc>
          <w:tcPr>
            <w:tcW w:w="305" w:type="dxa"/>
            <w:tcBorders/>
            <w:shd w:fill="auto" w:val="clear"/>
          </w:tcPr>
          <w:p>
            <w:pPr>
              <w:pStyle w:val="TableContents"/>
              <w:spacing w:before="0" w:after="283"/>
              <w:rPr/>
            </w:pPr>
            <w:r>
              <w:rPr/>
              <w:t>     </w:t>
            </w:r>
          </w:p>
        </w:tc>
        <w:tc>
          <w:tcPr>
            <w:tcW w:w="9656" w:type="dxa"/>
            <w:tcBorders/>
            <w:shd w:fill="auto" w:val="clear"/>
          </w:tcPr>
          <w:p>
            <w:pPr>
              <w:pStyle w:val="TableContents"/>
              <w:spacing w:before="0" w:after="283"/>
              <w:rPr>
                <w:rFonts w:ascii="serif" w:hAnsi="serif"/>
                <w:sz w:val="20"/>
              </w:rPr>
            </w:pPr>
            <w:r>
              <w:rPr>
                <w:rFonts w:ascii="serif" w:hAnsi="serif"/>
                <w:sz w:val="20"/>
              </w:rPr>
              <w:t>The amount shown represents six months of base salary and six months of the Company portion of the cost of the named executive officers medical benefits.</w:t>
            </w:r>
          </w:p>
        </w:tc>
      </w:tr>
      <w:tr>
        <w:trPr/>
        <w:tc>
          <w:tcPr>
            <w:tcW w:w="244" w:type="dxa"/>
            <w:tcBorders/>
            <w:shd w:fill="auto" w:val="clear"/>
          </w:tcPr>
          <w:p>
            <w:pPr>
              <w:pStyle w:val="TableContents"/>
              <w:spacing w:before="0" w:after="283"/>
              <w:rPr>
                <w:sz w:val="4"/>
                <w:szCs w:val="4"/>
              </w:rPr>
            </w:pPr>
            <w:r>
              <w:rPr>
                <w:sz w:val="4"/>
                <w:szCs w:val="4"/>
              </w:rPr>
            </w:r>
          </w:p>
        </w:tc>
        <w:tc>
          <w:tcPr>
            <w:tcW w:w="305" w:type="dxa"/>
            <w:tcBorders/>
            <w:shd w:fill="auto" w:val="clear"/>
          </w:tcPr>
          <w:p>
            <w:pPr>
              <w:pStyle w:val="TableContents"/>
              <w:spacing w:before="0" w:after="283"/>
              <w:rPr>
                <w:sz w:val="4"/>
                <w:szCs w:val="4"/>
              </w:rPr>
            </w:pPr>
            <w:r>
              <w:rPr>
                <w:sz w:val="4"/>
                <w:szCs w:val="4"/>
              </w:rPr>
            </w:r>
          </w:p>
        </w:tc>
        <w:tc>
          <w:tcPr>
            <w:tcW w:w="9656" w:type="dxa"/>
            <w:tcBorders/>
            <w:shd w:fill="auto" w:val="clear"/>
          </w:tcPr>
          <w:p>
            <w:pPr>
              <w:pStyle w:val="TableContents"/>
              <w:spacing w:before="0" w:after="283"/>
              <w:rPr/>
            </w:pPr>
            <w:r>
              <w:rPr/>
              <w:t> </w:t>
            </w:r>
          </w:p>
        </w:tc>
      </w:tr>
      <w:tr>
        <w:trPr/>
        <w:tc>
          <w:tcPr>
            <w:tcW w:w="244" w:type="dxa"/>
            <w:tcBorders/>
            <w:shd w:fill="auto" w:val="clear"/>
          </w:tcPr>
          <w:p>
            <w:pPr>
              <w:pStyle w:val="TableContents"/>
              <w:spacing w:before="0" w:after="283"/>
              <w:rPr>
                <w:sz w:val="20"/>
              </w:rPr>
            </w:pPr>
            <w:r>
              <w:rPr>
                <w:sz w:val="20"/>
              </w:rPr>
              <w:t>(2)</w:t>
            </w:r>
          </w:p>
        </w:tc>
        <w:tc>
          <w:tcPr>
            <w:tcW w:w="305" w:type="dxa"/>
            <w:tcBorders/>
            <w:shd w:fill="auto" w:val="clear"/>
          </w:tcPr>
          <w:p>
            <w:pPr>
              <w:pStyle w:val="TableContents"/>
              <w:spacing w:before="0" w:after="283"/>
              <w:rPr>
                <w:sz w:val="4"/>
                <w:szCs w:val="4"/>
              </w:rPr>
            </w:pPr>
            <w:r>
              <w:rPr>
                <w:sz w:val="4"/>
                <w:szCs w:val="4"/>
              </w:rPr>
            </w:r>
          </w:p>
        </w:tc>
        <w:tc>
          <w:tcPr>
            <w:tcW w:w="9656" w:type="dxa"/>
            <w:tcBorders/>
            <w:shd w:fill="auto" w:val="clear"/>
          </w:tcPr>
          <w:p>
            <w:pPr>
              <w:pStyle w:val="TableContents"/>
              <w:spacing w:before="0" w:after="283"/>
              <w:rPr>
                <w:sz w:val="20"/>
              </w:rPr>
            </w:pPr>
            <w:r>
              <w:rPr>
                <w:sz w:val="20"/>
              </w:rPr>
              <w:t>The amount shown is the named executive officers balance in his executive deferred bonus account of our annual incentive plan.</w:t>
            </w:r>
          </w:p>
        </w:tc>
      </w:tr>
      <w:tr>
        <w:trPr/>
        <w:tc>
          <w:tcPr>
            <w:tcW w:w="244" w:type="dxa"/>
            <w:tcBorders/>
            <w:shd w:fill="auto" w:val="clear"/>
          </w:tcPr>
          <w:p>
            <w:pPr>
              <w:pStyle w:val="TableContents"/>
              <w:spacing w:before="0" w:after="283"/>
              <w:rPr>
                <w:sz w:val="4"/>
                <w:szCs w:val="4"/>
              </w:rPr>
            </w:pPr>
            <w:r>
              <w:rPr>
                <w:sz w:val="4"/>
                <w:szCs w:val="4"/>
              </w:rPr>
            </w:r>
          </w:p>
        </w:tc>
        <w:tc>
          <w:tcPr>
            <w:tcW w:w="305" w:type="dxa"/>
            <w:tcBorders/>
            <w:shd w:fill="auto" w:val="clear"/>
          </w:tcPr>
          <w:p>
            <w:pPr>
              <w:pStyle w:val="TableContents"/>
              <w:spacing w:before="0" w:after="283"/>
              <w:rPr>
                <w:sz w:val="4"/>
                <w:szCs w:val="4"/>
              </w:rPr>
            </w:pPr>
            <w:r>
              <w:rPr>
                <w:sz w:val="4"/>
                <w:szCs w:val="4"/>
              </w:rPr>
            </w:r>
          </w:p>
        </w:tc>
        <w:tc>
          <w:tcPr>
            <w:tcW w:w="9656" w:type="dxa"/>
            <w:tcBorders/>
            <w:shd w:fill="auto" w:val="clear"/>
          </w:tcPr>
          <w:p>
            <w:pPr>
              <w:pStyle w:val="TableContents"/>
              <w:spacing w:before="0" w:after="283"/>
              <w:rPr/>
            </w:pPr>
            <w:r>
              <w:rPr/>
              <w:t> </w:t>
            </w:r>
          </w:p>
        </w:tc>
      </w:tr>
      <w:tr>
        <w:trPr/>
        <w:tc>
          <w:tcPr>
            <w:tcW w:w="244" w:type="dxa"/>
            <w:tcBorders/>
            <w:shd w:fill="auto" w:val="clear"/>
          </w:tcPr>
          <w:p>
            <w:pPr>
              <w:pStyle w:val="TableContents"/>
              <w:spacing w:before="0" w:after="283"/>
              <w:rPr>
                <w:sz w:val="20"/>
              </w:rPr>
            </w:pPr>
            <w:r>
              <w:rPr>
                <w:sz w:val="20"/>
              </w:rPr>
              <w:t>(3)</w:t>
            </w:r>
          </w:p>
        </w:tc>
        <w:tc>
          <w:tcPr>
            <w:tcW w:w="305" w:type="dxa"/>
            <w:tcBorders/>
            <w:shd w:fill="auto" w:val="clear"/>
          </w:tcPr>
          <w:p>
            <w:pPr>
              <w:pStyle w:val="TableContents"/>
              <w:spacing w:before="0" w:after="283"/>
              <w:rPr>
                <w:sz w:val="4"/>
                <w:szCs w:val="4"/>
              </w:rPr>
            </w:pPr>
            <w:r>
              <w:rPr>
                <w:sz w:val="4"/>
                <w:szCs w:val="4"/>
              </w:rPr>
            </w:r>
          </w:p>
        </w:tc>
        <w:tc>
          <w:tcPr>
            <w:tcW w:w="9656" w:type="dxa"/>
            <w:tcBorders/>
            <w:shd w:fill="auto" w:val="clear"/>
          </w:tcPr>
          <w:p>
            <w:pPr>
              <w:pStyle w:val="TableContents"/>
              <w:spacing w:before="0" w:after="283"/>
              <w:rPr>
                <w:sz w:val="20"/>
              </w:rPr>
            </w:pPr>
            <w:r>
              <w:rPr>
                <w:sz w:val="20"/>
              </w:rPr>
              <w:t>The amount shown represents, as of the assumed termination date: (a) the fair market value of any unvested shares of restricted stock and/or (b) the excess of the fair market value of the shares of stock underlying unvested stock options over the option exercise price. As explained above, previously unvested shares of restricted stock and stock options become immediately vested upon the events listed.</w:t>
            </w:r>
          </w:p>
        </w:tc>
      </w:tr>
    </w:tbl>
    <w:p>
      <w:pPr>
        <w:pStyle w:val="TextBody"/>
        <w:jc w:val="center"/>
        <w:rPr>
          <w:rFonts w:ascii="serif" w:hAnsi="serif"/>
          <w:sz w:val="20"/>
        </w:rPr>
      </w:pPr>
      <w:r>
        <w:rPr>
          <w:rFonts w:ascii="serif" w:hAnsi="serif"/>
          <w:sz w:val="20"/>
        </w:rPr>
        <w:t>37</w:t>
      </w:r>
    </w:p>
    <w:p>
      <w:pPr>
        <w:pStyle w:val="HorizontalLine"/>
        <w:pBdr>
          <w:bottom w:val="single" w:sz="12" w:space="0" w:color="808080"/>
        </w:pBdr>
        <w:rPr/>
      </w:pPr>
      <w:r>
        <w:rPr/>
      </w:r>
    </w:p>
    <w:p>
      <w:pPr>
        <w:pStyle w:val="TextBody"/>
        <w:jc w:val="center"/>
        <w:rPr>
          <w:rFonts w:ascii="serif" w:hAnsi="serif"/>
          <w:b/>
          <w:sz w:val="28"/>
        </w:rPr>
      </w:pPr>
      <w:r>
        <w:rPr>
          <w:rFonts w:ascii="serif" w:hAnsi="serif"/>
          <w:b/>
          <w:sz w:val="28"/>
        </w:rPr>
        <w:t>STOCK OWNERSHIP</w:t>
      </w:r>
    </w:p>
    <w:p>
      <w:pPr>
        <w:pStyle w:val="TextBody"/>
        <w:jc w:val="center"/>
        <w:rPr>
          <w:rFonts w:ascii="serif" w:hAnsi="serif"/>
          <w:b/>
        </w:rPr>
      </w:pPr>
      <w:r>
        <w:rPr>
          <w:rFonts w:ascii="serif" w:hAnsi="serif"/>
          <w:b/>
        </w:rPr>
        <w:t>Principal Stockholders</w:t>
      </w:r>
    </w:p>
    <w:p>
      <w:pPr>
        <w:pStyle w:val="TextBody"/>
        <w:jc w:val="both"/>
        <w:rPr/>
      </w:pPr>
      <w:r>
        <w:rPr/>
        <w:t>     </w:t>
      </w:r>
      <w:r>
        <w:rPr>
          <w:rFonts w:ascii="serif" w:hAnsi="serif"/>
          <w:sz w:val="20"/>
        </w:rPr>
        <w:t>The following table sets forth information as of September 30, 2007, except as noted below, regarding beneficial ownership of our Common Stock and Class B Stock by each person or group known to us to hold more than five percent of either class. See Security Ownership of Management for information on beneficial ownership of our Common Stock and Class B Stock by our executive officers and directors as a group.</w:t>
      </w:r>
    </w:p>
    <w:tbl>
      <w:tblPr>
        <w:tblW w:w="12655" w:type="dxa"/>
        <w:jc w:val="left"/>
        <w:tblInd w:w="0" w:type="dxa"/>
        <w:tblCellMar>
          <w:top w:w="0" w:type="dxa"/>
          <w:left w:w="0" w:type="dxa"/>
          <w:bottom w:w="0" w:type="dxa"/>
          <w:right w:w="0" w:type="dxa"/>
        </w:tblCellMar>
      </w:tblPr>
      <w:tblGrid>
        <w:gridCol w:w="3320"/>
        <w:gridCol w:w="600"/>
        <w:gridCol w:w="1565"/>
        <w:gridCol w:w="600"/>
        <w:gridCol w:w="1205"/>
        <w:gridCol w:w="73"/>
        <w:gridCol w:w="1022"/>
        <w:gridCol w:w="600"/>
        <w:gridCol w:w="1535"/>
        <w:gridCol w:w="600"/>
        <w:gridCol w:w="1535"/>
      </w:tblGrid>
      <w:tr>
        <w:trPr/>
        <w:tc>
          <w:tcPr>
            <w:tcW w:w="332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jc w:val="left"/>
              <w:rPr/>
            </w:pPr>
            <w:r>
              <w:rPr/>
              <w:t>     </w:t>
            </w:r>
          </w:p>
        </w:tc>
        <w:tc>
          <w:tcPr>
            <w:tcW w:w="156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jc w:val="right"/>
              <w:rPr/>
            </w:pPr>
            <w:r>
              <w:rPr/>
              <w:t>     </w:t>
            </w:r>
          </w:p>
        </w:tc>
        <w:tc>
          <w:tcPr>
            <w:tcW w:w="6570" w:type="dxa"/>
            <w:gridSpan w:val="7"/>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Amount and Nature of Beneficial Ownership(1)</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jc w:val="center"/>
              <w:rPr/>
            </w:pPr>
            <w:r>
              <w:rPr/>
              <w:t>     </w:t>
            </w:r>
          </w:p>
        </w:tc>
        <w:tc>
          <w:tcPr>
            <w:tcW w:w="153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jc w:val="center"/>
              <w:rPr/>
            </w:pPr>
            <w:r>
              <w:rPr/>
              <w:t>     </w:t>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Percentage of</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Aggregate</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Percentage of</w:t>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Voting Power</w:t>
            </w:r>
          </w:p>
        </w:tc>
      </w:tr>
      <w:tr>
        <w:trPr/>
        <w:tc>
          <w:tcPr>
            <w:tcW w:w="332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jc w:val="center"/>
              <w:rPr/>
            </w:pPr>
            <w:r>
              <w:rPr/>
              <w:t> </w:t>
            </w:r>
          </w:p>
        </w:tc>
        <w:tc>
          <w:tcPr>
            <w:tcW w:w="230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Number of Shares of</w:t>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Outstanding</w:t>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of Common</w:t>
            </w:r>
          </w:p>
        </w:tc>
      </w:tr>
      <w:tr>
        <w:trPr/>
        <w:tc>
          <w:tcPr>
            <w:tcW w:w="3320" w:type="dxa"/>
            <w:tcBorders/>
            <w:shd w:fill="auto" w:val="clear"/>
            <w:vAlign w:val="bottom"/>
          </w:tcPr>
          <w:p>
            <w:pPr>
              <w:pStyle w:val="TableContents"/>
              <w:spacing w:before="0" w:after="283"/>
              <w:jc w:val="left"/>
              <w:rPr>
                <w:rFonts w:ascii="serif" w:hAnsi="serif"/>
                <w:b/>
                <w:sz w:val="20"/>
              </w:rPr>
            </w:pPr>
            <w:r>
              <w:rPr>
                <w:rFonts w:ascii="serif" w:hAnsi="serif"/>
                <w:b/>
                <w:sz w:val="20"/>
              </w:rPr>
              <w:t>Name and Address of</w:t>
            </w:r>
          </w:p>
        </w:tc>
        <w:tc>
          <w:tcPr>
            <w:tcW w:w="60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230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Common Stock and</w:t>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Stock of</w:t>
            </w:r>
          </w:p>
        </w:tc>
        <w:tc>
          <w:tcPr>
            <w:tcW w:w="6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Stock and</w:t>
            </w:r>
          </w:p>
        </w:tc>
      </w:tr>
      <w:tr>
        <w:trPr/>
        <w:tc>
          <w:tcPr>
            <w:tcW w:w="332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Beneficial Owner</w:t>
            </w:r>
          </w:p>
        </w:tc>
        <w:tc>
          <w:tcPr>
            <w:tcW w:w="600" w:type="dxa"/>
            <w:tcBorders>
              <w:bottom w:val="single" w:sz="8" w:space="0" w:color="000000"/>
            </w:tcBorders>
            <w:shd w:fill="auto" w:val="clear"/>
            <w:tcMar>
              <w:bottom w:w="28" w:type="dxa"/>
            </w:tcMar>
            <w:vAlign w:val="bottom"/>
          </w:tcPr>
          <w:p>
            <w:pPr>
              <w:pStyle w:val="TableContents"/>
              <w:spacing w:before="0" w:after="283"/>
              <w:jc w:val="left"/>
              <w:rPr/>
            </w:pPr>
            <w:r>
              <w:rPr/>
              <w:t xml:space="preserve">          </w:t>
            </w:r>
          </w:p>
        </w:tc>
        <w:tc>
          <w:tcPr>
            <w:tcW w:w="1565" w:type="dxa"/>
            <w:tcBorders>
              <w:bottom w:val="single" w:sz="8" w:space="0" w:color="000000"/>
            </w:tcBorders>
            <w:shd w:fill="auto" w:val="clear"/>
            <w:tcMar>
              <w:bottom w:w="28" w:type="dxa"/>
            </w:tcMar>
            <w:vAlign w:val="bottom"/>
          </w:tcPr>
          <w:p>
            <w:pPr>
              <w:pStyle w:val="TableContents"/>
              <w:spacing w:before="0" w:after="283"/>
              <w:jc w:val="center"/>
              <w:rPr>
                <w:rFonts w:ascii="serif" w:hAnsi="serif"/>
                <w:sz w:val="20"/>
              </w:rPr>
            </w:pPr>
            <w:r>
              <w:rPr>
                <w:rFonts w:ascii="serif" w:hAnsi="serif"/>
                <w:b/>
                <w:sz w:val="20"/>
              </w:rPr>
              <w:t>Title of Class</w:t>
            </w:r>
            <w:r>
              <w:rPr>
                <w:rFonts w:ascii="serif" w:hAnsi="serif"/>
                <w:sz w:val="20"/>
              </w:rPr>
              <w:t> </w:t>
            </w:r>
          </w:p>
        </w:tc>
        <w:tc>
          <w:tcPr>
            <w:tcW w:w="6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2300"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Class B Stock</w:t>
            </w:r>
          </w:p>
        </w:tc>
        <w:tc>
          <w:tcPr>
            <w:tcW w:w="6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35"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Class</w:t>
            </w:r>
          </w:p>
        </w:tc>
        <w:tc>
          <w:tcPr>
            <w:tcW w:w="6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35"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Class B Stock</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Richard M. Jaffee(6)(9)(15)</w:t>
            </w:r>
          </w:p>
        </w:tc>
        <w:tc>
          <w:tcPr>
            <w:tcW w:w="600" w:type="dxa"/>
            <w:tcBorders/>
            <w:shd w:fill="C0C0C0" w:val="clear"/>
            <w:vAlign w:val="bottom"/>
          </w:tcPr>
          <w:p>
            <w:pPr>
              <w:pStyle w:val="TableContents"/>
              <w:spacing w:before="0" w:after="283"/>
              <w:jc w:val="left"/>
              <w:rPr/>
            </w:pPr>
            <w:r>
              <w:rPr/>
              <w:t> </w:t>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410 N. Michigan Ave.</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408,987</w:t>
            </w:r>
          </w:p>
        </w:tc>
        <w:tc>
          <w:tcPr>
            <w:tcW w:w="73" w:type="dxa"/>
            <w:tcBorders/>
            <w:shd w:fill="C0C0C0" w:val="clear"/>
            <w:vAlign w:val="bottom"/>
          </w:tcPr>
          <w:p>
            <w:pPr>
              <w:pStyle w:val="TableContents"/>
              <w:spacing w:before="0" w:after="283"/>
              <w:jc w:val="left"/>
              <w:rPr/>
            </w:pPr>
            <w:r>
              <w:rPr/>
              <w:t> </w:t>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(2)(3)(5)</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21.42%</w:t>
            </w:r>
          </w:p>
        </w:tc>
        <w:tc>
          <w:tcPr>
            <w:tcW w:w="600" w:type="dxa"/>
            <w:tcBorders/>
            <w:shd w:fill="C0C0C0" w:val="clear"/>
            <w:vAlign w:val="bottom"/>
          </w:tcPr>
          <w:p>
            <w:pPr>
              <w:pStyle w:val="TableContents"/>
              <w:spacing w:before="0" w:after="283"/>
              <w:jc w:val="right"/>
              <w:rPr/>
            </w:pPr>
            <w:r>
              <w:rPr/>
              <w:t> </w:t>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16.97%</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Chicago, IL 60611</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Daniel S. Jaffee(6)</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410 N. Michigan Ave.</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207,248</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(4)(5)</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10.47%</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8.35%</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Chicago, IL 60611</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Karen Jaffee Cofsky(9)</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586</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(7)</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0.01%</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410 N. Michigan Ave.</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103,881</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(5)(8)</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5.26%</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4.19%</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Chicago, IL 60611</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Jaffee Investment</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Partnership, L.P.(15)</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1,250,000</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(3)</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65.45%</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51.85%</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410 N. Michigan Ave.</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Chicago, IL 60611</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Advisory Research Inc.</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340,500</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(10)</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6.80%</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1.41%</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180 N. Stetson Street, Suite 5500</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Chicago, IL 60601</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pPr>
            <w:r>
              <w:rPr>
                <w:rFonts w:ascii="serif" w:hAnsi="serif"/>
                <w:sz w:val="20"/>
              </w:rPr>
              <w:t>Dimensional Fund Advisors, Inc.</w:t>
            </w:r>
            <w:r>
              <w:rPr/>
              <w:t> </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313,221</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(11)</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6.25%</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1.30%</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1299 Ocean Avenue</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Santa Monica, CA 90401</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GAMCO Asset Management Inc.</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602,850</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(12)</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12.04%</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2.32%</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One Corporate Center</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Rye, NY 10580</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Heartland Advisors, Inc.</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755,125</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(13)</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15.08%</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2.94%</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789 North Water Street</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Milwaukee, WI 53202</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r>
        <w:trPr/>
        <w:tc>
          <w:tcPr>
            <w:tcW w:w="12655" w:type="dxa"/>
            <w:gridSpan w:val="11"/>
            <w:tcBorders/>
            <w:shd w:fill="auto" w:val="clear"/>
            <w:vAlign w:val="center"/>
          </w:tcPr>
          <w:p>
            <w:pPr>
              <w:pStyle w:val="TableContents"/>
              <w:spacing w:before="0" w:after="283"/>
              <w:rPr/>
            </w:pPr>
            <w:r>
              <w:rPr/>
              <w:t> </w:t>
            </w:r>
          </w:p>
        </w:tc>
      </w:tr>
      <w:tr>
        <w:trPr/>
        <w:tc>
          <w:tcPr>
            <w:tcW w:w="3320" w:type="dxa"/>
            <w:tcBorders/>
            <w:shd w:fill="C0C0C0" w:val="clear"/>
            <w:vAlign w:val="bottom"/>
          </w:tcPr>
          <w:p>
            <w:pPr>
              <w:pStyle w:val="TableContents"/>
              <w:spacing w:before="0" w:after="283"/>
              <w:jc w:val="left"/>
              <w:rPr/>
            </w:pPr>
            <w:r>
              <w:rPr>
                <w:rFonts w:ascii="serif" w:hAnsi="serif"/>
                <w:sz w:val="20"/>
              </w:rPr>
              <w:t>T. Rowe Price Associates, Inc.</w:t>
            </w:r>
            <w:r>
              <w:rPr/>
              <w:t> </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Common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610,500</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jc w:val="left"/>
              <w:rPr>
                <w:rFonts w:ascii="serif" w:hAnsi="serif"/>
                <w:sz w:val="20"/>
              </w:rPr>
            </w:pPr>
            <w:r>
              <w:rPr>
                <w:rFonts w:ascii="serif" w:hAnsi="serif"/>
                <w:sz w:val="20"/>
              </w:rPr>
              <w:t>(14)</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12.19%</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2.52%</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100 East Pratt Street</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jc w:val="left"/>
              <w:rPr>
                <w:rFonts w:ascii="serif" w:hAnsi="serif"/>
                <w:sz w:val="20"/>
              </w:rPr>
            </w:pPr>
            <w:r>
              <w:rPr>
                <w:rFonts w:ascii="serif" w:hAnsi="serif"/>
                <w:sz w:val="20"/>
              </w:rPr>
              <w:t>Class B Stock:</w:t>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20" w:type="dxa"/>
            <w:tcBorders/>
            <w:shd w:fill="C0C0C0" w:val="clear"/>
            <w:vAlign w:val="bottom"/>
          </w:tcPr>
          <w:p>
            <w:pPr>
              <w:pStyle w:val="TableContents"/>
              <w:spacing w:before="0" w:after="283"/>
              <w:jc w:val="left"/>
              <w:rPr>
                <w:rFonts w:ascii="serif" w:hAnsi="serif"/>
                <w:sz w:val="20"/>
              </w:rPr>
            </w:pPr>
            <w:r>
              <w:rPr>
                <w:rFonts w:ascii="serif" w:hAnsi="serif"/>
                <w:sz w:val="20"/>
              </w:rPr>
              <w:t>Baltimore, MD 21202</w:t>
            </w:r>
          </w:p>
        </w:tc>
        <w:tc>
          <w:tcPr>
            <w:tcW w:w="600" w:type="dxa"/>
            <w:tcBorders/>
            <w:shd w:fill="C0C0C0" w:val="clear"/>
            <w:vAlign w:val="bottom"/>
          </w:tcPr>
          <w:p>
            <w:pPr>
              <w:pStyle w:val="TableContents"/>
              <w:spacing w:before="0" w:after="283"/>
              <w:rPr>
                <w:sz w:val="4"/>
                <w:szCs w:val="4"/>
              </w:rPr>
            </w:pPr>
            <w:r>
              <w:rPr>
                <w:sz w:val="4"/>
                <w:szCs w:val="4"/>
              </w:rPr>
            </w:r>
          </w:p>
        </w:tc>
        <w:tc>
          <w:tcPr>
            <w:tcW w:w="156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c>
          <w:tcPr>
            <w:tcW w:w="73" w:type="dxa"/>
            <w:tcBorders/>
            <w:shd w:fill="C0C0C0" w:val="clear"/>
            <w:vAlign w:val="bottom"/>
          </w:tcPr>
          <w:p>
            <w:pPr>
              <w:pStyle w:val="TableContents"/>
              <w:spacing w:before="0" w:after="283"/>
              <w:rPr>
                <w:sz w:val="4"/>
                <w:szCs w:val="4"/>
              </w:rPr>
            </w:pPr>
            <w:r>
              <w:rPr>
                <w:sz w:val="4"/>
                <w:szCs w:val="4"/>
              </w:rPr>
            </w:r>
          </w:p>
        </w:tc>
        <w:tc>
          <w:tcPr>
            <w:tcW w:w="1022"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6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44"/>
        <w:gridCol w:w="306"/>
        <w:gridCol w:w="9655"/>
      </w:tblGrid>
      <w:tr>
        <w:trPr/>
        <w:tc>
          <w:tcPr>
            <w:tcW w:w="244" w:type="dxa"/>
            <w:tcBorders/>
            <w:shd w:fill="auto" w:val="clear"/>
          </w:tcPr>
          <w:p>
            <w:pPr>
              <w:pStyle w:val="TableContents"/>
              <w:spacing w:before="0" w:after="283"/>
              <w:rPr>
                <w:rFonts w:ascii="serif" w:hAnsi="serif"/>
                <w:sz w:val="20"/>
              </w:rPr>
            </w:pPr>
            <w:r>
              <w:rPr>
                <w:rFonts w:ascii="serif" w:hAnsi="serif"/>
                <w:sz w:val="20"/>
              </w:rPr>
              <w:t>(1)</w:t>
            </w:r>
          </w:p>
        </w:tc>
        <w:tc>
          <w:tcPr>
            <w:tcW w:w="306" w:type="dxa"/>
            <w:tcBorders/>
            <w:shd w:fill="auto" w:val="clear"/>
          </w:tcPr>
          <w:p>
            <w:pPr>
              <w:pStyle w:val="TableContents"/>
              <w:spacing w:before="0" w:after="283"/>
              <w:rPr/>
            </w:pPr>
            <w:r>
              <w:rPr/>
              <w:t>     </w:t>
            </w:r>
          </w:p>
        </w:tc>
        <w:tc>
          <w:tcPr>
            <w:tcW w:w="9655" w:type="dxa"/>
            <w:tcBorders/>
            <w:shd w:fill="auto" w:val="clear"/>
          </w:tcPr>
          <w:p>
            <w:pPr>
              <w:pStyle w:val="TableContents"/>
              <w:spacing w:before="0" w:after="283"/>
              <w:rPr>
                <w:rFonts w:ascii="serif" w:hAnsi="serif"/>
                <w:sz w:val="20"/>
              </w:rPr>
            </w:pPr>
            <w:r>
              <w:rPr>
                <w:rFonts w:ascii="serif" w:hAnsi="serif"/>
                <w:sz w:val="20"/>
              </w:rPr>
              <w:t>Beneficial ownership is defined in applicable SEC rules as sole or shared power to vote or to direct the disposition of a security. All beneficial ownership is with sole voting power and sole investment power except as described in the notes below.</w:t>
            </w:r>
          </w:p>
        </w:tc>
      </w:tr>
    </w:tbl>
    <w:p>
      <w:pPr>
        <w:pStyle w:val="TextBody"/>
        <w:jc w:val="center"/>
        <w:rPr>
          <w:rFonts w:ascii="serif" w:hAnsi="serif"/>
          <w:sz w:val="20"/>
        </w:rPr>
      </w:pPr>
      <w:r>
        <w:rPr>
          <w:rFonts w:ascii="serif" w:hAnsi="serif"/>
          <w:sz w:val="20"/>
        </w:rPr>
        <w:t>38</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93"/>
        <w:gridCol w:w="301"/>
        <w:gridCol w:w="9611"/>
      </w:tblGrid>
      <w:tr>
        <w:trPr/>
        <w:tc>
          <w:tcPr>
            <w:tcW w:w="293" w:type="dxa"/>
            <w:tcBorders/>
            <w:shd w:fill="auto" w:val="clear"/>
          </w:tcPr>
          <w:p>
            <w:pPr>
              <w:pStyle w:val="TableContents"/>
              <w:spacing w:before="0" w:after="283"/>
              <w:rPr>
                <w:rFonts w:ascii="serif" w:hAnsi="serif"/>
                <w:sz w:val="20"/>
              </w:rPr>
            </w:pPr>
            <w:r>
              <w:rPr>
                <w:rFonts w:ascii="serif" w:hAnsi="serif"/>
                <w:sz w:val="20"/>
              </w:rPr>
              <w:t>(2)</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rFonts w:ascii="serif" w:hAnsi="serif"/>
                <w:sz w:val="20"/>
              </w:rPr>
            </w:pPr>
            <w:r>
              <w:rPr>
                <w:rFonts w:ascii="serif" w:hAnsi="serif"/>
                <w:sz w:val="20"/>
              </w:rPr>
              <w:t>Consists of 290,617 shares held in a revocable trust of which Richard M. Jaffee is the grantor and, during his lifetime, the trustee and sole beneficiary and 118,245 shares held in a revocable trust of which Richard M. Jaffees spouse is the grantor and, during her lifetime, the trustee and sole beneficiary, and 125 shares held in joint tenancy with his spouse.</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(3)</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The Jaffee Investment Partnership, L.P. is managed by its general partners, generally acting by a majority vote. Two of the general partners, Richard M. Jaffee and Shirley H. Jaffee, each have eight votes. Each of the remaining four general partners, Daniel S. Jaffee, Karen Jaffee Cofsky, Susan Jaffee Hardin and Nancy E. Jaffee, all children of Richard M. and Shirley H. Jaffee, have one vote. Richard M. Jaffee, as the managing general partner, might be deemed to have, but disclaims, beneficial ownership of the Partnerships shares, which are not reflected in his share ownership shown in the table.</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(4)</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Includes 70,000 shares of restricted Class B Stock, 17,500 shares of which become non-forfeitable on December 6, 2007, and an additional 17,500 shares of which become non-forfeitable on the three subsequent anniversaries of that date. Also includes 278 shares of Class B Stock held by Daniel S. Jaffee as trustee of the Richard M. Jaffee 1993 Annuity Trust, 293 shares of Class B Stock held by Daniel S. Jaffee as trustee of the Shirley H. Jaffee 1993 Annuity Trust, 2 shares of Class B Stock owned by Daniel S. Jaffees spouse, and 5,625 shares of Class B Stock owned by Daniel S. Jaffee as trustee for his children. Also includes 701,468 shares of Class B Stock which Daniel S. Jaffee has the right to acquire within 60 days of September 30, 2007, pursuant to stock options.</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(5)</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Does not include shares beneficially owned by the Jaffee Investment Partnership, L.P.</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(6)</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Daniel S. Jaffee is Richard M. Jaffees son.</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(7)</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Consists of 74 shares of Common Stock owned by Karen Jaffee Cofsky and 512 shares of Common Stock owned by Mrs. Cofskys spouse. Mr. Cofsky has voted his shares consistently with Mrs. Cofskys voting.</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(8)</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Consists of 27,957 shares of Class B Stock owned by Karen Jaffee Cofsky, 9,375 shares of Class B Stock owned by Mrs. Cofsky as trustee for her children, 376 shares of Class B Stock held in joint tenancy with her spouse, and 20,861 and 45,312 shares of Class B Stock which Mrs. Cofsky and her spouse, respectively, have the right to acquire within 60 days of September 30, 2007, pursuant to stock options. Mr. Cofsky has voted his shares consistently with Mrs. Cofskys voting.</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(9)</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Karen Jaffee Cofsky is Richard M. Jaffees daughter and the spouse of Thomas F. Cofsky, an executive officer of the Company.</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(10)</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Information is as provided by the holder in its Schedule 13G filed with the SEC on February 21, 2007.</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(11)</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 xml:space="preserve">Information is as provided by the reporting persons in a Schedule 13G/A filed with the SEC on February </w:t>
            </w:r>
            <w:r>
              <w:rPr>
                <w:rFonts w:ascii="serif" w:hAnsi="serif"/>
                <w:sz w:val="20"/>
              </w:rPr>
              <w:t>9, 2007. Based on such Schedule 13G/A, Dimensional Fund Advisors Inc. (Dimensional), a registered investment advisor,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shares of Common Stock owned by the Funds, and may be deemed to be the beneficial owner of those shares under applicable SEC rules. However, all of these shares are owned by the Funds, and Dimensional disclaims beneficial ownership of such shares.</w:t>
            </w:r>
          </w:p>
        </w:tc>
      </w:tr>
    </w:tbl>
    <w:p>
      <w:pPr>
        <w:pStyle w:val="TextBody"/>
        <w:jc w:val="center"/>
        <w:rPr>
          <w:rFonts w:ascii="serif" w:hAnsi="serif"/>
          <w:sz w:val="20"/>
        </w:rPr>
      </w:pPr>
      <w:r>
        <w:rPr>
          <w:rFonts w:ascii="serif" w:hAnsi="serif"/>
          <w:sz w:val="20"/>
        </w:rPr>
        <w:t>39</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38"/>
        <w:gridCol w:w="313"/>
        <w:gridCol w:w="9554"/>
      </w:tblGrid>
      <w:tr>
        <w:trPr/>
        <w:tc>
          <w:tcPr>
            <w:tcW w:w="338" w:type="dxa"/>
            <w:tcBorders/>
            <w:shd w:fill="auto" w:val="clear"/>
          </w:tcPr>
          <w:p>
            <w:pPr>
              <w:pStyle w:val="TableContents"/>
              <w:spacing w:before="0" w:after="283"/>
              <w:rPr>
                <w:rFonts w:ascii="serif" w:hAnsi="serif"/>
                <w:sz w:val="20"/>
              </w:rPr>
            </w:pPr>
            <w:r>
              <w:rPr>
                <w:rFonts w:ascii="serif" w:hAnsi="serif"/>
                <w:sz w:val="20"/>
              </w:rPr>
              <w:t>(12)</w:t>
            </w:r>
          </w:p>
        </w:tc>
        <w:tc>
          <w:tcPr>
            <w:tcW w:w="313" w:type="dxa"/>
            <w:tcBorders/>
            <w:shd w:fill="auto" w:val="clear"/>
          </w:tcPr>
          <w:p>
            <w:pPr>
              <w:pStyle w:val="TableContents"/>
              <w:spacing w:before="0" w:after="283"/>
              <w:rPr/>
            </w:pPr>
            <w:r>
              <w:rPr/>
              <w:t>     </w:t>
            </w:r>
          </w:p>
        </w:tc>
        <w:tc>
          <w:tcPr>
            <w:tcW w:w="9554" w:type="dxa"/>
            <w:tcBorders/>
            <w:shd w:fill="auto" w:val="clear"/>
          </w:tcPr>
          <w:p>
            <w:pPr>
              <w:pStyle w:val="TableContents"/>
              <w:spacing w:before="0" w:after="283"/>
              <w:rPr>
                <w:rFonts w:ascii="serif" w:hAnsi="serif"/>
                <w:sz w:val="20"/>
              </w:rPr>
            </w:pPr>
            <w:r>
              <w:rPr>
                <w:rFonts w:ascii="serif" w:hAnsi="serif"/>
                <w:sz w:val="20"/>
              </w:rPr>
              <w:t>Information is as provided by the reporting persons in a Schedule 13D/A filed with the SEC on June 22, 2007. Such Schedule 13D/A filed by Gabelli Funds, LLC (Gabelli Funds), GAMCO Asset Management Inc. (formerly known as GAMCO Investors, Inc.) (GAMCO), GAMCO Investors, Inc. (formerly known as Gabelli Asset Management Inc.) (GBL), GGCP, Inc. (formerly known as Gabelli Group Capital Partners, Inc.), and Mario J. Gabelli reports: (a) 491,850 shares of Common Stock beneficially owned by GAMCO and (b) 111,000 shares of Common Stock beneficially owned by Gabelli Funds. The Schedule 13D/A reports that each such entity has sole voting and sole dispositive power over the shares reported as beneficially owned by it, except that (i) GAMCO does not have the authority to vote 43,900 of the reported shares, (ii) Gabelli Funds has sole dispositive and voting power with respect to the shares held by such funds so long as the aggregate voting interest of all joint filers does not exceed 25% of their total voting interest in the Company, (iii) in certain circumstances, proxy voting committees of each fund may have voting power over the reported shares, and (iv) the power of Mario Gabelli, GBL, and GGCP, Inc. is indirect with respect to securities beneficially owned directly by other reporting persons.</w:t>
            </w:r>
          </w:p>
        </w:tc>
      </w:tr>
      <w:tr>
        <w:trPr/>
        <w:tc>
          <w:tcPr>
            <w:tcW w:w="338" w:type="dxa"/>
            <w:tcBorders/>
            <w:shd w:fill="auto" w:val="clear"/>
          </w:tcPr>
          <w:p>
            <w:pPr>
              <w:pStyle w:val="TableContents"/>
              <w:spacing w:before="0" w:after="283"/>
              <w:rPr>
                <w:sz w:val="4"/>
                <w:szCs w:val="4"/>
              </w:rPr>
            </w:pPr>
            <w:r>
              <w:rPr>
                <w:sz w:val="4"/>
                <w:szCs w:val="4"/>
              </w:rPr>
            </w:r>
          </w:p>
        </w:tc>
        <w:tc>
          <w:tcPr>
            <w:tcW w:w="313" w:type="dxa"/>
            <w:tcBorders/>
            <w:shd w:fill="auto" w:val="clear"/>
          </w:tcPr>
          <w:p>
            <w:pPr>
              <w:pStyle w:val="TableContents"/>
              <w:spacing w:before="0" w:after="283"/>
              <w:rPr>
                <w:sz w:val="4"/>
                <w:szCs w:val="4"/>
              </w:rPr>
            </w:pPr>
            <w:r>
              <w:rPr>
                <w:sz w:val="4"/>
                <w:szCs w:val="4"/>
              </w:rPr>
            </w:r>
          </w:p>
        </w:tc>
        <w:tc>
          <w:tcPr>
            <w:tcW w:w="9554" w:type="dxa"/>
            <w:tcBorders/>
            <w:shd w:fill="auto" w:val="clear"/>
          </w:tcPr>
          <w:p>
            <w:pPr>
              <w:pStyle w:val="TableContents"/>
              <w:spacing w:before="0" w:after="283"/>
              <w:rPr/>
            </w:pPr>
            <w:r>
              <w:rPr/>
              <w:t> </w:t>
            </w:r>
          </w:p>
        </w:tc>
      </w:tr>
      <w:tr>
        <w:trPr/>
        <w:tc>
          <w:tcPr>
            <w:tcW w:w="338" w:type="dxa"/>
            <w:tcBorders/>
            <w:shd w:fill="auto" w:val="clear"/>
          </w:tcPr>
          <w:p>
            <w:pPr>
              <w:pStyle w:val="TableContents"/>
              <w:spacing w:before="0" w:after="283"/>
              <w:rPr>
                <w:sz w:val="20"/>
              </w:rPr>
            </w:pPr>
            <w:r>
              <w:rPr>
                <w:sz w:val="20"/>
              </w:rPr>
              <w:t>(13)</w:t>
            </w:r>
          </w:p>
        </w:tc>
        <w:tc>
          <w:tcPr>
            <w:tcW w:w="313" w:type="dxa"/>
            <w:tcBorders/>
            <w:shd w:fill="auto" w:val="clear"/>
          </w:tcPr>
          <w:p>
            <w:pPr>
              <w:pStyle w:val="TableContents"/>
              <w:spacing w:before="0" w:after="283"/>
              <w:rPr>
                <w:sz w:val="4"/>
                <w:szCs w:val="4"/>
              </w:rPr>
            </w:pPr>
            <w:r>
              <w:rPr>
                <w:sz w:val="4"/>
                <w:szCs w:val="4"/>
              </w:rPr>
            </w:r>
          </w:p>
        </w:tc>
        <w:tc>
          <w:tcPr>
            <w:tcW w:w="9554" w:type="dxa"/>
            <w:tcBorders/>
            <w:shd w:fill="auto" w:val="clear"/>
          </w:tcPr>
          <w:p>
            <w:pPr>
              <w:pStyle w:val="TableContents"/>
              <w:spacing w:before="0" w:after="283"/>
              <w:rPr>
                <w:sz w:val="20"/>
              </w:rPr>
            </w:pPr>
            <w:r>
              <w:rPr>
                <w:sz w:val="20"/>
              </w:rPr>
              <w:t xml:space="preserve">Information is as provided by the reporting persons in a Schedule 13G/A filed with the SEC on February </w:t>
            </w:r>
            <w:r>
              <w:rPr>
                <w:rFonts w:ascii="serif" w:hAnsi="serif"/>
                <w:sz w:val="20"/>
              </w:rPr>
              <w:t>7, 2007. Such Schedule 13G/A filed by Heartland Advisors, Inc., a registered investment advisor (Heartland), and William J. Nasgovitz, president and principal shareholder of Heartland, reports that Heartland and Mr. Nasgovitz have shared voting power over 709,750 shares of Common Stock and shared dispositive power over 755,125 shares of Common Stock. Heartland and Mr. Nasgovitz disclaim beneficial ownership of such shares.</w:t>
            </w:r>
          </w:p>
        </w:tc>
      </w:tr>
      <w:tr>
        <w:trPr/>
        <w:tc>
          <w:tcPr>
            <w:tcW w:w="338" w:type="dxa"/>
            <w:tcBorders/>
            <w:shd w:fill="auto" w:val="clear"/>
          </w:tcPr>
          <w:p>
            <w:pPr>
              <w:pStyle w:val="TableContents"/>
              <w:spacing w:before="0" w:after="283"/>
              <w:rPr>
                <w:sz w:val="4"/>
                <w:szCs w:val="4"/>
              </w:rPr>
            </w:pPr>
            <w:r>
              <w:rPr>
                <w:sz w:val="4"/>
                <w:szCs w:val="4"/>
              </w:rPr>
            </w:r>
          </w:p>
        </w:tc>
        <w:tc>
          <w:tcPr>
            <w:tcW w:w="313" w:type="dxa"/>
            <w:tcBorders/>
            <w:shd w:fill="auto" w:val="clear"/>
          </w:tcPr>
          <w:p>
            <w:pPr>
              <w:pStyle w:val="TableContents"/>
              <w:spacing w:before="0" w:after="283"/>
              <w:rPr>
                <w:sz w:val="4"/>
                <w:szCs w:val="4"/>
              </w:rPr>
            </w:pPr>
            <w:r>
              <w:rPr>
                <w:sz w:val="4"/>
                <w:szCs w:val="4"/>
              </w:rPr>
            </w:r>
          </w:p>
        </w:tc>
        <w:tc>
          <w:tcPr>
            <w:tcW w:w="9554" w:type="dxa"/>
            <w:tcBorders/>
            <w:shd w:fill="auto" w:val="clear"/>
          </w:tcPr>
          <w:p>
            <w:pPr>
              <w:pStyle w:val="TableContents"/>
              <w:spacing w:before="0" w:after="283"/>
              <w:rPr/>
            </w:pPr>
            <w:r>
              <w:rPr/>
              <w:t> </w:t>
            </w:r>
          </w:p>
        </w:tc>
      </w:tr>
      <w:tr>
        <w:trPr/>
        <w:tc>
          <w:tcPr>
            <w:tcW w:w="338" w:type="dxa"/>
            <w:tcBorders/>
            <w:shd w:fill="auto" w:val="clear"/>
          </w:tcPr>
          <w:p>
            <w:pPr>
              <w:pStyle w:val="TableContents"/>
              <w:spacing w:before="0" w:after="283"/>
              <w:rPr>
                <w:sz w:val="20"/>
              </w:rPr>
            </w:pPr>
            <w:r>
              <w:rPr>
                <w:sz w:val="20"/>
              </w:rPr>
              <w:t>(14)</w:t>
            </w:r>
          </w:p>
        </w:tc>
        <w:tc>
          <w:tcPr>
            <w:tcW w:w="313" w:type="dxa"/>
            <w:tcBorders/>
            <w:shd w:fill="auto" w:val="clear"/>
          </w:tcPr>
          <w:p>
            <w:pPr>
              <w:pStyle w:val="TableContents"/>
              <w:spacing w:before="0" w:after="283"/>
              <w:rPr>
                <w:sz w:val="4"/>
                <w:szCs w:val="4"/>
              </w:rPr>
            </w:pPr>
            <w:r>
              <w:rPr>
                <w:sz w:val="4"/>
                <w:szCs w:val="4"/>
              </w:rPr>
            </w:r>
          </w:p>
        </w:tc>
        <w:tc>
          <w:tcPr>
            <w:tcW w:w="9554" w:type="dxa"/>
            <w:tcBorders/>
            <w:shd w:fill="auto" w:val="clear"/>
          </w:tcPr>
          <w:p>
            <w:pPr>
              <w:pStyle w:val="TableContents"/>
              <w:spacing w:before="0" w:after="283"/>
              <w:rPr>
                <w:sz w:val="20"/>
              </w:rPr>
            </w:pPr>
            <w:r>
              <w:rPr>
                <w:sz w:val="20"/>
              </w:rPr>
              <w:t>Information is as provided by the reporting persons in a Schedule 13G/A filed with the SEC on February 14, 2007. Such Schedule 13G/A filed by T. Rowe Price Associates, Inc., a registered investment adviser (Price Associates) and T. Rowe Price Small Cap Value Fund, reports that Price Associates held sole dispositive power over 610,500 shares of Common Stock and T. Rowe Price Small Cap Value Fund held sole voting power over 608,250 shares of Common Stock. Price Associates expressly disclaims that it is, in fact, the beneficial owner of such securities.</w:t>
            </w:r>
          </w:p>
        </w:tc>
      </w:tr>
      <w:tr>
        <w:trPr/>
        <w:tc>
          <w:tcPr>
            <w:tcW w:w="338" w:type="dxa"/>
            <w:tcBorders/>
            <w:shd w:fill="auto" w:val="clear"/>
          </w:tcPr>
          <w:p>
            <w:pPr>
              <w:pStyle w:val="TableContents"/>
              <w:spacing w:before="0" w:after="283"/>
              <w:rPr>
                <w:sz w:val="4"/>
                <w:szCs w:val="4"/>
              </w:rPr>
            </w:pPr>
            <w:r>
              <w:rPr>
                <w:sz w:val="4"/>
                <w:szCs w:val="4"/>
              </w:rPr>
            </w:r>
          </w:p>
        </w:tc>
        <w:tc>
          <w:tcPr>
            <w:tcW w:w="313" w:type="dxa"/>
            <w:tcBorders/>
            <w:shd w:fill="auto" w:val="clear"/>
          </w:tcPr>
          <w:p>
            <w:pPr>
              <w:pStyle w:val="TableContents"/>
              <w:spacing w:before="0" w:after="283"/>
              <w:rPr>
                <w:sz w:val="4"/>
                <w:szCs w:val="4"/>
              </w:rPr>
            </w:pPr>
            <w:r>
              <w:rPr>
                <w:sz w:val="4"/>
                <w:szCs w:val="4"/>
              </w:rPr>
            </w:r>
          </w:p>
        </w:tc>
        <w:tc>
          <w:tcPr>
            <w:tcW w:w="9554" w:type="dxa"/>
            <w:tcBorders/>
            <w:shd w:fill="auto" w:val="clear"/>
          </w:tcPr>
          <w:p>
            <w:pPr>
              <w:pStyle w:val="TableContents"/>
              <w:spacing w:before="0" w:after="283"/>
              <w:rPr/>
            </w:pPr>
            <w:r>
              <w:rPr/>
              <w:t> </w:t>
            </w:r>
          </w:p>
        </w:tc>
      </w:tr>
      <w:tr>
        <w:trPr/>
        <w:tc>
          <w:tcPr>
            <w:tcW w:w="338" w:type="dxa"/>
            <w:tcBorders/>
            <w:shd w:fill="auto" w:val="clear"/>
          </w:tcPr>
          <w:p>
            <w:pPr>
              <w:pStyle w:val="TableContents"/>
              <w:spacing w:before="0" w:after="283"/>
              <w:rPr>
                <w:sz w:val="20"/>
              </w:rPr>
            </w:pPr>
            <w:r>
              <w:rPr>
                <w:sz w:val="20"/>
              </w:rPr>
              <w:t>(15)</w:t>
            </w:r>
          </w:p>
        </w:tc>
        <w:tc>
          <w:tcPr>
            <w:tcW w:w="313" w:type="dxa"/>
            <w:tcBorders/>
            <w:shd w:fill="auto" w:val="clear"/>
          </w:tcPr>
          <w:p>
            <w:pPr>
              <w:pStyle w:val="TableContents"/>
              <w:spacing w:before="0" w:after="283"/>
              <w:rPr>
                <w:sz w:val="4"/>
                <w:szCs w:val="4"/>
              </w:rPr>
            </w:pPr>
            <w:r>
              <w:rPr>
                <w:sz w:val="4"/>
                <w:szCs w:val="4"/>
              </w:rPr>
            </w:r>
          </w:p>
        </w:tc>
        <w:tc>
          <w:tcPr>
            <w:tcW w:w="9554" w:type="dxa"/>
            <w:tcBorders/>
            <w:shd w:fill="auto" w:val="clear"/>
          </w:tcPr>
          <w:p>
            <w:pPr>
              <w:pStyle w:val="TableContents"/>
              <w:spacing w:before="0" w:after="283"/>
              <w:rPr>
                <w:sz w:val="20"/>
              </w:rPr>
            </w:pPr>
            <w:r>
              <w:rPr>
                <w:sz w:val="20"/>
              </w:rPr>
              <w:t>By virtue of their direct and indirect ownership of shares of our stock, Richard M. Jaffee and the Jaffee Investment Partnership, L.P. may be deemed to be control persons of the Company under the federal securities laws.</w:t>
            </w:r>
          </w:p>
        </w:tc>
      </w:tr>
    </w:tbl>
    <w:p>
      <w:pPr>
        <w:pStyle w:val="TextBody"/>
        <w:jc w:val="center"/>
        <w:rPr>
          <w:rFonts w:ascii="serif" w:hAnsi="serif"/>
          <w:sz w:val="20"/>
        </w:rPr>
      </w:pPr>
      <w:r>
        <w:rPr>
          <w:rFonts w:ascii="serif" w:hAnsi="serif"/>
          <w:sz w:val="20"/>
        </w:rPr>
        <w:t>40</w:t>
      </w:r>
    </w:p>
    <w:p>
      <w:pPr>
        <w:pStyle w:val="HorizontalLine"/>
        <w:pBdr>
          <w:bottom w:val="single" w:sz="12" w:space="0" w:color="808080"/>
        </w:pBdr>
        <w:rPr/>
      </w:pPr>
      <w:r>
        <w:rPr/>
      </w:r>
    </w:p>
    <w:p>
      <w:pPr>
        <w:pStyle w:val="TextBody"/>
        <w:jc w:val="center"/>
        <w:rPr>
          <w:rFonts w:ascii="serif" w:hAnsi="serif"/>
          <w:b/>
        </w:rPr>
      </w:pPr>
      <w:r>
        <w:rPr>
          <w:rFonts w:ascii="serif" w:hAnsi="serif"/>
          <w:b/>
        </w:rPr>
        <w:t>Security Ownership of Management</w:t>
      </w:r>
    </w:p>
    <w:p>
      <w:pPr>
        <w:pStyle w:val="TextBody"/>
        <w:jc w:val="both"/>
        <w:rPr/>
      </w:pPr>
      <w:r>
        <w:rPr/>
        <w:t>     </w:t>
      </w:r>
      <w:r>
        <w:rPr>
          <w:rFonts w:ascii="serif" w:hAnsi="serif"/>
          <w:sz w:val="20"/>
        </w:rPr>
        <w:t>The following table shows the number of shares of Common Stock and Class B Stock of the Company beneficially owned as of September 30, 2007, by the directors, by the named executive officers and by the directors and executive officers as a group.</w:t>
      </w:r>
    </w:p>
    <w:tbl>
      <w:tblPr>
        <w:tblW w:w="9290" w:type="dxa"/>
        <w:jc w:val="center"/>
        <w:tblInd w:w="0" w:type="dxa"/>
        <w:tblCellMar>
          <w:top w:w="0" w:type="dxa"/>
          <w:left w:w="0" w:type="dxa"/>
          <w:bottom w:w="0" w:type="dxa"/>
          <w:right w:w="0" w:type="dxa"/>
        </w:tblCellMar>
      </w:tblPr>
      <w:tblGrid>
        <w:gridCol w:w="3350"/>
        <w:gridCol w:w="300"/>
        <w:gridCol w:w="1069"/>
        <w:gridCol w:w="369"/>
        <w:gridCol w:w="862"/>
        <w:gridCol w:w="300"/>
        <w:gridCol w:w="1535"/>
        <w:gridCol w:w="300"/>
        <w:gridCol w:w="1205"/>
      </w:tblGrid>
      <w:tr>
        <w:trPr/>
        <w:tc>
          <w:tcPr>
            <w:tcW w:w="33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069"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jc w:val="center"/>
              <w:rPr/>
            </w:pPr>
            <w:r>
              <w:rPr/>
              <w:t>     </w:t>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Percentage of</w:t>
            </w:r>
          </w:p>
        </w:tc>
        <w:tc>
          <w:tcPr>
            <w:tcW w:w="300" w:type="dxa"/>
            <w:tcBorders/>
            <w:shd w:fill="auto" w:val="clear"/>
            <w:vAlign w:val="bottom"/>
          </w:tcPr>
          <w:p>
            <w:pPr>
              <w:pStyle w:val="TableContents"/>
              <w:spacing w:before="0" w:after="283"/>
              <w:jc w:val="center"/>
              <w:rPr/>
            </w:pPr>
            <w:r>
              <w:rPr/>
              <w:t>     </w:t>
            </w:r>
          </w:p>
        </w:tc>
        <w:tc>
          <w:tcPr>
            <w:tcW w:w="1205" w:type="dxa"/>
            <w:tcBorders/>
            <w:shd w:fill="auto" w:val="clear"/>
            <w:vAlign w:val="bottom"/>
          </w:tcPr>
          <w:p>
            <w:pPr>
              <w:pStyle w:val="TableContents"/>
              <w:spacing w:before="0" w:after="283"/>
              <w:jc w:val="center"/>
              <w:rPr>
                <w:rFonts w:ascii="serif" w:hAnsi="serif"/>
                <w:b/>
                <w:sz w:val="20"/>
              </w:rPr>
            </w:pPr>
            <w:r>
              <w:rPr>
                <w:rFonts w:ascii="serif" w:hAnsi="serif"/>
                <w:b/>
                <w:sz w:val="20"/>
              </w:rPr>
              <w:t>Number of</w:t>
            </w:r>
          </w:p>
        </w:tc>
      </w:tr>
      <w:tr>
        <w:trPr/>
        <w:tc>
          <w:tcPr>
            <w:tcW w:w="33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rFonts w:ascii="serif" w:hAnsi="serif"/>
                <w:b/>
                <w:sz w:val="20"/>
              </w:rPr>
            </w:pPr>
            <w:r>
              <w:rPr>
                <w:rFonts w:ascii="serif" w:hAnsi="serif"/>
                <w:b/>
                <w:sz w:val="20"/>
              </w:rPr>
              <w:t>Outstanding</w:t>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center"/>
              <w:rPr>
                <w:rFonts w:ascii="serif" w:hAnsi="serif"/>
                <w:b/>
                <w:sz w:val="20"/>
              </w:rPr>
            </w:pPr>
            <w:r>
              <w:rPr>
                <w:rFonts w:ascii="serif" w:hAnsi="serif"/>
                <w:b/>
                <w:sz w:val="20"/>
              </w:rPr>
              <w:t>Shares of</w:t>
            </w:r>
          </w:p>
        </w:tc>
      </w:tr>
      <w:tr>
        <w:trPr/>
        <w:tc>
          <w:tcPr>
            <w:tcW w:w="335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2300" w:type="dxa"/>
            <w:gridSpan w:val="3"/>
            <w:tcBorders/>
            <w:shd w:fill="auto" w:val="clear"/>
            <w:vAlign w:val="bottom"/>
          </w:tcPr>
          <w:p>
            <w:pPr>
              <w:pStyle w:val="TableContents"/>
              <w:spacing w:before="0" w:after="283"/>
              <w:jc w:val="center"/>
              <w:rPr>
                <w:rFonts w:ascii="serif" w:hAnsi="serif"/>
                <w:b/>
                <w:sz w:val="20"/>
              </w:rPr>
            </w:pPr>
            <w:r>
              <w:rPr>
                <w:rFonts w:ascii="serif" w:hAnsi="serif"/>
                <w:b/>
                <w:sz w:val="20"/>
              </w:rPr>
              <w:t>Number of Shares of</w:t>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center"/>
              <w:rPr/>
            </w:pPr>
            <w:r>
              <w:rPr>
                <w:rFonts w:ascii="serif" w:hAnsi="serif"/>
                <w:b/>
                <w:sz w:val="20"/>
              </w:rPr>
              <w:t>Common</w:t>
            </w:r>
            <w:r>
              <w:rPr/>
              <w:t> </w:t>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center"/>
              <w:rPr/>
            </w:pPr>
            <w:r>
              <w:rPr>
                <w:rFonts w:ascii="serif" w:hAnsi="serif"/>
                <w:b/>
                <w:sz w:val="20"/>
              </w:rPr>
              <w:t>Class B</w:t>
            </w:r>
            <w:r>
              <w:rPr/>
              <w:t> </w:t>
            </w:r>
          </w:p>
        </w:tc>
      </w:tr>
      <w:tr>
        <w:trPr/>
        <w:tc>
          <w:tcPr>
            <w:tcW w:w="3350" w:type="dxa"/>
            <w:tcBorders>
              <w:bottom w:val="single" w:sz="8" w:space="0" w:color="000000"/>
            </w:tcBorders>
            <w:shd w:fill="auto" w:val="clear"/>
            <w:tcMar>
              <w:bottom w:w="28" w:type="dxa"/>
            </w:tcMar>
            <w:vAlign w:val="bottom"/>
          </w:tcPr>
          <w:p>
            <w:pPr>
              <w:pStyle w:val="TableContents"/>
              <w:spacing w:before="0" w:after="283"/>
              <w:jc w:val="left"/>
              <w:rPr>
                <w:rFonts w:ascii="serif" w:hAnsi="serif"/>
                <w:b/>
                <w:sz w:val="20"/>
              </w:rPr>
            </w:pPr>
            <w:r>
              <w:rPr>
                <w:rFonts w:ascii="serif" w:hAnsi="serif"/>
                <w:b/>
                <w:sz w:val="20"/>
              </w:rPr>
              <w:t>Name of Beneficial Owner (1)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2300" w:type="dxa"/>
            <w:gridSpan w:val="3"/>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Common Stock</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535" w:type="dxa"/>
            <w:tcBorders>
              <w:bottom w:val="single" w:sz="8" w:space="0" w:color="000000"/>
            </w:tcBorders>
            <w:shd w:fill="auto" w:val="clear"/>
            <w:tcMar>
              <w:bottom w:w="28" w:type="dxa"/>
            </w:tcMar>
            <w:vAlign w:val="bottom"/>
          </w:tcPr>
          <w:p>
            <w:pPr>
              <w:pStyle w:val="TableContents"/>
              <w:spacing w:before="0" w:after="283"/>
              <w:jc w:val="center"/>
              <w:rPr/>
            </w:pPr>
            <w:r>
              <w:rPr>
                <w:rFonts w:ascii="serif" w:hAnsi="serif"/>
                <w:b/>
                <w:sz w:val="20"/>
              </w:rPr>
              <w:t>Stock</w:t>
            </w:r>
            <w:r>
              <w:rPr/>
              <w:t> </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05" w:type="dxa"/>
            <w:tcBorders>
              <w:bottom w:val="single" w:sz="8" w:space="0" w:color="000000"/>
            </w:tcBorders>
            <w:shd w:fill="auto" w:val="clear"/>
            <w:tcMar>
              <w:bottom w:w="28" w:type="dxa"/>
            </w:tcMar>
            <w:vAlign w:val="bottom"/>
          </w:tcPr>
          <w:p>
            <w:pPr>
              <w:pStyle w:val="TableContents"/>
              <w:spacing w:before="0" w:after="283"/>
              <w:jc w:val="center"/>
              <w:rPr>
                <w:rFonts w:ascii="serif" w:hAnsi="serif"/>
                <w:b/>
                <w:sz w:val="20"/>
              </w:rPr>
            </w:pPr>
            <w:r>
              <w:rPr>
                <w:rFonts w:ascii="serif" w:hAnsi="serif"/>
                <w:b/>
                <w:sz w:val="20"/>
              </w:rPr>
              <w:t>Stock (2)</w:t>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Richard M. Jaffee (13)</w:t>
            </w:r>
          </w:p>
        </w:tc>
        <w:tc>
          <w:tcPr>
            <w:tcW w:w="300"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rPr>
                <w:sz w:val="4"/>
                <w:szCs w:val="4"/>
              </w:rPr>
            </w:pPr>
            <w:r>
              <w:rPr>
                <w:sz w:val="4"/>
                <w:szCs w:val="4"/>
              </w:rPr>
            </w:r>
          </w:p>
        </w:tc>
        <w:tc>
          <w:tcPr>
            <w:tcW w:w="369"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left"/>
              <w:rPr>
                <w:rFonts w:ascii="serif" w:hAnsi="serif"/>
                <w:sz w:val="20"/>
              </w:rPr>
            </w:pPr>
            <w:r>
              <w:rPr>
                <w:rFonts w:ascii="serif" w:hAnsi="serif"/>
                <w:sz w:val="20"/>
              </w:rPr>
              <w:t>(3)</w:t>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(3)</w:t>
            </w:r>
          </w:p>
        </w:tc>
      </w:tr>
      <w:tr>
        <w:trPr/>
        <w:tc>
          <w:tcPr>
            <w:tcW w:w="3350" w:type="dxa"/>
            <w:tcBorders/>
            <w:shd w:fill="auto" w:val="clear"/>
            <w:vAlign w:val="bottom"/>
          </w:tcPr>
          <w:p>
            <w:pPr>
              <w:pStyle w:val="TableContents"/>
              <w:spacing w:before="0" w:after="283"/>
              <w:jc w:val="left"/>
              <w:rPr>
                <w:rFonts w:ascii="serif" w:hAnsi="serif"/>
                <w:sz w:val="20"/>
              </w:rPr>
            </w:pPr>
            <w:r>
              <w:rPr>
                <w:rFonts w:ascii="serif" w:hAnsi="serif"/>
                <w:sz w:val="20"/>
              </w:rPr>
              <w:t>Daniel S. Jaffee</w:t>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jc w:val="left"/>
              <w:rPr>
                <w:rFonts w:ascii="serif" w:hAnsi="serif"/>
                <w:sz w:val="20"/>
              </w:rPr>
            </w:pPr>
            <w:r>
              <w:rPr>
                <w:rFonts w:ascii="serif" w:hAnsi="serif"/>
                <w:sz w:val="20"/>
              </w:rPr>
              <w:t>(3)</w:t>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right"/>
              <w:rPr>
                <w:rFonts w:ascii="serif" w:hAnsi="serif"/>
                <w:sz w:val="20"/>
              </w:rPr>
            </w:pPr>
            <w:r>
              <w:rPr>
                <w:rFonts w:ascii="serif" w:hAnsi="serif"/>
                <w:sz w:val="20"/>
              </w:rPr>
              <w:t>(3)</w:t>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Thomas F. Cofsky (13)</w:t>
            </w:r>
          </w:p>
        </w:tc>
        <w:tc>
          <w:tcPr>
            <w:tcW w:w="300" w:type="dxa"/>
            <w:tcBorders/>
            <w:shd w:fill="C0C0C0" w:val="clear"/>
            <w:vAlign w:val="bottom"/>
          </w:tcPr>
          <w:p>
            <w:pPr>
              <w:pStyle w:val="TableContents"/>
              <w:spacing w:before="0" w:after="283"/>
              <w:jc w:val="left"/>
              <w:rPr/>
            </w:pPr>
            <w:r>
              <w:rPr/>
              <w:t> </w:t>
            </w:r>
          </w:p>
        </w:tc>
        <w:tc>
          <w:tcPr>
            <w:tcW w:w="1069" w:type="dxa"/>
            <w:tcBorders/>
            <w:shd w:fill="C0C0C0" w:val="clear"/>
            <w:vAlign w:val="bottom"/>
          </w:tcPr>
          <w:p>
            <w:pPr>
              <w:pStyle w:val="TableContents"/>
              <w:spacing w:before="0" w:after="283"/>
              <w:rPr>
                <w:sz w:val="4"/>
                <w:szCs w:val="4"/>
              </w:rPr>
            </w:pPr>
            <w:r>
              <w:rPr>
                <w:sz w:val="4"/>
                <w:szCs w:val="4"/>
              </w:rPr>
            </w:r>
          </w:p>
        </w:tc>
        <w:tc>
          <w:tcPr>
            <w:tcW w:w="369" w:type="dxa"/>
            <w:tcBorders/>
            <w:shd w:fill="C0C0C0" w:val="clear"/>
            <w:vAlign w:val="bottom"/>
          </w:tcPr>
          <w:p>
            <w:pPr>
              <w:pStyle w:val="TableContents"/>
              <w:spacing w:before="0" w:after="283"/>
              <w:jc w:val="left"/>
              <w:rPr/>
            </w:pPr>
            <w:r>
              <w:rPr/>
              <w:t>    </w:t>
            </w:r>
          </w:p>
        </w:tc>
        <w:tc>
          <w:tcPr>
            <w:tcW w:w="862" w:type="dxa"/>
            <w:tcBorders/>
            <w:shd w:fill="C0C0C0" w:val="clear"/>
            <w:vAlign w:val="bottom"/>
          </w:tcPr>
          <w:p>
            <w:pPr>
              <w:pStyle w:val="TableContents"/>
              <w:spacing w:before="0" w:after="283"/>
              <w:jc w:val="left"/>
              <w:rPr>
                <w:rFonts w:ascii="serif" w:hAnsi="serif"/>
                <w:sz w:val="20"/>
              </w:rPr>
            </w:pPr>
            <w:r>
              <w:rPr>
                <w:rFonts w:ascii="serif" w:hAnsi="serif"/>
                <w:sz w:val="20"/>
              </w:rPr>
              <w:t>(4)</w:t>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(4)</w:t>
            </w:r>
          </w:p>
        </w:tc>
      </w:tr>
      <w:tr>
        <w:trPr/>
        <w:tc>
          <w:tcPr>
            <w:tcW w:w="3350" w:type="dxa"/>
            <w:tcBorders/>
            <w:shd w:fill="auto" w:val="clear"/>
            <w:vAlign w:val="bottom"/>
          </w:tcPr>
          <w:p>
            <w:pPr>
              <w:pStyle w:val="TableContents"/>
              <w:spacing w:before="0" w:after="283"/>
              <w:jc w:val="left"/>
              <w:rPr>
                <w:rFonts w:ascii="serif" w:hAnsi="serif"/>
                <w:sz w:val="20"/>
              </w:rPr>
            </w:pPr>
            <w:r>
              <w:rPr>
                <w:rFonts w:ascii="serif" w:hAnsi="serif"/>
                <w:sz w:val="20"/>
              </w:rPr>
              <w:t>J. Steven Cole</w:t>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46,549</w:t>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jc w:val="left"/>
              <w:rPr>
                <w:rFonts w:ascii="serif" w:hAnsi="serif"/>
                <w:sz w:val="20"/>
              </w:rPr>
            </w:pPr>
            <w:r>
              <w:rPr>
                <w:rFonts w:ascii="serif" w:hAnsi="serif"/>
                <w:sz w:val="20"/>
              </w:rPr>
              <w:t>(5)(6)</w:t>
            </w:r>
          </w:p>
        </w:tc>
        <w:tc>
          <w:tcPr>
            <w:tcW w:w="300" w:type="dxa"/>
            <w:tcBorders/>
            <w:shd w:fill="auto" w:val="clear"/>
            <w:vAlign w:val="bottom"/>
          </w:tcPr>
          <w:p>
            <w:pPr>
              <w:pStyle w:val="TableContents"/>
              <w:spacing w:before="0" w:after="283"/>
              <w:jc w:val="right"/>
              <w:rPr/>
            </w:pPr>
            <w:r>
              <w:rPr/>
              <w:t> </w:t>
            </w:r>
          </w:p>
        </w:tc>
        <w:tc>
          <w:tcPr>
            <w:tcW w:w="153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Arnold W. Donald</w:t>
            </w:r>
          </w:p>
        </w:tc>
        <w:tc>
          <w:tcPr>
            <w:tcW w:w="300"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37,500</w:t>
            </w:r>
          </w:p>
        </w:tc>
        <w:tc>
          <w:tcPr>
            <w:tcW w:w="369" w:type="dxa"/>
            <w:tcBorders/>
            <w:shd w:fill="C0C0C0" w:val="clear"/>
            <w:vAlign w:val="bottom"/>
          </w:tcPr>
          <w:p>
            <w:pPr>
              <w:pStyle w:val="TableContents"/>
              <w:spacing w:before="0" w:after="283"/>
              <w:rPr>
                <w:sz w:val="4"/>
                <w:szCs w:val="4"/>
              </w:rPr>
            </w:pPr>
            <w:r>
              <w:rPr>
                <w:sz w:val="4"/>
                <w:szCs w:val="4"/>
              </w:rPr>
            </w:r>
          </w:p>
        </w:tc>
        <w:tc>
          <w:tcPr>
            <w:tcW w:w="862" w:type="dxa"/>
            <w:tcBorders/>
            <w:shd w:fill="C0C0C0" w:val="clear"/>
            <w:vAlign w:val="bottom"/>
          </w:tcPr>
          <w:p>
            <w:pPr>
              <w:pStyle w:val="TableContents"/>
              <w:spacing w:before="0" w:after="283"/>
              <w:jc w:val="left"/>
              <w:rPr>
                <w:rFonts w:ascii="serif" w:hAnsi="serif"/>
                <w:sz w:val="20"/>
              </w:rPr>
            </w:pPr>
            <w:r>
              <w:rPr>
                <w:rFonts w:ascii="serif" w:hAnsi="serif"/>
                <w:sz w:val="20"/>
              </w:rPr>
              <w:t>(6)</w:t>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auto" w:val="clear"/>
            <w:vAlign w:val="bottom"/>
          </w:tcPr>
          <w:p>
            <w:pPr>
              <w:pStyle w:val="TableContents"/>
              <w:spacing w:before="0" w:after="283"/>
              <w:jc w:val="left"/>
              <w:rPr>
                <w:rFonts w:ascii="serif" w:hAnsi="serif"/>
                <w:sz w:val="20"/>
              </w:rPr>
            </w:pPr>
            <w:r>
              <w:rPr>
                <w:rFonts w:ascii="serif" w:hAnsi="serif"/>
                <w:sz w:val="20"/>
              </w:rPr>
              <w:t>Joseph C. Miller</w:t>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22,775</w:t>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jc w:val="left"/>
              <w:rPr>
                <w:rFonts w:ascii="serif" w:hAnsi="serif"/>
                <w:sz w:val="20"/>
              </w:rPr>
            </w:pPr>
            <w:r>
              <w:rPr>
                <w:rFonts w:ascii="serif" w:hAnsi="serif"/>
                <w:sz w:val="20"/>
              </w:rPr>
              <w:t>(7)</w:t>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Michael A. Nemeroff</w:t>
            </w:r>
          </w:p>
        </w:tc>
        <w:tc>
          <w:tcPr>
            <w:tcW w:w="300"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15,956</w:t>
            </w:r>
          </w:p>
        </w:tc>
        <w:tc>
          <w:tcPr>
            <w:tcW w:w="369" w:type="dxa"/>
            <w:tcBorders/>
            <w:shd w:fill="C0C0C0" w:val="clear"/>
            <w:vAlign w:val="bottom"/>
          </w:tcPr>
          <w:p>
            <w:pPr>
              <w:pStyle w:val="TableContents"/>
              <w:spacing w:before="0" w:after="283"/>
              <w:rPr>
                <w:sz w:val="4"/>
                <w:szCs w:val="4"/>
              </w:rPr>
            </w:pPr>
            <w:r>
              <w:rPr>
                <w:sz w:val="4"/>
                <w:szCs w:val="4"/>
              </w:rPr>
            </w:r>
          </w:p>
        </w:tc>
        <w:tc>
          <w:tcPr>
            <w:tcW w:w="86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auto" w:val="clear"/>
            <w:vAlign w:val="bottom"/>
          </w:tcPr>
          <w:p>
            <w:pPr>
              <w:pStyle w:val="TableContents"/>
              <w:spacing w:before="0" w:after="283"/>
              <w:jc w:val="left"/>
              <w:rPr>
                <w:rFonts w:ascii="serif" w:hAnsi="serif"/>
                <w:sz w:val="20"/>
              </w:rPr>
            </w:pPr>
            <w:r>
              <w:rPr>
                <w:rFonts w:ascii="serif" w:hAnsi="serif"/>
                <w:sz w:val="20"/>
              </w:rPr>
              <w:t>Allan H. Selig</w:t>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5,000</w:t>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Paul E. Suckow</w:t>
            </w:r>
          </w:p>
        </w:tc>
        <w:tc>
          <w:tcPr>
            <w:tcW w:w="300"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18,500</w:t>
            </w:r>
          </w:p>
        </w:tc>
        <w:tc>
          <w:tcPr>
            <w:tcW w:w="369" w:type="dxa"/>
            <w:tcBorders/>
            <w:shd w:fill="C0C0C0" w:val="clear"/>
            <w:vAlign w:val="bottom"/>
          </w:tcPr>
          <w:p>
            <w:pPr>
              <w:pStyle w:val="TableContents"/>
              <w:spacing w:before="0" w:after="283"/>
              <w:rPr>
                <w:sz w:val="4"/>
                <w:szCs w:val="4"/>
              </w:rPr>
            </w:pPr>
            <w:r>
              <w:rPr>
                <w:sz w:val="4"/>
                <w:szCs w:val="4"/>
              </w:rPr>
            </w:r>
          </w:p>
        </w:tc>
        <w:tc>
          <w:tcPr>
            <w:tcW w:w="86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auto" w:val="clear"/>
            <w:vAlign w:val="bottom"/>
          </w:tcPr>
          <w:p>
            <w:pPr>
              <w:pStyle w:val="TableContents"/>
              <w:spacing w:before="0" w:after="283"/>
              <w:jc w:val="left"/>
              <w:rPr>
                <w:rFonts w:ascii="serif" w:hAnsi="serif"/>
                <w:sz w:val="20"/>
              </w:rPr>
            </w:pPr>
            <w:r>
              <w:rPr>
                <w:rFonts w:ascii="serif" w:hAnsi="serif"/>
                <w:sz w:val="20"/>
              </w:rPr>
              <w:t>Charles P. Brissman</w:t>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59,435</w:t>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jc w:val="left"/>
              <w:rPr>
                <w:rFonts w:ascii="serif" w:hAnsi="serif"/>
                <w:sz w:val="20"/>
              </w:rPr>
            </w:pPr>
            <w:r>
              <w:rPr>
                <w:rFonts w:ascii="serif" w:hAnsi="serif"/>
                <w:sz w:val="20"/>
              </w:rPr>
              <w:t>(8)</w:t>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right"/>
              <w:rPr>
                <w:rFonts w:ascii="serif" w:hAnsi="serif"/>
                <w:sz w:val="20"/>
              </w:rPr>
            </w:pPr>
            <w:r>
              <w:rPr>
                <w:rFonts w:ascii="serif" w:hAnsi="serif"/>
                <w:sz w:val="20"/>
              </w:rPr>
              <w:t>1.18%</w:t>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Brian K. Bancroft</w:t>
            </w:r>
          </w:p>
        </w:tc>
        <w:tc>
          <w:tcPr>
            <w:tcW w:w="300"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rFonts w:ascii="serif" w:hAnsi="serif"/>
                <w:sz w:val="20"/>
              </w:rPr>
            </w:pPr>
            <w:r>
              <w:rPr>
                <w:rFonts w:ascii="serif" w:hAnsi="serif"/>
                <w:sz w:val="20"/>
              </w:rPr>
              <w:t>6,374</w:t>
            </w:r>
          </w:p>
        </w:tc>
        <w:tc>
          <w:tcPr>
            <w:tcW w:w="369" w:type="dxa"/>
            <w:tcBorders/>
            <w:shd w:fill="C0C0C0" w:val="clear"/>
            <w:vAlign w:val="bottom"/>
          </w:tcPr>
          <w:p>
            <w:pPr>
              <w:pStyle w:val="TableContents"/>
              <w:spacing w:before="0" w:after="283"/>
              <w:rPr>
                <w:sz w:val="4"/>
                <w:szCs w:val="4"/>
              </w:rPr>
            </w:pPr>
            <w:r>
              <w:rPr>
                <w:sz w:val="4"/>
                <w:szCs w:val="4"/>
              </w:rPr>
            </w:r>
          </w:p>
        </w:tc>
        <w:tc>
          <w:tcPr>
            <w:tcW w:w="862" w:type="dxa"/>
            <w:tcBorders/>
            <w:shd w:fill="C0C0C0" w:val="clear"/>
            <w:vAlign w:val="bottom"/>
          </w:tcPr>
          <w:p>
            <w:pPr>
              <w:pStyle w:val="TableContents"/>
              <w:spacing w:before="0" w:after="283"/>
              <w:jc w:val="left"/>
              <w:rPr>
                <w:rFonts w:ascii="serif" w:hAnsi="serif"/>
                <w:sz w:val="20"/>
              </w:rPr>
            </w:pPr>
            <w:r>
              <w:rPr>
                <w:rFonts w:ascii="serif" w:hAnsi="serif"/>
                <w:sz w:val="20"/>
              </w:rPr>
              <w:t>(9)</w:t>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auto" w:val="clear"/>
            <w:vAlign w:val="bottom"/>
          </w:tcPr>
          <w:p>
            <w:pPr>
              <w:pStyle w:val="TableContents"/>
              <w:spacing w:before="0" w:after="283"/>
              <w:jc w:val="left"/>
              <w:rPr>
                <w:rFonts w:ascii="serif" w:hAnsi="serif"/>
                <w:sz w:val="20"/>
              </w:rPr>
            </w:pPr>
            <w:r>
              <w:rPr>
                <w:rFonts w:ascii="serif" w:hAnsi="serif"/>
                <w:sz w:val="20"/>
              </w:rPr>
              <w:t>Andrew N. Peterson</w:t>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jc w:val="right"/>
              <w:rPr>
                <w:rFonts w:ascii="serif" w:hAnsi="serif"/>
                <w:sz w:val="20"/>
              </w:rPr>
            </w:pPr>
            <w:r>
              <w:rPr>
                <w:rFonts w:ascii="serif" w:hAnsi="serif"/>
                <w:sz w:val="20"/>
              </w:rPr>
              <w:t>15,625</w:t>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jc w:val="left"/>
              <w:rPr>
                <w:rFonts w:ascii="serif" w:hAnsi="serif"/>
                <w:sz w:val="20"/>
              </w:rPr>
            </w:pPr>
            <w:r>
              <w:rPr>
                <w:rFonts w:ascii="serif" w:hAnsi="serif"/>
                <w:sz w:val="20"/>
              </w:rPr>
              <w:t>(10)</w:t>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jc w:val="right"/>
              <w:rPr>
                <w:rFonts w:ascii="serif" w:hAnsi="serif"/>
                <w:sz w:val="20"/>
              </w:rPr>
            </w:pPr>
            <w:r>
              <w:rPr>
                <w:rFonts w:ascii="serif" w:hAnsi="serif"/>
                <w:sz w:val="20"/>
              </w:rPr>
              <w:t>*</w:t>
            </w:r>
          </w:p>
        </w:tc>
        <w:tc>
          <w:tcPr>
            <w:tcW w:w="300" w:type="dxa"/>
            <w:tcBorders/>
            <w:shd w:fill="auto" w:val="clear"/>
            <w:vAlign w:val="bottom"/>
          </w:tcPr>
          <w:p>
            <w:pPr>
              <w:pStyle w:val="TableContents"/>
              <w:spacing w:before="0" w:after="283"/>
              <w:jc w:val="right"/>
              <w:rPr/>
            </w:pPr>
            <w:r>
              <w:rPr/>
              <w:t> </w:t>
            </w:r>
          </w:p>
        </w:tc>
        <w:tc>
          <w:tcPr>
            <w:tcW w:w="1205" w:type="dxa"/>
            <w:tcBorders/>
            <w:shd w:fill="auto" w:val="clear"/>
            <w:vAlign w:val="bottom"/>
          </w:tcPr>
          <w:p>
            <w:pPr>
              <w:pStyle w:val="TableContents"/>
              <w:spacing w:before="0" w:after="283"/>
              <w:jc w:val="right"/>
              <w:rPr>
                <w:rFonts w:ascii="serif" w:hAnsi="serif"/>
                <w:sz w:val="20"/>
              </w:rPr>
            </w:pPr>
            <w:r>
              <w:rPr>
                <w:rFonts w:ascii="serif" w:hAnsi="serif"/>
                <w:sz w:val="20"/>
              </w:rPr>
              <w:t>--</w:t>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All Executive Officers and</w:t>
            </w:r>
          </w:p>
        </w:tc>
        <w:tc>
          <w:tcPr>
            <w:tcW w:w="300"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rPr>
                <w:sz w:val="4"/>
                <w:szCs w:val="4"/>
              </w:rPr>
            </w:pPr>
            <w:r>
              <w:rPr>
                <w:sz w:val="4"/>
                <w:szCs w:val="4"/>
              </w:rPr>
            </w:r>
          </w:p>
        </w:tc>
        <w:tc>
          <w:tcPr>
            <w:tcW w:w="369" w:type="dxa"/>
            <w:tcBorders/>
            <w:shd w:fill="C0C0C0" w:val="clear"/>
            <w:vAlign w:val="bottom"/>
          </w:tcPr>
          <w:p>
            <w:pPr>
              <w:pStyle w:val="TableContents"/>
              <w:spacing w:before="0" w:after="283"/>
              <w:rPr>
                <w:sz w:val="4"/>
                <w:szCs w:val="4"/>
              </w:rPr>
            </w:pPr>
            <w:r>
              <w:rPr>
                <w:sz w:val="4"/>
                <w:szCs w:val="4"/>
              </w:rPr>
            </w:r>
          </w:p>
        </w:tc>
        <w:tc>
          <w:tcPr>
            <w:tcW w:w="862"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rPr>
                <w:sz w:val="4"/>
                <w:szCs w:val="4"/>
              </w:rPr>
            </w:pPr>
            <w:r>
              <w:rPr>
                <w:sz w:val="4"/>
                <w:szCs w:val="4"/>
              </w:rPr>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rPr>
                <w:sz w:val="4"/>
                <w:szCs w:val="4"/>
              </w:rPr>
            </w:pPr>
            <w:r>
              <w:rPr>
                <w:sz w:val="4"/>
                <w:szCs w:val="4"/>
              </w:rPr>
            </w:r>
          </w:p>
        </w:tc>
      </w:tr>
      <w:tr>
        <w:trPr/>
        <w:tc>
          <w:tcPr>
            <w:tcW w:w="3350" w:type="dxa"/>
            <w:tcBorders/>
            <w:shd w:fill="C0C0C0" w:val="clear"/>
            <w:vAlign w:val="bottom"/>
          </w:tcPr>
          <w:p>
            <w:pPr>
              <w:pStyle w:val="TableContents"/>
              <w:spacing w:before="0" w:after="283"/>
              <w:jc w:val="left"/>
              <w:rPr>
                <w:rFonts w:ascii="serif" w:hAnsi="serif"/>
                <w:sz w:val="20"/>
              </w:rPr>
            </w:pPr>
            <w:r>
              <w:rPr>
                <w:rFonts w:ascii="serif" w:hAnsi="serif"/>
                <w:sz w:val="20"/>
              </w:rPr>
              <w:t>Directors as a group (13 in group)</w:t>
            </w:r>
          </w:p>
        </w:tc>
        <w:tc>
          <w:tcPr>
            <w:tcW w:w="300" w:type="dxa"/>
            <w:tcBorders/>
            <w:shd w:fill="C0C0C0" w:val="clear"/>
            <w:vAlign w:val="bottom"/>
          </w:tcPr>
          <w:p>
            <w:pPr>
              <w:pStyle w:val="TableContents"/>
              <w:spacing w:before="0" w:after="283"/>
              <w:rPr>
                <w:sz w:val="4"/>
                <w:szCs w:val="4"/>
              </w:rPr>
            </w:pPr>
            <w:r>
              <w:rPr>
                <w:sz w:val="4"/>
                <w:szCs w:val="4"/>
              </w:rPr>
            </w:r>
          </w:p>
        </w:tc>
        <w:tc>
          <w:tcPr>
            <w:tcW w:w="1069" w:type="dxa"/>
            <w:tcBorders/>
            <w:shd w:fill="C0C0C0" w:val="clear"/>
            <w:vAlign w:val="bottom"/>
          </w:tcPr>
          <w:p>
            <w:pPr>
              <w:pStyle w:val="TableContents"/>
              <w:spacing w:before="0" w:after="283"/>
              <w:jc w:val="right"/>
              <w:rPr>
                <w:sz w:val="20"/>
              </w:rPr>
            </w:pPr>
            <w:r>
              <w:rPr>
                <w:sz w:val="20"/>
              </w:rPr>
              <w:t>261,284</w:t>
            </w:r>
          </w:p>
        </w:tc>
        <w:tc>
          <w:tcPr>
            <w:tcW w:w="369" w:type="dxa"/>
            <w:tcBorders/>
            <w:shd w:fill="C0C0C0" w:val="clear"/>
            <w:vAlign w:val="bottom"/>
          </w:tcPr>
          <w:p>
            <w:pPr>
              <w:pStyle w:val="TableContents"/>
              <w:spacing w:before="0" w:after="283"/>
              <w:rPr>
                <w:sz w:val="4"/>
                <w:szCs w:val="4"/>
              </w:rPr>
            </w:pPr>
            <w:r>
              <w:rPr>
                <w:sz w:val="4"/>
                <w:szCs w:val="4"/>
              </w:rPr>
            </w:r>
          </w:p>
        </w:tc>
        <w:tc>
          <w:tcPr>
            <w:tcW w:w="862" w:type="dxa"/>
            <w:tcBorders/>
            <w:shd w:fill="C0C0C0" w:val="clear"/>
            <w:vAlign w:val="bottom"/>
          </w:tcPr>
          <w:p>
            <w:pPr>
              <w:pStyle w:val="TableContents"/>
              <w:spacing w:before="0" w:after="283"/>
              <w:jc w:val="left"/>
              <w:rPr>
                <w:sz w:val="20"/>
              </w:rPr>
            </w:pPr>
            <w:r>
              <w:rPr>
                <w:sz w:val="20"/>
              </w:rPr>
              <w:t>(11)</w:t>
            </w:r>
          </w:p>
        </w:tc>
        <w:tc>
          <w:tcPr>
            <w:tcW w:w="300" w:type="dxa"/>
            <w:tcBorders/>
            <w:shd w:fill="C0C0C0" w:val="clear"/>
            <w:vAlign w:val="bottom"/>
          </w:tcPr>
          <w:p>
            <w:pPr>
              <w:pStyle w:val="TableContents"/>
              <w:spacing w:before="0" w:after="283"/>
              <w:rPr>
                <w:sz w:val="4"/>
                <w:szCs w:val="4"/>
              </w:rPr>
            </w:pPr>
            <w:r>
              <w:rPr>
                <w:sz w:val="4"/>
                <w:szCs w:val="4"/>
              </w:rPr>
            </w:r>
          </w:p>
        </w:tc>
        <w:tc>
          <w:tcPr>
            <w:tcW w:w="1535" w:type="dxa"/>
            <w:tcBorders/>
            <w:shd w:fill="C0C0C0" w:val="clear"/>
            <w:vAlign w:val="bottom"/>
          </w:tcPr>
          <w:p>
            <w:pPr>
              <w:pStyle w:val="TableContents"/>
              <w:spacing w:before="0" w:after="283"/>
              <w:jc w:val="right"/>
              <w:rPr>
                <w:sz w:val="20"/>
              </w:rPr>
            </w:pPr>
            <w:r>
              <w:rPr>
                <w:sz w:val="20"/>
              </w:rPr>
              <w:t>5.01%</w:t>
            </w:r>
          </w:p>
        </w:tc>
        <w:tc>
          <w:tcPr>
            <w:tcW w:w="300" w:type="dxa"/>
            <w:tcBorders/>
            <w:shd w:fill="C0C0C0" w:val="clear"/>
            <w:vAlign w:val="bottom"/>
          </w:tcPr>
          <w:p>
            <w:pPr>
              <w:pStyle w:val="TableContents"/>
              <w:spacing w:before="0" w:after="283"/>
              <w:rPr>
                <w:sz w:val="4"/>
                <w:szCs w:val="4"/>
              </w:rPr>
            </w:pPr>
            <w:r>
              <w:rPr>
                <w:sz w:val="4"/>
                <w:szCs w:val="4"/>
              </w:rPr>
            </w:r>
          </w:p>
        </w:tc>
        <w:tc>
          <w:tcPr>
            <w:tcW w:w="1205" w:type="dxa"/>
            <w:tcBorders/>
            <w:shd w:fill="C0C0C0" w:val="clear"/>
            <w:vAlign w:val="bottom"/>
          </w:tcPr>
          <w:p>
            <w:pPr>
              <w:pStyle w:val="TableContents"/>
              <w:spacing w:before="0" w:after="283"/>
              <w:jc w:val="right"/>
              <w:rPr>
                <w:sz w:val="20"/>
              </w:rPr>
            </w:pPr>
            <w:r>
              <w:rPr>
                <w:sz w:val="20"/>
              </w:rPr>
              <w:t>(12)</w:t>
            </w:r>
          </w:p>
        </w:tc>
      </w:tr>
      <w:tr>
        <w:trPr/>
        <w:tc>
          <w:tcPr>
            <w:tcW w:w="3350" w:type="dxa"/>
            <w:tcBorders/>
            <w:shd w:fill="auto" w:val="clear"/>
            <w:vAlign w:val="bottom"/>
          </w:tcPr>
          <w:p>
            <w:pPr>
              <w:pStyle w:val="TableContents"/>
              <w:spacing w:before="0" w:after="283"/>
              <w:jc w:val="left"/>
              <w:rPr/>
            </w:pPr>
            <w:r>
              <w:rPr/>
              <w:t>     </w:t>
            </w:r>
            <w:r>
              <w:rPr>
                <w:rFonts w:ascii="serif" w:hAnsi="serif"/>
                <w:sz w:val="20"/>
              </w:rPr>
              <w:t>* Does not exceed 1%.</w:t>
            </w:r>
          </w:p>
        </w:tc>
        <w:tc>
          <w:tcPr>
            <w:tcW w:w="300" w:type="dxa"/>
            <w:tcBorders/>
            <w:shd w:fill="auto" w:val="clear"/>
            <w:vAlign w:val="bottom"/>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48"/>
        <w:gridCol w:w="312"/>
        <w:gridCol w:w="9645"/>
      </w:tblGrid>
      <w:tr>
        <w:trPr/>
        <w:tc>
          <w:tcPr>
            <w:tcW w:w="248" w:type="dxa"/>
            <w:tcBorders/>
            <w:shd w:fill="auto" w:val="clear"/>
          </w:tcPr>
          <w:p>
            <w:pPr>
              <w:pStyle w:val="TableContents"/>
              <w:spacing w:before="0" w:after="283"/>
              <w:rPr>
                <w:rFonts w:ascii="serif" w:hAnsi="serif"/>
                <w:sz w:val="20"/>
              </w:rPr>
            </w:pPr>
            <w:r>
              <w:rPr>
                <w:rFonts w:ascii="serif" w:hAnsi="serif"/>
                <w:sz w:val="20"/>
              </w:rPr>
              <w:t>(1)</w:t>
            </w:r>
          </w:p>
        </w:tc>
        <w:tc>
          <w:tcPr>
            <w:tcW w:w="312" w:type="dxa"/>
            <w:tcBorders/>
            <w:shd w:fill="auto" w:val="clear"/>
          </w:tcPr>
          <w:p>
            <w:pPr>
              <w:pStyle w:val="TableContents"/>
              <w:spacing w:before="0" w:after="283"/>
              <w:rPr/>
            </w:pPr>
            <w:r>
              <w:rPr/>
              <w:t>     </w:t>
            </w:r>
          </w:p>
        </w:tc>
        <w:tc>
          <w:tcPr>
            <w:tcW w:w="9645" w:type="dxa"/>
            <w:tcBorders/>
            <w:shd w:fill="auto" w:val="clear"/>
          </w:tcPr>
          <w:p>
            <w:pPr>
              <w:pStyle w:val="TableContents"/>
              <w:spacing w:before="0" w:after="283"/>
              <w:rPr>
                <w:rFonts w:ascii="serif" w:hAnsi="serif"/>
                <w:sz w:val="20"/>
              </w:rPr>
            </w:pPr>
            <w:r>
              <w:rPr>
                <w:rFonts w:ascii="serif" w:hAnsi="serif"/>
                <w:sz w:val="20"/>
              </w:rPr>
              <w:t>Beneficial ownership is defined in applicable SEC rules as sole or shared power to vote or to direct the disposition of a security. All beneficial ownership is with sole voting power and sole investment power, and no shares are currently pledged as security, except as described in the notes below.</w:t>
            </w:r>
          </w:p>
        </w:tc>
      </w:tr>
      <w:tr>
        <w:trPr/>
        <w:tc>
          <w:tcPr>
            <w:tcW w:w="248" w:type="dxa"/>
            <w:tcBorders/>
            <w:shd w:fill="auto" w:val="clear"/>
          </w:tcPr>
          <w:p>
            <w:pPr>
              <w:pStyle w:val="TableContents"/>
              <w:spacing w:before="0" w:after="283"/>
              <w:rPr>
                <w:sz w:val="4"/>
                <w:szCs w:val="4"/>
              </w:rPr>
            </w:pPr>
            <w:r>
              <w:rPr>
                <w:sz w:val="4"/>
                <w:szCs w:val="4"/>
              </w:rPr>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pPr>
            <w:r>
              <w:rPr/>
              <w:t> </w:t>
            </w:r>
          </w:p>
        </w:tc>
      </w:tr>
      <w:tr>
        <w:trPr/>
        <w:tc>
          <w:tcPr>
            <w:tcW w:w="248" w:type="dxa"/>
            <w:tcBorders/>
            <w:shd w:fill="auto" w:val="clear"/>
          </w:tcPr>
          <w:p>
            <w:pPr>
              <w:pStyle w:val="TableContents"/>
              <w:spacing w:before="0" w:after="283"/>
              <w:rPr>
                <w:sz w:val="20"/>
              </w:rPr>
            </w:pPr>
            <w:r>
              <w:rPr>
                <w:sz w:val="20"/>
              </w:rPr>
              <w:t>(2)</w:t>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sz w:val="20"/>
              </w:rPr>
            </w:pPr>
            <w:r>
              <w:rPr>
                <w:sz w:val="20"/>
              </w:rPr>
              <w:t>Except for Richard M. Jaffee, Daniel S. Jaffee and Thomas F. Cofsky, none of the directors or executive officers, including the named executive officers, own any shares of Class B Stock.</w:t>
            </w:r>
          </w:p>
        </w:tc>
      </w:tr>
      <w:tr>
        <w:trPr/>
        <w:tc>
          <w:tcPr>
            <w:tcW w:w="248" w:type="dxa"/>
            <w:tcBorders/>
            <w:shd w:fill="auto" w:val="clear"/>
          </w:tcPr>
          <w:p>
            <w:pPr>
              <w:pStyle w:val="TableContents"/>
              <w:spacing w:before="0" w:after="283"/>
              <w:rPr>
                <w:sz w:val="4"/>
                <w:szCs w:val="4"/>
              </w:rPr>
            </w:pPr>
            <w:r>
              <w:rPr>
                <w:sz w:val="4"/>
                <w:szCs w:val="4"/>
              </w:rPr>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pPr>
            <w:r>
              <w:rPr/>
              <w:t> </w:t>
            </w:r>
          </w:p>
        </w:tc>
      </w:tr>
      <w:tr>
        <w:trPr/>
        <w:tc>
          <w:tcPr>
            <w:tcW w:w="248" w:type="dxa"/>
            <w:tcBorders/>
            <w:shd w:fill="auto" w:val="clear"/>
          </w:tcPr>
          <w:p>
            <w:pPr>
              <w:pStyle w:val="TableContents"/>
              <w:spacing w:before="0" w:after="283"/>
              <w:rPr>
                <w:sz w:val="20"/>
              </w:rPr>
            </w:pPr>
            <w:r>
              <w:rPr>
                <w:sz w:val="20"/>
              </w:rPr>
              <w:t>(3)</w:t>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sz w:val="20"/>
              </w:rPr>
            </w:pPr>
            <w:r>
              <w:rPr>
                <w:sz w:val="20"/>
              </w:rPr>
              <w:t>For information regarding the shares beneficially owned by Richard M. Jaffee and Daniel S. Jaffee, see the table under the heading Principal Stockholders above and the notes thereto.</w:t>
            </w:r>
          </w:p>
        </w:tc>
      </w:tr>
      <w:tr>
        <w:trPr/>
        <w:tc>
          <w:tcPr>
            <w:tcW w:w="248" w:type="dxa"/>
            <w:tcBorders/>
            <w:shd w:fill="auto" w:val="clear"/>
          </w:tcPr>
          <w:p>
            <w:pPr>
              <w:pStyle w:val="TableContents"/>
              <w:spacing w:before="0" w:after="283"/>
              <w:rPr>
                <w:sz w:val="4"/>
                <w:szCs w:val="4"/>
              </w:rPr>
            </w:pPr>
            <w:r>
              <w:rPr>
                <w:sz w:val="4"/>
                <w:szCs w:val="4"/>
              </w:rPr>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pPr>
            <w:r>
              <w:rPr/>
              <w:t> </w:t>
            </w:r>
          </w:p>
        </w:tc>
      </w:tr>
      <w:tr>
        <w:trPr/>
        <w:tc>
          <w:tcPr>
            <w:tcW w:w="248" w:type="dxa"/>
            <w:tcBorders/>
            <w:shd w:fill="auto" w:val="clear"/>
          </w:tcPr>
          <w:p>
            <w:pPr>
              <w:pStyle w:val="TableContents"/>
              <w:spacing w:before="0" w:after="283"/>
              <w:rPr>
                <w:sz w:val="20"/>
              </w:rPr>
            </w:pPr>
            <w:r>
              <w:rPr>
                <w:sz w:val="20"/>
              </w:rPr>
              <w:t>(4)</w:t>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sz w:val="20"/>
              </w:rPr>
            </w:pPr>
            <w:r>
              <w:rPr>
                <w:sz w:val="20"/>
              </w:rPr>
              <w:t>For information regarding the shares beneficially owned by Thomas F. Cofsky, see the ownership of Mr. Cofskys spouse, Karen Jaffee Cofsky, in the table under the heading Principal Stockholders above and the notes thereto.</w:t>
            </w:r>
          </w:p>
        </w:tc>
      </w:tr>
      <w:tr>
        <w:trPr/>
        <w:tc>
          <w:tcPr>
            <w:tcW w:w="248" w:type="dxa"/>
            <w:tcBorders/>
            <w:shd w:fill="auto" w:val="clear"/>
          </w:tcPr>
          <w:p>
            <w:pPr>
              <w:pStyle w:val="TableContents"/>
              <w:spacing w:before="0" w:after="283"/>
              <w:rPr>
                <w:sz w:val="4"/>
                <w:szCs w:val="4"/>
              </w:rPr>
            </w:pPr>
            <w:r>
              <w:rPr>
                <w:sz w:val="4"/>
                <w:szCs w:val="4"/>
              </w:rPr>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pPr>
            <w:r>
              <w:rPr/>
              <w:t> </w:t>
            </w:r>
          </w:p>
        </w:tc>
      </w:tr>
      <w:tr>
        <w:trPr/>
        <w:tc>
          <w:tcPr>
            <w:tcW w:w="248" w:type="dxa"/>
            <w:tcBorders/>
            <w:shd w:fill="auto" w:val="clear"/>
          </w:tcPr>
          <w:p>
            <w:pPr>
              <w:pStyle w:val="TableContents"/>
              <w:spacing w:before="0" w:after="283"/>
              <w:rPr>
                <w:sz w:val="20"/>
              </w:rPr>
            </w:pPr>
            <w:r>
              <w:rPr>
                <w:sz w:val="20"/>
              </w:rPr>
              <w:t>(5)</w:t>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sz w:val="20"/>
              </w:rPr>
            </w:pPr>
            <w:r>
              <w:rPr>
                <w:sz w:val="20"/>
              </w:rPr>
              <w:t>Includes 1,208 shares of Common Stock owned by Mr. Coles spouse.</w:t>
            </w:r>
          </w:p>
        </w:tc>
      </w:tr>
      <w:tr>
        <w:trPr/>
        <w:tc>
          <w:tcPr>
            <w:tcW w:w="248" w:type="dxa"/>
            <w:tcBorders/>
            <w:shd w:fill="auto" w:val="clear"/>
          </w:tcPr>
          <w:p>
            <w:pPr>
              <w:pStyle w:val="TableContents"/>
              <w:spacing w:before="0" w:after="283"/>
              <w:rPr>
                <w:sz w:val="4"/>
                <w:szCs w:val="4"/>
              </w:rPr>
            </w:pPr>
            <w:r>
              <w:rPr>
                <w:sz w:val="4"/>
                <w:szCs w:val="4"/>
              </w:rPr>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pPr>
            <w:r>
              <w:rPr/>
              <w:t> </w:t>
            </w:r>
          </w:p>
        </w:tc>
      </w:tr>
      <w:tr>
        <w:trPr/>
        <w:tc>
          <w:tcPr>
            <w:tcW w:w="248" w:type="dxa"/>
            <w:tcBorders/>
            <w:shd w:fill="auto" w:val="clear"/>
          </w:tcPr>
          <w:p>
            <w:pPr>
              <w:pStyle w:val="TableContents"/>
              <w:spacing w:before="0" w:after="283"/>
              <w:rPr>
                <w:sz w:val="20"/>
              </w:rPr>
            </w:pPr>
            <w:r>
              <w:rPr>
                <w:sz w:val="20"/>
              </w:rPr>
              <w:t>(6)</w:t>
            </w:r>
          </w:p>
        </w:tc>
        <w:tc>
          <w:tcPr>
            <w:tcW w:w="312" w:type="dxa"/>
            <w:tcBorders/>
            <w:shd w:fill="auto" w:val="clear"/>
          </w:tcPr>
          <w:p>
            <w:pPr>
              <w:pStyle w:val="TableContents"/>
              <w:spacing w:before="0" w:after="283"/>
              <w:rPr>
                <w:sz w:val="4"/>
                <w:szCs w:val="4"/>
              </w:rPr>
            </w:pPr>
            <w:r>
              <w:rPr>
                <w:sz w:val="4"/>
                <w:szCs w:val="4"/>
              </w:rPr>
            </w:r>
          </w:p>
        </w:tc>
        <w:tc>
          <w:tcPr>
            <w:tcW w:w="9645" w:type="dxa"/>
            <w:tcBorders/>
            <w:shd w:fill="auto" w:val="clear"/>
          </w:tcPr>
          <w:p>
            <w:pPr>
              <w:pStyle w:val="TableContents"/>
              <w:spacing w:before="0" w:after="283"/>
              <w:rPr>
                <w:sz w:val="20"/>
              </w:rPr>
            </w:pPr>
            <w:r>
              <w:rPr>
                <w:sz w:val="20"/>
              </w:rPr>
              <w:t>Includes 37,500 shares of Common Stock which this director has the right to acquire within 60 days of September 30, 2007, pursuant to stock options.</w:t>
            </w:r>
          </w:p>
        </w:tc>
      </w:tr>
    </w:tbl>
    <w:p>
      <w:pPr>
        <w:pStyle w:val="TextBody"/>
        <w:jc w:val="center"/>
        <w:rPr>
          <w:rFonts w:ascii="serif" w:hAnsi="serif"/>
          <w:sz w:val="20"/>
        </w:rPr>
      </w:pPr>
      <w:r>
        <w:rPr>
          <w:rFonts w:ascii="serif" w:hAnsi="serif"/>
          <w:sz w:val="20"/>
        </w:rPr>
        <w:t>41</w:t>
      </w:r>
    </w:p>
    <w:p>
      <w:pPr>
        <w:pStyle w:val="HorizontalLine"/>
        <w:pBdr>
          <w:bottom w:val="single" w:sz="12"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93"/>
        <w:gridCol w:w="301"/>
        <w:gridCol w:w="9611"/>
      </w:tblGrid>
      <w:tr>
        <w:trPr/>
        <w:tc>
          <w:tcPr>
            <w:tcW w:w="293" w:type="dxa"/>
            <w:tcBorders/>
            <w:shd w:fill="auto" w:val="clear"/>
          </w:tcPr>
          <w:p>
            <w:pPr>
              <w:pStyle w:val="TableContents"/>
              <w:spacing w:before="0" w:after="283"/>
              <w:rPr>
                <w:rFonts w:ascii="serif" w:hAnsi="serif"/>
                <w:sz w:val="20"/>
              </w:rPr>
            </w:pPr>
            <w:r>
              <w:rPr>
                <w:rFonts w:ascii="serif" w:hAnsi="serif"/>
                <w:sz w:val="20"/>
              </w:rPr>
              <w:t>(7)</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rFonts w:ascii="serif" w:hAnsi="serif"/>
                <w:sz w:val="20"/>
              </w:rPr>
            </w:pPr>
            <w:r>
              <w:rPr>
                <w:rFonts w:ascii="serif" w:hAnsi="serif"/>
                <w:sz w:val="20"/>
              </w:rPr>
              <w:t>Consists of 16,525 shares of Common Stock held by Mr. Miller as trustee for the benefit of his spouse and 6,250 shares of Common Stock which Mr. Miller has the right to acquire within 60 days of September 30, 2007, pursuant to stock options.</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(8)</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Includes 46,875 shares of Common Stock which Mr. Brissman has the right to acquire within 60 days of September 30, 2007, pursuant to stock options.</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(9)</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Consists of 3,125 shares of restricted Common Stock which become non-forfeitable on March 15, 2008, 124 shares of Common Stock owned by Mr. Bancrofts children, and 3,125 shares of Common Stock which Mr. Bancroft has the right to acquire within 60 days of September 30, 2007, pursuant to stock options.</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(10)</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Consists of Common Stock which Mr. Peterson has the right to acquire within 60 days of September 30, 2007, pursuant to stock options.</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(11)</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Includes 204,850 shares of Common Stock which constitute all such shares that the executive officers and directors of the Company have the right to acquire within 60 days of September 30, 2007, pursuant to stock options (including the shares of Common Stock which may be acquired as described in the notes above and in the notes under the heading Principal Stockholders). Also includes 3,125 shares of restricted Common Stock which become non-forfeitable on March 15, 2008. The number of shares of Common Stock owned beneficially by the executive officers and directors as a group represents 1.02% of the aggregate voting power of the Common Stock and Class B Stock.</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(12)</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Includes 136,641 shares of Class B Stock which constitute all such shares that the executive officers and directors of the Company have the right to acquire within 60 days of September 30, 2007, pursuant to stock options (including the shares of Class B Stock which may be acquired as described in the notes under the heading Principal Stockholders). Also includes 70,000 shares of restricted Class B Stock which become entirely non-forfeitable on December 6, 2010. Does not include shares beneficially owned by the Jaffee Investment Partnership, L.P. For information regarding the shares held by the partnership, see the table under the heading Principal Stockholders above and the notes thereto. The number of shares of Class B Stock owned beneficially by the executive officers and directors as a group represents approximately 35.19% of the number of outstanding shares of Class B Stock and approximately 28.04% of the aggregate voting power of the Common Stock and Class B Stock.</w:t>
            </w:r>
          </w:p>
        </w:tc>
      </w:tr>
      <w:tr>
        <w:trPr/>
        <w:tc>
          <w:tcPr>
            <w:tcW w:w="293" w:type="dxa"/>
            <w:tcBorders/>
            <w:shd w:fill="auto" w:val="clear"/>
          </w:tcPr>
          <w:p>
            <w:pPr>
              <w:pStyle w:val="TableContents"/>
              <w:spacing w:before="0" w:after="283"/>
              <w:rPr>
                <w:sz w:val="4"/>
                <w:szCs w:val="4"/>
              </w:rPr>
            </w:pPr>
            <w:r>
              <w:rPr>
                <w:sz w:val="4"/>
                <w:szCs w:val="4"/>
              </w:rPr>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sz w:val="20"/>
              </w:rPr>
            </w:pPr>
            <w:r>
              <w:rPr>
                <w:sz w:val="20"/>
              </w:rPr>
              <w:t>(13)</w:t>
            </w:r>
          </w:p>
        </w:tc>
        <w:tc>
          <w:tcPr>
            <w:tcW w:w="301" w:type="dxa"/>
            <w:tcBorders/>
            <w:shd w:fill="auto" w:val="clear"/>
          </w:tcPr>
          <w:p>
            <w:pPr>
              <w:pStyle w:val="TableContents"/>
              <w:spacing w:before="0" w:after="283"/>
              <w:rPr>
                <w:sz w:val="4"/>
                <w:szCs w:val="4"/>
              </w:rPr>
            </w:pPr>
            <w:r>
              <w:rPr>
                <w:sz w:val="4"/>
                <w:szCs w:val="4"/>
              </w:rPr>
            </w:r>
          </w:p>
        </w:tc>
        <w:tc>
          <w:tcPr>
            <w:tcW w:w="9611" w:type="dxa"/>
            <w:tcBorders/>
            <w:shd w:fill="auto" w:val="clear"/>
          </w:tcPr>
          <w:p>
            <w:pPr>
              <w:pStyle w:val="TableContents"/>
              <w:spacing w:before="0" w:after="283"/>
              <w:rPr>
                <w:sz w:val="20"/>
              </w:rPr>
            </w:pPr>
            <w:r>
              <w:rPr>
                <w:sz w:val="20"/>
              </w:rPr>
              <w:t>Thomas F. Cofsky is Richard M. Jaffees son-in-law.</w:t>
            </w:r>
          </w:p>
        </w:tc>
      </w:tr>
    </w:tbl>
    <w:p>
      <w:pPr>
        <w:pStyle w:val="TextBody"/>
        <w:jc w:val="center"/>
        <w:rPr>
          <w:rFonts w:ascii="serif" w:hAnsi="serif"/>
          <w:b/>
        </w:rPr>
      </w:pPr>
      <w:r>
        <w:rPr>
          <w:rFonts w:ascii="serif" w:hAnsi="serif"/>
          <w:b/>
        </w:rPr>
        <w:t>Section 16(a) Beneficial Ownership Reporting Compliance</w:t>
      </w:r>
    </w:p>
    <w:p>
      <w:pPr>
        <w:pStyle w:val="TextBody"/>
        <w:jc w:val="both"/>
        <w:rPr/>
      </w:pPr>
      <w:r>
        <w:rPr/>
        <w:t>     </w:t>
      </w:r>
      <w:r>
        <w:rPr>
          <w:rFonts w:ascii="serif" w:hAnsi="serif"/>
          <w:sz w:val="20"/>
        </w:rPr>
        <w:t>Under SEC rules, our directors, executive officers and beneficial owners of more than 10% of the Companys Common Stock or Class B Stock are required to file reports of their ownership and changes in that ownership with the SEC. Based solely on its review of copies of these reports and representations of the reporting persons, we believe that during the fiscal year ended July 31, 2007, all reportable transactions were reported and all required reports were timely filed with the SEC.</w:t>
      </w:r>
    </w:p>
    <w:p>
      <w:pPr>
        <w:pStyle w:val="TextBody"/>
        <w:jc w:val="center"/>
        <w:rPr>
          <w:rFonts w:ascii="serif" w:hAnsi="serif"/>
          <w:sz w:val="20"/>
        </w:rPr>
      </w:pPr>
      <w:r>
        <w:rPr>
          <w:rFonts w:ascii="serif" w:hAnsi="serif"/>
          <w:sz w:val="20"/>
        </w:rPr>
        <w:t>42</w:t>
      </w:r>
    </w:p>
    <w:p>
      <w:pPr>
        <w:pStyle w:val="HorizontalLine"/>
        <w:pBdr>
          <w:bottom w:val="single" w:sz="12" w:space="0" w:color="808080"/>
        </w:pBdr>
        <w:rPr/>
      </w:pPr>
      <w:r>
        <w:rPr/>
      </w:r>
    </w:p>
    <w:p>
      <w:pPr>
        <w:pStyle w:val="TextBody"/>
        <w:spacing w:before="0" w:after="0"/>
        <w:rPr/>
      </w:pPr>
      <w:r>
        <w:rPr/>
      </w:r>
    </w:p>
    <w:p>
      <w:pPr>
        <w:pStyle w:val="TextBody"/>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980690" cy="1165860"/>
                <wp:effectExtent l="0" t="0" r="0" b="0"/>
                <wp:wrapSquare wrapText="largest"/>
                <wp:docPr id="12" name="Frame1"/>
                <a:graphic xmlns:a="http://schemas.openxmlformats.org/drawingml/2006/main">
                  <a:graphicData uri="http://schemas.microsoft.com/office/word/2010/wordprocessingShape">
                    <wps:wsp>
                      <wps:cNvSpPr txBox="1"/>
                      <wps:spPr>
                        <a:xfrm>
                          <a:off x="0" y="0"/>
                          <a:ext cx="2980690" cy="1165860"/>
                        </a:xfrm>
                        <a:prstGeom prst="rect"/>
                      </wps:spPr>
                      <wps:txbx>
                        <w:txbxContent>
                          <w:p>
                            <w:pPr>
                              <w:pStyle w:val="TextBody"/>
                              <w:spacing w:before="0" w:after="283"/>
                              <w:rPr/>
                            </w:pPr>
                            <w:r>
                              <w:rPr/>
                              <w:drawing>
                                <wp:inline distT="0" distB="0" distL="0" distR="0">
                                  <wp:extent cx="1343025" cy="5429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1343025" cy="542925"/>
                                          </a:xfrm>
                                          <a:prstGeom prst="rect">
                                            <a:avLst/>
                                          </a:prstGeom>
                                        </pic:spPr>
                                      </pic:pic>
                                    </a:graphicData>
                                  </a:graphic>
                                </wp:inline>
                              </w:drawing>
                            </w:r>
                            <w:r>
                              <w:rPr/>
                              <w:br/>
                              <w:t> </w:t>
                            </w:r>
                            <w:r>
                              <w:rPr>
                                <w:rFonts w:ascii="serif" w:hAnsi="serif"/>
                                <w:b/>
                                <w:i/>
                                <w:sz w:val="20"/>
                              </w:rPr>
                              <w:t>ATTN: INVESTOR RELATIONS</w:t>
                              <w:br/>
                              <w:t>OIL-DRI CORPORATION OF AMERICA</w:t>
                              <w:br/>
                              <w:t>410 N. MICHIGAN AVE. #400</w:t>
                              <w:br/>
                              <w:t>CHICAGO, IL 60611-4213</w:t>
                            </w:r>
                          </w:p>
                        </w:txbxContent>
                      </wps:txbx>
                      <wps:bodyPr anchor="t" lIns="0" tIns="0" rIns="0" bIns="0">
                        <a:noAutofit/>
                      </wps:bodyPr>
                    </wps:wsp>
                  </a:graphicData>
                </a:graphic>
                <wp14:sizeRelH relativeFrom="margin">
                  <wp14:pctWidth>46000</wp14:pctWidth>
                </wp14:sizeRelH>
              </wp:anchor>
            </w:drawing>
          </mc:Choice>
          <mc:Fallback>
            <w:pict>
              <v:rect style="position:absolute;rotation:0;width:234.7pt;height:9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pPr>
                      <w:r>
                        <w:rPr/>
                        <w:drawing>
                          <wp:inline distT="0" distB="0" distL="0" distR="0">
                            <wp:extent cx="1343025" cy="5429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343025" cy="542925"/>
                                    </a:xfrm>
                                    <a:prstGeom prst="rect">
                                      <a:avLst/>
                                    </a:prstGeom>
                                  </pic:spPr>
                                </pic:pic>
                              </a:graphicData>
                            </a:graphic>
                          </wp:inline>
                        </w:drawing>
                      </w:r>
                      <w:r>
                        <w:rPr/>
                        <w:br/>
                        <w:t> </w:t>
                      </w:r>
                      <w:r>
                        <w:rPr>
                          <w:rFonts w:ascii="serif" w:hAnsi="serif"/>
                          <w:b/>
                          <w:i/>
                          <w:sz w:val="20"/>
                        </w:rPr>
                        <w:t>ATTN: INVESTOR RELATIONS</w:t>
                        <w:br/>
                        <w:t>OIL-DRI CORPORATION OF AMERICA</w:t>
                        <w:br/>
                        <w:t>410 N. MICHIGAN AVE. #400</w:t>
                        <w:br/>
                        <w:t>CHICAGO, IL 60611-4213</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right</wp:align>
                </wp:positionH>
                <wp:positionV relativeFrom="line">
                  <wp:posOffset>635</wp:posOffset>
                </wp:positionV>
                <wp:extent cx="2851150" cy="3985260"/>
                <wp:effectExtent l="0" t="0" r="0" b="0"/>
                <wp:wrapSquare wrapText="largest"/>
                <wp:docPr id="15" name="Frame2"/>
                <a:graphic xmlns:a="http://schemas.openxmlformats.org/drawingml/2006/main">
                  <a:graphicData uri="http://schemas.microsoft.com/office/word/2010/wordprocessingShape">
                    <wps:wsp>
                      <wps:cNvSpPr txBox="1"/>
                      <wps:spPr>
                        <a:xfrm>
                          <a:off x="0" y="0"/>
                          <a:ext cx="2851150" cy="3985260"/>
                        </a:xfrm>
                        <a:prstGeom prst="rect"/>
                      </wps:spPr>
                      <wps:txbx>
                        <w:txbxContent>
                          <w:p>
                            <w:pPr>
                              <w:pStyle w:val="TextBody"/>
                              <w:rPr/>
                            </w:pPr>
                            <w:r>
                              <w:rPr/>
                            </w:r>
                          </w:p>
                          <w:p>
                            <w:pPr>
                              <w:pStyle w:val="TextBody"/>
                              <w:spacing w:before="0" w:after="283"/>
                              <w:jc w:val="both"/>
                              <w:rPr>
                                <w:rFonts w:ascii="serif" w:hAnsi="serif"/>
                                <w:sz w:val="14"/>
                              </w:rPr>
                            </w:pPr>
                            <w:r>
                              <w:rPr>
                                <w:rFonts w:ascii="serif" w:hAnsi="serif"/>
                                <w:b/>
                                <w:sz w:val="14"/>
                              </w:rPr>
                              <w:t xml:space="preserve">VOTE BY INTERNET - </w:t>
                            </w:r>
                            <w:r>
                              <w:rPr>
                                <w:rFonts w:ascii="serif" w:hAnsi="serif"/>
                                <w:b/>
                                <w:sz w:val="14"/>
                                <w:u w:val="single"/>
                              </w:rPr>
                              <w:t>www.proxyvote.com</w:t>
                            </w:r>
                            <w:r>
                              <w:rPr>
                                <w:rFonts w:ascii="serif" w:hAnsi="serif"/>
                                <w:b/>
                                <w:sz w:val="14"/>
                              </w:rPr>
                              <w:br/>
                            </w:r>
                            <w:r>
                              <w:rPr>
                                <w:rFonts w:ascii="serif" w:hAnsi="serif"/>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br/>
                              <w:t> </w:t>
                            </w:r>
                            <w:r>
                              <w:rPr>
                                <w:rFonts w:ascii="serif" w:hAnsi="serif"/>
                                <w:b/>
                                <w:sz w:val="14"/>
                              </w:rPr>
                              <w:br/>
                              <w:t>ELECTRONIC DELIVERY OF FUTURE STOCKHOLDER</w:t>
                              <w:br/>
                              <w:t>COMMUNICATIONS</w:t>
                              <w:br/>
                            </w:r>
                            <w:r>
                              <w:rPr>
                                <w:rFonts w:ascii="serif" w:hAnsi="serif"/>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br/>
                              <w:t> </w:t>
                            </w:r>
                            <w:r>
                              <w:rPr>
                                <w:rFonts w:ascii="serif" w:hAnsi="serif"/>
                                <w:b/>
                                <w:sz w:val="14"/>
                              </w:rPr>
                              <w:br/>
                              <w:t>VOTE BY PHONE - 1-800-690-6903</w:t>
                            </w:r>
                            <w:r>
                              <w:rPr>
                                <w:rFonts w:ascii="serif" w:hAnsi="serif"/>
                                <w:sz w:val="14"/>
                              </w:rPr>
                              <w:br/>
                              <w:t>Use any touch-tone telephone to transmit your voting instructions up until 11:59 P.M. Eastern Time the day before the meeting date. Have your proxy card in hand when you call and then follow the instructions.</w:t>
                              <w:br/>
                              <w:t>  </w:t>
                              <w:br/>
                            </w:r>
                            <w:r>
                              <w:rPr>
                                <w:rFonts w:ascii="serif" w:hAnsi="serif"/>
                                <w:b/>
                                <w:sz w:val="14"/>
                              </w:rPr>
                              <w:t>VOTE BY MAIL</w:t>
                            </w:r>
                            <w:r>
                              <w:rPr>
                                <w:rFonts w:ascii="serif" w:hAnsi="serif"/>
                                <w:sz w:val="14"/>
                              </w:rPr>
                              <w:br/>
                              <w:t>Mark, sign and date your proxy card and return it in the postage-paid envelope we have provided or return it to Oil-Dri Corporation of America, c/o Broadridge, 51 Mercedes Way, Edgewood, NY 11717.</w:t>
                              <w:br/>
                              <w:br/>
                            </w:r>
                            <w:r>
                              <w:rPr>
                                <w:rFonts w:ascii="serif" w:hAnsi="serif"/>
                                <w:b/>
                                <w:sz w:val="14"/>
                              </w:rPr>
                              <w:t>HOUSEHOLDING REVOCATION</w:t>
                              <w:br/>
                            </w:r>
                            <w:r>
                              <w:rPr>
                                <w:rFonts w:ascii="serif" w:hAnsi="serif"/>
                                <w:sz w:val="14"/>
                              </w:rPr>
                              <w:t>If you wish to revoke your consent to the receipt of stockholder information in a single package per household, you may do so by calling 1-800-542-1061.</w:t>
                            </w:r>
                          </w:p>
                        </w:txbxContent>
                      </wps:txbx>
                      <wps:bodyPr anchor="t" lIns="0" tIns="0" rIns="0" bIns="0">
                        <a:noAutofit/>
                      </wps:bodyPr>
                    </wps:wsp>
                  </a:graphicData>
                </a:graphic>
                <wp14:sizeRelH relativeFrom="margin">
                  <wp14:pctWidth>44000</wp14:pctWidth>
                </wp14:sizeRelH>
              </wp:anchor>
            </w:drawing>
          </mc:Choice>
          <mc:Fallback>
            <w:pict>
              <v:rect style="position:absolute;rotation:0;width:224.5pt;height:313.8pt;mso-wrap-distance-left:0pt;mso-wrap-distance-right:0pt;mso-wrap-distance-top:0pt;mso-wrap-distance-bottom:0pt;margin-top:0pt;mso-position-vertical:top;mso-position-vertical-relative:text;margin-left:285.75pt;mso-position-horizontal:right;mso-position-horizontal-relative:text">
                <v:textbox inset="0in,0in,0in,0in">
                  <w:txbxContent>
                    <w:p>
                      <w:pPr>
                        <w:pStyle w:val="TextBody"/>
                        <w:rPr/>
                      </w:pPr>
                      <w:r>
                        <w:rPr/>
                      </w:r>
                    </w:p>
                    <w:p>
                      <w:pPr>
                        <w:pStyle w:val="TextBody"/>
                        <w:spacing w:before="0" w:after="283"/>
                        <w:jc w:val="both"/>
                        <w:rPr>
                          <w:rFonts w:ascii="serif" w:hAnsi="serif"/>
                          <w:sz w:val="14"/>
                        </w:rPr>
                      </w:pPr>
                      <w:r>
                        <w:rPr>
                          <w:rFonts w:ascii="serif" w:hAnsi="serif"/>
                          <w:b/>
                          <w:sz w:val="14"/>
                        </w:rPr>
                        <w:t xml:space="preserve">VOTE BY INTERNET - </w:t>
                      </w:r>
                      <w:r>
                        <w:rPr>
                          <w:rFonts w:ascii="serif" w:hAnsi="serif"/>
                          <w:b/>
                          <w:sz w:val="14"/>
                          <w:u w:val="single"/>
                        </w:rPr>
                        <w:t>www.proxyvote.com</w:t>
                      </w:r>
                      <w:r>
                        <w:rPr>
                          <w:rFonts w:ascii="serif" w:hAnsi="serif"/>
                          <w:b/>
                          <w:sz w:val="14"/>
                        </w:rPr>
                        <w:br/>
                      </w:r>
                      <w:r>
                        <w:rPr>
                          <w:rFonts w:ascii="serif" w:hAnsi="serif"/>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br/>
                        <w:t> </w:t>
                      </w:r>
                      <w:r>
                        <w:rPr>
                          <w:rFonts w:ascii="serif" w:hAnsi="serif"/>
                          <w:b/>
                          <w:sz w:val="14"/>
                        </w:rPr>
                        <w:br/>
                        <w:t>ELECTRONIC DELIVERY OF FUTURE STOCKHOLDER</w:t>
                        <w:br/>
                        <w:t>COMMUNICATIONS</w:t>
                        <w:br/>
                      </w:r>
                      <w:r>
                        <w:rPr>
                          <w:rFonts w:ascii="serif" w:hAnsi="serif"/>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br/>
                        <w:t> </w:t>
                      </w:r>
                      <w:r>
                        <w:rPr>
                          <w:rFonts w:ascii="serif" w:hAnsi="serif"/>
                          <w:b/>
                          <w:sz w:val="14"/>
                        </w:rPr>
                        <w:br/>
                        <w:t>VOTE BY PHONE - 1-800-690-6903</w:t>
                      </w:r>
                      <w:r>
                        <w:rPr>
                          <w:rFonts w:ascii="serif" w:hAnsi="serif"/>
                          <w:sz w:val="14"/>
                        </w:rPr>
                        <w:br/>
                        <w:t>Use any touch-tone telephone to transmit your voting instructions up until 11:59 P.M. Eastern Time the day before the meeting date. Have your proxy card in hand when you call and then follow the instructions.</w:t>
                        <w:br/>
                        <w:t>  </w:t>
                        <w:br/>
                      </w:r>
                      <w:r>
                        <w:rPr>
                          <w:rFonts w:ascii="serif" w:hAnsi="serif"/>
                          <w:b/>
                          <w:sz w:val="14"/>
                        </w:rPr>
                        <w:t>VOTE BY MAIL</w:t>
                      </w:r>
                      <w:r>
                        <w:rPr>
                          <w:rFonts w:ascii="serif" w:hAnsi="serif"/>
                          <w:sz w:val="14"/>
                        </w:rPr>
                        <w:br/>
                        <w:t>Mark, sign and date your proxy card and return it in the postage-paid envelope we have provided or return it to Oil-Dri Corporation of America, c/o Broadridge, 51 Mercedes Way, Edgewood, NY 11717.</w:t>
                        <w:br/>
                        <w:br/>
                      </w:r>
                      <w:r>
                        <w:rPr>
                          <w:rFonts w:ascii="serif" w:hAnsi="serif"/>
                          <w:b/>
                          <w:sz w:val="14"/>
                        </w:rPr>
                        <w:t>HOUSEHOLDING REVOCATION</w:t>
                        <w:br/>
                      </w:r>
                      <w:r>
                        <w:rPr>
                          <w:rFonts w:ascii="serif" w:hAnsi="serif"/>
                          <w:sz w:val="14"/>
                        </w:rPr>
                        <w:t>If you wish to revoke your consent to the receipt of stockholder information in a single package per household, you may do so by calling 1-800-542-1061.</w:t>
                      </w:r>
                    </w:p>
                  </w:txbxContent>
                </v:textbox>
                <w10:wrap type="square" side="left"/>
              </v:rect>
            </w:pict>
          </mc:Fallback>
        </mc:AlternateConten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tbl>
      <w:tblPr>
        <w:tblW w:w="5000" w:type="pct"/>
        <w:jc w:val="left"/>
        <w:tblInd w:w="0" w:type="dxa"/>
        <w:tblCellMar>
          <w:top w:w="0" w:type="dxa"/>
          <w:left w:w="0" w:type="dxa"/>
          <w:bottom w:w="0" w:type="dxa"/>
          <w:right w:w="0" w:type="dxa"/>
        </w:tblCellMar>
      </w:tblPr>
      <w:tblGrid>
        <w:gridCol w:w="5520"/>
        <w:gridCol w:w="892"/>
        <w:gridCol w:w="3793"/>
      </w:tblGrid>
      <w:tr>
        <w:trPr/>
        <w:tc>
          <w:tcPr>
            <w:tcW w:w="5520"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jc w:val="both"/>
              <w:rPr/>
            </w:pPr>
            <w:r>
              <w:rPr/>
              <w:t> </w:t>
            </w:r>
          </w:p>
        </w:tc>
        <w:tc>
          <w:tcPr>
            <w:tcW w:w="3793" w:type="dxa"/>
            <w:tcBorders/>
            <w:shd w:fill="auto" w:val="clear"/>
            <w:vAlign w:val="center"/>
          </w:tcPr>
          <w:p>
            <w:pPr>
              <w:pStyle w:val="TableContents"/>
              <w:spacing w:before="0" w:after="283"/>
              <w:jc w:val="both"/>
              <w:rPr/>
            </w:pPr>
            <w:r>
              <w:rPr/>
              <w:t> </w:t>
            </w:r>
          </w:p>
        </w:tc>
      </w:tr>
      <w:tr>
        <w:trPr/>
        <w:tc>
          <w:tcPr>
            <w:tcW w:w="5520" w:type="dxa"/>
            <w:tcBorders/>
            <w:shd w:fill="auto" w:val="clear"/>
            <w:vAlign w:val="bottom"/>
          </w:tcPr>
          <w:p>
            <w:pPr>
              <w:pStyle w:val="TableContents"/>
              <w:spacing w:before="0" w:after="283"/>
              <w:jc w:val="both"/>
              <w:rPr/>
            </w:pPr>
            <w:r>
              <w:rPr/>
              <w:t>TO VOTE, MARK BLOCKS BELOW IN BLUE OR BLACK INK AS FOLLOWS:</w:t>
            </w:r>
          </w:p>
        </w:tc>
        <w:tc>
          <w:tcPr>
            <w:tcW w:w="892" w:type="dxa"/>
            <w:tcBorders/>
            <w:shd w:fill="auto" w:val="clear"/>
            <w:vAlign w:val="bottom"/>
          </w:tcPr>
          <w:p>
            <w:pPr>
              <w:pStyle w:val="TableContents"/>
              <w:spacing w:before="0" w:after="283"/>
              <w:jc w:val="right"/>
              <w:rPr/>
            </w:pPr>
            <w:r>
              <w:rPr/>
              <w:t>OILDR1</w:t>
            </w:r>
          </w:p>
        </w:tc>
        <w:tc>
          <w:tcPr>
            <w:tcW w:w="3793" w:type="dxa"/>
            <w:tcBorders/>
            <w:shd w:fill="auto" w:val="clear"/>
            <w:vAlign w:val="bottom"/>
          </w:tcPr>
          <w:p>
            <w:pPr>
              <w:pStyle w:val="TableContents"/>
              <w:spacing w:before="0" w:after="283"/>
              <w:jc w:val="right"/>
              <w:rPr/>
            </w:pPr>
            <w:r>
              <w:rPr/>
              <w:t>KEEP THIS PORTION FOR YOUR RECORDS</w:t>
            </w:r>
          </w:p>
        </w:tc>
      </w:tr>
      <w:tr>
        <w:trPr/>
        <w:tc>
          <w:tcPr>
            <w:tcW w:w="10205" w:type="dxa"/>
            <w:gridSpan w:val="3"/>
            <w:tcBorders>
              <w:bottom w:val="dashed" w:sz="2" w:space="0" w:color="000000"/>
            </w:tcBorders>
            <w:shd w:fill="auto" w:val="clear"/>
            <w:tcMar>
              <w:bottom w:w="28" w:type="dxa"/>
            </w:tcMar>
            <w:vAlign w:val="bottom"/>
          </w:tcPr>
          <w:p>
            <w:pPr>
              <w:pStyle w:val="TableContents"/>
              <w:spacing w:before="0" w:after="283"/>
              <w:jc w:val="both"/>
              <w:rPr/>
            </w:pPr>
            <w:r>
              <w:rPr/>
              <w:t> </w:t>
            </w:r>
          </w:p>
        </w:tc>
      </w:tr>
      <w:tr>
        <w:trPr/>
        <w:tc>
          <w:tcPr>
            <w:tcW w:w="5520" w:type="dxa"/>
            <w:tcBorders/>
            <w:shd w:fill="auto" w:val="clear"/>
            <w:vAlign w:val="bottom"/>
          </w:tcPr>
          <w:p>
            <w:pPr>
              <w:pStyle w:val="TableContents"/>
              <w:spacing w:before="0" w:after="0"/>
              <w:ind w:left="150" w:right="0" w:hanging="150"/>
              <w:jc w:val="both"/>
              <w:rPr/>
            </w:pPr>
            <w:r>
              <w:rPr/>
              <w:t> </w:t>
            </w:r>
          </w:p>
        </w:tc>
        <w:tc>
          <w:tcPr>
            <w:tcW w:w="892" w:type="dxa"/>
            <w:tcBorders/>
            <w:shd w:fill="auto" w:val="clear"/>
            <w:vAlign w:val="bottom"/>
          </w:tcPr>
          <w:p>
            <w:pPr>
              <w:pStyle w:val="TableContents"/>
              <w:spacing w:before="0" w:after="283"/>
              <w:jc w:val="both"/>
              <w:rPr/>
            </w:pPr>
            <w:r>
              <w:rPr/>
              <w:t> </w:t>
            </w:r>
          </w:p>
        </w:tc>
        <w:tc>
          <w:tcPr>
            <w:tcW w:w="3793" w:type="dxa"/>
            <w:tcBorders/>
            <w:shd w:fill="auto" w:val="clear"/>
            <w:vAlign w:val="bottom"/>
          </w:tcPr>
          <w:p>
            <w:pPr>
              <w:pStyle w:val="TableContents"/>
              <w:spacing w:before="0" w:after="283"/>
              <w:jc w:val="right"/>
              <w:rPr/>
            </w:pPr>
            <w:r>
              <w:rPr/>
              <w:t>DETACH AND RETURN THIS PORTION ONLY</w:t>
            </w:r>
          </w:p>
        </w:tc>
      </w:tr>
      <w:tr>
        <w:trPr/>
        <w:tc>
          <w:tcPr>
            <w:tcW w:w="10205" w:type="dxa"/>
            <w:gridSpan w:val="3"/>
            <w:tcBorders/>
            <w:shd w:fill="auto" w:val="clear"/>
            <w:vAlign w:val="bottom"/>
          </w:tcPr>
          <w:p>
            <w:pPr>
              <w:pStyle w:val="TableContents"/>
              <w:spacing w:before="0" w:after="0"/>
              <w:ind w:left="150" w:right="0" w:hanging="150"/>
              <w:jc w:val="center"/>
              <w:rPr>
                <w:b/>
              </w:rPr>
            </w:pPr>
            <w:r>
              <w:rPr>
                <w:b/>
              </w:rPr>
              <w:t>THIS PROXY CARD IS VALID ONLY WHEN SIGNED AND DATED.</w:t>
            </w:r>
          </w:p>
        </w:tc>
      </w:tr>
    </w:tbl>
    <w:tbl>
      <w:tblPr>
        <w:tblW w:w="5000" w:type="pct"/>
        <w:jc w:val="left"/>
        <w:tblInd w:w="0" w:type="dxa"/>
        <w:tblCellMar>
          <w:top w:w="0" w:type="dxa"/>
          <w:left w:w="0" w:type="dxa"/>
          <w:bottom w:w="0" w:type="dxa"/>
          <w:right w:w="0" w:type="dxa"/>
        </w:tblCellMar>
      </w:tblPr>
      <w:tblGrid>
        <w:gridCol w:w="173"/>
        <w:gridCol w:w="470"/>
        <w:gridCol w:w="1421"/>
        <w:gridCol w:w="887"/>
        <w:gridCol w:w="571"/>
        <w:gridCol w:w="177"/>
        <w:gridCol w:w="252"/>
        <w:gridCol w:w="462"/>
        <w:gridCol w:w="452"/>
        <w:gridCol w:w="495"/>
        <w:gridCol w:w="754"/>
        <w:gridCol w:w="634"/>
        <w:gridCol w:w="372"/>
        <w:gridCol w:w="477"/>
        <w:gridCol w:w="571"/>
        <w:gridCol w:w="495"/>
        <w:gridCol w:w="613"/>
        <w:gridCol w:w="343"/>
        <w:gridCol w:w="278"/>
        <w:gridCol w:w="188"/>
        <w:gridCol w:w="120"/>
      </w:tblGrid>
      <w:tr>
        <w:trPr/>
        <w:tc>
          <w:tcPr>
            <w:tcW w:w="2951" w:type="dxa"/>
            <w:gridSpan w:val="4"/>
            <w:tcBorders/>
            <w:shd w:fill="auto" w:val="clear"/>
            <w:vAlign w:val="center"/>
          </w:tcPr>
          <w:p>
            <w:pPr>
              <w:pStyle w:val="TableContents"/>
              <w:spacing w:before="0" w:after="283"/>
              <w:jc w:val="left"/>
              <w:rPr>
                <w:rFonts w:ascii="serif" w:hAnsi="serif"/>
                <w:b/>
                <w:sz w:val="14"/>
              </w:rPr>
            </w:pPr>
            <w:r>
              <w:rPr>
                <w:rFonts w:ascii="serif" w:hAnsi="serif"/>
                <w:b/>
                <w:sz w:val="14"/>
              </w:rPr>
              <w:t>OIL-DRI CORPORATION OF AMERICA</w:t>
              <w:br/>
              <w:t> </w:t>
            </w:r>
          </w:p>
        </w:tc>
        <w:tc>
          <w:tcPr>
            <w:tcW w:w="571" w:type="dxa"/>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156" w:type="dxa"/>
            <w:gridSpan w:val="4"/>
            <w:tcBorders/>
            <w:shd w:fill="auto" w:val="clear"/>
            <w:vAlign w:val="center"/>
          </w:tcPr>
          <w:p>
            <w:pPr>
              <w:pStyle w:val="TableContents"/>
              <w:spacing w:before="0" w:after="283"/>
              <w:rPr>
                <w:sz w:val="4"/>
                <w:szCs w:val="4"/>
              </w:rPr>
            </w:pPr>
            <w:r>
              <w:rPr>
                <w:sz w:val="4"/>
                <w:szCs w:val="4"/>
              </w:rPr>
            </w:r>
          </w:p>
        </w:tc>
        <w:tc>
          <w:tcPr>
            <w:tcW w:w="621" w:type="dxa"/>
            <w:gridSpan w:val="2"/>
            <w:tcBorders/>
            <w:shd w:fill="auto" w:val="clear"/>
            <w:vAlign w:val="center"/>
          </w:tcPr>
          <w:p>
            <w:pPr>
              <w:pStyle w:val="TableContents"/>
              <w:spacing w:before="0" w:after="283"/>
              <w:rPr>
                <w:sz w:val="4"/>
                <w:szCs w:val="4"/>
              </w:rPr>
            </w:pPr>
            <w:r>
              <w:rPr>
                <w:sz w:val="4"/>
                <w:szCs w:val="4"/>
              </w:rPr>
            </w:r>
          </w:p>
        </w:tc>
        <w:tc>
          <w:tcPr>
            <w:tcW w:w="308" w:type="dxa"/>
            <w:gridSpan w:val="2"/>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top w:val="single" w:sz="16" w:space="0" w:color="000000"/>
              <w:left w:val="single" w:sz="16" w:space="0" w:color="000000"/>
              <w:bottom w:val="single" w:sz="16" w:space="0" w:color="000000"/>
            </w:tcBorders>
            <w:shd w:fill="auto" w:val="clear"/>
            <w:tcMar>
              <w:top w:w="28" w:type="dxa"/>
              <w:left w:w="28" w:type="dxa"/>
              <w:bottom w:w="28" w:type="dxa"/>
            </w:tcMar>
          </w:tcPr>
          <w:p>
            <w:pPr>
              <w:pStyle w:val="TableContents"/>
              <w:spacing w:before="0" w:after="283"/>
              <w:jc w:val="both"/>
              <w:rPr>
                <w:rFonts w:ascii="serif" w:hAnsi="serif"/>
                <w:b/>
                <w:sz w:val="14"/>
              </w:rPr>
            </w:pPr>
            <w:r>
              <w:rPr>
                <w:rFonts w:ascii="serif" w:hAnsi="serif"/>
                <w:b/>
                <w:sz w:val="14"/>
              </w:rPr>
              <w:br/>
              <w:t> </w:t>
            </w:r>
          </w:p>
        </w:tc>
        <w:tc>
          <w:tcPr>
            <w:tcW w:w="2879" w:type="dxa"/>
            <w:gridSpan w:val="3"/>
            <w:tcBorders>
              <w:top w:val="single" w:sz="16" w:space="0" w:color="000000"/>
              <w:bottom w:val="single" w:sz="16" w:space="0" w:color="000000"/>
              <w:right w:val="single" w:sz="16" w:space="0" w:color="000000"/>
            </w:tcBorders>
            <w:shd w:fill="auto" w:val="clear"/>
            <w:tcMar>
              <w:top w:w="28" w:type="dxa"/>
              <w:bottom w:w="28" w:type="dxa"/>
              <w:right w:w="28" w:type="dxa"/>
            </w:tcMar>
            <w:vAlign w:val="center"/>
          </w:tcPr>
          <w:p>
            <w:pPr>
              <w:pStyle w:val="TableContents"/>
              <w:pBdr/>
              <w:spacing w:before="0" w:after="283"/>
              <w:jc w:val="left"/>
              <w:rPr>
                <w:b/>
                <w:sz w:val="20"/>
              </w:rPr>
            </w:pPr>
            <w:r>
              <w:rPr>
                <w:b/>
                <w:sz w:val="20"/>
              </w:rPr>
              <w:t>Annual Meeting Proxy Card</w:t>
            </w:r>
          </w:p>
        </w:tc>
        <w:tc>
          <w:tcPr>
            <w:tcW w:w="891" w:type="dxa"/>
            <w:gridSpan w:val="3"/>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jc w:val="center"/>
              <w:rPr>
                <w:b/>
                <w:sz w:val="14"/>
              </w:rPr>
            </w:pPr>
            <w:r>
              <w:rPr>
                <w:b/>
                <w:sz w:val="14"/>
              </w:rPr>
              <w:t>For</w:t>
            </w:r>
          </w:p>
        </w:tc>
        <w:tc>
          <w:tcPr>
            <w:tcW w:w="754" w:type="dxa"/>
            <w:tcBorders/>
            <w:shd w:fill="auto" w:val="clear"/>
            <w:vAlign w:val="bottom"/>
          </w:tcPr>
          <w:p>
            <w:pPr>
              <w:pStyle w:val="TableContents"/>
              <w:spacing w:before="0" w:after="283"/>
              <w:jc w:val="center"/>
              <w:rPr>
                <w:b/>
                <w:sz w:val="14"/>
              </w:rPr>
            </w:pPr>
            <w:r>
              <w:rPr>
                <w:b/>
                <w:sz w:val="14"/>
              </w:rPr>
              <w:t>Withhold</w:t>
            </w:r>
          </w:p>
        </w:tc>
        <w:tc>
          <w:tcPr>
            <w:tcW w:w="634" w:type="dxa"/>
            <w:tcBorders/>
            <w:shd w:fill="auto" w:val="clear"/>
            <w:vAlign w:val="bottom"/>
          </w:tcPr>
          <w:p>
            <w:pPr>
              <w:pStyle w:val="TableContents"/>
              <w:spacing w:before="0" w:after="283"/>
              <w:jc w:val="center"/>
              <w:rPr/>
            </w:pPr>
            <w:r>
              <w:rPr/>
              <w:t xml:space="preserve">  </w:t>
            </w:r>
            <w:r>
              <w:rPr>
                <w:b/>
                <w:sz w:val="14"/>
              </w:rPr>
              <w:t>For All</w:t>
            </w:r>
          </w:p>
        </w:tc>
        <w:tc>
          <w:tcPr>
            <w:tcW w:w="372" w:type="dxa"/>
            <w:tcBorders/>
            <w:shd w:fill="auto" w:val="clear"/>
            <w:vAlign w:val="center"/>
          </w:tcPr>
          <w:p>
            <w:pPr>
              <w:pStyle w:val="TableContents"/>
              <w:spacing w:before="0" w:after="283"/>
              <w:rPr>
                <w:sz w:val="4"/>
                <w:szCs w:val="4"/>
              </w:rPr>
            </w:pPr>
            <w:r>
              <w:rPr>
                <w:sz w:val="4"/>
                <w:szCs w:val="4"/>
              </w:rPr>
            </w:r>
          </w:p>
        </w:tc>
        <w:tc>
          <w:tcPr>
            <w:tcW w:w="2156" w:type="dxa"/>
            <w:gridSpan w:val="4"/>
            <w:vMerge w:val="restart"/>
            <w:tcBorders/>
            <w:shd w:fill="auto" w:val="clear"/>
            <w:vAlign w:val="center"/>
          </w:tcPr>
          <w:p>
            <w:pPr>
              <w:pStyle w:val="TableContents"/>
              <w:pBdr/>
              <w:spacing w:before="0" w:after="283"/>
              <w:jc w:val="both"/>
              <w:rPr>
                <w:rFonts w:ascii="serif" w:hAnsi="serif"/>
                <w:sz w:val="14"/>
              </w:rPr>
            </w:pPr>
            <w:r>
              <w:rPr>
                <w:rFonts w:ascii="serif" w:hAnsi="serif"/>
                <w:sz w:val="14"/>
              </w:rPr>
              <w:t>To withhold authority to vote for any individual nominee(s), mark For All Except and write the number(s) of the nominee(s) on the line below.</w:t>
            </w:r>
          </w:p>
        </w:tc>
        <w:tc>
          <w:tcPr>
            <w:tcW w:w="621" w:type="dxa"/>
            <w:gridSpan w:val="2"/>
            <w:tcBorders>
              <w:top w:val="single" w:sz="16" w:space="0" w:color="000000"/>
              <w:right w:val="single" w:sz="16" w:space="0" w:color="000000"/>
            </w:tcBorders>
            <w:shd w:fill="auto" w:val="clear"/>
            <w:tcMar>
              <w:top w:w="28" w:type="dxa"/>
              <w:right w:w="28" w:type="dxa"/>
            </w:tcMar>
            <w:vAlign w:val="center"/>
          </w:tcPr>
          <w:p>
            <w:pPr>
              <w:pStyle w:val="TableContents"/>
              <w:spacing w:before="0" w:after="283"/>
              <w:jc w:val="left"/>
              <w:rPr/>
            </w:pPr>
            <w:r>
              <w:rPr/>
              <w:t> </w:t>
            </w:r>
          </w:p>
        </w:tc>
        <w:tc>
          <w:tcPr>
            <w:tcW w:w="308" w:type="dxa"/>
            <w:gridSpan w:val="2"/>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tcPr>
          <w:p>
            <w:pPr>
              <w:pStyle w:val="TableContents"/>
              <w:spacing w:before="0" w:after="283"/>
              <w:jc w:val="both"/>
              <w:rPr/>
            </w:pPr>
            <w:r>
              <w:rPr/>
              <w:t> </w:t>
            </w:r>
          </w:p>
        </w:tc>
        <w:tc>
          <w:tcPr>
            <w:tcW w:w="3056" w:type="dxa"/>
            <w:gridSpan w:val="4"/>
            <w:tcBorders/>
            <w:shd w:fill="auto" w:val="clear"/>
          </w:tcPr>
          <w:p>
            <w:pPr>
              <w:pStyle w:val="TableContents"/>
              <w:pBdr/>
              <w:spacing w:before="0" w:after="283"/>
              <w:jc w:val="both"/>
              <w:rPr>
                <w:rFonts w:ascii="serif" w:hAnsi="serif"/>
                <w:b/>
                <w:sz w:val="14"/>
              </w:rPr>
            </w:pPr>
            <w:r>
              <w:rPr>
                <w:rFonts w:ascii="serif" w:hAnsi="serif"/>
                <w:b/>
                <w:sz w:val="14"/>
              </w:rPr>
              <w:t>The Board of Directors recommends a vote FOR each of the listed nominees and FOR the other listed proposals.</w:t>
            </w:r>
          </w:p>
        </w:tc>
        <w:tc>
          <w:tcPr>
            <w:tcW w:w="252" w:type="dxa"/>
            <w:tcBorders/>
            <w:shd w:fill="auto" w:val="clear"/>
          </w:tcPr>
          <w:p>
            <w:pPr>
              <w:pStyle w:val="TableContents"/>
              <w:spacing w:before="0" w:after="283"/>
              <w:jc w:val="left"/>
              <w:rPr/>
            </w:pPr>
            <w:r>
              <w:rPr/>
              <w:t> </w:t>
            </w:r>
          </w:p>
        </w:tc>
        <w:tc>
          <w:tcPr>
            <w:tcW w:w="462" w:type="dxa"/>
            <w:tcBorders/>
            <w:shd w:fill="auto" w:val="clear"/>
            <w:vAlign w:val="center"/>
          </w:tcPr>
          <w:p>
            <w:pPr>
              <w:pStyle w:val="TableContents"/>
              <w:spacing w:before="0" w:after="283"/>
              <w:jc w:val="left"/>
              <w:rPr/>
            </w:pPr>
            <w:r>
              <w:rPr/>
              <w:t> </w:t>
            </w:r>
          </w:p>
        </w:tc>
        <w:tc>
          <w:tcPr>
            <w:tcW w:w="45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tcPr>
          <w:p>
            <w:pPr>
              <w:pStyle w:val="TableContents"/>
              <w:spacing w:before="0" w:after="283"/>
              <w:jc w:val="center"/>
              <w:rPr>
                <w:b/>
                <w:sz w:val="14"/>
              </w:rPr>
            </w:pPr>
            <w:r>
              <w:rPr>
                <w:b/>
                <w:sz w:val="14"/>
              </w:rPr>
              <w:t>All</w:t>
            </w:r>
          </w:p>
        </w:tc>
        <w:tc>
          <w:tcPr>
            <w:tcW w:w="754" w:type="dxa"/>
            <w:tcBorders/>
            <w:shd w:fill="auto" w:val="clear"/>
          </w:tcPr>
          <w:p>
            <w:pPr>
              <w:pStyle w:val="TableContents"/>
              <w:spacing w:before="0" w:after="283"/>
              <w:jc w:val="center"/>
              <w:rPr>
                <w:b/>
                <w:sz w:val="14"/>
              </w:rPr>
            </w:pPr>
            <w:r>
              <w:rPr>
                <w:b/>
                <w:sz w:val="14"/>
              </w:rPr>
              <w:t>All</w:t>
            </w:r>
          </w:p>
        </w:tc>
        <w:tc>
          <w:tcPr>
            <w:tcW w:w="634" w:type="dxa"/>
            <w:tcBorders/>
            <w:shd w:fill="auto" w:val="clear"/>
          </w:tcPr>
          <w:p>
            <w:pPr>
              <w:pStyle w:val="TableContents"/>
              <w:spacing w:before="0" w:after="283"/>
              <w:jc w:val="center"/>
              <w:rPr/>
            </w:pPr>
            <w:r>
              <w:rPr/>
              <w:t xml:space="preserve">  </w:t>
            </w:r>
            <w:r>
              <w:rPr>
                <w:b/>
                <w:sz w:val="14"/>
              </w:rPr>
              <w:t>Except</w:t>
            </w:r>
          </w:p>
        </w:tc>
        <w:tc>
          <w:tcPr>
            <w:tcW w:w="372" w:type="dxa"/>
            <w:tcBorders/>
            <w:shd w:fill="auto" w:val="clear"/>
            <w:vAlign w:val="center"/>
          </w:tcPr>
          <w:p>
            <w:pPr>
              <w:pStyle w:val="TableContents"/>
              <w:spacing w:before="0" w:after="283"/>
              <w:rPr>
                <w:sz w:val="4"/>
                <w:szCs w:val="4"/>
              </w:rPr>
            </w:pPr>
            <w:r>
              <w:rPr>
                <w:sz w:val="4"/>
                <w:szCs w:val="4"/>
              </w:rPr>
            </w:r>
          </w:p>
        </w:tc>
        <w:tc>
          <w:tcPr>
            <w:tcW w:w="2156" w:type="dxa"/>
            <w:gridSpan w:val="4"/>
            <w:vMerge w:val="continue"/>
            <w:tcBorders/>
            <w:shd w:fill="auto" w:val="clear"/>
            <w:vAlign w:val="center"/>
          </w:tcPr>
          <w:p>
            <w:pPr>
              <w:pStyle w:val="Normal"/>
              <w:rPr/>
            </w:pPr>
            <w:r>
              <w:rPr/>
            </w:r>
          </w:p>
        </w:tc>
        <w:tc>
          <w:tcPr>
            <w:tcW w:w="621" w:type="dxa"/>
            <w:gridSpan w:val="2"/>
            <w:tcBorders>
              <w:right w:val="single" w:sz="16" w:space="0" w:color="000000"/>
            </w:tcBorders>
            <w:shd w:fill="auto" w:val="clear"/>
            <w:tcMar>
              <w:right w:w="28" w:type="dxa"/>
            </w:tcMar>
            <w:vAlign w:val="center"/>
          </w:tcPr>
          <w:p>
            <w:pPr>
              <w:pStyle w:val="TableContents"/>
              <w:spacing w:before="0" w:after="283"/>
              <w:jc w:val="left"/>
              <w:rPr/>
            </w:pPr>
            <w:r>
              <w:rPr/>
              <w:t> </w:t>
            </w:r>
          </w:p>
        </w:tc>
        <w:tc>
          <w:tcPr>
            <w:tcW w:w="308" w:type="dxa"/>
            <w:gridSpan w:val="2"/>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bottom"/>
          </w:tcPr>
          <w:p>
            <w:pPr>
              <w:pStyle w:val="TableContents"/>
              <w:spacing w:before="0" w:after="283"/>
              <w:rPr>
                <w:sz w:val="4"/>
                <w:szCs w:val="4"/>
              </w:rPr>
            </w:pPr>
            <w:r>
              <w:rPr>
                <w:sz w:val="4"/>
                <w:szCs w:val="4"/>
              </w:rPr>
            </w:r>
          </w:p>
        </w:tc>
        <w:tc>
          <w:tcPr>
            <w:tcW w:w="470" w:type="dxa"/>
            <w:tcBorders/>
            <w:shd w:fill="000000" w:val="clear"/>
            <w:vAlign w:val="center"/>
          </w:tcPr>
          <w:p>
            <w:pPr>
              <w:pStyle w:val="TableContents"/>
              <w:spacing w:before="0" w:after="283"/>
              <w:jc w:val="center"/>
              <w:rPr>
                <w:color w:val="FFFFFF"/>
              </w:rPr>
            </w:pPr>
            <w:r>
              <w:rPr>
                <w:color w:val="FFFFFF"/>
              </w:rPr>
              <w:t> </w:t>
            </w:r>
            <w:r>
              <w:rPr>
                <w:rFonts w:ascii="serif" w:hAnsi="serif"/>
                <w:b/>
                <w:color w:val="FFFFFF"/>
                <w:sz w:val="24"/>
              </w:rPr>
              <w:t xml:space="preserve">A  </w:t>
            </w:r>
          </w:p>
        </w:tc>
        <w:tc>
          <w:tcPr>
            <w:tcW w:w="3770" w:type="dxa"/>
            <w:gridSpan w:val="6"/>
            <w:tcBorders/>
            <w:shd w:fill="auto" w:val="clear"/>
            <w:vAlign w:val="center"/>
          </w:tcPr>
          <w:p>
            <w:pPr>
              <w:pStyle w:val="TableContents"/>
              <w:pBdr/>
              <w:spacing w:before="0" w:after="283"/>
              <w:jc w:val="both"/>
              <w:rPr>
                <w:b/>
                <w:sz w:val="20"/>
              </w:rPr>
            </w:pPr>
            <w:r>
              <w:rPr>
                <w:b/>
                <w:sz w:val="20"/>
              </w:rPr>
              <w:t>Election of Directors</w:t>
            </w:r>
          </w:p>
        </w:tc>
        <w:tc>
          <w:tcPr>
            <w:tcW w:w="452" w:type="dxa"/>
            <w:tcBorders/>
            <w:shd w:fill="auto" w:val="clear"/>
            <w:vAlign w:val="bottom"/>
          </w:tcPr>
          <w:p>
            <w:pPr>
              <w:pStyle w:val="TableContents"/>
              <w:spacing w:before="0" w:after="283"/>
              <w:jc w:val="left"/>
              <w:rPr/>
            </w:pPr>
            <w:r>
              <w:rPr/>
              <w:t> </w:t>
            </w:r>
          </w:p>
        </w:tc>
        <w:tc>
          <w:tcPr>
            <w:tcW w:w="495" w:type="dxa"/>
            <w:tcBorders/>
            <w:shd w:fill="auto" w:val="clear"/>
          </w:tcPr>
          <w:p>
            <w:pPr>
              <w:pStyle w:val="TableContents"/>
              <w:spacing w:before="0" w:after="283"/>
              <w:rPr>
                <w:sz w:val="4"/>
                <w:szCs w:val="4"/>
              </w:rPr>
            </w:pPr>
            <w:r>
              <w:rPr>
                <w:sz w:val="4"/>
                <w:szCs w:val="4"/>
              </w:rPr>
            </w:r>
          </w:p>
        </w:tc>
        <w:tc>
          <w:tcPr>
            <w:tcW w:w="754" w:type="dxa"/>
            <w:tcBorders/>
            <w:shd w:fill="auto" w:val="clear"/>
          </w:tcPr>
          <w:p>
            <w:pPr>
              <w:pStyle w:val="TableContents"/>
              <w:spacing w:before="0" w:after="283"/>
              <w:rPr>
                <w:sz w:val="4"/>
                <w:szCs w:val="4"/>
              </w:rPr>
            </w:pPr>
            <w:r>
              <w:rPr>
                <w:sz w:val="4"/>
                <w:szCs w:val="4"/>
              </w:rPr>
            </w:r>
          </w:p>
        </w:tc>
        <w:tc>
          <w:tcPr>
            <w:tcW w:w="634" w:type="dxa"/>
            <w:tcBorders/>
            <w:shd w:fill="auto" w:val="clea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jc w:val="left"/>
              <w:rPr/>
            </w:pPr>
            <w:r>
              <w:rPr/>
              <w:t> </w:t>
            </w:r>
          </w:p>
        </w:tc>
        <w:tc>
          <w:tcPr>
            <w:tcW w:w="2156" w:type="dxa"/>
            <w:gridSpan w:val="4"/>
            <w:vMerge w:val="continue"/>
            <w:tcBorders/>
            <w:shd w:fill="auto" w:val="clear"/>
            <w:vAlign w:val="center"/>
          </w:tcPr>
          <w:p>
            <w:pPr>
              <w:pStyle w:val="Normal"/>
              <w:rPr/>
            </w:pPr>
            <w:r>
              <w:rPr/>
            </w:r>
          </w:p>
        </w:tc>
        <w:tc>
          <w:tcPr>
            <w:tcW w:w="621" w:type="dxa"/>
            <w:gridSpan w:val="2"/>
            <w:tcBorders/>
            <w:shd w:fill="auto" w:val="clear"/>
            <w:vAlign w:val="bottom"/>
          </w:tcPr>
          <w:p>
            <w:pPr>
              <w:pStyle w:val="TableContents"/>
              <w:spacing w:before="0" w:after="283"/>
              <w:jc w:val="left"/>
              <w:rPr/>
            </w:pPr>
            <w:r>
              <w:rPr/>
              <w:t> </w:t>
            </w:r>
          </w:p>
        </w:tc>
        <w:tc>
          <w:tcPr>
            <w:tcW w:w="308" w:type="dxa"/>
            <w:gridSpan w:val="2"/>
            <w:tcBorders/>
            <w:shd w:fill="auto" w:val="clear"/>
            <w:vAlign w:val="bottom"/>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jc w:val="left"/>
              <w:rPr/>
            </w:pPr>
            <w:r>
              <w:rPr/>
              <w:t> </w:t>
            </w:r>
          </w:p>
        </w:tc>
        <w:tc>
          <w:tcPr>
            <w:tcW w:w="470" w:type="dxa"/>
            <w:tcBorders/>
            <w:shd w:fill="auto" w:val="clear"/>
            <w:vAlign w:val="bottom"/>
          </w:tcPr>
          <w:p>
            <w:pPr>
              <w:pStyle w:val="TableContents"/>
              <w:spacing w:before="0" w:after="283"/>
              <w:jc w:val="left"/>
              <w:rPr>
                <w:sz w:val="14"/>
              </w:rPr>
            </w:pPr>
            <w:r>
              <w:rPr>
                <w:sz w:val="14"/>
              </w:rPr>
              <w:t>1.</w:t>
            </w:r>
          </w:p>
        </w:tc>
        <w:tc>
          <w:tcPr>
            <w:tcW w:w="2879" w:type="dxa"/>
            <w:gridSpan w:val="3"/>
            <w:tcBorders/>
            <w:shd w:fill="auto" w:val="clear"/>
            <w:vAlign w:val="bottom"/>
          </w:tcPr>
          <w:p>
            <w:pPr>
              <w:pStyle w:val="TableContents"/>
              <w:spacing w:before="0" w:after="283"/>
              <w:jc w:val="left"/>
              <w:rPr>
                <w:sz w:val="14"/>
              </w:rPr>
            </w:pPr>
            <w:r>
              <w:rPr>
                <w:sz w:val="14"/>
              </w:rPr>
              <w:t>Nominees:</w:t>
            </w:r>
          </w:p>
        </w:tc>
        <w:tc>
          <w:tcPr>
            <w:tcW w:w="429" w:type="dxa"/>
            <w:gridSpan w:val="2"/>
            <w:tcBorders/>
            <w:shd w:fill="auto" w:val="clear"/>
            <w:vAlign w:val="center"/>
          </w:tcPr>
          <w:p>
            <w:pPr>
              <w:pStyle w:val="TableContents"/>
              <w:spacing w:before="0" w:after="283"/>
              <w:jc w:val="left"/>
              <w:rPr/>
            </w:pPr>
            <w:r>
              <w:rPr/>
              <w:t> </w:t>
            </w:r>
          </w:p>
        </w:tc>
        <w:tc>
          <w:tcPr>
            <w:tcW w:w="462" w:type="dxa"/>
            <w:tcBorders/>
            <w:shd w:fill="auto" w:val="clear"/>
            <w:vAlign w:val="center"/>
          </w:tcPr>
          <w:p>
            <w:pPr>
              <w:pStyle w:val="TableContents"/>
              <w:spacing w:before="0" w:after="283"/>
              <w:jc w:val="left"/>
              <w:rPr/>
            </w:pPr>
            <w:r>
              <w:rPr/>
              <w:t> </w:t>
            </w:r>
          </w:p>
        </w:tc>
        <w:tc>
          <w:tcPr>
            <w:tcW w:w="45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tcPr>
          <w:p>
            <w:pPr>
              <w:pStyle w:val="TableContents"/>
              <w:spacing w:before="0" w:after="283"/>
              <w:jc w:val="center"/>
              <w:rPr>
                <w:rFonts w:ascii="Wingdings" w:hAnsi="Wingdings"/>
              </w:rPr>
            </w:pPr>
            <w:r>
              <w:rPr>
                <w:rFonts w:ascii="Wingdings" w:hAnsi="Wingdings"/>
              </w:rPr>
              <w:t>o</w:t>
            </w:r>
          </w:p>
        </w:tc>
        <w:tc>
          <w:tcPr>
            <w:tcW w:w="754" w:type="dxa"/>
            <w:tcBorders/>
            <w:shd w:fill="auto" w:val="clear"/>
          </w:tcPr>
          <w:p>
            <w:pPr>
              <w:pStyle w:val="TableContents"/>
              <w:spacing w:before="0" w:after="283"/>
              <w:jc w:val="center"/>
              <w:rPr>
                <w:rFonts w:ascii="Wingdings" w:hAnsi="Wingdings"/>
              </w:rPr>
            </w:pPr>
            <w:r>
              <w:rPr>
                <w:rFonts w:ascii="Wingdings" w:hAnsi="Wingdings"/>
              </w:rPr>
              <w:t>o</w:t>
            </w:r>
          </w:p>
        </w:tc>
        <w:tc>
          <w:tcPr>
            <w:tcW w:w="634" w:type="dxa"/>
            <w:tcBorders/>
            <w:shd w:fill="auto" w:val="clear"/>
          </w:tcPr>
          <w:p>
            <w:pPr>
              <w:pStyle w:val="TableContents"/>
              <w:spacing w:before="0" w:after="283"/>
              <w:jc w:val="center"/>
              <w:rPr>
                <w:rFonts w:ascii="Wingdings" w:hAnsi="Wingdings"/>
              </w:rPr>
            </w:pPr>
            <w:r>
              <w:rPr>
                <w:rFonts w:ascii="Wingdings" w:hAnsi="Wingdings"/>
              </w:rPr>
              <w:t>o</w:t>
            </w:r>
          </w:p>
        </w:tc>
        <w:tc>
          <w:tcPr>
            <w:tcW w:w="372" w:type="dxa"/>
            <w:tcBorders/>
            <w:shd w:fill="auto" w:val="clear"/>
            <w:vAlign w:val="center"/>
          </w:tcPr>
          <w:p>
            <w:pPr>
              <w:pStyle w:val="TableContents"/>
              <w:spacing w:before="0" w:after="283"/>
              <w:rPr>
                <w:sz w:val="4"/>
                <w:szCs w:val="4"/>
              </w:rPr>
            </w:pPr>
            <w:r>
              <w:rPr>
                <w:sz w:val="4"/>
                <w:szCs w:val="4"/>
              </w:rPr>
            </w:r>
          </w:p>
        </w:tc>
        <w:tc>
          <w:tcPr>
            <w:tcW w:w="2156" w:type="dxa"/>
            <w:gridSpan w:val="4"/>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34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278" w:type="dxa"/>
            <w:tcBorders/>
            <w:shd w:fill="auto" w:val="clear"/>
            <w:vAlign w:val="center"/>
          </w:tcPr>
          <w:p>
            <w:pPr>
              <w:pStyle w:val="TableContents"/>
              <w:spacing w:before="0" w:after="283"/>
              <w:jc w:val="left"/>
              <w:rPr/>
            </w:pPr>
            <w:r>
              <w:rPr/>
              <w:t> </w:t>
            </w:r>
          </w:p>
        </w:tc>
        <w:tc>
          <w:tcPr>
            <w:tcW w:w="308" w:type="dxa"/>
            <w:gridSpan w:val="2"/>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1421" w:type="dxa"/>
            <w:tcBorders/>
            <w:shd w:fill="auto" w:val="clear"/>
          </w:tcPr>
          <w:p>
            <w:pPr>
              <w:pStyle w:val="TableContents"/>
              <w:spacing w:before="0" w:after="283"/>
              <w:jc w:val="left"/>
              <w:rPr>
                <w:sz w:val="14"/>
              </w:rPr>
            </w:pPr>
            <w:r>
              <w:rPr>
                <w:sz w:val="14"/>
              </w:rPr>
              <w:t>01 - J. Steven Cole</w:t>
              <w:br/>
              <w:t>02 - Arnold W. Donald</w:t>
              <w:br/>
              <w:t>03 - Daniel S. Jaffee</w:t>
              <w:br/>
              <w:t>04 - Richard M. Jaffee</w:t>
            </w:r>
          </w:p>
        </w:tc>
        <w:tc>
          <w:tcPr>
            <w:tcW w:w="1458" w:type="dxa"/>
            <w:gridSpan w:val="2"/>
            <w:tcBorders/>
            <w:shd w:fill="auto" w:val="clear"/>
          </w:tcPr>
          <w:p>
            <w:pPr>
              <w:pStyle w:val="TableContents"/>
              <w:spacing w:before="0" w:after="283"/>
              <w:jc w:val="left"/>
              <w:rPr>
                <w:sz w:val="14"/>
              </w:rPr>
            </w:pPr>
            <w:r>
              <w:rPr>
                <w:sz w:val="14"/>
              </w:rPr>
              <w:t>05 - Joseph C. Miller</w:t>
              <w:br/>
              <w:t>06 - Michael A. Nemeroff</w:t>
              <w:br/>
              <w:t>07 - Allan H. Selig</w:t>
              <w:br/>
              <w:t>08 - Paul E. Suckow</w:t>
            </w:r>
          </w:p>
        </w:tc>
        <w:tc>
          <w:tcPr>
            <w:tcW w:w="891" w:type="dxa"/>
            <w:gridSpan w:val="3"/>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jc w:val="left"/>
              <w:rPr>
                <w:b/>
                <w:sz w:val="14"/>
              </w:rPr>
            </w:pPr>
            <w:r>
              <w:rPr>
                <w:b/>
                <w:sz w:val="14"/>
              </w:rPr>
              <w:t>For</w:t>
            </w:r>
          </w:p>
        </w:tc>
        <w:tc>
          <w:tcPr>
            <w:tcW w:w="613" w:type="dxa"/>
            <w:tcBorders/>
            <w:shd w:fill="auto" w:val="clear"/>
            <w:vAlign w:val="bottom"/>
          </w:tcPr>
          <w:p>
            <w:pPr>
              <w:pStyle w:val="TableContents"/>
              <w:spacing w:before="0" w:after="283"/>
              <w:jc w:val="right"/>
              <w:rPr>
                <w:b/>
                <w:sz w:val="14"/>
              </w:rPr>
            </w:pPr>
            <w:r>
              <w:rPr>
                <w:b/>
                <w:sz w:val="14"/>
              </w:rPr>
              <w:t>Against</w:t>
            </w:r>
          </w:p>
        </w:tc>
        <w:tc>
          <w:tcPr>
            <w:tcW w:w="809" w:type="dxa"/>
            <w:gridSpan w:val="3"/>
            <w:tcBorders/>
            <w:shd w:fill="auto" w:val="clear"/>
            <w:vAlign w:val="bottom"/>
          </w:tcPr>
          <w:p>
            <w:pPr>
              <w:pStyle w:val="TableContents"/>
              <w:spacing w:before="0" w:after="283"/>
              <w:jc w:val="right"/>
              <w:rPr>
                <w:b/>
                <w:sz w:val="14"/>
              </w:rPr>
            </w:pPr>
            <w:r>
              <w:rPr>
                <w:b/>
                <w:sz w:val="14"/>
              </w:rPr>
              <w:t>Abstain</w:t>
            </w:r>
          </w:p>
        </w:tc>
        <w:tc>
          <w:tcPr>
            <w:tcW w:w="120" w:type="dxa"/>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bottom"/>
          </w:tcPr>
          <w:p>
            <w:pPr>
              <w:pStyle w:val="TableContents"/>
              <w:spacing w:before="0" w:after="283"/>
              <w:jc w:val="left"/>
              <w:rPr/>
            </w:pPr>
            <w:r>
              <w:rPr/>
              <w:t> </w:t>
            </w:r>
          </w:p>
        </w:tc>
        <w:tc>
          <w:tcPr>
            <w:tcW w:w="470" w:type="dxa"/>
            <w:tcBorders/>
            <w:shd w:fill="000000" w:val="clear"/>
            <w:vAlign w:val="center"/>
          </w:tcPr>
          <w:p>
            <w:pPr>
              <w:pStyle w:val="TableContents"/>
              <w:spacing w:before="0" w:after="283"/>
              <w:jc w:val="center"/>
              <w:rPr>
                <w:color w:val="FFFFFF"/>
              </w:rPr>
            </w:pPr>
            <w:r>
              <w:rPr>
                <w:color w:val="FFFFFF"/>
              </w:rPr>
              <w:t> </w:t>
            </w:r>
            <w:r>
              <w:rPr>
                <w:rFonts w:ascii="serif" w:hAnsi="serif"/>
                <w:b/>
                <w:color w:val="FFFFFF"/>
                <w:sz w:val="24"/>
              </w:rPr>
              <w:t xml:space="preserve">B  </w:t>
            </w:r>
          </w:p>
        </w:tc>
        <w:tc>
          <w:tcPr>
            <w:tcW w:w="1421" w:type="dxa"/>
            <w:tcBorders/>
            <w:shd w:fill="auto" w:val="clear"/>
            <w:vAlign w:val="center"/>
          </w:tcPr>
          <w:p>
            <w:pPr>
              <w:pStyle w:val="TableContents"/>
              <w:pBdr/>
              <w:spacing w:before="0" w:after="283"/>
              <w:jc w:val="both"/>
              <w:rPr>
                <w:b/>
                <w:sz w:val="20"/>
              </w:rPr>
            </w:pPr>
            <w:r>
              <w:rPr>
                <w:b/>
                <w:sz w:val="20"/>
              </w:rPr>
              <w:t>Issues</w:t>
            </w:r>
          </w:p>
        </w:tc>
        <w:tc>
          <w:tcPr>
            <w:tcW w:w="887" w:type="dxa"/>
            <w:tcBorders/>
            <w:shd w:fill="auto" w:val="clear"/>
            <w:vAlign w:val="bottom"/>
          </w:tcPr>
          <w:p>
            <w:pPr>
              <w:pStyle w:val="TableContents"/>
              <w:spacing w:before="0" w:after="283"/>
              <w:jc w:val="left"/>
              <w:rPr/>
            </w:pPr>
            <w:r>
              <w:rPr/>
              <w:t> </w:t>
            </w:r>
          </w:p>
        </w:tc>
        <w:tc>
          <w:tcPr>
            <w:tcW w:w="571" w:type="dxa"/>
            <w:tcBorders/>
            <w:shd w:fill="auto" w:val="clear"/>
            <w:vAlign w:val="bottom"/>
          </w:tcPr>
          <w:p>
            <w:pPr>
              <w:pStyle w:val="TableContents"/>
              <w:spacing w:before="0" w:after="283"/>
              <w:jc w:val="left"/>
              <w:rPr/>
            </w:pPr>
            <w:r>
              <w:rPr/>
              <w:t> </w:t>
            </w:r>
          </w:p>
        </w:tc>
        <w:tc>
          <w:tcPr>
            <w:tcW w:w="891" w:type="dxa"/>
            <w:gridSpan w:val="3"/>
            <w:tcBorders/>
            <w:shd w:fill="auto" w:val="clear"/>
            <w:vAlign w:val="bottom"/>
          </w:tcPr>
          <w:p>
            <w:pPr>
              <w:pStyle w:val="TableContents"/>
              <w:spacing w:before="0" w:after="283"/>
              <w:jc w:val="left"/>
              <w:rPr/>
            </w:pPr>
            <w:r>
              <w:rPr/>
              <w:t> </w:t>
            </w:r>
          </w:p>
        </w:tc>
        <w:tc>
          <w:tcPr>
            <w:tcW w:w="452" w:type="dxa"/>
            <w:tcBorders/>
            <w:shd w:fill="auto" w:val="clear"/>
            <w:vAlign w:val="bottom"/>
          </w:tcPr>
          <w:p>
            <w:pPr>
              <w:pStyle w:val="TableContents"/>
              <w:spacing w:before="0" w:after="283"/>
              <w:jc w:val="left"/>
              <w:rPr/>
            </w:pPr>
            <w:r>
              <w:rPr/>
              <w:t> </w:t>
            </w:r>
          </w:p>
        </w:tc>
        <w:tc>
          <w:tcPr>
            <w:tcW w:w="49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left"/>
              <w:rPr/>
            </w:pPr>
            <w:r>
              <w:rPr/>
              <w:t> </w:t>
            </w:r>
          </w:p>
        </w:tc>
        <w:tc>
          <w:tcPr>
            <w:tcW w:w="634" w:type="dxa"/>
            <w:tcBorders/>
            <w:shd w:fill="auto" w:val="clear"/>
            <w:vAlign w:val="bottom"/>
          </w:tcPr>
          <w:p>
            <w:pPr>
              <w:pStyle w:val="TableContents"/>
              <w:spacing w:before="0" w:after="283"/>
              <w:jc w:val="left"/>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1048" w:type="dxa"/>
            <w:gridSpan w:val="2"/>
            <w:tcBorders/>
            <w:shd w:fill="auto" w:val="clear"/>
            <w:vAlign w:val="bottom"/>
          </w:tcPr>
          <w:p>
            <w:pPr>
              <w:pStyle w:val="TableContents"/>
              <w:spacing w:before="0" w:after="283"/>
              <w:jc w:val="left"/>
              <w:rPr/>
            </w:pPr>
            <w:r>
              <w:rPr/>
              <w:t> </w:t>
            </w:r>
          </w:p>
        </w:tc>
        <w:tc>
          <w:tcPr>
            <w:tcW w:w="495"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809" w:type="dxa"/>
            <w:gridSpan w:val="3"/>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jc w:val="left"/>
              <w:rPr/>
            </w:pPr>
            <w:r>
              <w:rPr/>
              <w:t> </w:t>
            </w:r>
          </w:p>
        </w:tc>
      </w:tr>
      <w:tr>
        <w:trPr/>
        <w:tc>
          <w:tcPr>
            <w:tcW w:w="10205" w:type="dxa"/>
            <w:gridSpan w:val="21"/>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tcPr>
          <w:p>
            <w:pPr>
              <w:pStyle w:val="TableContents"/>
              <w:spacing w:before="0" w:after="283"/>
              <w:jc w:val="left"/>
              <w:rPr>
                <w:sz w:val="14"/>
              </w:rPr>
            </w:pPr>
            <w:r>
              <w:rPr>
                <w:sz w:val="14"/>
              </w:rPr>
              <w:t>2.</w:t>
            </w:r>
          </w:p>
        </w:tc>
        <w:tc>
          <w:tcPr>
            <w:tcW w:w="6954" w:type="dxa"/>
            <w:gridSpan w:val="12"/>
            <w:tcBorders/>
            <w:shd w:fill="auto" w:val="clear"/>
          </w:tcPr>
          <w:p>
            <w:pPr>
              <w:pStyle w:val="TableContents"/>
              <w:pBdr/>
              <w:spacing w:before="0" w:after="283"/>
              <w:jc w:val="both"/>
              <w:rPr>
                <w:sz w:val="14"/>
              </w:rPr>
            </w:pPr>
            <w:r>
              <w:rPr>
                <w:sz w:val="14"/>
              </w:rPr>
              <w:t>Ratification of the appointment of PricewaterhouseCoopers LLP as the Company's independent auditor for the fiscal year ending July 31, 2008.</w:t>
            </w:r>
          </w:p>
        </w:tc>
        <w:tc>
          <w:tcPr>
            <w:tcW w:w="571" w:type="dxa"/>
            <w:tcBorders/>
            <w:shd w:fill="auto" w:val="clear"/>
          </w:tcPr>
          <w:p>
            <w:pPr>
              <w:pStyle w:val="TableContents"/>
              <w:spacing w:before="0" w:after="283"/>
              <w:jc w:val="left"/>
              <w:rPr/>
            </w:pPr>
            <w:r>
              <w:rPr/>
              <w:t> </w:t>
            </w:r>
          </w:p>
        </w:tc>
        <w:tc>
          <w:tcPr>
            <w:tcW w:w="495" w:type="dxa"/>
            <w:tcBorders/>
            <w:shd w:fill="auto" w:val="clear"/>
            <w:vAlign w:val="center"/>
          </w:tcPr>
          <w:p>
            <w:pPr>
              <w:pStyle w:val="TableContents"/>
              <w:spacing w:before="0" w:after="283"/>
              <w:jc w:val="left"/>
              <w:rPr>
                <w:rFonts w:ascii="Wingdings" w:hAnsi="Wingdings"/>
              </w:rPr>
            </w:pPr>
            <w:r>
              <w:rPr>
                <w:rFonts w:ascii="Wingdings" w:hAnsi="Wingdings"/>
              </w:rPr>
              <w:t>o</w:t>
            </w:r>
          </w:p>
        </w:tc>
        <w:tc>
          <w:tcPr>
            <w:tcW w:w="613" w:type="dxa"/>
            <w:tcBorders/>
            <w:shd w:fill="auto" w:val="clear"/>
            <w:vAlign w:val="center"/>
          </w:tcPr>
          <w:p>
            <w:pPr>
              <w:pStyle w:val="TableContents"/>
              <w:spacing w:before="0" w:after="283"/>
              <w:jc w:val="right"/>
              <w:rPr/>
            </w:pPr>
            <w:r>
              <w:rPr>
                <w:rFonts w:ascii="Wingdings" w:hAnsi="Wingdings"/>
              </w:rPr>
              <w:t>o</w:t>
            </w:r>
            <w:r>
              <w:rPr/>
              <w:t>   </w:t>
            </w:r>
          </w:p>
        </w:tc>
        <w:tc>
          <w:tcPr>
            <w:tcW w:w="809" w:type="dxa"/>
            <w:gridSpan w:val="3"/>
            <w:tcBorders/>
            <w:shd w:fill="auto" w:val="clear"/>
            <w:vAlign w:val="center"/>
          </w:tcPr>
          <w:p>
            <w:pPr>
              <w:pStyle w:val="TableContents"/>
              <w:spacing w:before="0" w:after="283"/>
              <w:jc w:val="right"/>
              <w:rPr/>
            </w:pPr>
            <w:r>
              <w:rPr>
                <w:rFonts w:ascii="Wingdings" w:hAnsi="Wingdings"/>
              </w:rPr>
              <w:t>o</w:t>
            </w:r>
            <w:r>
              <w:rPr/>
              <w:t>   </w:t>
            </w:r>
          </w:p>
        </w:tc>
        <w:tc>
          <w:tcPr>
            <w:tcW w:w="120" w:type="dxa"/>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tcPr>
          <w:p>
            <w:pPr>
              <w:pStyle w:val="TableContents"/>
              <w:spacing w:before="0" w:after="283"/>
              <w:rPr>
                <w:sz w:val="4"/>
                <w:szCs w:val="4"/>
              </w:rPr>
            </w:pPr>
            <w:r>
              <w:rPr>
                <w:sz w:val="4"/>
                <w:szCs w:val="4"/>
              </w:rPr>
            </w:r>
          </w:p>
        </w:tc>
        <w:tc>
          <w:tcPr>
            <w:tcW w:w="7525" w:type="dxa"/>
            <w:gridSpan w:val="13"/>
            <w:tcBorders/>
            <w:shd w:fill="auto" w:val="clear"/>
          </w:tcPr>
          <w:p>
            <w:pPr>
              <w:pStyle w:val="TableContents"/>
              <w:spacing w:before="0" w:after="283"/>
              <w:jc w:val="left"/>
              <w:rPr/>
            </w:pPr>
            <w:r>
              <w:rPr/>
              <w:t> </w:t>
            </w:r>
          </w:p>
        </w:tc>
        <w:tc>
          <w:tcPr>
            <w:tcW w:w="1108" w:type="dxa"/>
            <w:gridSpan w:val="2"/>
            <w:tcBorders/>
            <w:shd w:fill="auto" w:val="clear"/>
            <w:vAlign w:val="center"/>
          </w:tcPr>
          <w:p>
            <w:pPr>
              <w:pStyle w:val="TableContents"/>
              <w:spacing w:before="0" w:after="283"/>
              <w:rPr>
                <w:sz w:val="4"/>
                <w:szCs w:val="4"/>
              </w:rPr>
            </w:pPr>
            <w:r>
              <w:rPr>
                <w:sz w:val="4"/>
                <w:szCs w:val="4"/>
              </w:rPr>
            </w:r>
          </w:p>
        </w:tc>
        <w:tc>
          <w:tcPr>
            <w:tcW w:w="621" w:type="dxa"/>
            <w:gridSpan w:val="2"/>
            <w:tcBorders/>
            <w:shd w:fill="auto" w:val="clear"/>
            <w:vAlign w:val="center"/>
          </w:tcPr>
          <w:p>
            <w:pPr>
              <w:pStyle w:val="TableContents"/>
              <w:spacing w:before="0" w:after="283"/>
              <w:rPr>
                <w:sz w:val="4"/>
                <w:szCs w:val="4"/>
              </w:rPr>
            </w:pPr>
            <w:r>
              <w:rPr>
                <w:sz w:val="4"/>
                <w:szCs w:val="4"/>
              </w:rPr>
            </w:r>
          </w:p>
        </w:tc>
        <w:tc>
          <w:tcPr>
            <w:tcW w:w="308" w:type="dxa"/>
            <w:gridSpan w:val="2"/>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jc w:val="left"/>
              <w:rPr>
                <w:sz w:val="14"/>
              </w:rPr>
            </w:pPr>
            <w:r>
              <w:rPr>
                <w:sz w:val="14"/>
              </w:rPr>
              <w:t>3.</w:t>
            </w:r>
          </w:p>
        </w:tc>
        <w:tc>
          <w:tcPr>
            <w:tcW w:w="7525" w:type="dxa"/>
            <w:gridSpan w:val="13"/>
            <w:tcBorders/>
            <w:shd w:fill="auto" w:val="clear"/>
            <w:vAlign w:val="center"/>
          </w:tcPr>
          <w:p>
            <w:pPr>
              <w:pStyle w:val="TableContents"/>
              <w:pBdr/>
              <w:spacing w:before="0" w:after="283"/>
              <w:jc w:val="both"/>
              <w:rPr>
                <w:sz w:val="14"/>
              </w:rPr>
            </w:pPr>
            <w:r>
              <w:rPr>
                <w:sz w:val="14"/>
              </w:rPr>
              <w:t>In their discretion, the Proxies are authorized to vote upon such other business as may properly come before the meeting.</w:t>
            </w:r>
          </w:p>
        </w:tc>
        <w:tc>
          <w:tcPr>
            <w:tcW w:w="49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shd w:fill="000000" w:val="clear"/>
            <w:vAlign w:val="center"/>
          </w:tcPr>
          <w:p>
            <w:pPr>
              <w:pStyle w:val="TableContents"/>
              <w:spacing w:before="0" w:after="283"/>
              <w:jc w:val="center"/>
              <w:rPr>
                <w:color w:val="FFFFFF"/>
              </w:rPr>
            </w:pPr>
            <w:r>
              <w:rPr>
                <w:color w:val="FFFFFF"/>
              </w:rPr>
              <w:t> </w:t>
            </w:r>
            <w:r>
              <w:rPr>
                <w:rFonts w:ascii="serif" w:hAnsi="serif"/>
                <w:b/>
                <w:color w:val="FFFFFF"/>
                <w:sz w:val="24"/>
              </w:rPr>
              <w:t xml:space="preserve">C  </w:t>
            </w:r>
          </w:p>
        </w:tc>
        <w:tc>
          <w:tcPr>
            <w:tcW w:w="9442" w:type="dxa"/>
            <w:gridSpan w:val="18"/>
            <w:tcBorders/>
            <w:shd w:fill="auto" w:val="clear"/>
            <w:vAlign w:val="center"/>
          </w:tcPr>
          <w:p>
            <w:pPr>
              <w:pStyle w:val="TableContents"/>
              <w:pBdr/>
              <w:spacing w:before="0" w:after="283"/>
              <w:jc w:val="both"/>
              <w:rPr>
                <w:b/>
                <w:sz w:val="20"/>
              </w:rPr>
            </w:pPr>
            <w:r>
              <w:rPr>
                <w:b/>
                <w:sz w:val="20"/>
              </w:rPr>
              <w:t>Authorized Signatures - Sign Below - This section must be completed for your instructions to be executed.</w:t>
            </w:r>
          </w:p>
        </w:tc>
        <w:tc>
          <w:tcPr>
            <w:tcW w:w="120" w:type="dxa"/>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9912" w:type="dxa"/>
            <w:gridSpan w:val="19"/>
            <w:tcBorders/>
            <w:shd w:fill="auto" w:val="clear"/>
            <w:vAlign w:val="bottom"/>
          </w:tcPr>
          <w:p>
            <w:pPr>
              <w:pStyle w:val="TableContents"/>
              <w:pBdr/>
              <w:spacing w:before="0" w:after="283"/>
              <w:jc w:val="both"/>
              <w:rPr>
                <w:rFonts w:ascii="serif" w:hAnsi="serif"/>
                <w:sz w:val="14"/>
              </w:rPr>
            </w:pPr>
            <w:r>
              <w:rPr>
                <w:rFonts w:ascii="serif" w:hAnsi="serif"/>
                <w:sz w:val="14"/>
              </w:rPr>
              <w:t>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w:t>
            </w:r>
          </w:p>
        </w:tc>
        <w:tc>
          <w:tcPr>
            <w:tcW w:w="120" w:type="dxa"/>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10032" w:type="dxa"/>
            <w:gridSpan w:val="20"/>
            <w:tcBorders/>
            <w:shd w:fill="auto" w:val="clear"/>
            <w:vAlign w:val="center"/>
          </w:tcPr>
          <w:p>
            <w:pPr>
              <w:pStyle w:val="TableContents"/>
              <w:spacing w:before="0" w:after="283"/>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3778" w:type="dxa"/>
            <w:gridSpan w:val="6"/>
            <w:tcBorders/>
            <w:shd w:fill="auto" w:val="clear"/>
          </w:tcPr>
          <w:p>
            <w:pPr>
              <w:pStyle w:val="TableContents"/>
              <w:spacing w:before="0" w:after="283"/>
              <w:jc w:val="both"/>
              <w:rPr>
                <w:rFonts w:ascii="serif" w:hAnsi="serif"/>
                <w:sz w:val="14"/>
              </w:rPr>
            </w:pPr>
            <w:r>
              <w:rPr>
                <w:rFonts w:ascii="serif" w:hAnsi="serif"/>
                <w:sz w:val="14"/>
              </w:rPr>
              <w:t>For address changes/comments, please check this box and write them on the back where indicated.</w:t>
            </w:r>
          </w:p>
        </w:tc>
        <w:tc>
          <w:tcPr>
            <w:tcW w:w="462" w:type="dxa"/>
            <w:tcBorders/>
            <w:shd w:fill="auto" w:val="clear"/>
            <w:vAlign w:val="center"/>
          </w:tcPr>
          <w:p>
            <w:pPr>
              <w:pStyle w:val="TableContents"/>
              <w:spacing w:before="0" w:after="283"/>
              <w:jc w:val="left"/>
              <w:rPr/>
            </w:pPr>
            <w:r>
              <w:rPr/>
              <w:t> </w:t>
            </w:r>
          </w:p>
        </w:tc>
        <w:tc>
          <w:tcPr>
            <w:tcW w:w="452" w:type="dxa"/>
            <w:tcBorders/>
            <w:shd w:fill="auto" w:val="clear"/>
          </w:tcPr>
          <w:p>
            <w:pPr>
              <w:pStyle w:val="TableContents"/>
              <w:spacing w:before="0" w:after="283"/>
              <w:jc w:val="left"/>
              <w:rPr>
                <w:rFonts w:ascii="Wingdings" w:hAnsi="Wingdings"/>
              </w:rPr>
            </w:pPr>
            <w:r>
              <w:rPr>
                <w:rFonts w:ascii="Wingdings" w:hAnsi="Wingdings"/>
              </w:rPr>
              <w:t>o</w:t>
            </w:r>
          </w:p>
        </w:tc>
        <w:tc>
          <w:tcPr>
            <w:tcW w:w="5220" w:type="dxa"/>
            <w:gridSpan w:val="11"/>
            <w:vMerge w:val="restart"/>
            <w:tcBorders/>
            <w:shd w:fill="auto" w:val="clear"/>
          </w:tcPr>
          <w:p>
            <w:pPr>
              <w:pStyle w:val="TableContents"/>
              <w:pBdr/>
              <w:spacing w:before="0" w:after="283"/>
              <w:jc w:val="both"/>
              <w:rPr/>
            </w:pPr>
            <w:r>
              <w:rPr/>
              <w:t> </w:t>
            </w:r>
          </w:p>
        </w:tc>
        <w:tc>
          <w:tcPr>
            <w:tcW w:w="120" w:type="dxa"/>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jc w:val="left"/>
              <w:rPr/>
            </w:pPr>
            <w:r>
              <w:rPr/>
              <w:t> </w:t>
            </w:r>
          </w:p>
        </w:tc>
        <w:tc>
          <w:tcPr>
            <w:tcW w:w="470" w:type="dxa"/>
            <w:tcBorders/>
            <w:shd w:fill="auto" w:val="clear"/>
            <w:vAlign w:val="center"/>
          </w:tcPr>
          <w:p>
            <w:pPr>
              <w:pStyle w:val="TableContents"/>
              <w:spacing w:before="0" w:after="283"/>
              <w:rPr>
                <w:sz w:val="4"/>
                <w:szCs w:val="4"/>
              </w:rPr>
            </w:pPr>
            <w:r>
              <w:rPr>
                <w:sz w:val="4"/>
                <w:szCs w:val="4"/>
              </w:rPr>
            </w:r>
          </w:p>
        </w:tc>
        <w:tc>
          <w:tcPr>
            <w:tcW w:w="2308" w:type="dxa"/>
            <w:gridSpan w:val="2"/>
            <w:tcBorders/>
            <w:shd w:fill="auto" w:val="clear"/>
            <w:vAlign w:val="center"/>
          </w:tcPr>
          <w:p>
            <w:pPr>
              <w:pStyle w:val="TableContents"/>
              <w:spacing w:before="0" w:after="283"/>
              <w:jc w:val="left"/>
              <w:rPr/>
            </w:pPr>
            <w:r>
              <w:rPr/>
              <w:t> </w:t>
            </w:r>
          </w:p>
        </w:tc>
        <w:tc>
          <w:tcPr>
            <w:tcW w:w="571" w:type="dxa"/>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jc w:val="center"/>
              <w:rPr>
                <w:b/>
                <w:sz w:val="14"/>
              </w:rPr>
            </w:pPr>
            <w:r>
              <w:rPr>
                <w:b/>
                <w:sz w:val="14"/>
              </w:rPr>
              <w:t>Yes</w:t>
            </w:r>
          </w:p>
        </w:tc>
        <w:tc>
          <w:tcPr>
            <w:tcW w:w="462" w:type="dxa"/>
            <w:tcBorders/>
            <w:shd w:fill="auto" w:val="clear"/>
            <w:vAlign w:val="center"/>
          </w:tcPr>
          <w:p>
            <w:pPr>
              <w:pStyle w:val="TableContents"/>
              <w:spacing w:before="0" w:after="283"/>
              <w:jc w:val="left"/>
              <w:rPr>
                <w:b/>
                <w:sz w:val="14"/>
              </w:rPr>
            </w:pPr>
            <w:r>
              <w:rPr>
                <w:b/>
                <w:sz w:val="14"/>
              </w:rPr>
              <w:t>No</w:t>
            </w:r>
          </w:p>
        </w:tc>
        <w:tc>
          <w:tcPr>
            <w:tcW w:w="452" w:type="dxa"/>
            <w:tcBorders/>
            <w:shd w:fill="auto" w:val="clear"/>
            <w:vAlign w:val="center"/>
          </w:tcPr>
          <w:p>
            <w:pPr>
              <w:pStyle w:val="TableContents"/>
              <w:spacing w:before="0" w:after="283"/>
              <w:rPr>
                <w:sz w:val="4"/>
                <w:szCs w:val="4"/>
              </w:rPr>
            </w:pPr>
            <w:r>
              <w:rPr>
                <w:sz w:val="4"/>
                <w:szCs w:val="4"/>
              </w:rPr>
            </w:r>
          </w:p>
        </w:tc>
        <w:tc>
          <w:tcPr>
            <w:tcW w:w="5220" w:type="dxa"/>
            <w:gridSpan w:val="11"/>
            <w:vMerge w:val="continue"/>
            <w:tcBorders/>
            <w:shd w:fill="auto" w:val="clear"/>
          </w:tcPr>
          <w:p>
            <w:pPr>
              <w:pStyle w:val="Normal"/>
              <w:rPr/>
            </w:pPr>
            <w:r>
              <w:rPr/>
            </w:r>
          </w:p>
        </w:tc>
        <w:tc>
          <w:tcPr>
            <w:tcW w:w="120" w:type="dxa"/>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jc w:val="left"/>
              <w:rPr>
                <w:sz w:val="14"/>
              </w:rPr>
            </w:pPr>
            <w:r>
              <w:rPr>
                <w:sz w:val="14"/>
              </w:rPr>
              <w:t>Please indicate if you plan to attend this meeting.</w:t>
            </w:r>
          </w:p>
        </w:tc>
        <w:tc>
          <w:tcPr>
            <w:tcW w:w="571" w:type="dxa"/>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jc w:val="center"/>
              <w:rPr>
                <w:rFonts w:ascii="Wingdings" w:hAnsi="Wingdings"/>
              </w:rPr>
            </w:pPr>
            <w:r>
              <w:rPr>
                <w:rFonts w:ascii="Wingdings" w:hAnsi="Wingdings"/>
              </w:rPr>
              <w:t>o</w:t>
            </w:r>
          </w:p>
        </w:tc>
        <w:tc>
          <w:tcPr>
            <w:tcW w:w="462" w:type="dxa"/>
            <w:tcBorders/>
            <w:shd w:fill="auto" w:val="clear"/>
            <w:vAlign w:val="center"/>
          </w:tcPr>
          <w:p>
            <w:pPr>
              <w:pStyle w:val="TableContents"/>
              <w:spacing w:before="0" w:after="283"/>
              <w:jc w:val="left"/>
              <w:rPr>
                <w:rFonts w:ascii="Wingdings" w:hAnsi="Wingdings"/>
              </w:rPr>
            </w:pPr>
            <w:r>
              <w:rPr>
                <w:rFonts w:ascii="Wingdings" w:hAnsi="Wingdings"/>
              </w:rPr>
              <w:t>o</w:t>
            </w:r>
          </w:p>
        </w:tc>
        <w:tc>
          <w:tcPr>
            <w:tcW w:w="452" w:type="dxa"/>
            <w:tcBorders/>
            <w:shd w:fill="auto" w:val="clear"/>
            <w:vAlign w:val="center"/>
          </w:tcPr>
          <w:p>
            <w:pPr>
              <w:pStyle w:val="TableContents"/>
              <w:spacing w:before="0" w:after="283"/>
              <w:rPr>
                <w:sz w:val="4"/>
                <w:szCs w:val="4"/>
              </w:rPr>
            </w:pPr>
            <w:r>
              <w:rPr>
                <w:sz w:val="4"/>
                <w:szCs w:val="4"/>
              </w:rPr>
            </w:r>
          </w:p>
        </w:tc>
        <w:tc>
          <w:tcPr>
            <w:tcW w:w="5220" w:type="dxa"/>
            <w:gridSpan w:val="11"/>
            <w:vMerge w:val="continue"/>
            <w:tcBorders/>
            <w:shd w:fill="auto" w:val="clea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jc w:val="left"/>
              <w:rPr/>
            </w:pPr>
            <w:r>
              <w:rPr/>
              <w:t> </w:t>
            </w:r>
          </w:p>
        </w:tc>
        <w:tc>
          <w:tcPr>
            <w:tcW w:w="571" w:type="dxa"/>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5220" w:type="dxa"/>
            <w:gridSpan w:val="11"/>
            <w:tcBorders/>
            <w:shd w:fill="auto" w:val="clea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308" w:type="dxa"/>
            <w:gridSpan w:val="2"/>
            <w:tcBorders/>
            <w:shd w:fill="auto" w:val="clear"/>
            <w:vAlign w:val="center"/>
          </w:tcPr>
          <w:p>
            <w:pPr>
              <w:pStyle w:val="TableContents"/>
              <w:spacing w:before="0" w:after="283"/>
              <w:jc w:val="left"/>
              <w:rPr/>
            </w:pPr>
            <w:r>
              <w:rPr/>
              <w:t> </w:t>
            </w:r>
          </w:p>
        </w:tc>
        <w:tc>
          <w:tcPr>
            <w:tcW w:w="571" w:type="dxa"/>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156" w:type="dxa"/>
            <w:gridSpan w:val="4"/>
            <w:tcBorders/>
            <w:shd w:fill="auto" w:val="clear"/>
            <w:vAlign w:val="center"/>
          </w:tcPr>
          <w:p>
            <w:pPr>
              <w:pStyle w:val="TableContents"/>
              <w:spacing w:before="0" w:after="283"/>
              <w:rPr>
                <w:sz w:val="4"/>
                <w:szCs w:val="4"/>
              </w:rPr>
            </w:pPr>
            <w:r>
              <w:rPr>
                <w:sz w:val="4"/>
                <w:szCs w:val="4"/>
              </w:rPr>
            </w:r>
          </w:p>
        </w:tc>
        <w:tc>
          <w:tcPr>
            <w:tcW w:w="621" w:type="dxa"/>
            <w:gridSpan w:val="2"/>
            <w:tcBorders/>
            <w:shd w:fill="auto" w:val="clear"/>
            <w:vAlign w:val="center"/>
          </w:tcPr>
          <w:p>
            <w:pPr>
              <w:pStyle w:val="TableContents"/>
              <w:spacing w:before="0" w:after="283"/>
              <w:jc w:val="left"/>
              <w:rPr/>
            </w:pPr>
            <w:r>
              <w:rPr/>
              <w:t> </w:t>
            </w:r>
          </w:p>
        </w:tc>
        <w:tc>
          <w:tcPr>
            <w:tcW w:w="308" w:type="dxa"/>
            <w:gridSpan w:val="2"/>
            <w:tcBorders/>
            <w:shd w:fill="auto" w:val="clear"/>
            <w:vAlign w:val="center"/>
          </w:tcPr>
          <w:p>
            <w:pPr>
              <w:pStyle w:val="TableContents"/>
              <w:spacing w:before="0" w:after="283"/>
              <w:jc w:val="left"/>
              <w:rPr/>
            </w:pPr>
            <w:r>
              <w:rPr/>
              <w:t> </w:t>
            </w:r>
          </w:p>
        </w:tc>
      </w:tr>
      <w:tr>
        <w:trPr/>
        <w:tc>
          <w:tcPr>
            <w:tcW w:w="173" w:type="dxa"/>
            <w:tcBorders/>
            <w:shd w:fill="auto" w:val="clear"/>
            <w:vAlign w:val="center"/>
          </w:tcPr>
          <w:p>
            <w:pPr>
              <w:pStyle w:val="TableContents"/>
              <w:spacing w:before="0" w:after="283"/>
              <w:rPr>
                <w:sz w:val="4"/>
                <w:szCs w:val="4"/>
              </w:rPr>
            </w:pPr>
            <w:r>
              <w:rPr>
                <w:sz w:val="4"/>
                <w:szCs w:val="4"/>
              </w:rPr>
            </w:r>
          </w:p>
        </w:tc>
        <w:tc>
          <w:tcPr>
            <w:tcW w:w="2778" w:type="dxa"/>
            <w:gridSpan w:val="3"/>
            <w:vMerge w:val="restart"/>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TableContents"/>
              <w:spacing w:before="0" w:after="283"/>
              <w:jc w:val="left"/>
              <w:rPr/>
            </w:pPr>
            <w:r>
              <w:rPr/>
              <w:t> </w:t>
            </w:r>
          </w:p>
        </w:tc>
        <w:tc>
          <w:tcPr>
            <w:tcW w:w="571" w:type="dxa"/>
            <w:vMerge w:val="restart"/>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732" w:type="dxa"/>
            <w:gridSpan w:val="5"/>
            <w:vMerge w:val="restart"/>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TableContents"/>
              <w:spacing w:before="0" w:after="283"/>
              <w:jc w:val="left"/>
              <w:rPr/>
            </w:pPr>
            <w:r>
              <w:rPr/>
              <w:t> </w:t>
            </w:r>
          </w:p>
        </w:tc>
        <w:tc>
          <w:tcPr>
            <w:tcW w:w="571" w:type="dxa"/>
            <w:vMerge w:val="restart"/>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1108" w:type="dxa"/>
            <w:gridSpan w:val="2"/>
            <w:tcBorders/>
            <w:shd w:fill="auto" w:val="clear"/>
            <w:vAlign w:val="center"/>
          </w:tcPr>
          <w:p>
            <w:pPr>
              <w:pStyle w:val="TableContents"/>
              <w:spacing w:before="0" w:after="283"/>
              <w:jc w:val="left"/>
              <w:rPr/>
            </w:pPr>
            <w:r>
              <w:rPr/>
              <w:t> </w:t>
            </w:r>
          </w:p>
        </w:tc>
        <w:tc>
          <w:tcPr>
            <w:tcW w:w="621" w:type="dxa"/>
            <w:gridSpan w:val="2"/>
            <w:tcBorders/>
            <w:shd w:fill="auto" w:val="clear"/>
            <w:vAlign w:val="center"/>
          </w:tcPr>
          <w:p>
            <w:pPr>
              <w:pStyle w:val="TableContents"/>
              <w:spacing w:before="0" w:after="283"/>
              <w:rPr>
                <w:sz w:val="4"/>
                <w:szCs w:val="4"/>
              </w:rPr>
            </w:pPr>
            <w:r>
              <w:rPr>
                <w:sz w:val="4"/>
                <w:szCs w:val="4"/>
              </w:rPr>
            </w:r>
          </w:p>
        </w:tc>
        <w:tc>
          <w:tcPr>
            <w:tcW w:w="308" w:type="dxa"/>
            <w:gridSpan w:val="2"/>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2778" w:type="dxa"/>
            <w:gridSpan w:val="3"/>
            <w:vMerge w:val="continue"/>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Normal"/>
              <w:rPr/>
            </w:pPr>
            <w:r>
              <w:rPr/>
            </w:r>
          </w:p>
        </w:tc>
        <w:tc>
          <w:tcPr>
            <w:tcW w:w="571" w:type="dxa"/>
            <w:vMerge w:val="continue"/>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Normal"/>
              <w:rPr/>
            </w:pPr>
            <w:r>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732" w:type="dxa"/>
            <w:gridSpan w:val="5"/>
            <w:vMerge w:val="continue"/>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Normal"/>
              <w:rPr/>
            </w:pPr>
            <w:r>
              <w:rPr/>
            </w:r>
          </w:p>
        </w:tc>
        <w:tc>
          <w:tcPr>
            <w:tcW w:w="571" w:type="dxa"/>
            <w:vMerge w:val="continue"/>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Normal"/>
              <w:rPr/>
            </w:pPr>
            <w:r>
              <w:rPr/>
            </w:r>
          </w:p>
        </w:tc>
        <w:tc>
          <w:tcPr>
            <w:tcW w:w="1108" w:type="dxa"/>
            <w:gridSpan w:val="2"/>
            <w:tcBorders/>
            <w:shd w:fill="auto" w:val="clear"/>
            <w:vAlign w:val="center"/>
          </w:tcPr>
          <w:p>
            <w:pPr>
              <w:pStyle w:val="TableContents"/>
              <w:spacing w:before="0" w:after="283"/>
              <w:jc w:val="left"/>
              <w:rPr/>
            </w:pPr>
            <w:r>
              <w:rPr/>
              <w:t> </w:t>
            </w:r>
          </w:p>
        </w:tc>
        <w:tc>
          <w:tcPr>
            <w:tcW w:w="621" w:type="dxa"/>
            <w:gridSpan w:val="2"/>
            <w:tcBorders/>
            <w:shd w:fill="auto" w:val="clear"/>
            <w:vAlign w:val="center"/>
          </w:tcPr>
          <w:p>
            <w:pPr>
              <w:pStyle w:val="TableContents"/>
              <w:spacing w:before="0" w:after="283"/>
              <w:rPr>
                <w:sz w:val="4"/>
                <w:szCs w:val="4"/>
              </w:rPr>
            </w:pPr>
            <w:r>
              <w:rPr>
                <w:sz w:val="4"/>
                <w:szCs w:val="4"/>
              </w:rPr>
            </w:r>
          </w:p>
        </w:tc>
        <w:tc>
          <w:tcPr>
            <w:tcW w:w="308" w:type="dxa"/>
            <w:gridSpan w:val="2"/>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jc w:val="left"/>
              <w:rPr>
                <w:rFonts w:ascii="serif" w:hAnsi="serif"/>
                <w:sz w:val="14"/>
              </w:rPr>
            </w:pPr>
            <w:r>
              <w:rPr>
                <w:rFonts w:ascii="serif" w:hAnsi="serif"/>
                <w:sz w:val="14"/>
              </w:rPr>
              <w:t>Signature [PLEASE SIGN WITHIN BOX]</w:t>
            </w:r>
          </w:p>
        </w:tc>
        <w:tc>
          <w:tcPr>
            <w:tcW w:w="571" w:type="dxa"/>
            <w:tcBorders/>
            <w:shd w:fill="auto" w:val="clear"/>
            <w:vAlign w:val="center"/>
          </w:tcPr>
          <w:p>
            <w:pPr>
              <w:pStyle w:val="TableContents"/>
              <w:spacing w:before="0" w:after="283"/>
              <w:jc w:val="left"/>
              <w:rPr>
                <w:rFonts w:ascii="serif" w:hAnsi="serif"/>
                <w:sz w:val="14"/>
              </w:rPr>
            </w:pPr>
            <w:r>
              <w:rPr>
                <w:rFonts w:ascii="serif" w:hAnsi="serif"/>
                <w:sz w:val="14"/>
              </w:rPr>
              <w:t>Date</w:t>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732" w:type="dxa"/>
            <w:gridSpan w:val="5"/>
            <w:tcBorders/>
            <w:shd w:fill="auto" w:val="clear"/>
            <w:vAlign w:val="center"/>
          </w:tcPr>
          <w:p>
            <w:pPr>
              <w:pStyle w:val="TableContents"/>
              <w:spacing w:before="0" w:after="283"/>
              <w:jc w:val="left"/>
              <w:rPr>
                <w:rFonts w:ascii="serif" w:hAnsi="serif"/>
                <w:sz w:val="14"/>
              </w:rPr>
            </w:pPr>
            <w:r>
              <w:rPr>
                <w:rFonts w:ascii="serif" w:hAnsi="serif"/>
                <w:sz w:val="14"/>
              </w:rPr>
              <w:t>Signature (Joint Owners)</w:t>
            </w:r>
          </w:p>
        </w:tc>
        <w:tc>
          <w:tcPr>
            <w:tcW w:w="571" w:type="dxa"/>
            <w:tcBorders/>
            <w:shd w:fill="auto" w:val="clear"/>
            <w:vAlign w:val="center"/>
          </w:tcPr>
          <w:p>
            <w:pPr>
              <w:pStyle w:val="TableContents"/>
              <w:spacing w:before="0" w:after="283"/>
              <w:jc w:val="left"/>
              <w:rPr>
                <w:rFonts w:ascii="serif" w:hAnsi="serif"/>
                <w:sz w:val="14"/>
              </w:rPr>
            </w:pPr>
            <w:r>
              <w:rPr>
                <w:rFonts w:ascii="serif" w:hAnsi="serif"/>
                <w:sz w:val="14"/>
              </w:rPr>
              <w:t>Date</w:t>
            </w:r>
          </w:p>
        </w:tc>
        <w:tc>
          <w:tcPr>
            <w:tcW w:w="1108" w:type="dxa"/>
            <w:gridSpan w:val="2"/>
            <w:tcBorders/>
            <w:shd w:fill="auto" w:val="clear"/>
            <w:vAlign w:val="center"/>
          </w:tcPr>
          <w:p>
            <w:pPr>
              <w:pStyle w:val="TableContents"/>
              <w:spacing w:before="0" w:after="283"/>
              <w:jc w:val="left"/>
              <w:rPr/>
            </w:pPr>
            <w:r>
              <w:rPr/>
              <w:t> </w:t>
            </w:r>
          </w:p>
        </w:tc>
        <w:tc>
          <w:tcPr>
            <w:tcW w:w="621" w:type="dxa"/>
            <w:gridSpan w:val="2"/>
            <w:tcBorders/>
            <w:shd w:fill="auto" w:val="clear"/>
            <w:vAlign w:val="center"/>
          </w:tcPr>
          <w:p>
            <w:pPr>
              <w:pStyle w:val="TableContents"/>
              <w:spacing w:before="0" w:after="283"/>
              <w:rPr>
                <w:sz w:val="4"/>
                <w:szCs w:val="4"/>
              </w:rPr>
            </w:pPr>
            <w:r>
              <w:rPr>
                <w:sz w:val="4"/>
                <w:szCs w:val="4"/>
              </w:rPr>
            </w:r>
          </w:p>
        </w:tc>
        <w:tc>
          <w:tcPr>
            <w:tcW w:w="308" w:type="dxa"/>
            <w:gridSpan w:val="2"/>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pBdr>
          <w:bottom w:val="single" w:sz="12" w:space="0" w:color="808080"/>
        </w:pBdr>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ashed" w:sz="2" w:space="0" w:color="000000"/>
            </w:tcBorders>
            <w:shd w:fill="auto" w:val="clear"/>
            <w:vAlign w:val="center"/>
          </w:tcPr>
          <w:p>
            <w:pPr>
              <w:pStyle w:val="TableContents"/>
              <w:spacing w:before="0" w:after="283"/>
              <w:jc w:val="center"/>
              <w:rPr/>
            </w:pPr>
            <w:r>
              <w:rPr/>
              <w:t> </w:t>
            </w:r>
          </w:p>
        </w:tc>
      </w:tr>
      <w:tr>
        <w:trPr/>
        <w:tc>
          <w:tcPr>
            <w:tcW w:w="10205" w:type="dxa"/>
            <w:tcBorders/>
            <w:shd w:fill="auto" w:val="clear"/>
            <w:tcMar>
              <w:bottom w:w="0" w:type="dxa"/>
            </w:tcMar>
            <w:vAlign w:val="center"/>
          </w:tcPr>
          <w:p>
            <w:pPr>
              <w:pStyle w:val="TableContents"/>
              <w:spacing w:before="0" w:after="283"/>
              <w:rPr/>
            </w:pPr>
            <w:r>
              <w:rPr/>
              <w:t> </w:t>
            </w:r>
          </w:p>
        </w:tc>
      </w:tr>
    </w:tbl>
    <w:tbl>
      <w:tblPr>
        <w:tblW w:w="5000" w:type="pct"/>
        <w:jc w:val="left"/>
        <w:tblInd w:w="0" w:type="dxa"/>
        <w:tblCellMar>
          <w:top w:w="28" w:type="dxa"/>
          <w:left w:w="0" w:type="dxa"/>
          <w:bottom w:w="28" w:type="dxa"/>
          <w:right w:w="0" w:type="dxa"/>
        </w:tblCellMar>
      </w:tblPr>
      <w:tblGrid>
        <w:gridCol w:w="10205"/>
      </w:tblGrid>
      <w:tr>
        <w:trPr/>
        <w:tc>
          <w:tcPr>
            <w:tcW w:w="10205" w:type="dxa"/>
            <w:tcBorders>
              <w:top w:val="single" w:sz="24" w:space="0" w:color="000000"/>
              <w:bottom w:val="single" w:sz="24" w:space="0" w:color="000000"/>
            </w:tcBorders>
            <w:shd w:fill="auto" w:val="clear"/>
            <w:vAlign w:val="center"/>
          </w:tcPr>
          <w:p>
            <w:pPr>
              <w:pStyle w:val="TableContents"/>
              <w:spacing w:before="0" w:after="283"/>
              <w:jc w:val="both"/>
              <w:rPr>
                <w:rFonts w:ascii="serif" w:hAnsi="serif"/>
                <w:b/>
                <w:sz w:val="28"/>
              </w:rPr>
            </w:pPr>
            <w:r>
              <w:rPr>
                <w:rFonts w:ascii="serif" w:hAnsi="serif"/>
                <w:b/>
                <w:sz w:val="28"/>
              </w:rPr>
              <w:t>Proxy - OIL-DRI CORPORATION OF AMERICA</w:t>
            </w:r>
          </w:p>
        </w:tc>
      </w:tr>
    </w:tbl>
    <w:p>
      <w:pPr>
        <w:pStyle w:val="TextBody"/>
        <w:jc w:val="both"/>
        <w:rPr>
          <w:rFonts w:ascii="serif" w:hAnsi="serif"/>
          <w:sz w:val="16"/>
          <w:bdr w:val="single" w:sz="18" w:space="15" w:color="000000"/>
        </w:rPr>
      </w:pPr>
      <w:r>
        <w:rPr>
          <w:rFonts w:ascii="serif" w:hAnsi="serif"/>
          <w:b/>
          <w:sz w:val="24"/>
          <w:bdr w:val="single" w:sz="18" w:space="15" w:color="000000"/>
        </w:rPr>
        <w:t>410 North Michigan Avenue, Suite 400, Chicago, Illinois 60611-4213</w:t>
      </w:r>
      <w:r>
        <w:rPr>
          <w:rFonts w:ascii="serif" w:hAnsi="serif"/>
          <w:b/>
          <w:sz w:val="16"/>
          <w:bdr w:val="single" w:sz="18" w:space="15" w:color="000000"/>
        </w:rPr>
        <w:br/>
        <w:br/>
      </w:r>
      <w:r>
        <w:rPr>
          <w:rFonts w:ascii="serif" w:hAnsi="serif"/>
          <w:b/>
          <w:sz w:val="24"/>
          <w:bdr w:val="single" w:sz="18" w:space="15" w:color="000000"/>
        </w:rPr>
        <w:t>This Proxy is solicited on Behalf of the Board of Directors</w:t>
      </w:r>
      <w:r>
        <w:rPr>
          <w:rFonts w:ascii="serif" w:hAnsi="serif"/>
          <w:sz w:val="16"/>
          <w:bdr w:val="single" w:sz="18" w:space="15" w:color="000000"/>
        </w:rPr>
        <w:t xml:space="preserve"> </w:t>
      </w:r>
    </w:p>
    <w:p>
      <w:pPr>
        <w:pStyle w:val="TextBody"/>
        <w:jc w:val="both"/>
        <w:rPr>
          <w:rFonts w:ascii="serif" w:hAnsi="serif"/>
          <w:sz w:val="20"/>
          <w:bdr w:val="single" w:sz="18" w:space="15" w:color="000000"/>
        </w:rPr>
      </w:pPr>
      <w:r>
        <w:rPr>
          <w:rFonts w:ascii="serif" w:hAnsi="serif"/>
          <w:sz w:val="20"/>
          <w:bdr w:val="single" w:sz="18" w:space="15" w:color="000000"/>
        </w:rPr>
        <w:t>The undersigned hereby appoints Richard M. Jaffee, Daniel S. Jaffee and Charles P. Brissman as Proxies, each with the full power to appoint his substitute (the action of one, if only one be present and acting, to be in any event controlling), and hereby authorizes them to represent and to vote, as designated on the reverse side, all of the shares of Common Stock and Class B Stock of Oil-Dri Corporation of America held of record by the undersigned at the close of business on October 10, 2007, at the Annual Meeting of Stockholders to be held at The Standard Club, 320 South Plymouth Court, Chicago, Illinois, on December 4, 2007, at 9:00 a.m. local time, and any adjournments thereof, upon the proposals described in the Notice of Annual Meeting of Stockholders and Proxy Statement, both dated October 31, 2007, the receipt of which is acknowledged. The Proxies, in their discretion, are further authorized to vote for the election of a person to the Board of Directors if any of the nominees named herein becomes unavailable to serve, and to vote on any other matters which may properly come before the Annual Meeting and any adjournments thereof.</w:t>
      </w:r>
    </w:p>
    <w:p>
      <w:pPr>
        <w:pStyle w:val="TextBody"/>
        <w:jc w:val="both"/>
        <w:rPr>
          <w:rFonts w:ascii="serif" w:hAnsi="serif"/>
          <w:b/>
          <w:sz w:val="20"/>
          <w:bdr w:val="single" w:sz="18" w:space="15" w:color="000000"/>
        </w:rPr>
      </w:pPr>
      <w:r>
        <w:rPr>
          <w:rFonts w:ascii="serif" w:hAnsi="serif"/>
          <w:b/>
          <w:sz w:val="20"/>
          <w:bdr w:val="single" w:sz="18" w:space="15" w:color="000000"/>
        </w:rPr>
        <w:t>This Proxy, when properly executed, will be voted in the manner directed herein by the undersigned stockholder. If no direction is made, this Proxy will be voted FOR all nominees listed in Proposal 1 and FOR Proposal 2 to ratify the appointment of PricewaterhouseCoopers LLP as independent auditor. This Proxy will be voted with discretionary authority to the Proxies appointed hereby on all other matters that may properly come before the Annual Meeting and any adjournments thereof.</w:t>
      </w:r>
    </w:p>
    <w:p>
      <w:pPr>
        <w:pStyle w:val="TextBody"/>
        <w:spacing w:before="0" w:after="0"/>
        <w:jc w:val="both"/>
        <w:rPr>
          <w:rFonts w:ascii="serif" w:hAnsi="serif"/>
          <w:b/>
          <w:sz w:val="20"/>
          <w:bdr w:val="single" w:sz="18" w:space="15" w:color="000000"/>
        </w:rPr>
      </w:pPr>
      <w:r>
        <w:rPr>
          <w:rFonts w:ascii="serif" w:hAnsi="serif"/>
          <w:b/>
          <w:sz w:val="20"/>
          <w:bdr w:val="single" w:sz="18" w:space="15" w:color="000000"/>
        </w:rPr>
        <w:t>Please mark, sign, date and mail the proxy card promptly using the enclosed envelope.</w:t>
        <w:br/>
        <w:t> </w:t>
      </w:r>
    </w:p>
    <w:tbl>
      <w:tblPr>
        <w:tblW w:w="5000" w:type="pct"/>
        <w:jc w:val="center"/>
        <w:tblInd w:w="0" w:type="dxa"/>
        <w:tblCellMar>
          <w:top w:w="0" w:type="dxa"/>
          <w:left w:w="0" w:type="dxa"/>
          <w:bottom w:w="0" w:type="dxa"/>
          <w:right w:w="0" w:type="dxa"/>
        </w:tblCellMar>
      </w:tblPr>
      <w:tblGrid>
        <w:gridCol w:w="3035"/>
        <w:gridCol w:w="7170"/>
      </w:tblGrid>
      <w:tr>
        <w:trPr/>
        <w:tc>
          <w:tcPr>
            <w:tcW w:w="3035" w:type="dxa"/>
            <w:tcBorders/>
            <w:shd w:fill="auto" w:val="clear"/>
            <w:vAlign w:val="center"/>
          </w:tcPr>
          <w:p>
            <w:pPr>
              <w:pStyle w:val="TableContents"/>
              <w:spacing w:before="0" w:after="283"/>
              <w:rPr>
                <w:b/>
              </w:rPr>
            </w:pPr>
            <w:r>
              <w:rPr>
                <w:b/>
              </w:rPr>
              <w:t>Address Changes/Comments:</w:t>
            </w:r>
          </w:p>
        </w:tc>
        <w:tc>
          <w:tcPr>
            <w:tcW w:w="7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0205" w:type="dxa"/>
            <w:gridSpan w:val="2"/>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0205" w:type="dxa"/>
            <w:gridSpan w:val="2"/>
            <w:tcBorders/>
            <w:shd w:fill="auto" w:val="clear"/>
            <w:vAlign w:val="center"/>
          </w:tcPr>
          <w:p>
            <w:pPr>
              <w:pStyle w:val="TableContents"/>
              <w:spacing w:before="0" w:after="283"/>
              <w:rPr/>
            </w:pPr>
            <w:r>
              <w:rPr/>
              <w:t> </w:t>
            </w:r>
          </w:p>
        </w:tc>
      </w:tr>
    </w:tbl>
    <w:p>
      <w:pPr>
        <w:pStyle w:val="TextBody"/>
        <w:spacing w:before="0" w:after="0"/>
        <w:jc w:val="center"/>
        <w:rPr>
          <w:rFonts w:ascii="serif" w:hAnsi="serif"/>
          <w:sz w:val="14"/>
          <w:bdr w:val="single" w:sz="18" w:space="15" w:color="000000"/>
        </w:rPr>
      </w:pPr>
      <w:r>
        <w:rPr>
          <w:rFonts w:ascii="serif" w:hAnsi="serif"/>
          <w:sz w:val="14"/>
          <w:bdr w:val="single" w:sz="18" w:space="15" w:color="000000"/>
        </w:rPr>
        <w:t>(If you noted any Address Changes/Comments above, please mark corresponding box on the reverse side.)</w:t>
      </w:r>
    </w:p>
    <w:p>
      <w:pPr>
        <w:pStyle w:val="TextBody"/>
        <w:jc w:val="both"/>
        <w:rPr/>
      </w:pPr>
      <w:r>
        <w:rPr/>
      </w:r>
    </w:p>
    <w:p>
      <w:pPr>
        <w:pStyle w:val="TextBody"/>
        <w:jc w:val="both"/>
        <w:rPr>
          <w:rFonts w:ascii="serif" w:hAnsi="serif"/>
          <w:sz w:val="20"/>
          <w:bdr w:val="single" w:sz="18" w:space="15" w:color="000000"/>
        </w:rPr>
      </w:pPr>
      <w:r>
        <w:rPr>
          <w:rFonts w:ascii="serif" w:hAnsi="serif"/>
          <w:sz w:val="20"/>
          <w:bdr w:val="single" w:sz="18" w:space="15" w:color="000000"/>
        </w:rPr>
        <w:t>(Continued and to be signed on reverse side.)</w:t>
      </w:r>
    </w:p>
    <w:p>
      <w:pPr>
        <w:pStyle w:val="HorizontalLine"/>
        <w:pBdr>
          <w:bottom w:val="single" w:sz="1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erif">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21990</Words>
  <CharactersWithSpaces>136398</CharactersWithSpaces>
  <Paragraphs>2818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