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900" w:orient="portrait"/>
          <w:cols w:equalWidth="0" w:num="2">
            <w:col w:w="2380" w:space="240"/>
            <w:col w:w="8900"/>
          </w:cols>
          <w:pgMar w:left="240" w:top="226" w:right="139" w:bottom="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JAFFEE DANIEL S</w:t>
              </w:r>
            </w:hyperlink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OIL DRI CORPORATION OF AMERICA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ODC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20" w:type="dxa"/>
            <w:vAlign w:val="bottom"/>
            <w:vMerge w:val="restart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1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410 N. MICHIGAN AVE.</w:t>
            </w:r>
          </w:p>
        </w:tc>
        <w:tc>
          <w:tcPr>
            <w:tcW w:w="3960" w:type="dxa"/>
            <w:vAlign w:val="bottom"/>
          </w:tcPr>
          <w:p>
            <w:pPr>
              <w:ind w:left="10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</w:t>
            </w:r>
          </w:p>
        </w:tc>
        <w:tc>
          <w:tcPr>
            <w:tcW w:w="3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1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and CEO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900" w:orient="portrait"/>
          <w:cols w:equalWidth="0" w:num="2">
            <w:col w:w="7980" w:space="77"/>
            <w:col w:w="3463"/>
          </w:cols>
          <w:pgMar w:left="240" w:top="226" w:right="139" w:bottom="0" w:gutter="0" w:footer="0" w:header="0"/>
          <w:type w:val="continuous"/>
        </w:sectPr>
      </w:pPr>
    </w:p>
    <w:p>
      <w:pPr>
        <w:spacing w:after="0" w:line="22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CHICAGO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IL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60611-4213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900" w:orient="portrait"/>
          <w:cols w:equalWidth="0" w:num="2">
            <w:col w:w="3920" w:space="160"/>
            <w:col w:w="7440"/>
          </w:cols>
          <w:pgMar w:left="240" w:top="226" w:right="139" w:bottom="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4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400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01/19/2007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400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16.16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1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130,982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w w:val="8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w w:val="80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0"/>
              </w:rPr>
              <w:t>(2)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C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130,582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37,500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4.92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10/12/2003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10/12/2011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37,500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15,625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9.432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09/23/2005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09/23/2013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15,625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lef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01/19/2007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1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ind w:left="25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54,000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left="1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8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B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09/18/2000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09/18/2008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5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5,314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80,711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3"/>
              </w:rPr>
              <w:t>80,711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7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278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293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lef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293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B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7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29,717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jc w:val="center"/>
              <w:ind w:left="2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29,717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Trustee5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Stock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7281545</wp:posOffset>
            </wp:positionH>
            <wp:positionV relativeFrom="paragraph">
              <wp:posOffset>-6145530</wp:posOffset>
            </wp:positionV>
            <wp:extent cx="33655" cy="61461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55" cy="614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900" w:orient="portrait"/>
          <w:cols w:equalWidth="0" w:num="1">
            <w:col w:w="11520"/>
          </w:cols>
          <w:pgMar w:left="240" w:top="226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firstLine="9"/>
        <w:spacing w:after="0" w:line="239" w:lineRule="auto"/>
        <w:tabs>
          <w:tab w:leader="none" w:pos="13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Conversion of Class B Stock to Common Stock. Class B Stock may be converted at any time at the option of the holder into Common Stock on a share for share basis. See note 134 to SEC Release 34-288691.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Class B Stock may be converted at any time at the option of the holder into Common Stock on a share for share basis. See note 134 to SEC Release 34-288691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Sale, pursuant to a written plan which satisfies the requirements of SEC Rule 10b5-1, of shares obtained through exercise of employee stock options.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Exercise of employee stock options pursuant to the Oil-Dri Corporation of America 1995 Long-Term Incentive Plan in a transaction exempt under rule 16b-3.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Maryon Gray by Power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01/22/2007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</w:t>
            </w: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180" w:firstLine="9"/>
        <w:spacing w:after="0" w:line="350" w:lineRule="auto"/>
        <w:tabs>
          <w:tab w:leader="none" w:pos="14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80"/>
      </w:cols>
      <w:pgMar w:left="280" w:top="163" w:right="6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4385" TargetMode="External"/><Relationship Id="rId13" Type="http://schemas.openxmlformats.org/officeDocument/2006/relationships/hyperlink" Target="http://www.sec.gov/cgi-bin/browse-edgar?action=getcompany&amp;CIK=000007404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2020-02-03T08:52:38Z</dcterms:created>
  <dcterms:modified xsi:type="dcterms:W3CDTF">2020-02-03T08:52:38Z</dcterms:modified>
</cp:coreProperties>
</file>