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7"/>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October 31, 2016</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October 31, 2016.</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 5,080,689 Shares and Class B Stock – 2,188,771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22</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EFFE7"/>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EFFE7"/>
          </w:tcPr>
          <w:p>
            <w:pPr>
              <w:ind w:left="280"/>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1500" w:type="dxa"/>
            <w:vAlign w:val="bottom"/>
            <w:shd w:val="clear" w:color="auto" w:fill="CEFFE7"/>
          </w:tcPr>
          <w:p>
            <w:pPr>
              <w:spacing w:after="0"/>
              <w:rPr>
                <w:sz w:val="21"/>
                <w:szCs w:val="21"/>
                <w:color w:val="auto"/>
              </w:rPr>
            </w:pPr>
          </w:p>
        </w:tc>
        <w:tc>
          <w:tcPr>
            <w:tcW w:w="280" w:type="dxa"/>
            <w:vAlign w:val="bottom"/>
            <w:gridSpan w:val="5"/>
            <w:shd w:val="clear" w:color="auto" w:fill="CEFFE7"/>
          </w:tcPr>
          <w:p>
            <w:pPr>
              <w:jc w:val="center"/>
              <w:ind w:left="10"/>
              <w:spacing w:after="0" w:line="202" w:lineRule="exact"/>
              <w:rPr>
                <w:rFonts w:ascii="Arial" w:cs="Arial" w:eastAsia="Arial" w:hAnsi="Arial"/>
                <w:sz w:val="18"/>
                <w:szCs w:val="18"/>
                <w:color w:val="0000EE"/>
                <w:w w:val="89"/>
                <w:shd w:val="clear" w:color="auto" w:fill="CEFFE7"/>
              </w:rPr>
            </w:pPr>
            <w:hyperlink w:anchor="page24">
              <w:r>
                <w:rPr>
                  <w:rFonts w:ascii="Arial" w:cs="Arial" w:eastAsia="Arial" w:hAnsi="Arial"/>
                  <w:sz w:val="18"/>
                  <w:szCs w:val="18"/>
                  <w:color w:val="0000EE"/>
                  <w:w w:val="89"/>
                  <w:shd w:val="clear" w:color="auto" w:fill="CEFFE7"/>
                </w:rPr>
                <w:t>24</w:t>
              </w:r>
            </w:hyperlink>
          </w:p>
        </w:tc>
        <w:tc>
          <w:tcPr>
            <w:tcW w:w="20" w:type="dxa"/>
            <w:vAlign w:val="bottom"/>
            <w:shd w:val="clear" w:color="auto" w:fill="CEFFE7"/>
          </w:tcPr>
          <w:p>
            <w:pPr>
              <w:spacing w:after="0"/>
              <w:rPr>
                <w:sz w:val="21"/>
                <w:szCs w:val="21"/>
                <w:color w:val="auto"/>
              </w:rPr>
            </w:pPr>
          </w:p>
        </w:tc>
        <w:tc>
          <w:tcPr>
            <w:tcW w:w="80" w:type="dxa"/>
            <w:vAlign w:val="bottom"/>
            <w:shd w:val="clear" w:color="auto" w:fill="CEFFE7"/>
          </w:tcPr>
          <w:p>
            <w:pPr>
              <w:spacing w:after="0"/>
              <w:rPr>
                <w:sz w:val="21"/>
                <w:szCs w:val="21"/>
                <w:color w:val="auto"/>
              </w:rPr>
            </w:pPr>
          </w:p>
        </w:tc>
        <w:tc>
          <w:tcPr>
            <w:tcW w:w="260" w:type="dxa"/>
            <w:vAlign w:val="bottom"/>
            <w:shd w:val="clear" w:color="auto" w:fill="CEFFE7"/>
          </w:tcPr>
          <w:p>
            <w:pPr>
              <w:spacing w:after="0"/>
              <w:rPr>
                <w:sz w:val="21"/>
                <w:szCs w:val="21"/>
                <w:color w:val="auto"/>
              </w:rPr>
            </w:pPr>
          </w:p>
        </w:tc>
      </w:tr>
      <w:tr>
        <w:trPr>
          <w:trHeight w:val="297"/>
        </w:trPr>
        <w:tc>
          <w:tcPr>
            <w:tcW w:w="880" w:type="dxa"/>
            <w:vAlign w:val="bottom"/>
            <w:tcBorders>
              <w:top w:val="single" w:sz="8" w:color="CEFFE7"/>
            </w:tcBorders>
          </w:tcPr>
          <w:p>
            <w:pPr>
              <w:spacing w:after="0"/>
              <w:rPr>
                <w:sz w:val="24"/>
                <w:szCs w:val="24"/>
                <w:color w:val="auto"/>
              </w:rPr>
            </w:pPr>
          </w:p>
        </w:tc>
        <w:tc>
          <w:tcPr>
            <w:tcW w:w="8280" w:type="dxa"/>
            <w:vAlign w:val="bottom"/>
            <w:tcBorders>
              <w:top w:val="single" w:sz="8" w:color="CEFFE7"/>
            </w:tcBorders>
          </w:tcPr>
          <w:p>
            <w:pPr>
              <w:spacing w:after="0"/>
              <w:rPr>
                <w:sz w:val="24"/>
                <w:szCs w:val="24"/>
                <w:color w:val="auto"/>
              </w:rPr>
            </w:pPr>
          </w:p>
        </w:tc>
        <w:tc>
          <w:tcPr>
            <w:tcW w:w="1500" w:type="dxa"/>
            <w:vAlign w:val="bottom"/>
            <w:tcBorders>
              <w:top w:val="single" w:sz="8" w:color="CEFFE7"/>
            </w:tcBorders>
          </w:tcPr>
          <w:p>
            <w:pPr>
              <w:spacing w:after="0"/>
              <w:rPr>
                <w:sz w:val="24"/>
                <w:szCs w:val="24"/>
                <w:color w:val="auto"/>
              </w:rPr>
            </w:pPr>
          </w:p>
        </w:tc>
        <w:tc>
          <w:tcPr>
            <w:tcW w:w="100" w:type="dxa"/>
            <w:vAlign w:val="bottom"/>
            <w:tcBorders>
              <w:top w:val="single" w:sz="8" w:color="CEFFE7"/>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EFFE7"/>
            </w:tcBorders>
          </w:tcPr>
          <w:p>
            <w:pPr>
              <w:spacing w:after="0"/>
              <w:rPr>
                <w:sz w:val="24"/>
                <w:szCs w:val="24"/>
                <w:color w:val="auto"/>
              </w:rPr>
            </w:pPr>
          </w:p>
        </w:tc>
        <w:tc>
          <w:tcPr>
            <w:tcW w:w="80" w:type="dxa"/>
            <w:vAlign w:val="bottom"/>
            <w:tcBorders>
              <w:top w:val="single" w:sz="8" w:color="CEFFE7"/>
            </w:tcBorders>
          </w:tcPr>
          <w:p>
            <w:pPr>
              <w:spacing w:after="0"/>
              <w:rPr>
                <w:sz w:val="24"/>
                <w:szCs w:val="24"/>
                <w:color w:val="auto"/>
              </w:rPr>
            </w:pPr>
          </w:p>
        </w:tc>
        <w:tc>
          <w:tcPr>
            <w:tcW w:w="260" w:type="dxa"/>
            <w:vAlign w:val="bottom"/>
            <w:tcBorders>
              <w:top w:val="single" w:sz="8" w:color="CEFFE7"/>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25</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26</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2016.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Cat’s Pride, Fresh &amp; Light, Fresh &amp; Light Ultimate Care and Oil-Dri are registered trademarks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5,359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30,971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$801 and $753 at October 31, 2016 and July 31, 2016,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30,386</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23,567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23,251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85,999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218,025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(139,476)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(137,314)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81,688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80,711</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9,034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$269 and $261 at October 31, 2016 and July 31, 2016,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4,040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of $3,745 and $3,460 at October 31, 2016 and July 31, 2016,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5,940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32,931</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200,067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204,815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ind w:left="66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4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6,910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4,263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3,076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7,138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27,327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30,740</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Notes payable, net of unamortized debt issuance costs</w:t>
            </w:r>
          </w:p>
        </w:tc>
        <w:tc>
          <w:tcPr>
            <w:tcW w:w="1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9,140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of $110 and $118 at October 31, 2016 and July 31, 2016, respectively</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10,778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10,504</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32,687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32,492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3,361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55,966</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83,293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89,264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7,997,166 shares at October 31, 2016</w:t>
            </w: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7,982,243 shares at July 31, 2016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2,513,512 shares at October 31, 2016</w:t>
            </w:r>
          </w:p>
        </w:tc>
        <w:tc>
          <w:tcPr>
            <w:tcW w:w="1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80"/>
              <w:spacing w:after="0"/>
              <w:rPr>
                <w:sz w:val="20"/>
                <w:szCs w:val="20"/>
                <w:color w:val="auto"/>
              </w:rPr>
            </w:pPr>
            <w:r>
              <w:rPr>
                <w:rFonts w:ascii="Arial" w:cs="Arial" w:eastAsia="Arial" w:hAnsi="Arial"/>
                <w:sz w:val="18"/>
                <w:szCs w:val="18"/>
                <w:color w:val="auto"/>
              </w:rPr>
              <w:t>and 2,515,735 shares at July 31, 2016</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34,853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34,294</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150,475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149,945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(13,598)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(13,767)</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84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Less Treasury Stock, at cost (2,916,477 Common and 324,741 Class B shares at</w:t>
            </w:r>
          </w:p>
        </w:tc>
        <w:tc>
          <w:tcPr>
            <w:tcW w:w="1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(55,838)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October 31, 2016 and 2,912,953 Common and 324,741 Class B shares at July 31, 2016)</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vMerge w:val="continue"/>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116,774</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115,551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200,067</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204,815</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60" w:type="dxa"/>
            <w:vAlign w:val="bottom"/>
            <w:gridSpan w:val="5"/>
          </w:tcPr>
          <w:p>
            <w:pPr>
              <w:ind w:left="56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66,612</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67,795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(45,887)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(47,142)</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20,725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20,653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(17,679)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(12,877)</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3,046</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7,776</w:t>
            </w:r>
          </w:p>
        </w:tc>
      </w:tr>
      <w:tr>
        <w:trPr>
          <w:trHeight w:val="291"/>
        </w:trPr>
        <w:tc>
          <w:tcPr>
            <w:tcW w:w="8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91"/>
        </w:trPr>
        <w:tc>
          <w:tcPr>
            <w:tcW w:w="8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2,679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(670)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(2,117)</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5,423</w:t>
            </w: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149,945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142,095</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(1,479)</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150,475</w:t>
            </w:r>
          </w:p>
        </w:tc>
        <w:tc>
          <w:tcPr>
            <w:tcW w:w="2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146,080</w:t>
            </w:r>
          </w:p>
        </w:tc>
      </w:tr>
      <w:tr>
        <w:trPr>
          <w:trHeight w:val="284"/>
        </w:trPr>
        <w:tc>
          <w:tcPr>
            <w:tcW w:w="8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0.30</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0.23</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0.61</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0.28</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5,004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2,067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2,037</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7,138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0.2200</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0.2100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0.1650</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0.1575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5,423</w:t>
            </w: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269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178</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255</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2,264</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5,590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960" w:type="dxa"/>
            <w:vAlign w:val="bottom"/>
            <w:gridSpan w:val="5"/>
          </w:tcPr>
          <w:p>
            <w:pPr>
              <w:ind w:left="40"/>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846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7"/>
                <w:szCs w:val="17"/>
                <w:color w:val="auto"/>
              </w:rPr>
            </w:pPr>
          </w:p>
        </w:tc>
        <w:tc>
          <w:tcPr>
            <w:tcW w:w="10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2015</w:t>
            </w: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5,423</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3,159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2,939</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Non-cash stock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Loss on the sale of 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(Increase) Decrease in assets: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476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387</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Deferred compensation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274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Pension and 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Adjustments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(684)</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3,093</w:t>
            </w: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1,325</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8,516</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Dispositions of short-term investments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9,946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533</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50"/>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Principal payments on notes payable</w:t>
            </w:r>
          </w:p>
        </w:tc>
        <w:tc>
          <w:tcPr>
            <w:tcW w:w="4440" w:type="dxa"/>
            <w:vAlign w:val="bottom"/>
            <w:tcBorders>
              <w:top w:val="single" w:sz="8" w:color="CCEEFF"/>
            </w:tcBorders>
            <w:gridSpan w:val="2"/>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(3,484)</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Dividends paid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Purchase of treasury stock</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128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(4,554)</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r>
      <w:tr>
        <w:trPr>
          <w:trHeight w:val="237"/>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18,629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20,138</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15,991</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21,011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60" w:type="dxa"/>
            <w:vAlign w:val="bottom"/>
          </w:tcPr>
          <w:p>
            <w:pPr>
              <w:spacing w:after="0"/>
              <w:rPr>
                <w:sz w:val="18"/>
                <w:szCs w:val="18"/>
                <w:color w:val="auto"/>
              </w:rPr>
            </w:pPr>
          </w:p>
        </w:tc>
        <w:tc>
          <w:tcPr>
            <w:tcW w:w="2960" w:type="dxa"/>
            <w:vAlign w:val="bottom"/>
            <w:gridSpan w:val="5"/>
          </w:tcPr>
          <w:p>
            <w:pPr>
              <w:ind w:left="40"/>
              <w:spacing w:after="0"/>
              <w:rPr>
                <w:sz w:val="20"/>
                <w:szCs w:val="20"/>
                <w:color w:val="auto"/>
              </w:rPr>
            </w:pPr>
            <w:r>
              <w:rPr>
                <w:rFonts w:ascii="Arial" w:cs="Arial" w:eastAsia="Arial" w:hAnsi="Arial"/>
                <w:sz w:val="18"/>
                <w:szCs w:val="18"/>
                <w:b w:val="1"/>
                <w:bCs w:val="1"/>
                <w:color w:val="auto"/>
                <w:w w:val="91"/>
              </w:rPr>
              <w:t>For the Three Months Ended October</w:t>
            </w: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1,479</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2016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months ended October 31, 2016 are not necessarily an indication of the results that may be expected for the fiscal year ending July 31, 2017.</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expenses and related disclosures. Estimates and assumptions are revised periodically. Actual results could differ from these estimates.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when risk of loss and title are transferred under the terms of our sales agreements with customers at a fixed and determinable price and collection of payment is probable. Trade promotion reserves are provided for sales incentives made directly to consumers, such as coupons, and sales incentives made to customers, such as slotting, discounts based on sales volume, cooperative marketing programs and other arrangements. Such trade promotion costs are netted against sales. Sales returns and allowances are not material.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advertising and marketing-related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an allowance for doubtful accounts based on our historical experience and a periodic review of our accounts receivable, including a review of the overall aging of accounts and analysis of specific customer accounts. A customer account is determined to be uncollectible when we have completed our internal collection procedures, including termination of shipments, direct customer contact and formal demand of payment.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thereby minimizing the costs associated with the reclamation process.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ind w:right="766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Recently Issued Pronouncements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May 2014, the Financial Accounting Standards Board (“FASB”) issued guidance under Accounting Standard Codification (“ASC”)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 with Customers</w:t>
      </w:r>
      <w:r>
        <w:rPr>
          <w:rFonts w:ascii="Arial" w:cs="Arial" w:eastAsia="Arial" w:hAnsi="Arial"/>
          <w:sz w:val="16"/>
          <w:szCs w:val="16"/>
          <w:color w:val="auto"/>
        </w:rPr>
        <w:t>, which establishes a single comprehensive revenue recognition model for all contracts with customers and will supersede most</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revenue guidance. This guidance requires entities to recognize revenue to depict the transfer of promised goods or services to customers in an amount that reflects the consideration to which the entity expects to be entitled to receive in exchange. In March, April and May of 2016, the FASB issued amended guidance that further clarifies the principles for recognizing revenue. Transition options include either a full or modified retrospective approach and early adoption is permitted. The implementation date for this guidance was deferred and will now be effective at the beginning of our first quarter of fiscal year 2019. While we are still in the process of evaluating the financial statement impact of the adoption of this requirement, it is not currently expected to have a material impact on our Consolidated Financial Statements based on the types of products we sell and our arrangements with customers.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the fourth quarter of fiscal year 2017. This pronouncement requires additional disclosures only in certain circumstances and we do not expect a significant impact on our Consolidated Financial Statements.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July 2015, the FASB issued guidance under ASC 330,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xml:space="preserve"> The new guidance requires inventory to be measured at the lower of cost and net realizable value, which is defined as the estimated selling price in the ordinary course of business less reasonably predictable costs of completion, disposal and transportation. This new guidance is effective for our first quarter of fiscal year 2018 and early adoption is permitted. The guidance must be applied prospectively. We are currently evaluating the impact of the adoption of this requirement on our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2015, the FASB issued guidance under ASC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requires deferred tax liabilities and assets to be classified as noncurrent in a classified statement of financial position. This guidance is effective for our first quarter of fiscal year 2018 and early adoption is permitted. The guidance may be applied either prospectively or retrospectively to all periods presented. We are currently evaluating the impact of the adoption of this requirement on our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2016, the FASB issued guidance under ASC 825,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guidance addresses certain aspects of recognition, measurement, presentation and disclosure of financial instruments. The provisions relevant to us at this time require the use of the exit price notion when measuring the fair value of financial instruments for disclosure purposes, as well as eliminates the requirement to disclose the method and significant assumptions used to estimate the fair value in such disclosure. This guidance is effective for our first quarter of fiscal year 2019 and early adoption is generally not permitted. We are currently evaluating the impact of the adoption of this requirement on our Consolidated Financial Statements.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2016, the FASB issued guidance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which simplifies several aspects of the accounting for share-based payment transactions, including accounting for forfeitures, employer tax withholding on share-based compensation and the financial statement presentation of excess tax benefits or deficiencies. The new guidance also clarifies the statement of cash flows presentation for certain components of share-based awards. This guidance is effective for our first quarter of fiscal year 2018, with early adoption permitted. We are currently evaluating the impact of the adoption of this requirement on our Consolidated Financial Statements.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17"/>
          <w:szCs w:val="17"/>
          <w:color w:val="auto"/>
        </w:rPr>
        <w:t>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For the first quarter of fiscal 2017, we adopted FASB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to be presented as a direct deduction from the associated debt liability rather than as an asset. Amortization of these costs will continue to be reported as interest expense. We adopted this guidance retrospectively, which resulted in a decrease in Other Assets of $118,000 with a corresponding decrease in Noncurrent Liabilities in our Condensed Consolidated Balance Sheets as of July 31, 2016. The new requirements had no impact on our results of operations or cash flows.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19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13,740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14,032</w:t>
            </w:r>
          </w:p>
        </w:tc>
      </w:tr>
      <w:tr>
        <w:trPr>
          <w:trHeight w:val="243"/>
        </w:trPr>
        <w:tc>
          <w:tcPr>
            <w:tcW w:w="192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4,966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4,672</w:t>
            </w:r>
          </w:p>
        </w:tc>
      </w:tr>
      <w:tr>
        <w:trPr>
          <w:trHeight w:val="27"/>
        </w:trPr>
        <w:tc>
          <w:tcPr>
            <w:tcW w:w="19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r>
      <w:tr>
        <w:trPr>
          <w:trHeight w:val="257"/>
        </w:trPr>
        <w:tc>
          <w:tcPr>
            <w:tcW w:w="192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23,567</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23,251</w:t>
            </w:r>
          </w:p>
        </w:tc>
      </w:tr>
      <w:tr>
        <w:trPr>
          <w:trHeight w:val="20"/>
        </w:trPr>
        <w:tc>
          <w:tcPr>
            <w:tcW w:w="19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detailed review of our inventory items to determine if an obsolescence reserve adjustment is necessary. The review surveys all of our operating facilities and sales groups to ensure that both historical issues and new market trends are considered. The obsolescence reserve not only considers specific items, but also takes into consideration the overall value of the inventory as of the balance sheet date. The inventory obsolescence reserve values at October 31, 2016 and July 31, 2016 were $826,000 and $806,000,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equivalents of $3,370,000 and $7,626,000 as of October 31, 2016 and July 31, 2016, respectively, were classified as Level 1. These cash instruments are primarily money market mutual funds and are included in cash and cash equivalents on the Condensed Consolidated Balance Sheets.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Short-term investments included U.S. Treasury securities and certificates of deposit. We intend and have the ability to hold our short-term investments to maturity; therefore, these investments were reported at amortized cost, which approximated fair value as of October 31, 2016 and July 31, 2016.</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and accounts payable balances approximated their fair values at October 31, 2016 and July 31, 2016 due to the short maturity and nature of those balances.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87" w:right="239" w:bottom="1440" w:gutter="0" w:footer="0" w:header="0"/>
        </w:sectPr>
      </w:pPr>
    </w:p>
    <w:bookmarkStart w:id="11" w:name="page12"/>
    <w:bookmarkEnd w:id="11"/>
    <w:p>
      <w:pPr>
        <w:jc w:val="both"/>
        <w:spacing w:after="0" w:line="312" w:lineRule="auto"/>
        <w:rPr>
          <w:sz w:val="20"/>
          <w:szCs w:val="20"/>
          <w:color w:val="auto"/>
        </w:rPr>
      </w:pPr>
      <w:r>
        <w:rPr>
          <w:rFonts w:ascii="Arial" w:cs="Arial" w:eastAsia="Arial" w:hAnsi="Arial"/>
          <w:sz w:val="16"/>
          <w:szCs w:val="16"/>
          <w:color w:val="auto"/>
        </w:rPr>
        <w:t>Notes payable are reported at the face amount of future maturities. The estimated fair value of notes payable, including current maturities, was $13,224,000 and $16,651,000 as of October 31, 2016 and July 31, 2016, respectively.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for further information about goodwill and other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Intangible amortization expense was $305,000 and $363,000 in the first quarter of fiscal 2017 and 2016, respectively. Estimated intangible amortization for the remainder of fiscal 2017 is $918,000. Estimated intangible amortization for the next five fiscal years is as follows (in thousands):</w:t>
      </w:r>
    </w:p>
    <w:p>
      <w:pPr>
        <w:spacing w:after="0" w:line="80"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2018</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2019</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2020</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2021</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2022</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10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goodwill impairment analysis in the fourth quarter of fiscal 2016 and no impairment was identified. There have been no triggering events that would indicate a new impairment analysis is needed.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87"/>
              </w:rPr>
              <w:t>Pension Benefits</w:t>
            </w:r>
          </w:p>
        </w:tc>
        <w:tc>
          <w:tcPr>
            <w:tcW w:w="480" w:type="dxa"/>
            <w:vAlign w:val="bottom"/>
          </w:tcPr>
          <w:p>
            <w:pPr>
              <w:spacing w:after="0"/>
              <w:rPr>
                <w:sz w:val="20"/>
                <w:szCs w:val="20"/>
                <w:color w:val="auto"/>
              </w:rPr>
            </w:pPr>
          </w:p>
        </w:tc>
      </w:tr>
      <w:tr>
        <w:trPr>
          <w:trHeight w:val="270"/>
        </w:trPr>
        <w:tc>
          <w:tcPr>
            <w:tcW w:w="4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87"/>
              </w:rPr>
              <w:t>(in thousands)</w:t>
            </w:r>
          </w:p>
        </w:tc>
        <w:tc>
          <w:tcPr>
            <w:tcW w:w="480" w:type="dxa"/>
            <w:vAlign w:val="bottom"/>
          </w:tcPr>
          <w:p>
            <w:pPr>
              <w:spacing w:after="0"/>
              <w:rPr>
                <w:sz w:val="23"/>
                <w:szCs w:val="23"/>
                <w:color w:val="auto"/>
              </w:rPr>
            </w:pPr>
          </w:p>
        </w:tc>
      </w:tr>
      <w:tr>
        <w:trPr>
          <w:trHeight w:val="27"/>
        </w:trPr>
        <w:tc>
          <w:tcPr>
            <w:tcW w:w="4780" w:type="dxa"/>
            <w:vAlign w:val="bottom"/>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r>
      <w:tr>
        <w:trPr>
          <w:trHeight w:val="218"/>
        </w:trPr>
        <w:tc>
          <w:tcPr>
            <w:tcW w:w="4780" w:type="dxa"/>
            <w:vAlign w:val="bottom"/>
          </w:tcPr>
          <w:p>
            <w:pPr>
              <w:spacing w:after="0"/>
              <w:rPr>
                <w:sz w:val="18"/>
                <w:szCs w:val="18"/>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5"/>
              </w:rPr>
              <w:t>31,</w:t>
            </w:r>
          </w:p>
        </w:tc>
        <w:tc>
          <w:tcPr>
            <w:tcW w:w="48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w:t>
            </w:r>
          </w:p>
        </w:tc>
        <w:tc>
          <w:tcPr>
            <w:tcW w:w="1160" w:type="dxa"/>
            <w:vAlign w:val="bottom"/>
            <w:tcBorders>
              <w:bottom w:val="single" w:sz="8" w:color="CCEEFF"/>
            </w:tcBorders>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457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483</w:t>
            </w: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(477)</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78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4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w:t>
            </w:r>
          </w:p>
        </w:tc>
        <w:tc>
          <w:tcPr>
            <w:tcW w:w="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r>
      <w:tr>
        <w:trPr>
          <w:trHeight w:val="20"/>
        </w:trPr>
        <w:tc>
          <w:tcPr>
            <w:tcW w:w="478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68"/>
        </w:trPr>
        <w:tc>
          <w:tcPr>
            <w:tcW w:w="4780" w:type="dxa"/>
            <w:vAlign w:val="bottom"/>
          </w:tcPr>
          <w:p>
            <w:pPr>
              <w:spacing w:after="0"/>
              <w:rPr>
                <w:sz w:val="24"/>
                <w:szCs w:val="24"/>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Postretirement Health Benefits</w:t>
            </w:r>
          </w:p>
        </w:tc>
      </w:tr>
      <w:tr>
        <w:trPr>
          <w:trHeight w:val="270"/>
        </w:trPr>
        <w:tc>
          <w:tcPr>
            <w:tcW w:w="4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87"/>
              </w:rPr>
              <w:t>(in thousands)</w:t>
            </w:r>
          </w:p>
        </w:tc>
        <w:tc>
          <w:tcPr>
            <w:tcW w:w="480" w:type="dxa"/>
            <w:vAlign w:val="bottom"/>
          </w:tcPr>
          <w:p>
            <w:pPr>
              <w:spacing w:after="0"/>
              <w:rPr>
                <w:sz w:val="23"/>
                <w:szCs w:val="23"/>
                <w:color w:val="auto"/>
              </w:rPr>
            </w:pPr>
          </w:p>
        </w:tc>
      </w:tr>
      <w:tr>
        <w:trPr>
          <w:trHeight w:val="27"/>
        </w:trPr>
        <w:tc>
          <w:tcPr>
            <w:tcW w:w="4780" w:type="dxa"/>
            <w:vAlign w:val="bottom"/>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r>
      <w:tr>
        <w:trPr>
          <w:trHeight w:val="218"/>
        </w:trPr>
        <w:tc>
          <w:tcPr>
            <w:tcW w:w="4780" w:type="dxa"/>
            <w:vAlign w:val="bottom"/>
          </w:tcPr>
          <w:p>
            <w:pPr>
              <w:spacing w:after="0"/>
              <w:rPr>
                <w:sz w:val="18"/>
                <w:szCs w:val="18"/>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5"/>
              </w:rPr>
              <w:t>31,</w:t>
            </w:r>
          </w:p>
        </w:tc>
        <w:tc>
          <w:tcPr>
            <w:tcW w:w="48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160" w:type="dxa"/>
            <w:vAlign w:val="bottom"/>
            <w:tcBorders>
              <w:bottom w:val="single" w:sz="8" w:color="CCEEFF"/>
            </w:tcBorders>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0"/>
        </w:trPr>
        <w:tc>
          <w:tcPr>
            <w:tcW w:w="4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contributed $301,000 to our pension plan during the first quarter of fiscal 2017. We estimate contributions will be $1,174,000 for the remainder of fiscal 2017. See Item 3. “Quantitative and Qualitative Disclosures About Market Risk” for a discussion of the potential impact of financial market fluctuations on pension plan assets and future funding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previous calculations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960" w:type="dxa"/>
            <w:vAlign w:val="bottom"/>
            <w:gridSpan w:val="4"/>
          </w:tcPr>
          <w:p>
            <w:pPr>
              <w:ind w:left="760"/>
              <w:spacing w:after="0"/>
              <w:rPr>
                <w:sz w:val="20"/>
                <w:szCs w:val="20"/>
                <w:color w:val="auto"/>
              </w:rPr>
            </w:pPr>
            <w:r>
              <w:rPr>
                <w:rFonts w:ascii="Arial" w:cs="Arial" w:eastAsia="Arial" w:hAnsi="Arial"/>
                <w:sz w:val="18"/>
                <w:szCs w:val="18"/>
                <w:b w:val="1"/>
                <w:bCs w:val="1"/>
                <w:color w:val="auto"/>
              </w:rPr>
              <w:t>Pension Benefits</w:t>
            </w: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4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For the Three Months Ended October 31,</w:t>
            </w:r>
          </w:p>
        </w:tc>
        <w:tc>
          <w:tcPr>
            <w:tcW w:w="104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b w:val="1"/>
                <w:bCs w:val="1"/>
                <w:color w:val="auto"/>
              </w:rPr>
              <w:t>2016</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7"/>
        </w:trPr>
        <w:tc>
          <w:tcPr>
            <w:tcW w:w="4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3.36%</w:t>
            </w:r>
          </w:p>
        </w:tc>
        <w:tc>
          <w:tcPr>
            <w:tcW w:w="1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80" w:type="dxa"/>
            <w:vAlign w:val="bottom"/>
          </w:tcPr>
          <w:p>
            <w:pPr>
              <w:ind w:left="760"/>
              <w:spacing w:after="0"/>
              <w:rPr>
                <w:sz w:val="20"/>
                <w:szCs w:val="20"/>
                <w:color w:val="auto"/>
              </w:rPr>
            </w:pPr>
            <w:r>
              <w:rPr>
                <w:rFonts w:ascii="Arial" w:cs="Arial" w:eastAsia="Arial" w:hAnsi="Arial"/>
                <w:sz w:val="18"/>
                <w:szCs w:val="18"/>
                <w:b w:val="1"/>
                <w:bCs w:val="1"/>
                <w:color w:val="auto"/>
                <w:w w:val="97"/>
              </w:rPr>
              <w:t>3.50%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7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7.50%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7.5%. The graded trend rate is expected to decrease to an ultimate rate of 4.5% in fiscal 2035.</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0"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segments are also our reportable segments.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2016.</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Assets</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2016</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60,368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61,007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92,639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91,626</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47,060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52,182</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200,067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204,815</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gridSpan w:val="9"/>
          </w:tcPr>
          <w:p>
            <w:pPr>
              <w:jc w:val="center"/>
              <w:ind w:left="590"/>
              <w:spacing w:after="0"/>
              <w:rPr>
                <w:sz w:val="20"/>
                <w:szCs w:val="20"/>
                <w:color w:val="auto"/>
              </w:rPr>
            </w:pPr>
            <w:r>
              <w:rPr>
                <w:rFonts w:ascii="Arial" w:cs="Arial" w:eastAsia="Arial" w:hAnsi="Arial"/>
                <w:sz w:val="18"/>
                <w:szCs w:val="18"/>
                <w:b w:val="1"/>
                <w:bCs w:val="1"/>
                <w:color w:val="auto"/>
                <w:w w:val="91"/>
              </w:rPr>
              <w:t>For the Three Months Ended October 31,</w:t>
            </w:r>
          </w:p>
        </w:tc>
        <w:tc>
          <w:tcPr>
            <w:tcW w:w="9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(Loss) Income</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27,473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39,139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5,402</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66,612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(6,795)</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(2,117)</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5,423</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0" w:right="239" w:bottom="1440" w:gutter="0" w:footer="0" w:header="0"/>
          <w:type w:val="continuous"/>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restricted shares have been issued under the 2006 Plan as described in the restricted stock section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 summary of stock options is shown below:</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0"/>
        </w:trPr>
        <w:tc>
          <w:tcPr>
            <w:tcW w:w="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Remaining</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Aggregate Intrinsic</w:t>
            </w:r>
          </w:p>
        </w:tc>
      </w:tr>
      <w:tr>
        <w:trPr>
          <w:trHeight w:val="234"/>
        </w:trPr>
        <w:tc>
          <w:tcPr>
            <w:tcW w:w="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r>
      <w:tr>
        <w:trPr>
          <w:trHeight w:val="270"/>
        </w:trPr>
        <w:tc>
          <w:tcPr>
            <w:tcW w:w="8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3"/>
                <w:szCs w:val="23"/>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(in thousands)</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July 31, 2016</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64"/>
        </w:trPr>
        <w:tc>
          <w:tcPr>
            <w:tcW w:w="80" w:type="dxa"/>
            <w:vAlign w:val="bottom"/>
          </w:tcPr>
          <w:p>
            <w:pPr>
              <w:spacing w:after="0"/>
              <w:rPr>
                <w:sz w:val="22"/>
                <w:szCs w:val="22"/>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Options outstanding and exercisable, October 31, 2016</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0"/>
        </w:trPr>
        <w:tc>
          <w:tcPr>
            <w:tcW w:w="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stock options were exercised during first quarter fiscal year 2017. The amount of cash received from the exercise of stock options during first quarter fiscal year 2016 was $185,000 and the related tax benefit was $28,000.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first quarter of either fiscal year 2017 or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 of our non-vested restricted stock as of October 31, 2016 was issued under the 2006 Plan with vesting periods between two years and five years. Under the 2006 Plan, 13,000 and 37,000 restricted shares of Common Stock were granted during first quarter fiscal year 2017 and 2016, respectively. Stock-based compensation expense related to non-vested restricted stock for first quarter fiscal years 2017 and 2016 was $431,000 and $332,000,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3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2016</w:t>
            </w:r>
          </w:p>
        </w:tc>
        <w:tc>
          <w:tcPr>
            <w:tcW w:w="4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Granted</w:t>
            </w:r>
          </w:p>
        </w:tc>
        <w:tc>
          <w:tcPr>
            <w:tcW w:w="470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57"/>
        </w:trPr>
        <w:tc>
          <w:tcPr>
            <w:tcW w:w="5000" w:type="dxa"/>
            <w:vAlign w:val="bottom"/>
          </w:tcPr>
          <w:p>
            <w:pPr>
              <w:ind w:left="40"/>
              <w:spacing w:after="0"/>
              <w:rPr>
                <w:sz w:val="20"/>
                <w:szCs w:val="20"/>
                <w:color w:val="auto"/>
              </w:rPr>
            </w:pPr>
            <w:r>
              <w:rPr>
                <w:rFonts w:ascii="Arial" w:cs="Arial" w:eastAsia="Arial" w:hAnsi="Arial"/>
                <w:sz w:val="18"/>
                <w:szCs w:val="18"/>
                <w:color w:val="auto"/>
              </w:rPr>
              <w:t>Non-vested restricted stock outstanding at October 31, 2016</w:t>
            </w:r>
          </w:p>
        </w:tc>
        <w:tc>
          <w:tcPr>
            <w:tcW w:w="316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160" w:type="dxa"/>
            <w:vAlign w:val="bottom"/>
            <w:vMerge w:val="restart"/>
          </w:tcPr>
          <w:p>
            <w:pPr>
              <w:jc w:val="right"/>
              <w:ind w:right="2270"/>
              <w:spacing w:after="0"/>
              <w:rPr>
                <w:sz w:val="20"/>
                <w:szCs w:val="20"/>
                <w:color w:val="auto"/>
              </w:rPr>
            </w:pPr>
            <w:r>
              <w:rPr>
                <w:rFonts w:ascii="Arial" w:cs="Arial" w:eastAsia="Arial" w:hAnsi="Arial"/>
                <w:sz w:val="18"/>
                <w:szCs w:val="18"/>
                <w:color w:val="auto"/>
              </w:rPr>
              <w:t>15</w:t>
            </w: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income by component as of October 31, 2016 (in thousands):</w:t>
      </w:r>
    </w:p>
    <w:p>
      <w:pPr>
        <w:spacing w:after="0" w:line="395"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Pension and</w:t>
            </w:r>
          </w:p>
        </w:tc>
        <w:tc>
          <w:tcPr>
            <w:tcW w:w="60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Cumulative</w:t>
            </w:r>
          </w:p>
        </w:tc>
        <w:tc>
          <w:tcPr>
            <w:tcW w:w="32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Postretirement</w:t>
            </w:r>
          </w:p>
        </w:tc>
        <w:tc>
          <w:tcPr>
            <w:tcW w:w="60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Translation</w:t>
            </w:r>
          </w:p>
        </w:tc>
        <w:tc>
          <w:tcPr>
            <w:tcW w:w="32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Health Benefits</w:t>
            </w:r>
          </w:p>
        </w:tc>
        <w:tc>
          <w:tcPr>
            <w:tcW w:w="60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Adjustment</w:t>
            </w:r>
          </w:p>
        </w:tc>
        <w:tc>
          <w:tcPr>
            <w:tcW w:w="32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(Loss) Income</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(13,867)</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(14,022)</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w w:val="91"/>
              </w:rPr>
              <w:t>Other comprehensive loss before reclassifications, net of</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a)</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w w:val="94"/>
              </w:rPr>
              <w:t>Net current-period other comprehensive income (loss),</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269</w:t>
            </w:r>
          </w:p>
        </w:tc>
        <w:tc>
          <w:tcPr>
            <w:tcW w:w="6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(13,598)</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(13,767)</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198"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is net of tax expense of $165,000. Amount is included in the components of net periodic benefit cost for the pension and postretirement health plans. See Note 6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2016.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2016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net sales for the three months ended October 31, 2016 were $66,612,000, a decrease of 2% from net sales of $67,795,000 for the three months ended October 31, 2015. Net sales were down for our Retail and Wholesale Products Group and were up for our Business to Business Products Group. Consolidated net income was $2,009,000 for the first quarter of fiscal 2017 compared to $5,423,000 for the first quarter of fiscal 2016. Operating income increased for our Business to Business Products Group compared to the prior year. Lower net sales and approximately $5,400,000 higher advertising costs, described further below, drove an operating loss for our Retail and Wholesale Products Group in the first quarter. Diluted net income per share was $0.28 for the first quarter of fiscal 2017, compared to $0.75 for the first quarter of fiscal 2016.</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gross profit as a percentage of net sales for the first quarter of fiscal 2017 was 31%, compared to 30% for the first quarter of fiscal 2016. Gross profit for the first three months of fiscal 2017 was positively impacted by lower packaging costs per ton produced. A significant amount of our packaging purchases are subject to contractual price adjustments throughout the year based on underlying commodity prices. The lower packaging costs reflected favorable price adjustments as commodity prices have declined, particularly for resin and paper-based packaging. Gross profit was negatively affected by higher manufacturing costs. The cost per manufactured ton for natural gas used to operate kilns that dry our clay was approximately 4% higher than the first quarter of the prior year. In addition, other manufacturing costs per ton produced were up approximately 9%, including higher expenses for employee benefits, repairs and depreciation.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selling, general and administrative expenses were 37% higher for the first quarter of fiscal 2017 compared to the first quarter of fiscal 2016. The discussion of the segments' operating incomes below describes the selling, general and administrative expenses allocated to the operating segments, particularly higher advertising expense in the Retail and Wholesale Products Group. Unallocated corporate expenses in the first quarter of fiscal 2017 included a lower estimated annual incentive bonus accrual based on performance targets established for each fiscal year. The lower accrued bonus expense was partially offset by higher postretirement and employee health benefits.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tax expense was 25% of pre-tax income for the first quarter of fiscal 2017, compared 28% in the first quarter of fiscal 2016. Our effective tax rate was based on the estimated level of our taxable income for the year and the assessment of various tax deductions, including depletion.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of the Business to Business Products Group for the first quarter of fiscal 2017 were $27,473,000, an increase of $1,652,000, or 6%, from net sales of $25,821,000 for the first quarter of fiscal 2016. Sales of our animal health and nutrition products increased approximately 53% with higher sales in all of our primary international and domestic markets. See “Foreign Operations” below for further discussion of sales by our subsidiary in China. Net sales of fluids purification products were up approximately 6%, primarily for sales to edible oil producers. A new customer in Europe, added in the fourth quarter of fiscal 2016, accounted for much of the sales improvement. Partially offsetting this increase was lower sales to customers in the petroleum oil processing industry due to normal ordering fluctuations. Sales of co-packaged coarse cat litter were 16% lower than in the first quarter of fiscal 2016 due primarily to fewer tons sold in the declining coarse cat litter market. Net sales of our agricultural chemical carriers to manufacturers of crop protection products were down slightly compared to the prior year.</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5% higher compared to the first quarter of fiscal 2016 due primarily to additional costs to promote our animal health and nutrition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first quarter of fiscal 2017 was $9,408,000, an increase of $239,000, or 3%, from operating income of $9,169,000 in the first quarter of fiscal 2016. The benefits of higher sales and lower packaging costs more than offset higher manufacturing costs and increased selling, general and administrative expenses. See “Consolidated Results” above for further discussion of manufacturing and packaging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sales of the Retail and Wholesale Products Group for the first quarter of fiscal 2017 were $39,139,000, a decrease of $2,835,000, or 7%, from net sales of $41,974,000 for the first quarter of fiscal 2016. Overall cat litter net sales declined approximately 8% compared to the first quarter of the prior year. Net sales of both our branded and private label cat litters decreased due to the decision not to pursue continued business with two major low margin customers. Instead, we maintained our focus on the lightweight scoopable segment of the cat litter market and continued our integrated marketing campaign. Increased sales of both our Cat's Pride Fresh &amp; Light Ultimate Care and our private label lightweight scoopable litters compared to the first quarter of the prior year reflected the positive results of this strategy. We plan to continue our advertising and promotion efforts on the lightweight litter market throughout fiscal 2017.</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of industrial and automotive absorbent products were down approximately 6% from the first quarter of fiscal 2016 due primarily to lower sales to distributors and to a large mass merchandiser. Sales for our subsidiary in the United Kingdom declined slightly, while sales for our subsidiary in Canada increased, as discussed in “Foreign Operations” below.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Retail and Wholesale Products Group were 156% higher compared to the first quarter of fiscal 2016. Advertising expense increased approximately $5,400,000 due primarily to the continuation of the integrated marketing campaign to promote our Fresh &amp; Light Ultimate Care lightweight cat litter. This campaign started in the second quarter of fiscal 2016. We plan to continue this campaign throughout the year and we expect advertising expense will be higher for the full year of fiscal 2017 compared to fiscal 2016.</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Retail and Wholesale Products Group reported an operating loss of $507,000 for the first quarter of fiscal 2017, compared to operating income of $5,402,000 for the first quarter of fiscal 2016. The operating loss was driven by approximately $6,000,000 of advertising costs as discussed above. Higher manufacturing costs also negatively impacted the Group's operating results, while some benefit was realized from lower packaging costs. See “Consolidated Results” above for further discussion of these cost changes.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Foreign operations include our subsidiaries in Canada and the United Kingdom, which are included in the Retail and Wholesale Products Group, and our subsidiary in China, which is included in the Business to Business Products Group. Total net sales by our foreign subsidiaries during the first quarter of fiscal 2017 were $3,151,000, a 25% increase compared to net sales of $2,513,000 in the first quarter of fiscal 2016. Higher sales for animal health and nutrition products sold by our China subsidiary were attributed to approximately 66% more tons sold. Sales also increased for both industrial floor absorbents and cat litter sold by our Canada subsidiary. Fresh &amp; Light Ultimate Care products contributed to the higher cat litter sales. Our United Kingdom subsidiary's sales of fluids purification products declined slightly. Net sales by our foreign subsidiaries represented approximately 5% and 4% of our consolidated net sales during the first quarters of fiscal 2017 and 2016,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Our foreign subsidiaries reported net income of $31,000 for the first quarter of fiscal 2017 compared to a net loss of $467,000 for the first quarter of fiscal 2016. The net income for the quarter was driven by the higher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principal capital requirements include: funding working capital needs; purchasing and upgrading equipment, facilities, information systems and real estate; supporting new product development; investing in infrastructure; repurchasing Common Stock; paying dividends; and business acquisitions. During the first three months of fiscal 2017, we principally used cash generated from operations to fund these requirements. We also have the ability to borrow under our revolving credit agreement with BMO Harris Bank N.A. (“BMO Harris”), as described further below, however we have not borrowed under the credit agreement in recent years. Cash and cash equivalents decreased $2,638,000 during the first three months of fiscal 2017 to $15,991,000, and short term investments decreased $4,825,000 during the same period to $5,359,000 as of October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Condensed Consolidated Statements of Cash Flows (in thousands):</w:t>
      </w:r>
    </w:p>
    <w:p>
      <w:pPr>
        <w:spacing w:after="0" w:line="16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For the Three Months Ended October</w:t>
      </w:r>
    </w:p>
    <w:p>
      <w:pPr>
        <w:spacing w:after="0" w:line="2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22860</wp:posOffset>
            </wp:positionV>
            <wp:extent cx="1920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8,516</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(2,965)</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three months of fiscal years 2017 and 2016 were as follows: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increased $640,000 in the first three months of fiscal 2017 compared to an increase of $436,000 in the first three months of fiscal 2016. The change in accounts receivable balances reflected differences in the level and timing of sales and collections, as well as the payment terms provided to various customers.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Prepaid expenses increased $1,057,000 in the first three months of fiscal 2017 compared to an increase of $862,000 in the first three months of fiscal 2016. Prepaid expenses increased in the first three months of both fiscal 2017 and 2016 due to prepayments of annual insurance premiums. The increase in prepaid expenses in the first three months of fiscal 2017 also included prepayments for computer software licenses.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Accrued expenses decreased $3,592,000 in the first three months of fiscal 2017 compared to an increase of $33,000 in the first three months of fiscal 2016. The payout of the prior fiscal year's discretionary incentive bonus drove the decrease in accrued salaries in the first three months of fiscal 2017. Accrued plant expenses fluctuated in the first three months of both fiscal 2017 and 2016 due to timing of payments, changes in the cost of goods and services we purchased, production volume levels and vendor payment terms. In addition, accrued trade promotions and advertising varied due to the timing of marketing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investing activities was $533,000 in the first three months of fiscal 2017 compared to cash used in investing activities of $2,965,000 in the first three months of fiscal 2016. Cash used for capital expenditures was $4,295,000 and $1,765,000 in the first three months of fiscal 2017 and 2016, respectively. Capital expenditures in the first three months of fiscal 2017 included spending for an ongoing enterprise resource planning system project and related infrastructure improvements, as well as equipment replacement at our manufacturing facilities. Net dispositions of short-term investments provided cash of $4,827,000 in the first three months of fiscal 2017, while net purchases used cash of $1,200,000 in the first three months of fiscal 2016. Purchases and dispositions of investment securities in both periods are impacted by variations in the timing of investment maturities, the operating cash needs of the Company and the availability of investment options.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was $4,554,000 in the first three months of fiscal 2017 compared to cash used in financing activities of $4,677,000 in the first three months of fiscal 2016. Scheduled payments on long-term debt were $3,083,000 and $3,484,000 in the first three months of fiscal 2017 and 2016, respectively. Dividend payments in the first three months of fiscal 2017 were $1,477,000 compared to $1,377,000 paid during the same period of fiscal 2016 due to a dividend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cash and investment balances held by our foreign subsidiaries of $1,453,000 as of October 31, 2016 were higher than the October 31, 2015 balances of $1,366,000. See further discussion in “Foreign Operations” above.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$25,000,000 unsecured revolving credit agreement with BMO Harris which expires on December 4, 2019. The agreement also provides for a maximum of $5,000,000 for foreign letters of credit. Under the agreement we may select a variable interest rate based on either the BMO Harris prime rate or a LIBOR-based rate, plus a margin which varies depending on our debt to earnings ratio, or a fixed rate as agreed between us and BMO Harris. At October 31, 2016, the variable rates would have been 3.50% for the BMO Harris prime-based rate or 1.88%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three months ended October 31, 2016 and 2015, and we were in compliance with its covenants.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31, 2016, we had remaining authority to repurchase 301,837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We plan to continue promoting our Cat's Pride Fresh &amp; Light Ultimate Care </w:t>
      </w:r>
      <w:r>
        <w:rPr>
          <w:rFonts w:ascii="Arial" w:cs="Arial" w:eastAsia="Arial" w:hAnsi="Arial"/>
          <w:sz w:val="17"/>
          <w:szCs w:val="17"/>
          <w:color w:val="222222"/>
        </w:rPr>
        <w:t>lightweight</w:t>
      </w:r>
      <w:r>
        <w:rPr>
          <w:rFonts w:ascii="Arial" w:cs="Arial" w:eastAsia="Arial" w:hAnsi="Arial"/>
          <w:sz w:val="17"/>
          <w:szCs w:val="17"/>
          <w:color w:val="auto"/>
        </w:rPr>
        <w:t xml:space="preserve"> </w:t>
      </w:r>
      <w:r>
        <w:rPr>
          <w:rFonts w:ascii="Arial" w:cs="Arial" w:eastAsia="Arial" w:hAnsi="Arial"/>
          <w:sz w:val="17"/>
          <w:szCs w:val="17"/>
          <w:color w:val="222222"/>
        </w:rPr>
        <w:t xml:space="preserve">scoopable litter during fiscal 2017 and we expect advertising costs to be higher than in fiscal year 2016. We also anticipate that our capital expenditures will increase in fiscal 2017. Part of the increase will be for the implementation of an enterprise resource planning software. We do not anticipate that these increased expenditures will dramatically impact our cash position; however our cash requirements are subject to change as business conditions warrant and opportunities arise. </w:t>
      </w:r>
      <w:r>
        <w:rPr>
          <w:rFonts w:ascii="Arial" w:cs="Arial" w:eastAsia="Arial" w:hAnsi="Arial"/>
          <w:sz w:val="17"/>
          <w:szCs w:val="17"/>
          <w:color w:val="000000"/>
        </w:rPr>
        <w:t>We continually evaluate our liquidity position and anticipated cash needs, as well as the financing options available to obtain additional</w:t>
      </w:r>
      <w:r>
        <w:rPr>
          <w:rFonts w:ascii="Arial" w:cs="Arial" w:eastAsia="Arial" w:hAnsi="Arial"/>
          <w:sz w:val="17"/>
          <w:szCs w:val="17"/>
          <w:color w:val="222222"/>
        </w:rPr>
        <w:t xml:space="preserve"> </w:t>
      </w:r>
      <w:r>
        <w:rPr>
          <w:rFonts w:ascii="Arial" w:cs="Arial" w:eastAsia="Arial" w:hAnsi="Arial"/>
          <w:sz w:val="17"/>
          <w:szCs w:val="17"/>
          <w:color w:val="000000"/>
        </w:rPr>
        <w:t>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in the following subsection summarize our contractual obligations and commercial commitments (in thousands) as of October 31, 2016 for the time-frames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6"/>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on Notes Payable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16,208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29,772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10,345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8,999</w:t>
            </w: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made total contributions to our defined benefit pension plan of $301,000 during the first three months of fiscal 2017. We estimate contributions of approximately $1,174,000 will be made during the remainder of fiscal 2017.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1 – 3 Years</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4 – 5 Years</w:t>
            </w: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26,395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Regulations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For the first quarter of fiscal 2017, we adopted FASB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to be presented as a direct deduction from the associated debt liability rather than as an asset. Amortization of these costs will continue to be reported as interest expense. We adopted this guidance retrospectively, which resulted in a decrease in Other Assets of $118,000 with a corresponding decrease in Noncurrent Liabilities in our Condensed Consolidated Balance Sheets as of July 31, 2016. The new requirements had no impact on our results of operations or cash flows.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exposed to foreign currency fluctuation risk, primarily the U.S. Dollar relative to the British Pound, Euro, Canadian Dollar, Chinese Yuan and the Brazilian Real, as related to our foreign subsidiaries, to certain accounts receivable, and to our ability to sell in foreign markets. We are subject to translation exposure of our foreign subsidiaries’ financial statements from local currencies to U.S. Dollars. In recent years, our foreign subsidiaries have not generated a substantial portion of our consolidated sales or net income. In addition, the portion of our consolidated accounts receivable denominated in foreign currencies is not significant. Finally, foreign sales of our products may be influenced by the relative strength or weakness of the U.S. Dollar compared to various other currencies, which makes our products relatively more or less expensive than our foreign competitors' products in local marketplaces. Foreign currency fluctuations had some bearing on our operating results in the first three months of fiscal 2017; however, historically the overall foreign currency fluctuation risk has not been material to our Consolidated Financial Statements and in the first three months of fiscal 2017 we did not enter into any hedge contracts in an attempt to offset any adverse effect of changes in currency exchange rates.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purchase fuel at spot rates on a month to month basis and we may contract for a portion of our anticipated fuel needs using forward purchase contracts to mitigate the volatility of our kiln fuel prices. As of October 31, 2016, we have not purchased any natural gas contracts for our planned kiln fuel needs for the remainder of fiscal 2017.</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October 31, 2016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 1A,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three months ended October 31, 2016, we did not sell any securities which were not registered under the Securities Act of 1933. The following chart summarizes our Common Stock purchases during this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2"/>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Total Number of Shares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Purchased as Part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that may yet be</w:t>
            </w:r>
          </w:p>
        </w:tc>
      </w:tr>
      <w:tr>
        <w:trPr>
          <w:trHeight w:val="216"/>
        </w:trPr>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Total Number of Shares</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Publicly Announced Plans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Plans or</w:t>
            </w:r>
          </w:p>
        </w:tc>
      </w:tr>
      <w:tr>
        <w:trPr>
          <w:trHeight w:val="261"/>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2"/>
              </w:rPr>
              <w:t>Ended October 31, 2016</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2</w:t>
            </w:r>
          </w:p>
        </w:tc>
      </w:tr>
      <w:tr>
        <w:trPr>
          <w:trHeight w:val="222"/>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August 1, 2016 to August</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7"/>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31, 2016</w:t>
            </w: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305,361</w:t>
            </w:r>
          </w:p>
        </w:tc>
      </w:tr>
      <w:tr>
        <w:trPr>
          <w:trHeight w:val="229"/>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September 1, 2016 to</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September 30, 2016</w:t>
            </w: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305,361</w:t>
            </w: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2016 to</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3,524</w:t>
            </w:r>
          </w:p>
        </w:tc>
        <w:tc>
          <w:tcPr>
            <w:tcW w:w="24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$34.56</w:t>
            </w:r>
          </w:p>
        </w:tc>
        <w:tc>
          <w:tcPr>
            <w:tcW w:w="2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301,837</w:t>
            </w:r>
          </w:p>
        </w:tc>
      </w:tr>
      <w:tr>
        <w:trPr>
          <w:trHeight w:val="27"/>
        </w:trPr>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32" w:lineRule="auto"/>
        <w:tabs>
          <w:tab w:leader="none" w:pos="108"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the notes to the Consolidated Financial Statements included in our Annual Report on Form 10-K for the fiscal year ended July 31, 2016 filed with the SEC.</w:t>
      </w:r>
    </w:p>
    <w:p>
      <w:pPr>
        <w:spacing w:after="0" w:line="202" w:lineRule="exact"/>
        <w:rPr>
          <w:sz w:val="20"/>
          <w:szCs w:val="20"/>
          <w:color w:val="auto"/>
        </w:rPr>
      </w:pPr>
    </w:p>
    <w:p>
      <w:pPr>
        <w:jc w:val="both"/>
        <w:ind w:firstLine="8"/>
        <w:spacing w:after="0" w:line="232" w:lineRule="auto"/>
        <w:tabs>
          <w:tab w:leader="none" w:pos="112"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Our Board of Directors authorized repurchases of 250,000 shares on March 11, 2011 and authorized the repurchase of an additional 250,000 shares on June 14, 2012. These authorizations do not have a stated expiration date. The share numbers in this column indicate the number of shares of Common Stock that may yet be repurchased under these authorizations. We do not have any current authorization from our Board of Directors to repurchase shares of Class B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4560" w:type="dxa"/>
            <w:vAlign w:val="bottom"/>
          </w:tcPr>
          <w:p>
            <w:pPr>
              <w:spacing w:after="0"/>
              <w:rPr>
                <w:sz w:val="20"/>
                <w:szCs w:val="20"/>
                <w:color w:val="auto"/>
              </w:rPr>
            </w:pPr>
          </w:p>
        </w:tc>
      </w:tr>
      <w:tr>
        <w:trPr>
          <w:trHeight w:val="580"/>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5700" w:type="dxa"/>
            <w:vAlign w:val="bottom"/>
            <w:gridSpan w:val="2"/>
          </w:tcPr>
          <w:p>
            <w:pPr>
              <w:ind w:left="238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Statement re: Computation of Earnings per Share.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13a–14(a).</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5"/>
              </w:rPr>
              <w:t>Certifications pursuant to Section 1350 of the Sarbanes-Oxley Act of 2002.</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4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Mine Safety Disclosures</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Pr>
          <w:p>
            <w:pPr>
              <w:ind w:left="44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8, 2016</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320"/>
          </w:cols>
          <w:pgMar w:left="580" w:top="584" w:right="99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1620" w:hanging="516"/>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Certifications pursuant to Rule 13a–14(a).</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4600" w:type="dxa"/>
            <w:vAlign w:val="bottom"/>
          </w:tcPr>
          <w:p>
            <w:pPr>
              <w:ind w:left="160"/>
              <w:spacing w:after="0"/>
              <w:rPr>
                <w:sz w:val="20"/>
                <w:szCs w:val="20"/>
                <w:color w:val="auto"/>
              </w:rPr>
            </w:pPr>
            <w:r>
              <w:rPr>
                <w:rFonts w:ascii="Arial" w:cs="Arial" w:eastAsia="Arial" w:hAnsi="Arial"/>
                <w:sz w:val="18"/>
                <w:szCs w:val="18"/>
                <w:color w:val="auto"/>
              </w:rPr>
              <w:t>Mine Safety Disclosures</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left="1960" w:right="3119"/>
        <w:spacing w:after="0" w:line="261" w:lineRule="auto"/>
        <w:rPr>
          <w:sz w:val="20"/>
          <w:szCs w:val="20"/>
          <w:color w:val="auto"/>
        </w:rPr>
      </w:pPr>
      <w:r>
        <w:rPr>
          <w:rFonts w:ascii="Arial" w:cs="Arial" w:eastAsia="Arial" w:hAnsi="Arial"/>
          <w:sz w:val="18"/>
          <w:szCs w:val="18"/>
          <w:b w:val="1"/>
          <w:bCs w:val="1"/>
          <w:color w:val="auto"/>
        </w:rPr>
        <w:t>OIL-DRI CORPORATION OF AMERICA AND SUBSIDIARIES Computation of Earnings Per Share</w:t>
      </w: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22860</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8"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20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2"/>
              </w:rPr>
              <w:t>Less: Distributed and undistributed earnings allocated</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to non-vested restricted stock</w:t>
            </w: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2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Shares Calculation</w:t>
            </w:r>
          </w:p>
        </w:tc>
        <w:tc>
          <w:tcPr>
            <w:tcW w:w="1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5,004</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2"/>
              </w:rPr>
              <w:t>Average shares outstanding - Basic Class B Common</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2,067</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Potential Common Stock relating to stock options and</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w:t>
            </w:r>
          </w:p>
        </w:tc>
        <w:tc>
          <w:tcPr>
            <w:tcW w:w="17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vMerge w:val="continue"/>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176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7,138</w:t>
            </w: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7,063</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Common</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Class B Common</w:t>
            </w:r>
          </w:p>
        </w:tc>
        <w:tc>
          <w:tcPr>
            <w:tcW w:w="17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Common</w:t>
            </w:r>
          </w:p>
        </w:tc>
        <w:tc>
          <w:tcPr>
            <w:tcW w:w="2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0" w:right="1440"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December 8, 2016</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December 8, 2016</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December 8,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December 8,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October 31, 2016.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ind w:left="340"/>
              <w:spacing w:after="0"/>
              <w:rPr>
                <w:sz w:val="20"/>
                <w:szCs w:val="20"/>
                <w:color w:val="auto"/>
              </w:rPr>
            </w:pPr>
            <w:r>
              <w:rPr>
                <w:rFonts w:ascii="Arial" w:cs="Arial" w:eastAsia="Arial" w:hAnsi="Arial"/>
                <w:sz w:val="18"/>
                <w:szCs w:val="18"/>
                <w:color w:val="auto"/>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3,993</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1,211</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798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6"/>
              </w:rPr>
              <w:t>456</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7,593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October 31, 2016.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decimal"/>
      <w:start w:val="11"/>
    </w:lvl>
  </w:abstractNum>
  <w:abstractNum w:abstractNumId="5">
    <w:nsid w:val="41B71EFB"/>
    <w:multiLevelType w:val="hybridMultilevel"/>
    <w:lvl w:ilvl="0">
      <w:lvlJc w:val="left"/>
      <w:lvlText w:val="%1"/>
      <w:numFmt w:val="decimal"/>
      <w:start w:val="31"/>
    </w:lvl>
  </w:abstractNum>
  <w:abstractNum w:abstractNumId="6">
    <w:nsid w:val="79E2A9E3"/>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7">
    <w:nsid w:val="7545E146"/>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2020-01-21T23:38:14Z</dcterms:created>
  <dcterms:modified xsi:type="dcterms:W3CDTF">2020-01-21T23:38:14Z</dcterms:modified>
</cp:coreProperties>
</file>