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1960"/>
              <w:spacing w:after="0"/>
              <w:rPr>
                <w:sz w:val="20"/>
                <w:szCs w:val="20"/>
                <w:color w:val="auto"/>
              </w:rPr>
            </w:pPr>
            <w:r>
              <w:rPr>
                <w:rFonts w:ascii="Arial" w:cs="Arial" w:eastAsia="Arial" w:hAnsi="Arial"/>
                <w:sz w:val="18"/>
                <w:szCs w:val="18"/>
                <w:color w:val="auto"/>
                <w:w w:val="87"/>
              </w:rPr>
              <w:t>December 7, 2020</w:t>
            </w:r>
          </w:p>
        </w:tc>
        <w:tc>
          <w:tcPr>
            <w:tcW w:w="0" w:type="dxa"/>
            <w:vAlign w:val="bottom"/>
          </w:tcPr>
          <w:p>
            <w:pPr>
              <w:spacing w:after="0"/>
              <w:rPr>
                <w:sz w:val="1"/>
                <w:szCs w:val="1"/>
                <w:color w:val="auto"/>
              </w:rPr>
            </w:pPr>
          </w:p>
        </w:tc>
      </w:tr>
      <w:tr>
        <w:trPr>
          <w:trHeight w:val="526"/>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vMerge w:val="restart"/>
          </w:tcPr>
          <w:p>
            <w:pPr>
              <w:ind w:left="28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999" w:right="339" w:bottom="1440" w:gutter="0" w:footer="0" w:header="0"/>
        </w:sectPr>
      </w:pPr>
    </w:p>
    <w:p>
      <w:pPr>
        <w:spacing w:after="0" w:line="144" w:lineRule="exact"/>
        <w:rPr>
          <w:sz w:val="24"/>
          <w:szCs w:val="24"/>
          <w:color w:val="auto"/>
        </w:rPr>
      </w:pPr>
    </w:p>
    <w:p>
      <w:pPr>
        <w:ind w:left="68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ODC</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ind w:right="1660"/>
        <w:spacing w:after="0" w:line="293" w:lineRule="auto"/>
        <w:rPr>
          <w:sz w:val="20"/>
          <w:szCs w:val="20"/>
          <w:color w:val="auto"/>
        </w:rPr>
      </w:pPr>
      <w:r>
        <w:rPr>
          <w:rFonts w:ascii="Arial" w:cs="Arial" w:eastAsia="Arial" w:hAnsi="Arial"/>
          <w:sz w:val="18"/>
          <w:szCs w:val="18"/>
          <w:color w:val="auto"/>
        </w:rPr>
        <w:t>Name of each exchange on which registered New York Stock Exchange</w:t>
      </w:r>
    </w:p>
    <w:p>
      <w:pPr>
        <w:spacing w:after="0" w:line="200" w:lineRule="exact"/>
        <w:rPr>
          <w:sz w:val="24"/>
          <w:szCs w:val="24"/>
          <w:color w:val="auto"/>
        </w:rPr>
      </w:pPr>
    </w:p>
    <w:p>
      <w:pPr>
        <w:sectPr>
          <w:pgSz w:w="11900" w:h="16838" w:orient="portrait"/>
          <w:cols w:equalWidth="0" w:num="3">
            <w:col w:w="3780" w:space="720"/>
            <w:col w:w="1360" w:space="520"/>
            <w:col w:w="4860"/>
          </w:cols>
          <w:pgMar w:left="320" w:top="999" w:right="339" w:bottom="1440" w:gutter="0" w:footer="0" w:header="0"/>
          <w:type w:val="continuous"/>
        </w:sectPr>
      </w:pPr>
    </w:p>
    <w:p>
      <w:pPr>
        <w:spacing w:after="0" w:line="7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870585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90805</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56515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7, 2020, Oil-Dri Corporation of America (the “Registrant”) issued a press release announcing its results of operations for its first quarter ended October 31, 2020.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34"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9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520" w:type="dxa"/>
            <w:vAlign w:val="bottom"/>
          </w:tcPr>
          <w:p>
            <w:pPr>
              <w:spacing w:after="0"/>
              <w:rPr>
                <w:sz w:val="20"/>
                <w:szCs w:val="20"/>
                <w:color w:val="auto"/>
              </w:rPr>
            </w:pPr>
          </w:p>
        </w:tc>
        <w:tc>
          <w:tcPr>
            <w:tcW w:w="9540" w:type="dxa"/>
            <w:vAlign w:val="bottom"/>
            <w:tcBorders>
              <w:bottom w:val="single" w:sz="8" w:color="auto"/>
            </w:tcBorders>
          </w:tcPr>
          <w:p>
            <w:pPr>
              <w:ind w:left="3920"/>
              <w:spacing w:after="0"/>
              <w:rPr>
                <w:sz w:val="20"/>
                <w:szCs w:val="20"/>
                <w:color w:val="auto"/>
              </w:rPr>
            </w:pPr>
            <w:r>
              <w:rPr>
                <w:rFonts w:ascii="Arial" w:cs="Arial" w:eastAsia="Arial" w:hAnsi="Arial"/>
                <w:sz w:val="18"/>
                <w:szCs w:val="18"/>
                <w:color w:val="auto"/>
              </w:rPr>
              <w:t>Description of Exhibits</w:t>
            </w:r>
          </w:p>
        </w:tc>
        <w:tc>
          <w:tcPr>
            <w:tcW w:w="20" w:type="dxa"/>
            <w:vAlign w:val="bottom"/>
          </w:tcPr>
          <w:p>
            <w:pPr>
              <w:spacing w:after="0"/>
              <w:rPr>
                <w:sz w:val="20"/>
                <w:szCs w:val="20"/>
                <w:color w:val="auto"/>
              </w:rPr>
            </w:pPr>
          </w:p>
        </w:tc>
      </w:tr>
      <w:tr>
        <w:trPr>
          <w:trHeight w:val="453"/>
        </w:trPr>
        <w:tc>
          <w:tcPr>
            <w:tcW w:w="1160" w:type="dxa"/>
            <w:vAlign w:val="bottom"/>
          </w:tcPr>
          <w:p>
            <w:pPr>
              <w:jc w:val="right"/>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9560" w:type="dxa"/>
            <w:vAlign w:val="bottom"/>
            <w:gridSpan w:val="2"/>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of the Registrant dated December 7, 2020</w:t>
              </w:r>
            </w:hyperlink>
          </w:p>
        </w:tc>
      </w:tr>
      <w:tr>
        <w:trPr>
          <w:trHeight w:val="1222"/>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52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G. Scheland</w:t>
            </w:r>
          </w:p>
        </w:tc>
      </w:tr>
      <w:tr>
        <w:trPr>
          <w:trHeight w:val="222"/>
        </w:trPr>
        <w:tc>
          <w:tcPr>
            <w:tcW w:w="6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Laura G. Scheland</w:t>
            </w:r>
          </w:p>
        </w:tc>
      </w:tr>
      <w:tr>
        <w:trPr>
          <w:trHeight w:val="230"/>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Vice President and General Counsel</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2020</w:t>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99"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Strong First Quarter of Fiscal 2021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Record First Quarter Net Sales</w:t>
      </w:r>
    </w:p>
    <w:p>
      <w:pPr>
        <w:spacing w:after="0" w:line="229"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color w:val="auto"/>
        </w:rPr>
        <w:t>CHICAGO-(December 7, 2020) - Oil-Dri Corporation of America (NYSE: ODC), producer and marketer of sorbent mineral products, today announced results for its first quarter of fiscal year 2021.</w:t>
      </w:r>
    </w:p>
    <w:p>
      <w:pPr>
        <w:spacing w:after="0" w:line="83"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First Quarter</w:t>
      </w:r>
    </w:p>
    <w:p>
      <w:pPr>
        <w:spacing w:after="0" w:line="27" w:lineRule="exact"/>
        <w:rPr>
          <w:sz w:val="20"/>
          <w:szCs w:val="20"/>
          <w:color w:val="auto"/>
        </w:rPr>
      </w:pPr>
    </w:p>
    <w:p>
      <w:pPr>
        <w:ind w:left="7560"/>
        <w:spacing w:after="0"/>
        <w:rPr>
          <w:sz w:val="20"/>
          <w:szCs w:val="20"/>
          <w:color w:val="auto"/>
        </w:rPr>
      </w:pPr>
      <w:r>
        <w:rPr>
          <w:rFonts w:ascii="Arial" w:cs="Arial" w:eastAsia="Arial" w:hAnsi="Arial"/>
          <w:sz w:val="14"/>
          <w:szCs w:val="14"/>
          <w:i w:val="1"/>
          <w:iCs w:val="1"/>
          <w:color w:val="auto"/>
        </w:rPr>
        <w:t>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17780</wp:posOffset>
            </wp:positionV>
            <wp:extent cx="636905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69050" cy="14605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p>
      <w:pPr>
        <w:spacing w:after="0" w:line="257" w:lineRule="exact"/>
        <w:rPr>
          <w:sz w:val="20"/>
          <w:szCs w:val="20"/>
          <w:color w:val="auto"/>
        </w:rPr>
      </w:pPr>
    </w:p>
    <w:p>
      <w:pPr>
        <w:ind w:left="640"/>
        <w:spacing w:after="0"/>
        <w:rPr>
          <w:sz w:val="20"/>
          <w:szCs w:val="20"/>
          <w:color w:val="auto"/>
        </w:rPr>
      </w:pPr>
      <w:r>
        <w:rPr>
          <w:rFonts w:ascii="Arial" w:cs="Arial" w:eastAsia="Arial" w:hAnsi="Arial"/>
          <w:sz w:val="18"/>
          <w:szCs w:val="18"/>
          <w:color w:val="FFFFFF"/>
        </w:rPr>
        <w:t>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14605</wp:posOffset>
            </wp:positionV>
            <wp:extent cx="889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Sales</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Income Attributable to Oil-Dri</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Earnings per Common Diluted Share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540" w:type="dxa"/>
            <w:vAlign w:val="bottom"/>
          </w:tcPr>
          <w:p>
            <w:pPr>
              <w:jc w:val="right"/>
              <w:ind w:right="1139"/>
              <w:spacing w:after="0"/>
              <w:rPr>
                <w:sz w:val="20"/>
                <w:szCs w:val="20"/>
                <w:color w:val="auto"/>
              </w:rPr>
            </w:pPr>
            <w:r>
              <w:rPr>
                <w:rFonts w:ascii="Arial" w:cs="Arial" w:eastAsia="Arial" w:hAnsi="Arial"/>
                <w:sz w:val="16"/>
                <w:szCs w:val="16"/>
                <w:b w:val="1"/>
                <w:bCs w:val="1"/>
                <w:color w:val="auto"/>
                <w:w w:val="84"/>
              </w:rPr>
              <w:t>2020</w:t>
            </w:r>
          </w:p>
        </w:tc>
        <w:tc>
          <w:tcPr>
            <w:tcW w:w="1700" w:type="dxa"/>
            <w:vAlign w:val="bottom"/>
          </w:tcPr>
          <w:p>
            <w:pPr>
              <w:jc w:val="right"/>
              <w:ind w:right="879"/>
              <w:spacing w:after="0"/>
              <w:rPr>
                <w:sz w:val="20"/>
                <w:szCs w:val="20"/>
                <w:color w:val="auto"/>
              </w:rPr>
            </w:pPr>
            <w:r>
              <w:rPr>
                <w:rFonts w:ascii="Arial" w:cs="Arial" w:eastAsia="Arial" w:hAnsi="Arial"/>
                <w:sz w:val="16"/>
                <w:szCs w:val="16"/>
                <w:b w:val="1"/>
                <w:bCs w:val="1"/>
                <w:color w:val="auto"/>
              </w:rPr>
              <w:t>2019</w:t>
            </w:r>
          </w:p>
        </w:tc>
        <w:tc>
          <w:tcPr>
            <w:tcW w:w="700" w:type="dxa"/>
            <w:vAlign w:val="bottom"/>
          </w:tcPr>
          <w:p>
            <w:pPr>
              <w:ind w:left="160"/>
              <w:spacing w:after="0"/>
              <w:rPr>
                <w:sz w:val="20"/>
                <w:szCs w:val="20"/>
                <w:color w:val="auto"/>
              </w:rPr>
            </w:pPr>
            <w:r>
              <w:rPr>
                <w:rFonts w:ascii="Arial" w:cs="Arial" w:eastAsia="Arial" w:hAnsi="Arial"/>
                <w:sz w:val="16"/>
                <w:szCs w:val="16"/>
                <w:b w:val="1"/>
                <w:bCs w:val="1"/>
                <w:color w:val="auto"/>
                <w:w w:val="88"/>
              </w:rPr>
              <w:t>Change</w:t>
            </w:r>
          </w:p>
        </w:tc>
      </w:tr>
      <w:tr>
        <w:trPr>
          <w:trHeight w:val="445"/>
        </w:trPr>
        <w:tc>
          <w:tcPr>
            <w:tcW w:w="1540" w:type="dxa"/>
            <w:vAlign w:val="bottom"/>
          </w:tcPr>
          <w:p>
            <w:pPr>
              <w:jc w:val="right"/>
              <w:ind w:right="339"/>
              <w:spacing w:after="0"/>
              <w:rPr>
                <w:sz w:val="20"/>
                <w:szCs w:val="20"/>
                <w:color w:val="auto"/>
              </w:rPr>
            </w:pPr>
            <w:r>
              <w:rPr>
                <w:rFonts w:ascii="Arial" w:cs="Arial" w:eastAsia="Arial" w:hAnsi="Arial"/>
                <w:sz w:val="16"/>
                <w:szCs w:val="16"/>
                <w:color w:val="auto"/>
              </w:rPr>
              <w:t>$76,097,000</w:t>
            </w: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$71,122,000</w:t>
            </w:r>
          </w:p>
        </w:tc>
        <w:tc>
          <w:tcPr>
            <w:tcW w:w="700" w:type="dxa"/>
            <w:vAlign w:val="bottom"/>
          </w:tcPr>
          <w:p>
            <w:pPr>
              <w:jc w:val="center"/>
              <w:ind w:left="79"/>
              <w:spacing w:after="0"/>
              <w:rPr>
                <w:sz w:val="20"/>
                <w:szCs w:val="20"/>
                <w:color w:val="auto"/>
              </w:rPr>
            </w:pPr>
            <w:r>
              <w:rPr>
                <w:rFonts w:ascii="Arial" w:cs="Arial" w:eastAsia="Arial" w:hAnsi="Arial"/>
                <w:sz w:val="16"/>
                <w:szCs w:val="16"/>
                <w:color w:val="auto"/>
                <w:w w:val="94"/>
              </w:rPr>
              <w:t>7%</w:t>
            </w:r>
          </w:p>
        </w:tc>
      </w:tr>
      <w:tr>
        <w:trPr>
          <w:trHeight w:val="216"/>
        </w:trPr>
        <w:tc>
          <w:tcPr>
            <w:tcW w:w="1540" w:type="dxa"/>
            <w:vAlign w:val="bottom"/>
          </w:tcPr>
          <w:p>
            <w:pPr>
              <w:jc w:val="right"/>
              <w:ind w:right="339"/>
              <w:spacing w:after="0"/>
              <w:rPr>
                <w:sz w:val="20"/>
                <w:szCs w:val="20"/>
                <w:color w:val="auto"/>
              </w:rPr>
            </w:pPr>
            <w:r>
              <w:rPr>
                <w:rFonts w:ascii="Arial" w:cs="Arial" w:eastAsia="Arial" w:hAnsi="Arial"/>
                <w:sz w:val="16"/>
                <w:szCs w:val="16"/>
                <w:color w:val="auto"/>
              </w:rPr>
              <w:t>$3,984,000</w:t>
            </w: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$3,536,000</w:t>
            </w:r>
          </w:p>
        </w:tc>
        <w:tc>
          <w:tcPr>
            <w:tcW w:w="700" w:type="dxa"/>
            <w:vAlign w:val="bottom"/>
          </w:tcPr>
          <w:p>
            <w:pPr>
              <w:jc w:val="center"/>
              <w:ind w:left="79"/>
              <w:spacing w:after="0"/>
              <w:rPr>
                <w:sz w:val="20"/>
                <w:szCs w:val="20"/>
                <w:color w:val="auto"/>
              </w:rPr>
            </w:pPr>
            <w:r>
              <w:rPr>
                <w:rFonts w:ascii="Arial" w:cs="Arial" w:eastAsia="Arial" w:hAnsi="Arial"/>
                <w:sz w:val="16"/>
                <w:szCs w:val="16"/>
                <w:color w:val="auto"/>
                <w:w w:val="93"/>
              </w:rPr>
              <w:t>13%</w:t>
            </w:r>
          </w:p>
        </w:tc>
      </w:tr>
      <w:tr>
        <w:trPr>
          <w:trHeight w:val="216"/>
        </w:trPr>
        <w:tc>
          <w:tcPr>
            <w:tcW w:w="1540" w:type="dxa"/>
            <w:vAlign w:val="bottom"/>
          </w:tcPr>
          <w:p>
            <w:pPr>
              <w:jc w:val="right"/>
              <w:ind w:right="339"/>
              <w:spacing w:after="0"/>
              <w:rPr>
                <w:sz w:val="20"/>
                <w:szCs w:val="20"/>
                <w:color w:val="auto"/>
              </w:rPr>
            </w:pPr>
            <w:r>
              <w:rPr>
                <w:rFonts w:ascii="Arial" w:cs="Arial" w:eastAsia="Arial" w:hAnsi="Arial"/>
                <w:sz w:val="16"/>
                <w:szCs w:val="16"/>
                <w:color w:val="auto"/>
              </w:rPr>
              <w:t>$0.56</w:t>
            </w: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$0.50</w:t>
            </w:r>
          </w:p>
        </w:tc>
        <w:tc>
          <w:tcPr>
            <w:tcW w:w="700" w:type="dxa"/>
            <w:vAlign w:val="bottom"/>
          </w:tcPr>
          <w:p>
            <w:pPr>
              <w:jc w:val="center"/>
              <w:ind w:left="79"/>
              <w:spacing w:after="0"/>
              <w:rPr>
                <w:sz w:val="20"/>
                <w:szCs w:val="20"/>
                <w:color w:val="auto"/>
              </w:rPr>
            </w:pPr>
            <w:r>
              <w:rPr>
                <w:rFonts w:ascii="Arial" w:cs="Arial" w:eastAsia="Arial" w:hAnsi="Arial"/>
                <w:sz w:val="16"/>
                <w:szCs w:val="16"/>
                <w:color w:val="auto"/>
                <w:w w:val="93"/>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-553085</wp:posOffset>
            </wp:positionV>
            <wp:extent cx="6369050" cy="557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9050" cy="557530"/>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5660" w:space="720"/>
            <w:col w:w="4860"/>
          </w:cols>
          <w:pgMar w:left="320" w:top="1274" w:right="339" w:bottom="1440" w:gutter="0" w:footer="0" w:header="0"/>
          <w:type w:val="continuous"/>
        </w:sectPr>
      </w:pPr>
    </w:p>
    <w:p>
      <w:pPr>
        <w:ind w:left="640"/>
        <w:spacing w:after="0"/>
        <w:rPr>
          <w:sz w:val="20"/>
          <w:szCs w:val="20"/>
          <w:color w:val="auto"/>
        </w:rPr>
      </w:pPr>
      <w:r>
        <w:rPr>
          <w:rFonts w:ascii="Arial" w:cs="Arial" w:eastAsia="Arial" w:hAnsi="Arial"/>
          <w:sz w:val="18"/>
          <w:szCs w:val="18"/>
          <w:color w:val="FFFFFF"/>
        </w:rPr>
        <w:t>Business to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14605</wp:posOffset>
            </wp:positionV>
            <wp:extent cx="889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Sales</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Segment Operating Income</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8"/>
          <w:szCs w:val="18"/>
          <w:color w:val="FFFFFF"/>
        </w:rPr>
        <w:t>Retail and Wholesale</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Sales</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Segment Operating Income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380" w:type="dxa"/>
            <w:vAlign w:val="bottom"/>
          </w:tcPr>
          <w:p>
            <w:pPr>
              <w:jc w:val="right"/>
              <w:ind w:right="479"/>
              <w:spacing w:after="0"/>
              <w:rPr>
                <w:sz w:val="20"/>
                <w:szCs w:val="20"/>
                <w:color w:val="auto"/>
              </w:rPr>
            </w:pPr>
            <w:r>
              <w:rPr>
                <w:rFonts w:ascii="Arial" w:cs="Arial" w:eastAsia="Arial" w:hAnsi="Arial"/>
                <w:sz w:val="16"/>
                <w:szCs w:val="16"/>
                <w:color w:val="auto"/>
                <w:w w:val="89"/>
              </w:rPr>
              <w:t>$27,522,000</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$26,478,000</w:t>
            </w:r>
          </w:p>
        </w:tc>
        <w:tc>
          <w:tcPr>
            <w:tcW w:w="540" w:type="dxa"/>
            <w:vAlign w:val="bottom"/>
          </w:tcPr>
          <w:p>
            <w:pPr>
              <w:jc w:val="center"/>
              <w:ind w:left="119"/>
              <w:spacing w:after="0"/>
              <w:rPr>
                <w:sz w:val="20"/>
                <w:szCs w:val="20"/>
                <w:color w:val="auto"/>
              </w:rPr>
            </w:pPr>
            <w:r>
              <w:rPr>
                <w:rFonts w:ascii="Arial" w:cs="Arial" w:eastAsia="Arial" w:hAnsi="Arial"/>
                <w:sz w:val="16"/>
                <w:szCs w:val="16"/>
                <w:color w:val="auto"/>
                <w:w w:val="94"/>
              </w:rPr>
              <w:t>4%</w:t>
            </w:r>
          </w:p>
        </w:tc>
      </w:tr>
      <w:tr>
        <w:trPr>
          <w:trHeight w:val="216"/>
        </w:trPr>
        <w:tc>
          <w:tcPr>
            <w:tcW w:w="1380" w:type="dxa"/>
            <w:vAlign w:val="bottom"/>
          </w:tcPr>
          <w:p>
            <w:pPr>
              <w:jc w:val="right"/>
              <w:ind w:right="479"/>
              <w:spacing w:after="0"/>
              <w:rPr>
                <w:sz w:val="20"/>
                <w:szCs w:val="20"/>
                <w:color w:val="auto"/>
              </w:rPr>
            </w:pPr>
            <w:r>
              <w:rPr>
                <w:rFonts w:ascii="Arial" w:cs="Arial" w:eastAsia="Arial" w:hAnsi="Arial"/>
                <w:sz w:val="16"/>
                <w:szCs w:val="16"/>
                <w:color w:val="auto"/>
                <w:w w:val="99"/>
              </w:rPr>
              <w:t>$8,196,000</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$8,296,000</w:t>
            </w:r>
          </w:p>
        </w:tc>
        <w:tc>
          <w:tcPr>
            <w:tcW w:w="540" w:type="dxa"/>
            <w:vAlign w:val="bottom"/>
          </w:tcPr>
          <w:p>
            <w:pPr>
              <w:jc w:val="center"/>
              <w:ind w:left="139"/>
              <w:spacing w:after="0"/>
              <w:rPr>
                <w:sz w:val="20"/>
                <w:szCs w:val="20"/>
                <w:color w:val="auto"/>
              </w:rPr>
            </w:pPr>
            <w:r>
              <w:rPr>
                <w:rFonts w:ascii="Arial" w:cs="Arial" w:eastAsia="Arial" w:hAnsi="Arial"/>
                <w:sz w:val="16"/>
                <w:szCs w:val="16"/>
                <w:color w:val="auto"/>
                <w:w w:val="94"/>
              </w:rPr>
              <w:t>(1)%</w:t>
            </w:r>
          </w:p>
        </w:tc>
      </w:tr>
      <w:tr>
        <w:trPr>
          <w:trHeight w:val="445"/>
        </w:trPr>
        <w:tc>
          <w:tcPr>
            <w:tcW w:w="1380" w:type="dxa"/>
            <w:vAlign w:val="bottom"/>
          </w:tcPr>
          <w:p>
            <w:pPr>
              <w:jc w:val="right"/>
              <w:ind w:right="479"/>
              <w:spacing w:after="0"/>
              <w:rPr>
                <w:sz w:val="20"/>
                <w:szCs w:val="20"/>
                <w:color w:val="auto"/>
              </w:rPr>
            </w:pPr>
            <w:r>
              <w:rPr>
                <w:rFonts w:ascii="Arial" w:cs="Arial" w:eastAsia="Arial" w:hAnsi="Arial"/>
                <w:sz w:val="16"/>
                <w:szCs w:val="16"/>
                <w:color w:val="auto"/>
                <w:w w:val="89"/>
              </w:rPr>
              <w:t>$48,575,000</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$44,644,000</w:t>
            </w:r>
          </w:p>
        </w:tc>
        <w:tc>
          <w:tcPr>
            <w:tcW w:w="540" w:type="dxa"/>
            <w:vAlign w:val="bottom"/>
          </w:tcPr>
          <w:p>
            <w:pPr>
              <w:jc w:val="center"/>
              <w:ind w:left="119"/>
              <w:spacing w:after="0"/>
              <w:rPr>
                <w:sz w:val="20"/>
                <w:szCs w:val="20"/>
                <w:color w:val="auto"/>
              </w:rPr>
            </w:pPr>
            <w:r>
              <w:rPr>
                <w:rFonts w:ascii="Arial" w:cs="Arial" w:eastAsia="Arial" w:hAnsi="Arial"/>
                <w:sz w:val="16"/>
                <w:szCs w:val="16"/>
                <w:color w:val="auto"/>
                <w:w w:val="94"/>
              </w:rPr>
              <w:t>9%</w:t>
            </w:r>
          </w:p>
        </w:tc>
      </w:tr>
      <w:tr>
        <w:trPr>
          <w:trHeight w:val="216"/>
        </w:trPr>
        <w:tc>
          <w:tcPr>
            <w:tcW w:w="1380" w:type="dxa"/>
            <w:vAlign w:val="bottom"/>
          </w:tcPr>
          <w:p>
            <w:pPr>
              <w:jc w:val="right"/>
              <w:ind w:right="479"/>
              <w:spacing w:after="0"/>
              <w:rPr>
                <w:sz w:val="20"/>
                <w:szCs w:val="20"/>
                <w:color w:val="auto"/>
              </w:rPr>
            </w:pPr>
            <w:r>
              <w:rPr>
                <w:rFonts w:ascii="Arial" w:cs="Arial" w:eastAsia="Arial" w:hAnsi="Arial"/>
                <w:sz w:val="16"/>
                <w:szCs w:val="16"/>
                <w:color w:val="auto"/>
                <w:w w:val="99"/>
              </w:rPr>
              <w:t>$4,478,000</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$3,360,000</w:t>
            </w:r>
          </w:p>
        </w:tc>
        <w:tc>
          <w:tcPr>
            <w:tcW w:w="540" w:type="dxa"/>
            <w:vAlign w:val="bottom"/>
          </w:tcPr>
          <w:p>
            <w:pPr>
              <w:jc w:val="center"/>
              <w:ind w:left="119"/>
              <w:spacing w:after="0"/>
              <w:rPr>
                <w:sz w:val="20"/>
                <w:szCs w:val="20"/>
                <w:color w:val="auto"/>
              </w:rPr>
            </w:pPr>
            <w:r>
              <w:rPr>
                <w:rFonts w:ascii="Arial" w:cs="Arial" w:eastAsia="Arial" w:hAnsi="Arial"/>
                <w:sz w:val="16"/>
                <w:szCs w:val="16"/>
                <w:color w:val="auto"/>
                <w:w w:val="93"/>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-835660</wp:posOffset>
            </wp:positionV>
            <wp:extent cx="6369050" cy="848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69050" cy="8489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60" w:space="720"/>
            <w:col w:w="4560"/>
          </w:cols>
          <w:pgMar w:left="320" w:top="1274" w:right="339" w:bottom="1440" w:gutter="0" w:footer="0" w:header="0"/>
          <w:type w:val="continuous"/>
        </w:sectPr>
      </w:pPr>
    </w:p>
    <w:p>
      <w:pPr>
        <w:spacing w:after="0" w:line="149"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color w:val="auto"/>
        </w:rPr>
        <w:t xml:space="preserve">Daniel S. Jaffee, President and Chief Executive Officer, stated, “Coming off of a year with record sales and net income, I am extremely pleased that our momentum has continued into the first quarter of fiscal 2021. These solid results demonstrate how we are succeeding in our mission to </w:t>
      </w:r>
      <w:r>
        <w:rPr>
          <w:rFonts w:ascii="Arial" w:cs="Arial" w:eastAsia="Arial" w:hAnsi="Arial"/>
          <w:sz w:val="19"/>
          <w:szCs w:val="19"/>
          <w:i w:val="1"/>
          <w:iCs w:val="1"/>
          <w:color w:val="auto"/>
        </w:rPr>
        <w:t>Create Value from Sorbent Minerals</w:t>
      </w:r>
      <w:r>
        <w:rPr>
          <w:rFonts w:ascii="Arial" w:cs="Arial" w:eastAsia="Arial" w:hAnsi="Arial"/>
          <w:sz w:val="19"/>
          <w:szCs w:val="19"/>
          <w:color w:val="auto"/>
        </w:rPr>
        <w:t xml:space="preserve"> as we align with a diversified customer base spanning many different industries and countries. Revenues from cat litter remain strong both domestically and internationally, as more consumers embrace the value of our lightweight litter. We achieved sales gains within our Business to Business (“B2B”) Products Group while setting quarterly net sales records for both our agricultural products and our co-packaged coarse cat litter business. However, COVID- 19 and other market challenges caused headwinds for our animal health, industrial, sports, and jet fuel processing businesses. Fortunately, our diversified product portfolio generated significant consolidated revenues, operating income and net income, all of which increased in the first quarter over the prior year.</w:t>
      </w:r>
    </w:p>
    <w:p>
      <w:pPr>
        <w:spacing w:after="0" w:line="184" w:lineRule="exact"/>
        <w:rPr>
          <w:sz w:val="20"/>
          <w:szCs w:val="20"/>
          <w:color w:val="auto"/>
        </w:rPr>
      </w:pPr>
    </w:p>
    <w:p>
      <w:pPr>
        <w:ind w:right="80"/>
        <w:spacing w:after="0" w:line="343" w:lineRule="auto"/>
        <w:rPr>
          <w:sz w:val="20"/>
          <w:szCs w:val="20"/>
          <w:color w:val="auto"/>
        </w:rPr>
      </w:pPr>
      <w:r>
        <w:rPr>
          <w:rFonts w:ascii="Arial" w:cs="Arial" w:eastAsia="Arial" w:hAnsi="Arial"/>
          <w:sz w:val="19"/>
          <w:szCs w:val="19"/>
          <w:color w:val="auto"/>
        </w:rPr>
        <w:t>While I am pleased with our strong performance this quarter, I am disappointed with our lack of progress in Amlan International, our animal health business. As a result, I recently assumed the responsibilities of President of Amlan International in addition to</w:t>
      </w:r>
    </w:p>
    <w:p>
      <w:pPr>
        <w:sectPr>
          <w:pgSz w:w="11900" w:h="16838" w:orient="portrait"/>
          <w:cols w:equalWidth="0" w:num="1">
            <w:col w:w="11240"/>
          </w:cols>
          <w:pgMar w:left="320" w:top="1274" w:right="339" w:bottom="1440" w:gutter="0" w:footer="0" w:header="0"/>
          <w:type w:val="continuous"/>
        </w:sectPr>
      </w:pPr>
    </w:p>
    <w:bookmarkStart w:id="4" w:name="page5"/>
    <w:bookmarkEnd w:id="4"/>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my role as CEO. I had similar dual responsibilities during the launch of our</w:t>
      </w:r>
    </w:p>
    <w:p>
      <w:pPr>
        <w:spacing w:after="0" w:line="2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revolutionary lightweight cat litters and then successfully handed off those responsibilities when the timing was right. I plan to do the same with Amlan. My goal is to position Amlan for rapid growth and then appoint a new leader as president at the opportune time for the growth of the business.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we continue to persevere through the pandemic, we remain committed to ensuring the health and safety of our teammates and servicing our customers with the highest level of standards. We continue to focus on our growth strategies and are well positioned for the future.”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27" w:lineRule="exact"/>
        <w:rPr>
          <w:sz w:val="20"/>
          <w:szCs w:val="20"/>
          <w:color w:val="auto"/>
        </w:rPr>
      </w:pPr>
    </w:p>
    <w:p>
      <w:pPr>
        <w:ind w:right="60"/>
        <w:spacing w:after="0" w:line="285" w:lineRule="auto"/>
        <w:rPr>
          <w:sz w:val="20"/>
          <w:szCs w:val="20"/>
          <w:color w:val="auto"/>
        </w:rPr>
      </w:pPr>
      <w:r>
        <w:rPr>
          <w:rFonts w:ascii="Arial" w:cs="Arial" w:eastAsia="Arial" w:hAnsi="Arial"/>
          <w:sz w:val="19"/>
          <w:szCs w:val="19"/>
          <w:color w:val="auto"/>
        </w:rPr>
        <w:t>Consolidated net sales for the first quarter of fiscal 2021 reached $76 million, reflecting a 7% increase over the prior year. This growth was primarily driven by increased demand of our cat litter, agricultural, and fluids purification products. Consolidated gross profit rose 2%, while margins declined slightly to 27% in the first quarter of fiscal 2021 from 28% in the same period last year. This margin reduction can be attributed to higher freight, packaging and, to some extent, material and non-fuel manufacturing costs. Transportation costs per manufactured ton were higher in the first quarter due to a national driver shortage and tight trucking capacity, in part caused by the return of non-essential businesses and the pre-holiday inventory build driven by e-commerce and brick and mortar retailers. Packaging costs per manufactured ton increased due to product mix. Lower natural gas costs helped to offset these increases. Total selling, general and administrative (“SG&amp;A”) expenses for the first quarter were $687,000 lower than the prior year, a 4% decrease, resulting from reduced advertising and travel expenses. Consolidated operating income was $5.2 million, a 26% increase over the prior year. During the first three months of fiscal 2021, Oil-Dri experienced unfavorable exchange rate losses, higher interest expenses and a 2% tax rate increase versus a year ago. Net income attributed to Oil-Dri reached $4.0 million in the first quarter which represents a 13% increase over the prior year.</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color w:val="auto"/>
        </w:rPr>
        <w:t>Our balance sheet remains strong, with cash and cash equivalents of $31 million and approximately $10 million of debt.</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Products Group Review</w:t>
      </w:r>
    </w:p>
    <w:p>
      <w:pPr>
        <w:spacing w:after="0" w:line="27"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The Business to Business Products Group’s first quarter revenues increased 4% compared to the prior year. The majority of this gain was due to a 22% increase in sales of our agricultural products, primarily resulting from a significant uptick in demand from a large customer. In addition, there was an expected shift in timing of sales to a key customer from the fourth quarter of fiscal 2020 to the first quarter of fiscal 2021. Within the</w:t>
      </w:r>
    </w:p>
    <w:p>
      <w:pPr>
        <w:sectPr>
          <w:pgSz w:w="11900" w:h="16838" w:orient="portrait"/>
          <w:cols w:equalWidth="0" w:num="1">
            <w:col w:w="11220"/>
          </w:cols>
          <w:pgMar w:left="320" w:top="1440" w:right="359" w:bottom="1440" w:gutter="0" w:footer="0" w:header="0"/>
        </w:sectPr>
      </w:pPr>
    </w:p>
    <w:bookmarkStart w:id="5" w:name="page6"/>
    <w:bookmarkEnd w:id="5"/>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80"/>
        <w:spacing w:after="0" w:line="287" w:lineRule="auto"/>
        <w:rPr>
          <w:sz w:val="20"/>
          <w:szCs w:val="20"/>
          <w:color w:val="auto"/>
        </w:rPr>
      </w:pPr>
      <w:r>
        <w:rPr>
          <w:rFonts w:ascii="Arial" w:cs="Arial" w:eastAsia="Arial" w:hAnsi="Arial"/>
          <w:sz w:val="19"/>
          <w:szCs w:val="19"/>
          <w:color w:val="auto"/>
        </w:rPr>
        <w:t>agricultural products business, we experienced revenue growth from many of our existing customers and gained new distribution as well. The B2B Products Group also benefitted from a 3% increase in sales within the fluids purification business. Sales of our bleaching clay products were strong in Europe, Africa and Latin America, while softer revenues were experienced in North America due to crop conditions. Since COVID-19 has caused a reduction in air travel, sales of our Ultra-Clear products used for jet fuel processing continued to suffer. During the first three months of the fiscal year, our animal health business faced several challenging conditions resulting in a 17% sales decrease from the prior year. COVID-19 and African Swine Fever continue to present obstacles in many feed additive markets in which we sell. Changes in distributors and unfavorable exchange rates resulted in revenue declines in Latin America. Sales within Africa decreased due to a shift in timing of orders, while higher revenues within China, Mexico and Indonesia partially offset the losses in other regions of the world. Our co-packaging coarse cat litter business delivered strong top line growth of 5% in the first quarter over the same period last year which helped raise overall B2B sales. This increase reflects the upward trend of pet ownership and the early build of inventory in anticipation of potential pantry loading related to COVID-19.</w:t>
      </w:r>
    </w:p>
    <w:p>
      <w:pPr>
        <w:spacing w:after="0" w:line="200" w:lineRule="exact"/>
        <w:rPr>
          <w:sz w:val="20"/>
          <w:szCs w:val="20"/>
          <w:color w:val="auto"/>
        </w:rPr>
      </w:pP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Operating income in the B2B Products Group was $8.2 million in the first quarter, a 1% decrease over the prior year. Higher sales and lower SG&amp;A expenses were offset by increases in freight and packaging costs. Decreased SG&amp;A costs were mainly due to lower travel expenses related to COVID-19.</w:t>
      </w:r>
    </w:p>
    <w:p>
      <w:pPr>
        <w:spacing w:after="0" w:line="212" w:lineRule="exact"/>
        <w:rPr>
          <w:sz w:val="20"/>
          <w:szCs w:val="20"/>
          <w:color w:val="auto"/>
        </w:rPr>
      </w:pPr>
    </w:p>
    <w:p>
      <w:pPr>
        <w:jc w:val="both"/>
        <w:ind w:right="300"/>
        <w:spacing w:after="0" w:line="249" w:lineRule="auto"/>
        <w:rPr>
          <w:sz w:val="20"/>
          <w:szCs w:val="20"/>
          <w:color w:val="auto"/>
        </w:rPr>
      </w:pPr>
      <w:r>
        <w:rPr>
          <w:rFonts w:ascii="Arial" w:cs="Arial" w:eastAsia="Arial" w:hAnsi="Arial"/>
          <w:sz w:val="20"/>
          <w:szCs w:val="20"/>
          <w:color w:val="auto"/>
        </w:rPr>
        <w:t>Our Retail &amp; Wholesale Products Group’s first quarter revenues reached $48.6 million, representing a 9% gain over the same period last year. Our total domestic cat litter sales increased by 12% which exceeded category growth of 2.1% for the 12-week period ended October 31, 2020, according to third-party market research data for retail sales</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Oil-</w:t>
      </w:r>
    </w:p>
    <w:p>
      <w:pPr>
        <w:ind w:right="80"/>
        <w:spacing w:after="0" w:line="288" w:lineRule="auto"/>
        <w:rPr>
          <w:sz w:val="20"/>
          <w:szCs w:val="20"/>
          <w:color w:val="auto"/>
        </w:rPr>
      </w:pPr>
      <w:r>
        <w:rPr>
          <w:rFonts w:ascii="Arial" w:cs="Arial" w:eastAsia="Arial" w:hAnsi="Arial"/>
          <w:sz w:val="19"/>
          <w:szCs w:val="19"/>
          <w:color w:val="auto"/>
        </w:rPr>
        <w:t>Dri’s growth was due to strong demand for our private label products, both lightweight and heavyweight, and branded scoopable items. Sales gains were achieved through customer base expansion, new item launches, and increased demand from existing customers. In-store promotions and the impact of COVID-19 on increased pet adoptions also helped to boost sales. We experienced continued momentum from e-commerce retailers as demonstrated by a double-digit sales increase in the first quarter as compared to the same period last year. Revenues of cat litter from our Canadian subsidiary also remained elevated with gains of 17% in the first quarter versus a year ago. Unfortunately, COVID-19 continues to negatively impact sales of our industrial and sports products, as customers have reduced their demand and many sports fields remain closed.</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5" w:lineRule="exact"/>
        <w:rPr>
          <w:sz w:val="20"/>
          <w:szCs w:val="20"/>
          <w:color w:val="auto"/>
        </w:rPr>
      </w:pPr>
    </w:p>
    <w:p>
      <w:pPr>
        <w:ind w:right="140"/>
        <w:spacing w:after="0" w:line="248" w:lineRule="auto"/>
        <w:rPr>
          <w:sz w:val="20"/>
          <w:szCs w:val="20"/>
          <w:color w:val="auto"/>
        </w:rPr>
      </w:pPr>
      <w:r>
        <w:rPr>
          <w:rFonts w:ascii="Arial" w:cs="Arial" w:eastAsia="Arial" w:hAnsi="Arial"/>
          <w:sz w:val="22"/>
          <w:szCs w:val="22"/>
          <w:color w:val="auto"/>
        </w:rPr>
        <w:t>Operating income for the Retail and Wholesale Products Group was $4.5 million in the first quarter, reflecting a 33% increase over the prior year. This increase can be attributed to higher revenues, lower natural gas costs and reduced SG&amp;A expenses. Advertising spending declined in the first quarter compared to the prior year, as a result of a shift in the timing of our programming. We continue to implement our highly targeted digital media strategy and expect total advertising costs for the full 2021 fiscal year to be comparable to fiscal 2020 spending levels</w:t>
      </w:r>
      <w:r>
        <w:rPr>
          <w:rFonts w:ascii="Arial" w:cs="Arial" w:eastAsia="Arial" w:hAnsi="Arial"/>
          <w:sz w:val="17"/>
          <w:szCs w:val="17"/>
          <w:color w:val="auto"/>
        </w:rPr>
        <w:t>.</w:t>
      </w:r>
    </w:p>
    <w:p>
      <w:pPr>
        <w:spacing w:after="0" w:line="219" w:lineRule="exact"/>
        <w:rPr>
          <w:sz w:val="20"/>
          <w:szCs w:val="20"/>
          <w:color w:val="auto"/>
        </w:rPr>
      </w:pPr>
    </w:p>
    <w:p>
      <w:pPr>
        <w:ind w:right="280"/>
        <w:spacing w:after="0" w:line="271" w:lineRule="auto"/>
        <w:rPr>
          <w:sz w:val="20"/>
          <w:szCs w:val="20"/>
          <w:color w:val="auto"/>
        </w:rPr>
      </w:pPr>
      <w:r>
        <w:rPr>
          <w:rFonts w:ascii="Arial" w:cs="Arial" w:eastAsia="Arial" w:hAnsi="Arial"/>
          <w:sz w:val="21"/>
          <w:szCs w:val="21"/>
          <w:color w:val="auto"/>
        </w:rPr>
        <w:t>Due to the uncertainty and concerns relating to the COVID-19 pandemic, Oil-Dri will host its first quarter fiscal 2021 earnings discussion and its Annual Meeting of Stockholders virtually via a live webcast on Tuesday, December 8, 2020 at 9:30 a.m. Central Time. Participation details are available on the company’s website’</w:t>
      </w:r>
      <w:r>
        <w:rPr>
          <w:rFonts w:ascii="Arial" w:cs="Arial" w:eastAsia="Arial" w:hAnsi="Arial"/>
          <w:sz w:val="16"/>
          <w:szCs w:val="16"/>
          <w:color w:val="auto"/>
        </w:rPr>
        <w:t>s</w:t>
      </w:r>
      <w:r>
        <w:rPr>
          <w:rFonts w:ascii="Arial" w:cs="Arial" w:eastAsia="Arial" w:hAnsi="Arial"/>
          <w:sz w:val="21"/>
          <w:szCs w:val="21"/>
          <w:color w:val="auto"/>
        </w:rPr>
        <w:t xml:space="preserve"> </w:t>
      </w:r>
      <w:r>
        <w:rPr>
          <w:rFonts w:ascii="Arial" w:cs="Arial" w:eastAsia="Arial" w:hAnsi="Arial"/>
          <w:sz w:val="21"/>
          <w:szCs w:val="21"/>
          <w:u w:val="single" w:color="auto"/>
          <w:color w:val="0000FF"/>
        </w:rPr>
        <w:t>Events</w:t>
      </w:r>
      <w:r>
        <w:rPr>
          <w:rFonts w:ascii="Arial" w:cs="Arial" w:eastAsia="Arial" w:hAnsi="Arial"/>
          <w:sz w:val="21"/>
          <w:szCs w:val="21"/>
          <w:color w:val="auto"/>
        </w:rPr>
        <w:t xml:space="preserve"> page.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38" w:lineRule="exact"/>
        <w:rPr>
          <w:sz w:val="20"/>
          <w:szCs w:val="20"/>
          <w:color w:val="auto"/>
        </w:rPr>
      </w:pPr>
    </w:p>
    <w:p>
      <w:pPr>
        <w:ind w:right="60"/>
        <w:spacing w:after="0" w:line="223" w:lineRule="auto"/>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Based in part on data reported by Nielsen through its Scantrack Service for the Cat Litter Category in the 12-week period ended October 31, 2020, for the U.S. xAOC+Pet Supers market. Copyright © 2020 Nielsen.</w:t>
      </w:r>
    </w:p>
    <w:p>
      <w:pPr>
        <w:spacing w:after="0" w:line="2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75 years of experience, the company continues to fulfill its mission to Create Value from Sorbent Minerals.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“Oil-Dri”, “Amlan”, and “Ultra-Clear” are registered trademarks of Oil-Dri Corporation of America.</w:t>
      </w:r>
    </w:p>
    <w:p>
      <w:pPr>
        <w:spacing w:after="0" w:line="248" w:lineRule="exact"/>
        <w:rPr>
          <w:sz w:val="20"/>
          <w:szCs w:val="20"/>
          <w:color w:val="auto"/>
        </w:rPr>
      </w:pPr>
    </w:p>
    <w:p>
      <w:pPr>
        <w:ind w:right="180"/>
        <w:spacing w:after="0" w:line="272" w:lineRule="auto"/>
        <w:rPr>
          <w:sz w:val="20"/>
          <w:szCs w:val="20"/>
          <w:color w:val="auto"/>
        </w:rPr>
      </w:pPr>
      <w:r>
        <w:rPr>
          <w:rFonts w:ascii="Arial" w:cs="Arial" w:eastAsia="Arial" w:hAnsi="Arial"/>
          <w:sz w:val="15"/>
          <w:szCs w:val="15"/>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or variations of such words and similar expressions are intended to identify such forward-looking statements, which are made pursuant to the safe harbor provisions of the Private Securities Litigation Reform Act of 1995.</w:t>
      </w:r>
    </w:p>
    <w:p>
      <w:pPr>
        <w:spacing w:after="0" w:line="204" w:lineRule="exact"/>
        <w:rPr>
          <w:sz w:val="20"/>
          <w:szCs w:val="20"/>
          <w:color w:val="auto"/>
        </w:rPr>
      </w:pPr>
    </w:p>
    <w:p>
      <w:pPr>
        <w:spacing w:after="0" w:line="293" w:lineRule="auto"/>
        <w:rPr>
          <w:sz w:val="20"/>
          <w:szCs w:val="20"/>
          <w:color w:val="auto"/>
        </w:rPr>
      </w:pPr>
      <w:r>
        <w:rPr>
          <w:rFonts w:ascii="Arial" w:cs="Arial" w:eastAsia="Arial" w:hAnsi="Arial"/>
          <w:sz w:val="14"/>
          <w:szCs w:val="14"/>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w:t>
      </w:r>
    </w:p>
    <w:p>
      <w:pPr>
        <w:sectPr>
          <w:pgSz w:w="11900" w:h="16838" w:orient="portrait"/>
          <w:cols w:equalWidth="0" w:num="1">
            <w:col w:w="11240"/>
          </w:cols>
          <w:pgMar w:left="320" w:top="1440" w:right="339" w:bottom="1440" w:gutter="0" w:footer="0" w:header="0"/>
        </w:sectPr>
      </w:pPr>
    </w:p>
    <w:bookmarkStart w:id="7" w:name="page8"/>
    <w:bookmarkEnd w:id="7"/>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statements after the distribution of this press release, whether as a result of new information, future events, changes in assumptions, or otherwise.</w:t>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Category: Earnings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Leslie A. Garber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Manager of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Oil-Dri Corporation of America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InvestorRelations@oildri.com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ectPr>
          <w:pgSz w:w="11900" w:h="16838" w:orient="portrait"/>
          <w:cols w:equalWidth="0" w:num="1">
            <w:col w:w="10139"/>
          </w:cols>
          <w:pgMar w:left="32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12"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6"/>
            <w:vMerge w:val="restart"/>
          </w:tcPr>
          <w:p>
            <w:pPr>
              <w:ind w:left="300"/>
              <w:spacing w:after="0"/>
              <w:rPr>
                <w:sz w:val="20"/>
                <w:szCs w:val="20"/>
                <w:color w:val="auto"/>
              </w:rPr>
            </w:pPr>
            <w:r>
              <w:rPr>
                <w:rFonts w:ascii="Arial" w:cs="Arial" w:eastAsia="Arial" w:hAnsi="Arial"/>
                <w:sz w:val="18"/>
                <w:szCs w:val="18"/>
                <w:b w:val="1"/>
                <w:bCs w:val="1"/>
                <w:color w:val="auto"/>
                <w:w w:val="98"/>
              </w:rPr>
              <w:t>First Quarter Ended October 31</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(unaudited)</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vMerge w:val="continue"/>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b w:val="1"/>
                <w:bCs w:val="1"/>
                <w:color w:val="auto"/>
              </w:rPr>
              <w:t>% of Sales</w:t>
            </w:r>
          </w:p>
        </w:tc>
        <w:tc>
          <w:tcPr>
            <w:tcW w:w="22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258"/>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03"/>
        </w:trPr>
        <w:tc>
          <w:tcPr>
            <w:tcW w:w="576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76,097</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71,122</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Cost of Sales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(55,793)</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(51,187)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20,304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19,935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28.0 %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(15,127)</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5,177</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Interest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Other (Expense) Income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4,755</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Income Tax Expense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3,949</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19"/>
        </w:trPr>
        <w:tc>
          <w:tcPr>
            <w:tcW w:w="5760" w:type="dxa"/>
            <w:vAlign w:val="bottom"/>
          </w:tcPr>
          <w:p>
            <w:pPr>
              <w:spacing w:after="0"/>
              <w:rPr>
                <w:sz w:val="20"/>
                <w:szCs w:val="20"/>
                <w:color w:val="auto"/>
              </w:rPr>
            </w:pPr>
            <w:r>
              <w:rPr>
                <w:rFonts w:ascii="Arial" w:cs="Arial" w:eastAsia="Arial" w:hAnsi="Arial"/>
                <w:sz w:val="16"/>
                <w:szCs w:val="16"/>
                <w:b w:val="1"/>
                <w:bCs w:val="1"/>
                <w:color w:val="auto"/>
              </w:rPr>
              <w:t>Net Loss Attributable to Noncontrolling Interest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b w:val="1"/>
                <w:bCs w:val="1"/>
                <w:color w:val="auto"/>
              </w:rPr>
              <w:t>Net Income Attributable to Oil-Dri</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3,984</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5.2 %</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3,536</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
        </w:trPr>
        <w:tc>
          <w:tcPr>
            <w:tcW w:w="5760" w:type="dxa"/>
            <w:vAlign w:val="bottom"/>
            <w:vMerge w:val="restart"/>
          </w:tcPr>
          <w:p>
            <w:pPr>
              <w:spacing w:after="0"/>
              <w:rPr>
                <w:sz w:val="20"/>
                <w:szCs w:val="20"/>
                <w:color w:val="auto"/>
              </w:rPr>
            </w:pPr>
            <w:r>
              <w:rPr>
                <w:rFonts w:ascii="Arial" w:cs="Arial" w:eastAsia="Arial" w:hAnsi="Arial"/>
                <w:sz w:val="16"/>
                <w:szCs w:val="16"/>
                <w:b w:val="1"/>
                <w:bCs w:val="1"/>
                <w:color w:val="auto"/>
              </w:rPr>
              <w:t>Net Income Per Share (1): Basic Common</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760" w:type="dxa"/>
            <w:vAlign w:val="bottom"/>
            <w:vMerge w:val="continue"/>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5,149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5,276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8" w:right="20" w:firstLine="8"/>
        <w:spacing w:after="0" w:line="257" w:lineRule="auto"/>
        <w:tabs>
          <w:tab w:leader="none" w:pos="19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Form 10-Q for three months ended October 31, 2020 and 2019 reflects a change in presentation for net income per share. We have historically disclosed net income per share for our diluted Common and Class B Common shares in total. As we have two classes of common shares, we have elected to change our net income per share presentation to reflect net income per share for both of our classes of common shares - our diluted Common shares and our diluted Class B Common shares.</w:t>
      </w:r>
    </w:p>
    <w:p>
      <w:pPr>
        <w:sectPr>
          <w:pgSz w:w="11900" w:h="16838" w:orient="portrait"/>
          <w:cols w:equalWidth="0" w:num="1">
            <w:col w:w="11192"/>
          </w:cols>
          <w:pgMar w:left="328" w:top="1440" w:right="3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As of October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5"/>
        </w:trPr>
        <w:tc>
          <w:tcPr>
            <w:tcW w:w="4120" w:type="dxa"/>
            <w:vAlign w:val="bottom"/>
            <w:vMerge w:val="continue"/>
          </w:tcPr>
          <w:p>
            <w:pPr>
              <w:spacing w:after="0"/>
              <w:rPr>
                <w:sz w:val="17"/>
                <w:szCs w:val="17"/>
                <w:color w:val="auto"/>
              </w:rPr>
            </w:pP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31,291</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19,260</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39,212</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36,269</w:t>
            </w: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Inventories</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23,493</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23,803</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Prepaid Expenses and Other</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8,289</w:t>
            </w:r>
          </w:p>
        </w:tc>
        <w:tc>
          <w:tcPr>
            <w:tcW w:w="4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102,285</w:t>
            </w: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85,545</w:t>
            </w:r>
          </w:p>
        </w:tc>
        <w:tc>
          <w:tcPr>
            <w:tcW w:w="0" w:type="dxa"/>
            <w:vAlign w:val="bottom"/>
          </w:tcPr>
          <w:p>
            <w:pPr>
              <w:spacing w:after="0"/>
              <w:rPr>
                <w:sz w:val="1"/>
                <w:szCs w:val="1"/>
                <w:color w:val="auto"/>
              </w:rPr>
            </w:pPr>
          </w:p>
        </w:tc>
      </w:tr>
      <w:tr>
        <w:trPr>
          <w:trHeight w:val="218"/>
        </w:trPr>
        <w:tc>
          <w:tcPr>
            <w:tcW w:w="412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91,038</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90,206</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Other Noncurrent Assets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34,048</w:t>
            </w:r>
          </w:p>
        </w:tc>
        <w:tc>
          <w:tcPr>
            <w:tcW w:w="4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33,991</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227,371</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209,742</w:t>
            </w:r>
          </w:p>
        </w:tc>
        <w:tc>
          <w:tcPr>
            <w:tcW w:w="0" w:type="dxa"/>
            <w:vAlign w:val="bottom"/>
          </w:tcPr>
          <w:p>
            <w:pPr>
              <w:spacing w:after="0"/>
              <w:rPr>
                <w:sz w:val="1"/>
                <w:szCs w:val="1"/>
                <w:color w:val="auto"/>
              </w:rPr>
            </w:pPr>
          </w:p>
        </w:tc>
      </w:tr>
      <w:tr>
        <w:trPr>
          <w:trHeight w:val="21"/>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9,745</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1,807</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Other 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21,918</w:t>
            </w:r>
          </w:p>
        </w:tc>
        <w:tc>
          <w:tcPr>
            <w:tcW w:w="4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17,235</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34,470</w:t>
            </w: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30,002</w:t>
            </w:r>
          </w:p>
        </w:tc>
        <w:tc>
          <w:tcPr>
            <w:tcW w:w="0" w:type="dxa"/>
            <w:vAlign w:val="bottom"/>
          </w:tcPr>
          <w:p>
            <w:pPr>
              <w:spacing w:after="0"/>
              <w:rPr>
                <w:sz w:val="1"/>
                <w:szCs w:val="1"/>
                <w:color w:val="auto"/>
              </w:rPr>
            </w:pPr>
          </w:p>
        </w:tc>
      </w:tr>
      <w:tr>
        <w:trPr>
          <w:trHeight w:val="205"/>
        </w:trPr>
        <w:tc>
          <w:tcPr>
            <w:tcW w:w="4120" w:type="dxa"/>
            <w:vAlign w:val="bottom"/>
          </w:tcPr>
          <w:p>
            <w:pPr>
              <w:spacing w:after="0" w:line="205" w:lineRule="exact"/>
              <w:rPr>
                <w:sz w:val="20"/>
                <w:szCs w:val="20"/>
                <w:color w:val="auto"/>
              </w:rPr>
            </w:pPr>
            <w:r>
              <w:rPr>
                <w:rFonts w:ascii="Arial" w:cs="Arial" w:eastAsia="Arial" w:hAnsi="Arial"/>
                <w:sz w:val="18"/>
                <w:szCs w:val="18"/>
                <w:b w:val="1"/>
                <w:bCs w:val="1"/>
                <w:color w:val="auto"/>
              </w:rPr>
              <w:t>Noncurrent Liabilities</w:t>
            </w: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8,857</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33,728</w:t>
            </w:r>
          </w:p>
        </w:tc>
        <w:tc>
          <w:tcPr>
            <w:tcW w:w="4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41,804</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Noncurrent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42,585</w:t>
            </w: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41,804</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150,316</w:t>
            </w: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137,936</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227,371</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209,742</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21.25</w:t>
            </w:r>
          </w:p>
        </w:tc>
        <w:tc>
          <w:tcPr>
            <w:tcW w:w="40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481"/>
        </w:trPr>
        <w:tc>
          <w:tcPr>
            <w:tcW w:w="4120" w:type="dxa"/>
            <w:vAlign w:val="bottom"/>
          </w:tcPr>
          <w:p>
            <w:pPr>
              <w:spacing w:after="0"/>
              <w:rPr>
                <w:sz w:val="20"/>
                <w:szCs w:val="20"/>
                <w:color w:val="auto"/>
              </w:rPr>
            </w:pPr>
            <w:r>
              <w:rPr>
                <w:rFonts w:ascii="Arial" w:cs="Arial" w:eastAsia="Arial" w:hAnsi="Arial"/>
                <w:sz w:val="18"/>
                <w:szCs w:val="18"/>
                <w:b w:val="1"/>
                <w:bCs w:val="1"/>
                <w:color w:val="auto"/>
              </w:rPr>
              <w:t>Acquisitions of:</w:t>
            </w: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First Quarter</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3,568</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3,568</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b w:val="1"/>
                <w:bCs w:val="1"/>
                <w:color w:val="auto"/>
              </w:rPr>
              <w:t>Depreciation and Amortization Charges</w:t>
            </w: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First Quarter</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3,504</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3,504</w:t>
            </w:r>
          </w:p>
        </w:tc>
        <w:tc>
          <w:tcPr>
            <w:tcW w:w="4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(in thousands)</w:t>
            </w: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(unaudited)</w:t>
            </w:r>
          </w:p>
        </w:tc>
        <w:tc>
          <w:tcPr>
            <w:tcW w:w="3380" w:type="dxa"/>
            <w:vAlign w:val="bottom"/>
            <w:gridSpan w:val="4"/>
            <w:vMerge w:val="restart"/>
          </w:tcPr>
          <w:p>
            <w:pPr>
              <w:jc w:val="right"/>
              <w:ind w:right="150"/>
              <w:spacing w:after="0"/>
              <w:rPr>
                <w:sz w:val="20"/>
                <w:szCs w:val="20"/>
                <w:color w:val="auto"/>
              </w:rPr>
            </w:pPr>
            <w:r>
              <w:rPr>
                <w:rFonts w:ascii="Arial" w:cs="Arial" w:eastAsia="Arial" w:hAnsi="Arial"/>
                <w:sz w:val="18"/>
                <w:szCs w:val="18"/>
                <w:b w:val="1"/>
                <w:bCs w:val="1"/>
                <w:color w:val="auto"/>
              </w:rPr>
              <w:t>For the Three Months Ended</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160" w:type="dxa"/>
            <w:vAlign w:val="bottom"/>
          </w:tcPr>
          <w:p>
            <w:pPr>
              <w:spacing w:after="0"/>
              <w:rPr>
                <w:sz w:val="19"/>
                <w:szCs w:val="19"/>
                <w:color w:val="auto"/>
              </w:rPr>
            </w:pPr>
          </w:p>
        </w:tc>
        <w:tc>
          <w:tcPr>
            <w:tcW w:w="3380" w:type="dxa"/>
            <w:vAlign w:val="bottom"/>
            <w:gridSpan w:val="4"/>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October 31</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1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3,949</w:t>
            </w:r>
          </w:p>
        </w:tc>
        <w:tc>
          <w:tcPr>
            <w:tcW w:w="400" w:type="dxa"/>
            <w:vAlign w:val="bottom"/>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Depreciation and Amortization</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3,504</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Increase in Accounts Receivable</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(4,196)</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 Inventories</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462</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Increase in Accounts Payable</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(1,435)</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 Accrued Expenses</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(8,106)</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4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23"/>
        </w:trPr>
        <w:tc>
          <w:tcPr>
            <w:tcW w:w="7160" w:type="dxa"/>
            <w:vAlign w:val="bottom"/>
          </w:tcPr>
          <w:p>
            <w:pPr>
              <w:ind w:left="460"/>
              <w:spacing w:after="0"/>
              <w:rPr>
                <w:sz w:val="20"/>
                <w:szCs w:val="20"/>
                <w:color w:val="auto"/>
              </w:rPr>
            </w:pPr>
            <w:r>
              <w:rPr>
                <w:rFonts w:ascii="Arial" w:cs="Arial" w:eastAsia="Arial" w:hAnsi="Arial"/>
                <w:sz w:val="18"/>
                <w:szCs w:val="18"/>
                <w:b w:val="1"/>
                <w:bCs w:val="1"/>
                <w:color w:val="auto"/>
              </w:rPr>
              <w:t>Total Adjustments</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(7,384)</w:t>
            </w:r>
          </w:p>
        </w:tc>
        <w:tc>
          <w:tcPr>
            <w:tcW w:w="4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(Used in) Provided by Operating Activities</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4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w:t>
            </w:r>
          </w:p>
        </w:tc>
        <w:tc>
          <w:tcPr>
            <w:tcW w:w="0" w:type="dxa"/>
            <w:vAlign w:val="bottom"/>
          </w:tcPr>
          <w:p>
            <w:pPr>
              <w:spacing w:after="0"/>
              <w:rPr>
                <w:sz w:val="1"/>
                <w:szCs w:val="1"/>
                <w:color w:val="auto"/>
              </w:rPr>
            </w:pPr>
          </w:p>
        </w:tc>
      </w:tr>
      <w:tr>
        <w:trPr>
          <w:trHeight w:val="461"/>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Capital Expenditures</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(3,568)</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Used in Investing Activities</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4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461"/>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Principal Payments on Notes Payable</w:t>
            </w:r>
          </w:p>
        </w:tc>
        <w:tc>
          <w:tcPr>
            <w:tcW w:w="116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Dividends Paid</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(1,803)</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Purchase of Treasury Stock</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4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Used in Financing Activities</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4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466"/>
        </w:trPr>
        <w:tc>
          <w:tcPr>
            <w:tcW w:w="716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6"/>
        </w:trPr>
        <w:tc>
          <w:tcPr>
            <w:tcW w:w="7160" w:type="dxa"/>
            <w:vAlign w:val="bottom"/>
            <w:vMerge w:val="restart"/>
          </w:tcPr>
          <w:p>
            <w:pPr>
              <w:spacing w:after="0"/>
              <w:rPr>
                <w:sz w:val="20"/>
                <w:szCs w:val="20"/>
                <w:color w:val="auto"/>
              </w:rPr>
            </w:pPr>
            <w:r>
              <w:rPr>
                <w:rFonts w:ascii="Arial" w:cs="Arial" w:eastAsia="Arial" w:hAnsi="Arial"/>
                <w:sz w:val="20"/>
                <w:szCs w:val="20"/>
                <w:b w:val="1"/>
                <w:bCs w:val="1"/>
                <w:color w:val="auto"/>
              </w:rPr>
              <w:t>Net Decrease in Cash and Cash Equivalents</w:t>
            </w:r>
          </w:p>
        </w:tc>
        <w:tc>
          <w:tcPr>
            <w:tcW w:w="1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71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(9,599)</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40,890</w:t>
            </w:r>
          </w:p>
        </w:tc>
        <w:tc>
          <w:tcPr>
            <w:tcW w:w="4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31,291</w:t>
            </w:r>
          </w:p>
        </w:tc>
        <w:tc>
          <w:tcPr>
            <w:tcW w:w="400" w:type="dxa"/>
            <w:vAlign w:val="bottom"/>
          </w:tcPr>
          <w:p>
            <w:pPr>
              <w:spacing w:after="0"/>
              <w:rPr>
                <w:sz w:val="19"/>
                <w:szCs w:val="19"/>
                <w:color w:val="auto"/>
              </w:rPr>
            </w:pPr>
          </w:p>
        </w:tc>
        <w:tc>
          <w:tcPr>
            <w:tcW w:w="1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00"/>
      </w:cols>
      <w:pgMar w:left="3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2020-12-07T15:22:37Z</dcterms:created>
  <dcterms:modified xsi:type="dcterms:W3CDTF">2020-12-07T15:22:37Z</dcterms:modified>
</cp:coreProperties>
</file>