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389" w:lineRule="exact"/>
        <w:rPr>
          <w:sz w:val="24"/>
          <w:szCs w:val="24"/>
          <w:color w:val="auto"/>
        </w:rPr>
      </w:pPr>
    </w:p>
    <w:p>
      <w:pPr>
        <w:ind w:left="40"/>
        <w:spacing w:after="0"/>
        <w:tabs>
          <w:tab w:leader="none" w:pos="1012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6"/>
          <w:szCs w:val="16"/>
          <w:color w:val="auto"/>
        </w:rPr>
        <w:t>October 13, 2016</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Oil-Dri Corporation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jc w:val="center"/>
              <w:ind w:right="830"/>
              <w:spacing w:after="0"/>
              <w:rPr>
                <w:sz w:val="20"/>
                <w:szCs w:val="20"/>
                <w:color w:val="auto"/>
              </w:rPr>
            </w:pPr>
            <w:r>
              <w:rPr>
                <w:rFonts w:ascii="Arial" w:cs="Arial" w:eastAsia="Arial" w:hAnsi="Arial"/>
                <w:sz w:val="18"/>
                <w:szCs w:val="18"/>
                <w:b w:val="1"/>
                <w:bCs w:val="1"/>
                <w:color w:val="auto"/>
                <w:w w:val="91"/>
              </w:rPr>
              <w:t>Delaware</w:t>
            </w:r>
          </w:p>
        </w:tc>
        <w:tc>
          <w:tcPr>
            <w:tcW w:w="1580" w:type="dxa"/>
            <w:vAlign w:val="bottom"/>
          </w:tcPr>
          <w:p>
            <w:pPr>
              <w:jc w:val="right"/>
              <w:spacing w:after="0"/>
              <w:rPr>
                <w:sz w:val="20"/>
                <w:szCs w:val="20"/>
                <w:color w:val="auto"/>
              </w:rPr>
            </w:pPr>
            <w:r>
              <w:rPr>
                <w:rFonts w:ascii="Arial" w:cs="Arial" w:eastAsia="Arial" w:hAnsi="Arial"/>
                <w:sz w:val="18"/>
                <w:szCs w:val="18"/>
                <w:b w:val="1"/>
                <w:bCs w:val="1"/>
                <w:color w:val="auto"/>
              </w:rPr>
              <w:t>001-12622</w:t>
            </w:r>
          </w:p>
        </w:tc>
        <w:tc>
          <w:tcPr>
            <w:tcW w:w="1660" w:type="dxa"/>
            <w:vAlign w:val="bottom"/>
          </w:tcPr>
          <w:p>
            <w:pPr>
              <w:spacing w:after="0"/>
              <w:rPr>
                <w:sz w:val="20"/>
                <w:szCs w:val="20"/>
                <w:color w:val="auto"/>
              </w:rPr>
            </w:pPr>
          </w:p>
        </w:tc>
        <w:tc>
          <w:tcPr>
            <w:tcW w:w="3580" w:type="dxa"/>
            <w:vAlign w:val="bottom"/>
          </w:tcPr>
          <w:p>
            <w:pPr>
              <w:ind w:left="1320"/>
              <w:spacing w:after="0"/>
              <w:rPr>
                <w:sz w:val="20"/>
                <w:szCs w:val="20"/>
                <w:color w:val="auto"/>
              </w:rPr>
            </w:pPr>
            <w:r>
              <w:rPr>
                <w:rFonts w:ascii="Arial" w:cs="Arial" w:eastAsia="Arial" w:hAnsi="Arial"/>
                <w:sz w:val="18"/>
                <w:szCs w:val="18"/>
                <w:b w:val="1"/>
                <w:bCs w:val="1"/>
                <w:color w:val="auto"/>
              </w:rPr>
              <w:t>36-2048898</w:t>
            </w:r>
          </w:p>
        </w:tc>
      </w:tr>
      <w:tr>
        <w:trPr>
          <w:trHeight w:val="27"/>
        </w:trPr>
        <w:tc>
          <w:tcPr>
            <w:tcW w:w="46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237"/>
        </w:trPr>
        <w:tc>
          <w:tcPr>
            <w:tcW w:w="4600" w:type="dxa"/>
            <w:vAlign w:val="bottom"/>
          </w:tcPr>
          <w:p>
            <w:pPr>
              <w:jc w:val="center"/>
              <w:ind w:right="830"/>
              <w:spacing w:after="0"/>
              <w:rPr>
                <w:sz w:val="20"/>
                <w:szCs w:val="20"/>
                <w:color w:val="auto"/>
              </w:rPr>
            </w:pPr>
            <w:r>
              <w:rPr>
                <w:rFonts w:ascii="Arial" w:cs="Arial" w:eastAsia="Arial" w:hAnsi="Arial"/>
                <w:sz w:val="18"/>
                <w:szCs w:val="18"/>
                <w:color w:val="auto"/>
                <w:w w:val="92"/>
              </w:rPr>
              <w:t>(State or other jurisdiction of incorporation)</w:t>
            </w:r>
          </w:p>
        </w:tc>
        <w:tc>
          <w:tcPr>
            <w:tcW w:w="3240" w:type="dxa"/>
            <w:vAlign w:val="bottom"/>
            <w:gridSpan w:val="2"/>
          </w:tcPr>
          <w:p>
            <w:pPr>
              <w:jc w:val="center"/>
              <w:ind w:right="980"/>
              <w:spacing w:after="0"/>
              <w:rPr>
                <w:sz w:val="20"/>
                <w:szCs w:val="20"/>
                <w:color w:val="auto"/>
              </w:rPr>
            </w:pPr>
            <w:r>
              <w:rPr>
                <w:rFonts w:ascii="Arial" w:cs="Arial" w:eastAsia="Arial" w:hAnsi="Arial"/>
                <w:sz w:val="18"/>
                <w:szCs w:val="18"/>
                <w:color w:val="auto"/>
                <w:w w:val="92"/>
              </w:rPr>
              <w:t>(Commission File Number)</w:t>
            </w:r>
          </w:p>
        </w:tc>
        <w:tc>
          <w:tcPr>
            <w:tcW w:w="3580" w:type="dxa"/>
            <w:vAlign w:val="bottom"/>
          </w:tcPr>
          <w:p>
            <w:pPr>
              <w:ind w:left="520"/>
              <w:spacing w:after="0"/>
              <w:rPr>
                <w:sz w:val="20"/>
                <w:szCs w:val="20"/>
                <w:color w:val="auto"/>
              </w:rPr>
            </w:pPr>
            <w:r>
              <w:rPr>
                <w:rFonts w:ascii="Arial" w:cs="Arial" w:eastAsia="Arial" w:hAnsi="Arial"/>
                <w:sz w:val="18"/>
                <w:szCs w:val="18"/>
                <w:color w:val="auto"/>
              </w:rPr>
              <w:t>(IRS Employer Identification No.)</w:t>
            </w:r>
          </w:p>
        </w:tc>
      </w:tr>
      <w:tr>
        <w:trPr>
          <w:trHeight w:val="1035"/>
        </w:trPr>
        <w:tc>
          <w:tcPr>
            <w:tcW w:w="784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1"/>
              </w:rPr>
              <w:t>410 North Michigan Avenue</w:t>
            </w:r>
          </w:p>
        </w:tc>
        <w:tc>
          <w:tcPr>
            <w:tcW w:w="3580" w:type="dxa"/>
            <w:vAlign w:val="bottom"/>
          </w:tcPr>
          <w:p>
            <w:pPr>
              <w:spacing w:after="0"/>
              <w:rPr>
                <w:sz w:val="24"/>
                <w:szCs w:val="24"/>
                <w:color w:val="auto"/>
              </w:rPr>
            </w:pPr>
          </w:p>
        </w:tc>
      </w:tr>
      <w:tr>
        <w:trPr>
          <w:trHeight w:val="216"/>
        </w:trPr>
        <w:tc>
          <w:tcPr>
            <w:tcW w:w="4600" w:type="dxa"/>
            <w:vAlign w:val="bottom"/>
          </w:tcPr>
          <w:p>
            <w:pPr>
              <w:jc w:val="center"/>
              <w:ind w:left="2970"/>
              <w:spacing w:after="0"/>
              <w:rPr>
                <w:sz w:val="20"/>
                <w:szCs w:val="20"/>
                <w:color w:val="auto"/>
              </w:rPr>
            </w:pPr>
            <w:r>
              <w:rPr>
                <w:rFonts w:ascii="Arial" w:cs="Arial" w:eastAsia="Arial" w:hAnsi="Arial"/>
                <w:sz w:val="18"/>
                <w:szCs w:val="18"/>
                <w:b w:val="1"/>
                <w:bCs w:val="1"/>
                <w:color w:val="auto"/>
                <w:w w:val="88"/>
              </w:rPr>
              <w:t>Suite 400</w:t>
            </w:r>
          </w:p>
        </w:tc>
        <w:tc>
          <w:tcPr>
            <w:tcW w:w="15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580" w:type="dxa"/>
            <w:vAlign w:val="bottom"/>
          </w:tcPr>
          <w:p>
            <w:pPr>
              <w:spacing w:after="0"/>
              <w:rPr>
                <w:sz w:val="18"/>
                <w:szCs w:val="18"/>
                <w:color w:val="auto"/>
              </w:rPr>
            </w:pPr>
          </w:p>
        </w:tc>
      </w:tr>
      <w:tr>
        <w:trPr>
          <w:trHeight w:val="234"/>
        </w:trPr>
        <w:tc>
          <w:tcPr>
            <w:tcW w:w="4600" w:type="dxa"/>
            <w:vAlign w:val="bottom"/>
          </w:tcPr>
          <w:p>
            <w:pPr>
              <w:jc w:val="center"/>
              <w:ind w:left="2990"/>
              <w:spacing w:after="0"/>
              <w:rPr>
                <w:sz w:val="20"/>
                <w:szCs w:val="20"/>
                <w:color w:val="auto"/>
              </w:rPr>
            </w:pPr>
            <w:r>
              <w:rPr>
                <w:rFonts w:ascii="Arial" w:cs="Arial" w:eastAsia="Arial" w:hAnsi="Arial"/>
                <w:sz w:val="18"/>
                <w:szCs w:val="18"/>
                <w:b w:val="1"/>
                <w:bCs w:val="1"/>
                <w:color w:val="auto"/>
                <w:w w:val="89"/>
              </w:rPr>
              <w:t>Chicago, Illinois</w:t>
            </w:r>
          </w:p>
        </w:tc>
        <w:tc>
          <w:tcPr>
            <w:tcW w:w="15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3580" w:type="dxa"/>
            <w:vAlign w:val="bottom"/>
          </w:tcPr>
          <w:p>
            <w:pPr>
              <w:jc w:val="right"/>
              <w:ind w:right="1350"/>
              <w:spacing w:after="0"/>
              <w:rPr>
                <w:sz w:val="20"/>
                <w:szCs w:val="20"/>
                <w:color w:val="auto"/>
              </w:rPr>
            </w:pPr>
            <w:r>
              <w:rPr>
                <w:rFonts w:ascii="Arial" w:cs="Arial" w:eastAsia="Arial" w:hAnsi="Arial"/>
                <w:sz w:val="18"/>
                <w:szCs w:val="18"/>
                <w:b w:val="1"/>
                <w:bCs w:val="1"/>
                <w:color w:val="auto"/>
              </w:rPr>
              <w:t>60611-4213</w:t>
            </w:r>
          </w:p>
        </w:tc>
      </w:tr>
      <w:tr>
        <w:trPr>
          <w:trHeight w:val="27"/>
        </w:trPr>
        <w:tc>
          <w:tcPr>
            <w:tcW w:w="618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r>
        <w:trPr>
          <w:trHeight w:val="237"/>
        </w:trPr>
        <w:tc>
          <w:tcPr>
            <w:tcW w:w="7840" w:type="dxa"/>
            <w:vAlign w:val="bottom"/>
            <w:gridSpan w:val="3"/>
          </w:tcPr>
          <w:p>
            <w:pPr>
              <w:jc w:val="center"/>
              <w:ind w:right="180"/>
              <w:spacing w:after="0"/>
              <w:rPr>
                <w:sz w:val="20"/>
                <w:szCs w:val="20"/>
                <w:color w:val="auto"/>
              </w:rPr>
            </w:pPr>
            <w:r>
              <w:rPr>
                <w:rFonts w:ascii="Arial" w:cs="Arial" w:eastAsia="Arial" w:hAnsi="Arial"/>
                <w:sz w:val="18"/>
                <w:szCs w:val="18"/>
                <w:color w:val="auto"/>
                <w:w w:val="92"/>
              </w:rPr>
              <w:t>(Address of principal executive offices)</w:t>
            </w:r>
          </w:p>
        </w:tc>
        <w:tc>
          <w:tcPr>
            <w:tcW w:w="3580" w:type="dxa"/>
            <w:vAlign w:val="bottom"/>
          </w:tcPr>
          <w:p>
            <w:pPr>
              <w:ind w:left="1300"/>
              <w:spacing w:after="0"/>
              <w:rPr>
                <w:sz w:val="20"/>
                <w:szCs w:val="20"/>
                <w:color w:val="auto"/>
              </w:rPr>
            </w:pPr>
            <w:r>
              <w:rPr>
                <w:rFonts w:ascii="Arial" w:cs="Arial" w:eastAsia="Arial" w:hAnsi="Arial"/>
                <w:sz w:val="18"/>
                <w:szCs w:val="18"/>
                <w:color w:val="auto"/>
              </w:rPr>
              <w:t>(Zip Code)</w:t>
            </w:r>
          </w:p>
        </w:tc>
      </w:tr>
      <w:tr>
        <w:trPr>
          <w:trHeight w:val="837"/>
        </w:trPr>
        <w:tc>
          <w:tcPr>
            <w:tcW w:w="4600" w:type="dxa"/>
            <w:vAlign w:val="bottom"/>
          </w:tcPr>
          <w:p>
            <w:pPr>
              <w:ind w:left="40"/>
              <w:spacing w:after="0"/>
              <w:rPr>
                <w:sz w:val="20"/>
                <w:szCs w:val="20"/>
                <w:color w:val="auto"/>
              </w:rPr>
            </w:pPr>
            <w:r>
              <w:rPr>
                <w:rFonts w:ascii="Arial" w:cs="Arial" w:eastAsia="Arial" w:hAnsi="Arial"/>
                <w:sz w:val="18"/>
                <w:szCs w:val="18"/>
                <w:color w:val="auto"/>
              </w:rPr>
              <w:t>Registrant’s telephone number, including area code</w:t>
            </w:r>
          </w:p>
        </w:tc>
        <w:tc>
          <w:tcPr>
            <w:tcW w:w="324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(312) 321-1515</w:t>
            </w:r>
          </w:p>
        </w:tc>
        <w:tc>
          <w:tcPr>
            <w:tcW w:w="3580" w:type="dxa"/>
            <w:vAlign w:val="bottom"/>
          </w:tcPr>
          <w:p>
            <w:pPr>
              <w:spacing w:after="0"/>
              <w:rPr>
                <w:sz w:val="24"/>
                <w:szCs w:val="24"/>
                <w:color w:val="auto"/>
              </w:rPr>
            </w:pPr>
          </w:p>
        </w:tc>
      </w:tr>
      <w:tr>
        <w:trPr>
          <w:trHeight w:val="27"/>
        </w:trPr>
        <w:tc>
          <w:tcPr>
            <w:tcW w:w="46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3580" w:type="dxa"/>
            <w:vAlign w:val="bottom"/>
            <w:tcBorders>
              <w:bottom w:val="single" w:sz="8" w:color="auto"/>
            </w:tcBorders>
          </w:tcPr>
          <w:p>
            <w:pPr>
              <w:spacing w:after="0"/>
              <w:rPr>
                <w:sz w:val="2"/>
                <w:szCs w:val="2"/>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531495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268"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333" w:lineRule="exact"/>
        <w:rPr>
          <w:sz w:val="24"/>
          <w:szCs w:val="24"/>
          <w:color w:val="auto"/>
        </w:rPr>
      </w:pPr>
    </w:p>
    <w:p>
      <w:pPr>
        <w:ind w:left="500" w:hanging="289"/>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98" w:lineRule="exact"/>
        <w:rPr>
          <w:rFonts w:ascii="MS PGothic" w:cs="MS PGothic" w:eastAsia="MS PGothic" w:hAnsi="MS PGothic"/>
          <w:sz w:val="18"/>
          <w:szCs w:val="18"/>
          <w:color w:val="auto"/>
        </w:rPr>
      </w:pPr>
    </w:p>
    <w:p>
      <w:pPr>
        <w:ind w:left="500" w:hanging="289"/>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98" w:lineRule="exact"/>
        <w:rPr>
          <w:rFonts w:ascii="MS PGothic" w:cs="MS PGothic" w:eastAsia="MS PGothic" w:hAnsi="MS PGothic"/>
          <w:sz w:val="18"/>
          <w:szCs w:val="18"/>
          <w:color w:val="auto"/>
        </w:rPr>
      </w:pPr>
    </w:p>
    <w:p>
      <w:pPr>
        <w:ind w:left="500" w:hanging="289"/>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98" w:lineRule="exact"/>
        <w:rPr>
          <w:rFonts w:ascii="MS PGothic" w:cs="MS PGothic" w:eastAsia="MS PGothic" w:hAnsi="MS PGothic"/>
          <w:sz w:val="18"/>
          <w:szCs w:val="18"/>
          <w:color w:val="auto"/>
        </w:rPr>
      </w:pPr>
    </w:p>
    <w:p>
      <w:pPr>
        <w:ind w:left="500" w:hanging="289"/>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ectPr>
          <w:pgSz w:w="11900" w:h="16838" w:orient="portrait"/>
          <w:cols w:equalWidth="0" w:num="1">
            <w:col w:w="11420"/>
          </w:cols>
          <w:pgMar w:left="240" w:top="688" w:right="239" w:bottom="1440" w:gutter="0" w:footer="0" w:header="0"/>
        </w:sectPr>
      </w:pPr>
    </w:p>
    <w:bookmarkStart w:id="1" w:name="page2"/>
    <w:bookmarkEnd w:id="1"/>
    <w:p>
      <w:pPr>
        <w:ind w:left="220"/>
        <w:spacing w:after="0"/>
        <w:rPr>
          <w:sz w:val="20"/>
          <w:szCs w:val="20"/>
          <w:color w:val="auto"/>
        </w:rPr>
      </w:pPr>
      <w:r>
        <w:rPr>
          <w:rFonts w:ascii="Arial" w:cs="Arial" w:eastAsia="Arial" w:hAnsi="Arial"/>
          <w:sz w:val="18"/>
          <w:szCs w:val="18"/>
          <w:b w:val="1"/>
          <w:bCs w:val="1"/>
          <w:u w:val="single" w:color="auto"/>
          <w:color w:val="auto"/>
        </w:rPr>
        <w:t>Item 5.02</w:t>
      </w:r>
      <w:r>
        <w:rPr>
          <w:rFonts w:ascii="Arial" w:cs="Arial" w:eastAsia="Arial" w:hAnsi="Arial"/>
          <w:sz w:val="18"/>
          <w:szCs w:val="18"/>
          <w:b w:val="1"/>
          <w:bCs w:val="1"/>
          <w:color w:val="auto"/>
        </w:rPr>
        <w:t xml:space="preserve"> Departure of Directors or Principal Officers; Election of Directors; Appointment of Principal Officers.</w:t>
      </w:r>
    </w:p>
    <w:p>
      <w:pPr>
        <w:spacing w:after="0" w:line="256" w:lineRule="exact"/>
        <w:rPr>
          <w:sz w:val="20"/>
          <w:szCs w:val="20"/>
          <w:color w:val="auto"/>
        </w:rPr>
      </w:pPr>
    </w:p>
    <w:p>
      <w:pPr>
        <w:jc w:val="both"/>
        <w:ind w:firstLine="8"/>
        <w:spacing w:after="0" w:line="259" w:lineRule="auto"/>
        <w:tabs>
          <w:tab w:leader="none" w:pos="285" w:val="left"/>
        </w:tabs>
        <w:numPr>
          <w:ilvl w:val="0"/>
          <w:numId w:val="2"/>
        </w:numPr>
        <w:rPr>
          <w:rFonts w:ascii="Arial" w:cs="Arial" w:eastAsia="Arial" w:hAnsi="Arial"/>
          <w:sz w:val="18"/>
          <w:szCs w:val="18"/>
          <w:color w:val="auto"/>
        </w:rPr>
      </w:pPr>
      <w:r>
        <w:rPr>
          <w:rFonts w:ascii="Arial" w:cs="Arial" w:eastAsia="Arial" w:hAnsi="Arial"/>
          <w:sz w:val="18"/>
          <w:szCs w:val="18"/>
          <w:color w:val="auto"/>
        </w:rPr>
        <w:t>On October 13, 2016, the Board of Directors of Oil-Dri Corporation of America (the “Registrant”) appointed Michael A. McPherson as Chief Development Officer. Mr. McPherson, who is 51 years old, previously served as Vice President, Business-to-Business Marketing &amp; Business Development, of the Registrant since 2013. A copy of the Registrant’s press release announcing Mr. McPherson’s appointment is attached as Exhibit 99.1 and the information contained therein is incorporated herein by reference.</w:t>
      </w:r>
    </w:p>
    <w:p>
      <w:pPr>
        <w:spacing w:after="0" w:line="186" w:lineRule="exact"/>
        <w:rPr>
          <w:rFonts w:ascii="Arial" w:cs="Arial" w:eastAsia="Arial" w:hAnsi="Arial"/>
          <w:sz w:val="18"/>
          <w:szCs w:val="18"/>
          <w:color w:val="auto"/>
        </w:rPr>
      </w:pPr>
    </w:p>
    <w:p>
      <w:pPr>
        <w:jc w:val="both"/>
        <w:ind w:firstLine="8"/>
        <w:spacing w:after="0" w:line="302" w:lineRule="auto"/>
        <w:tabs>
          <w:tab w:leader="none" w:pos="262" w:val="left"/>
        </w:tabs>
        <w:numPr>
          <w:ilvl w:val="0"/>
          <w:numId w:val="2"/>
        </w:numPr>
        <w:rPr>
          <w:rFonts w:ascii="Arial" w:cs="Arial" w:eastAsia="Arial" w:hAnsi="Arial"/>
          <w:sz w:val="16"/>
          <w:szCs w:val="16"/>
          <w:color w:val="auto"/>
        </w:rPr>
      </w:pPr>
      <w:r>
        <w:rPr>
          <w:rFonts w:ascii="Arial" w:cs="Arial" w:eastAsia="Arial" w:hAnsi="Arial"/>
          <w:sz w:val="16"/>
          <w:szCs w:val="16"/>
          <w:color w:val="auto"/>
        </w:rPr>
        <w:t>On October 13, 2016, the Board of the Registrant appointed George C. Roeth as a member of the Board. Mr. Roeth is a board member and the President and Chief Executive Officer of Central Garden &amp; Pet Company. Mr. Roeth retired as the Chief Operating Officer of Lifestyle, Household and Global Operating Functions of The Clorox Company in 2014 after serving in various roles with the company since 1987. A copy of the Registrant’s press release announcing Mr. Roeth’s appointment is attached as Exhibit 99.1 and the information contained therein is incorporated herein by reference.</w:t>
      </w:r>
    </w:p>
    <w:p>
      <w:pPr>
        <w:spacing w:after="0" w:line="312" w:lineRule="exact"/>
        <w:rPr>
          <w:sz w:val="20"/>
          <w:szCs w:val="20"/>
          <w:color w:val="auto"/>
        </w:rPr>
      </w:pPr>
    </w:p>
    <w:p>
      <w:pPr>
        <w:ind w:left="220"/>
        <w:spacing w:after="0"/>
        <w:rPr>
          <w:sz w:val="20"/>
          <w:szCs w:val="20"/>
          <w:color w:val="auto"/>
        </w:rPr>
      </w:pPr>
      <w:r>
        <w:rPr>
          <w:rFonts w:ascii="Arial" w:cs="Arial" w:eastAsia="Arial" w:hAnsi="Arial"/>
          <w:sz w:val="18"/>
          <w:szCs w:val="18"/>
          <w:b w:val="1"/>
          <w:bCs w:val="1"/>
          <w:u w:val="single" w:color="auto"/>
          <w:color w:val="auto"/>
        </w:rPr>
        <w:t>Item 8.01</w:t>
      </w:r>
      <w:r>
        <w:rPr>
          <w:rFonts w:ascii="Arial" w:cs="Arial" w:eastAsia="Arial" w:hAnsi="Arial"/>
          <w:sz w:val="18"/>
          <w:szCs w:val="18"/>
          <w:b w:val="1"/>
          <w:bCs w:val="1"/>
          <w:color w:val="auto"/>
        </w:rPr>
        <w:t xml:space="preserve"> Other Events.</w:t>
      </w:r>
    </w:p>
    <w:p>
      <w:pPr>
        <w:spacing w:after="0" w:line="256" w:lineRule="exact"/>
        <w:rPr>
          <w:sz w:val="20"/>
          <w:szCs w:val="20"/>
          <w:color w:val="auto"/>
        </w:rPr>
      </w:pPr>
    </w:p>
    <w:p>
      <w:pPr>
        <w:jc w:val="both"/>
        <w:ind w:firstLine="716"/>
        <w:spacing w:after="0" w:line="259" w:lineRule="auto"/>
        <w:rPr>
          <w:sz w:val="20"/>
          <w:szCs w:val="20"/>
          <w:color w:val="auto"/>
        </w:rPr>
      </w:pPr>
      <w:r>
        <w:rPr>
          <w:rFonts w:ascii="Arial" w:cs="Arial" w:eastAsia="Arial" w:hAnsi="Arial"/>
          <w:sz w:val="18"/>
          <w:szCs w:val="18"/>
          <w:color w:val="auto"/>
        </w:rPr>
        <w:t>At its regular meeting on October 13, 2016, the Registrant’s Board of Directors declared quarterly cash dividends of $0.22 per share of the Registrant’s Common Stock and $0.165 per share of the Registrant’s Class B Stock. The dividends will be payable on December 2, 2016, to stockholders of record at the close of business on November 18, 2016. A copy of the Registrant’s press release announcing these matters is attached as Exhibit 99.1 and the information contained therein is incorporated herein by reference.</w:t>
      </w:r>
    </w:p>
    <w:p>
      <w:pPr>
        <w:spacing w:after="0" w:line="345" w:lineRule="exact"/>
        <w:rPr>
          <w:sz w:val="20"/>
          <w:szCs w:val="20"/>
          <w:color w:val="auto"/>
        </w:rPr>
      </w:pPr>
    </w:p>
    <w:p>
      <w:pPr>
        <w:ind w:left="220"/>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9800" w:type="dxa"/>
            <w:vAlign w:val="bottom"/>
          </w:tcPr>
          <w:p>
            <w:pPr>
              <w:spacing w:after="0"/>
              <w:rPr>
                <w:sz w:val="18"/>
                <w:szCs w:val="18"/>
                <w:color w:val="auto"/>
              </w:rPr>
            </w:pPr>
          </w:p>
        </w:tc>
      </w:tr>
      <w:tr>
        <w:trPr>
          <w:trHeight w:val="230"/>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9800" w:type="dxa"/>
            <w:vAlign w:val="bottom"/>
          </w:tcPr>
          <w:p>
            <w:pPr>
              <w:ind w:left="4060"/>
              <w:spacing w:after="0"/>
              <w:rPr>
                <w:sz w:val="20"/>
                <w:szCs w:val="20"/>
                <w:color w:val="auto"/>
              </w:rPr>
            </w:pPr>
            <w:r>
              <w:rPr>
                <w:rFonts w:ascii="Arial" w:cs="Arial" w:eastAsia="Arial" w:hAnsi="Arial"/>
                <w:sz w:val="18"/>
                <w:szCs w:val="18"/>
                <w:color w:val="auto"/>
              </w:rPr>
              <w:t>Description of Exhibits</w:t>
            </w:r>
          </w:p>
        </w:tc>
      </w:tr>
      <w:tr>
        <w:trPr>
          <w:trHeight w:val="27"/>
        </w:trPr>
        <w:tc>
          <w:tcPr>
            <w:tcW w:w="12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507"/>
        </w:trPr>
        <w:tc>
          <w:tcPr>
            <w:tcW w:w="1280" w:type="dxa"/>
            <w:vAlign w:val="bottom"/>
          </w:tcPr>
          <w:p>
            <w:pPr>
              <w:jc w:val="right"/>
              <w:ind w:right="30"/>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Press Release of the Registrant dated October 13, 2016</w:t>
            </w:r>
          </w:p>
        </w:tc>
      </w:tr>
    </w:tbl>
    <w:p>
      <w:pPr>
        <w:sectPr>
          <w:pgSz w:w="11900" w:h="16838" w:orient="portrait"/>
          <w:cols w:equalWidth="0" w:num="1">
            <w:col w:w="11420"/>
          </w:cols>
          <w:pgMar w:left="240" w:top="958" w:right="239" w:bottom="1440" w:gutter="0" w:footer="0" w:header="0"/>
        </w:sectPr>
      </w:pPr>
    </w:p>
    <w:bookmarkStart w:id="2" w:name="page3"/>
    <w:bookmarkEnd w:id="2"/>
    <w:p>
      <w:pPr>
        <w:jc w:val="center"/>
        <w:ind w:right="-3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71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4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OIL-DRI CORPORATION OF AMERICA</w:t>
      </w:r>
    </w:p>
    <w:p>
      <w:pPr>
        <w:spacing w:after="0" w:line="333" w:lineRule="exact"/>
        <w:rPr>
          <w:sz w:val="20"/>
          <w:szCs w:val="20"/>
          <w:color w:val="auto"/>
        </w:rPr>
      </w:pPr>
    </w:p>
    <w:p>
      <w:pPr>
        <w:ind w:left="5640"/>
        <w:spacing w:after="0"/>
        <w:tabs>
          <w:tab w:leader="none" w:pos="6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Douglas A. Graham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4001135</wp:posOffset>
            </wp:positionH>
            <wp:positionV relativeFrom="paragraph">
              <wp:posOffset>31750</wp:posOffset>
            </wp:positionV>
            <wp:extent cx="23837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790" cy="8890"/>
                    </a:xfrm>
                    <a:prstGeom prst="rect">
                      <a:avLst/>
                    </a:prstGeom>
                    <a:noFill/>
                  </pic:spPr>
                </pic:pic>
              </a:graphicData>
            </a:graphic>
          </wp:anchor>
        </w:drawing>
      </w:r>
    </w:p>
    <w:p>
      <w:pPr>
        <w:spacing w:after="0" w:line="57"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Douglas A. Graham</w:t>
      </w:r>
    </w:p>
    <w:p>
      <w:pPr>
        <w:spacing w:after="0" w:line="63" w:lineRule="exact"/>
        <w:rPr>
          <w:sz w:val="20"/>
          <w:szCs w:val="20"/>
          <w:color w:val="auto"/>
        </w:rPr>
      </w:pPr>
    </w:p>
    <w:p>
      <w:pPr>
        <w:ind w:left="6320"/>
        <w:spacing w:after="0"/>
        <w:rPr>
          <w:sz w:val="20"/>
          <w:szCs w:val="20"/>
          <w:color w:val="auto"/>
        </w:rPr>
      </w:pPr>
      <w:r>
        <w:rPr>
          <w:rFonts w:ascii="Arial" w:cs="Arial" w:eastAsia="Arial" w:hAnsi="Arial"/>
          <w:sz w:val="18"/>
          <w:szCs w:val="18"/>
          <w:color w:val="auto"/>
        </w:rPr>
        <w:t>Vice President and General Counsel</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Date: October 13, 2016</w:t>
      </w:r>
    </w:p>
    <w:p>
      <w:pPr>
        <w:sectPr>
          <w:pgSz w:w="11900" w:h="16838" w:orient="portrait"/>
          <w:cols w:equalWidth="0" w:num="1">
            <w:col w:w="11060"/>
          </w:cols>
          <w:pgMar w:left="240" w:top="580" w:right="59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u w:val="single" w:color="auto"/>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Exhibit</w:t>
            </w:r>
          </w:p>
        </w:tc>
        <w:tc>
          <w:tcPr>
            <w:tcW w:w="9800" w:type="dxa"/>
            <w:vAlign w:val="bottom"/>
          </w:tcPr>
          <w:p>
            <w:pPr>
              <w:spacing w:after="0"/>
              <w:rPr>
                <w:sz w:val="18"/>
                <w:szCs w:val="18"/>
                <w:color w:val="auto"/>
              </w:rPr>
            </w:pPr>
          </w:p>
        </w:tc>
      </w:tr>
      <w:tr>
        <w:trPr>
          <w:trHeight w:val="230"/>
        </w:trPr>
        <w:tc>
          <w:tcPr>
            <w:tcW w:w="1620" w:type="dxa"/>
            <w:vAlign w:val="bottom"/>
            <w:gridSpan w:val="2"/>
          </w:tcPr>
          <w:p>
            <w:pPr>
              <w:ind w:left="40"/>
              <w:spacing w:after="0"/>
              <w:rPr>
                <w:sz w:val="20"/>
                <w:szCs w:val="20"/>
                <w:color w:val="auto"/>
              </w:rPr>
            </w:pPr>
            <w:r>
              <w:rPr>
                <w:rFonts w:ascii="Arial" w:cs="Arial" w:eastAsia="Arial" w:hAnsi="Arial"/>
                <w:sz w:val="18"/>
                <w:szCs w:val="18"/>
                <w:color w:val="auto"/>
              </w:rPr>
              <w:t>Number</w:t>
            </w:r>
          </w:p>
        </w:tc>
        <w:tc>
          <w:tcPr>
            <w:tcW w:w="9800" w:type="dxa"/>
            <w:vAlign w:val="bottom"/>
          </w:tcPr>
          <w:p>
            <w:pPr>
              <w:ind w:left="4060"/>
              <w:spacing w:after="0"/>
              <w:rPr>
                <w:sz w:val="20"/>
                <w:szCs w:val="20"/>
                <w:color w:val="auto"/>
              </w:rPr>
            </w:pPr>
            <w:r>
              <w:rPr>
                <w:rFonts w:ascii="Arial" w:cs="Arial" w:eastAsia="Arial" w:hAnsi="Arial"/>
                <w:sz w:val="18"/>
                <w:szCs w:val="18"/>
                <w:color w:val="auto"/>
              </w:rPr>
              <w:t>Description of Exhibits</w:t>
            </w:r>
          </w:p>
        </w:tc>
      </w:tr>
      <w:tr>
        <w:trPr>
          <w:trHeight w:val="27"/>
        </w:trPr>
        <w:tc>
          <w:tcPr>
            <w:tcW w:w="12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9800" w:type="dxa"/>
            <w:vAlign w:val="bottom"/>
            <w:tcBorders>
              <w:bottom w:val="single" w:sz="8" w:color="auto"/>
            </w:tcBorders>
          </w:tcPr>
          <w:p>
            <w:pPr>
              <w:spacing w:after="0"/>
              <w:rPr>
                <w:sz w:val="2"/>
                <w:szCs w:val="2"/>
                <w:color w:val="auto"/>
              </w:rPr>
            </w:pPr>
          </w:p>
        </w:tc>
      </w:tr>
      <w:tr>
        <w:trPr>
          <w:trHeight w:val="507"/>
        </w:trPr>
        <w:tc>
          <w:tcPr>
            <w:tcW w:w="1280" w:type="dxa"/>
            <w:vAlign w:val="bottom"/>
          </w:tcPr>
          <w:p>
            <w:pPr>
              <w:jc w:val="right"/>
              <w:ind w:right="30"/>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24"/>
                <w:szCs w:val="24"/>
                <w:color w:val="auto"/>
              </w:rPr>
            </w:pPr>
          </w:p>
        </w:tc>
        <w:tc>
          <w:tcPr>
            <w:tcW w:w="9800" w:type="dxa"/>
            <w:vAlign w:val="bottom"/>
          </w:tcPr>
          <w:p>
            <w:pPr>
              <w:ind w:left="20"/>
              <w:spacing w:after="0"/>
              <w:rPr>
                <w:sz w:val="20"/>
                <w:szCs w:val="20"/>
                <w:color w:val="auto"/>
              </w:rPr>
            </w:pPr>
            <w:r>
              <w:rPr>
                <w:rFonts w:ascii="Arial" w:cs="Arial" w:eastAsia="Arial" w:hAnsi="Arial"/>
                <w:sz w:val="18"/>
                <w:szCs w:val="18"/>
                <w:color w:val="auto"/>
              </w:rPr>
              <w:t>Press Release of the Registrant dated October 13, 2016</w:t>
            </w:r>
          </w:p>
        </w:tc>
      </w:tr>
    </w:tbl>
    <w:p>
      <w:pPr>
        <w:sectPr>
          <w:pgSz w:w="11900" w:h="16838" w:orient="portrait"/>
          <w:cols w:equalWidth="0" w:num="1">
            <w:col w:w="11420"/>
          </w:cols>
          <w:pgMar w:left="240" w:top="58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5"/>
          <w:szCs w:val="15"/>
          <w:color w:val="002D69"/>
        </w:rPr>
        <w:drawing>
          <wp:anchor simplePos="0" relativeHeight="251657728" behindDoc="1" locked="0" layoutInCell="0" allowOverlap="1">
            <wp:simplePos x="0" y="0"/>
            <wp:positionH relativeFrom="page">
              <wp:posOffset>3115945</wp:posOffset>
            </wp:positionH>
            <wp:positionV relativeFrom="page">
              <wp:posOffset>88900</wp:posOffset>
            </wp:positionV>
            <wp:extent cx="1337945" cy="4457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337945" cy="445770"/>
                    </a:xfrm>
                    <a:prstGeom prst="rect">
                      <a:avLst/>
                    </a:prstGeom>
                    <a:noFill/>
                  </pic:spPr>
                </pic:pic>
              </a:graphicData>
            </a:graphic>
          </wp:anchor>
        </w:drawing>
        <w:t>410 N. Michigan Ave. Chicago, Illinois 60611, U.S.A</w:t>
      </w:r>
    </w:p>
    <w:p>
      <w:pPr>
        <w:spacing w:after="0" w:line="178" w:lineRule="exact"/>
        <w:rPr>
          <w:sz w:val="20"/>
          <w:szCs w:val="20"/>
          <w:color w:val="auto"/>
        </w:rPr>
      </w:pPr>
    </w:p>
    <w:p>
      <w:pPr>
        <w:ind w:left="4740"/>
        <w:spacing w:after="0"/>
        <w:rPr>
          <w:sz w:val="20"/>
          <w:szCs w:val="20"/>
          <w:color w:val="auto"/>
        </w:rPr>
      </w:pPr>
      <w:r>
        <w:rPr>
          <w:rFonts w:ascii="Arial" w:cs="Arial" w:eastAsia="Arial" w:hAnsi="Arial"/>
          <w:sz w:val="22"/>
          <w:szCs w:val="22"/>
          <w:b w:val="1"/>
          <w:bCs w:val="1"/>
          <w:color w:val="002D69"/>
        </w:rPr>
        <w:t>News Announcement</w:t>
      </w:r>
    </w:p>
    <w:p>
      <w:pPr>
        <w:spacing w:after="0" w:line="28" w:lineRule="exact"/>
        <w:rPr>
          <w:sz w:val="20"/>
          <w:szCs w:val="20"/>
          <w:color w:val="auto"/>
        </w:rPr>
      </w:pPr>
    </w:p>
    <w:p>
      <w:pPr>
        <w:ind w:left="4700"/>
        <w:spacing w:after="0"/>
        <w:rPr>
          <w:sz w:val="20"/>
          <w:szCs w:val="20"/>
          <w:color w:val="auto"/>
        </w:rPr>
      </w:pPr>
      <w:r>
        <w:rPr>
          <w:rFonts w:ascii="Arial" w:cs="Arial" w:eastAsia="Arial" w:hAnsi="Arial"/>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99.1</w:t>
      </w:r>
    </w:p>
    <w:p>
      <w:pPr>
        <w:spacing w:after="0" w:line="187" w:lineRule="exact"/>
        <w:rPr>
          <w:sz w:val="20"/>
          <w:szCs w:val="20"/>
          <w:color w:val="auto"/>
        </w:rPr>
      </w:pPr>
    </w:p>
    <w:p>
      <w:pPr>
        <w:jc w:val="center"/>
        <w:spacing w:after="0" w:line="256" w:lineRule="auto"/>
        <w:rPr>
          <w:sz w:val="20"/>
          <w:szCs w:val="20"/>
          <w:color w:val="auto"/>
        </w:rPr>
      </w:pPr>
      <w:r>
        <w:rPr>
          <w:rFonts w:ascii="Arial" w:cs="Arial" w:eastAsia="Arial" w:hAnsi="Arial"/>
          <w:sz w:val="22"/>
          <w:szCs w:val="22"/>
          <w:b w:val="1"/>
          <w:bCs w:val="1"/>
          <w:color w:val="auto"/>
        </w:rPr>
        <w:t>Oil-Dri Announces Appointment of George C. Roeth as Board Member and Michael A. McPherson as Chief Development Officer and Declaration of Quarterly Dividends</w:t>
      </w:r>
    </w:p>
    <w:p>
      <w:pPr>
        <w:spacing w:after="0" w:line="200" w:lineRule="exact"/>
        <w:rPr>
          <w:sz w:val="20"/>
          <w:szCs w:val="20"/>
          <w:color w:val="auto"/>
        </w:rPr>
      </w:pPr>
    </w:p>
    <w:p>
      <w:pPr>
        <w:spacing w:after="0" w:line="280" w:lineRule="exact"/>
        <w:rPr>
          <w:sz w:val="20"/>
          <w:szCs w:val="20"/>
          <w:color w:val="auto"/>
        </w:rPr>
      </w:pPr>
    </w:p>
    <w:p>
      <w:pPr>
        <w:ind w:right="180"/>
        <w:spacing w:after="0" w:line="253" w:lineRule="auto"/>
        <w:rPr>
          <w:sz w:val="20"/>
          <w:szCs w:val="20"/>
          <w:color w:val="auto"/>
        </w:rPr>
      </w:pPr>
      <w:r>
        <w:rPr>
          <w:rFonts w:ascii="Arial" w:cs="Arial" w:eastAsia="Arial" w:hAnsi="Arial"/>
          <w:sz w:val="22"/>
          <w:szCs w:val="22"/>
          <w:color w:val="auto"/>
        </w:rPr>
        <w:t>CHICAGO-(October 13, 2016)- Oil-Dri Corporation of America (the “Company”) (NYSE: ODC) announced that effective today, George C. Roeth, President and Chief Executive Officer of Central Garden &amp; Pet Company, has been appointed to its Board of Directors.</w:t>
      </w:r>
    </w:p>
    <w:p>
      <w:pPr>
        <w:spacing w:after="0" w:line="145" w:lineRule="exact"/>
        <w:rPr>
          <w:sz w:val="20"/>
          <w:szCs w:val="20"/>
          <w:color w:val="auto"/>
        </w:rPr>
      </w:pPr>
    </w:p>
    <w:p>
      <w:pPr>
        <w:ind w:right="120"/>
        <w:spacing w:after="0" w:line="343" w:lineRule="auto"/>
        <w:rPr>
          <w:sz w:val="20"/>
          <w:szCs w:val="20"/>
          <w:color w:val="auto"/>
        </w:rPr>
      </w:pPr>
      <w:r>
        <w:rPr>
          <w:rFonts w:ascii="Arial" w:cs="Arial" w:eastAsia="Arial" w:hAnsi="Arial"/>
          <w:sz w:val="19"/>
          <w:szCs w:val="19"/>
          <w:color w:val="auto"/>
        </w:rPr>
        <w:t>Mr. Roeth joined the Board of Directors of Central Garden &amp; Pet Company in 2015 and was named President and Chief Executive Officer of that company in 2016. He also currently serves on the board of the East Oakland Youth Development Foundation.</w:t>
      </w:r>
    </w:p>
    <w:p>
      <w:pPr>
        <w:spacing w:after="0" w:line="64" w:lineRule="exact"/>
        <w:rPr>
          <w:sz w:val="20"/>
          <w:szCs w:val="20"/>
          <w:color w:val="auto"/>
        </w:rPr>
      </w:pPr>
    </w:p>
    <w:p>
      <w:pPr>
        <w:ind w:right="440"/>
        <w:spacing w:after="0" w:line="263" w:lineRule="auto"/>
        <w:rPr>
          <w:sz w:val="20"/>
          <w:szCs w:val="20"/>
          <w:color w:val="auto"/>
        </w:rPr>
      </w:pPr>
      <w:r>
        <w:rPr>
          <w:rFonts w:ascii="Arial" w:cs="Arial" w:eastAsia="Arial" w:hAnsi="Arial"/>
          <w:sz w:val="22"/>
          <w:szCs w:val="22"/>
          <w:color w:val="auto"/>
        </w:rPr>
        <w:t>Until recently, Mr. Roeth advised on consumer packaged goods investments while serving on the Gryphon Investors Executive Advisory Board.</w:t>
      </w:r>
    </w:p>
    <w:p>
      <w:pPr>
        <w:spacing w:after="0" w:line="134" w:lineRule="exact"/>
        <w:rPr>
          <w:sz w:val="20"/>
          <w:szCs w:val="20"/>
          <w:color w:val="auto"/>
        </w:rPr>
      </w:pPr>
    </w:p>
    <w:p>
      <w:pPr>
        <w:ind w:right="560"/>
        <w:spacing w:after="0" w:line="312" w:lineRule="auto"/>
        <w:rPr>
          <w:sz w:val="20"/>
          <w:szCs w:val="20"/>
          <w:color w:val="auto"/>
        </w:rPr>
      </w:pPr>
      <w:r>
        <w:rPr>
          <w:rFonts w:ascii="Arial" w:cs="Arial" w:eastAsia="Arial" w:hAnsi="Arial"/>
          <w:sz w:val="19"/>
          <w:szCs w:val="19"/>
          <w:color w:val="auto"/>
        </w:rPr>
        <w:t>Mr. Roeth spent the majority of his career in several senior-level marketing and operations roles at The Clorox Company (“Clorox”). Most recently, he served as Chief Operating Officer of Lifestyle, Household and Global Operating Functions. Mr. Roeth also served as Chairman of the Board for the Clorox and Procter &amp; Gamble Glad Products Joint Venture.</w:t>
      </w:r>
    </w:p>
    <w:p>
      <w:pPr>
        <w:spacing w:after="0" w:line="93" w:lineRule="exact"/>
        <w:rPr>
          <w:sz w:val="20"/>
          <w:szCs w:val="20"/>
          <w:color w:val="auto"/>
        </w:rPr>
      </w:pPr>
    </w:p>
    <w:p>
      <w:pPr>
        <w:ind w:right="180"/>
        <w:spacing w:after="0" w:line="253" w:lineRule="auto"/>
        <w:rPr>
          <w:sz w:val="20"/>
          <w:szCs w:val="20"/>
          <w:color w:val="auto"/>
        </w:rPr>
      </w:pPr>
      <w:r>
        <w:rPr>
          <w:rFonts w:ascii="Arial" w:cs="Arial" w:eastAsia="Arial" w:hAnsi="Arial"/>
          <w:sz w:val="22"/>
          <w:szCs w:val="22"/>
          <w:color w:val="auto"/>
        </w:rPr>
        <w:t>Daniel S. Jaffee, President and Chief Executive Officer stated, “I am very pleased to welcome George to our Board of Directors. I am certain that given our current business focus, George’s wealth of knowledge and extensive experience in the consumer packaged goods industry will be beneficial to Oil-Dri.”</w:t>
      </w:r>
    </w:p>
    <w:p>
      <w:pPr>
        <w:spacing w:after="0" w:line="186" w:lineRule="exact"/>
        <w:rPr>
          <w:sz w:val="20"/>
          <w:szCs w:val="20"/>
          <w:color w:val="auto"/>
        </w:rPr>
      </w:pPr>
    </w:p>
    <w:p>
      <w:pPr>
        <w:ind w:right="140"/>
        <w:spacing w:after="0" w:line="343" w:lineRule="auto"/>
        <w:rPr>
          <w:sz w:val="20"/>
          <w:szCs w:val="20"/>
          <w:color w:val="auto"/>
        </w:rPr>
      </w:pPr>
      <w:r>
        <w:rPr>
          <w:rFonts w:ascii="Arial" w:cs="Arial" w:eastAsia="Arial" w:hAnsi="Arial"/>
          <w:sz w:val="19"/>
          <w:szCs w:val="19"/>
          <w:color w:val="auto"/>
        </w:rPr>
        <w:t>Mr. Roeth received a Bachelor of Science in Business Administration from the University of California at Berkeley in 1983 and earned a Master’s in Business Administration from Kellogg Graduate School of Management of Northwestern University in 1987.</w:t>
      </w:r>
    </w:p>
    <w:p>
      <w:pPr>
        <w:spacing w:after="0" w:line="105" w:lineRule="exact"/>
        <w:rPr>
          <w:sz w:val="20"/>
          <w:szCs w:val="20"/>
          <w:color w:val="auto"/>
        </w:rPr>
      </w:pPr>
    </w:p>
    <w:p>
      <w:pPr>
        <w:ind w:right="20"/>
        <w:spacing w:after="0" w:line="271" w:lineRule="auto"/>
        <w:rPr>
          <w:sz w:val="20"/>
          <w:szCs w:val="20"/>
          <w:color w:val="auto"/>
        </w:rPr>
      </w:pPr>
      <w:r>
        <w:rPr>
          <w:rFonts w:ascii="Arial" w:cs="Arial" w:eastAsia="Arial" w:hAnsi="Arial"/>
          <w:sz w:val="21"/>
          <w:szCs w:val="21"/>
          <w:color w:val="auto"/>
        </w:rPr>
        <w:t>Also effective today, Oil-Dri’s Board of Directors appointed Michael A. McPherson as Chief Development Officer (“CDO”) and an executive officer of the company. In his expanded role, Mr. McPherson will lead an internal team in ensuring the Company’s new product and business development efforts are successful from conception through commercialization.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579755</wp:posOffset>
            </wp:positionH>
            <wp:positionV relativeFrom="paragraph">
              <wp:posOffset>557530</wp:posOffset>
            </wp:positionV>
            <wp:extent cx="6106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106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2D69"/>
        </w:rPr>
        <w:t>Reagan B. Culbertson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497F"/>
        </w:rPr>
        <w:t>reagan.culbertson@oildri.com</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4"/>
          <w:szCs w:val="14"/>
          <w:color w:val="002D69"/>
        </w:rPr>
        <w:t>(312) 706 3256</w:t>
      </w:r>
    </w:p>
    <w:p>
      <w:pPr>
        <w:sectPr>
          <w:pgSz w:w="11900" w:h="16838" w:orient="portrait"/>
          <w:cols w:equalWidth="0" w:num="1">
            <w:col w:w="11420"/>
          </w:cols>
          <w:pgMar w:left="240" w:top="828" w:right="239" w:bottom="1440" w:gutter="0" w:footer="0" w:header="0"/>
        </w:sectPr>
      </w:pPr>
    </w:p>
    <w:bookmarkStart w:id="5" w:name="page6"/>
    <w:bookmarkEnd w:id="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732155</wp:posOffset>
            </wp:positionH>
            <wp:positionV relativeFrom="page">
              <wp:posOffset>826135</wp:posOffset>
            </wp:positionV>
            <wp:extent cx="6106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106160" cy="8890"/>
                    </a:xfrm>
                    <a:prstGeom prst="rect">
                      <a:avLst/>
                    </a:prstGeom>
                    <a:noFill/>
                  </pic:spPr>
                </pic:pic>
              </a:graphicData>
            </a:graphic>
          </wp:anchor>
        </w:drawing>
        <w:drawing>
          <wp:anchor simplePos="0" relativeHeight="251657728" behindDoc="1" locked="0" layoutInCell="0" allowOverlap="1">
            <wp:simplePos x="0" y="0"/>
            <wp:positionH relativeFrom="page">
              <wp:posOffset>3133090</wp:posOffset>
            </wp:positionH>
            <wp:positionV relativeFrom="page">
              <wp:posOffset>226060</wp:posOffset>
            </wp:positionV>
            <wp:extent cx="1303655" cy="4286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303655" cy="428625"/>
                    </a:xfrm>
                    <a:prstGeom prst="rect">
                      <a:avLst/>
                    </a:prstGeom>
                    <a:noFill/>
                  </pic:spPr>
                </pic:pic>
              </a:graphicData>
            </a:graphic>
          </wp:anchor>
        </w:drawing>
      </w:r>
    </w:p>
    <w:p>
      <w:pPr>
        <w:spacing w:after="0" w:line="342" w:lineRule="exact"/>
        <w:rPr>
          <w:sz w:val="20"/>
          <w:szCs w:val="20"/>
          <w:color w:val="auto"/>
        </w:rPr>
      </w:pPr>
    </w:p>
    <w:p>
      <w:pPr>
        <w:ind w:right="260"/>
        <w:spacing w:after="0" w:line="250" w:lineRule="auto"/>
        <w:rPr>
          <w:sz w:val="20"/>
          <w:szCs w:val="20"/>
          <w:color w:val="auto"/>
        </w:rPr>
      </w:pPr>
      <w:r>
        <w:rPr>
          <w:rFonts w:ascii="Arial" w:cs="Arial" w:eastAsia="Arial" w:hAnsi="Arial"/>
          <w:sz w:val="22"/>
          <w:szCs w:val="22"/>
          <w:color w:val="auto"/>
        </w:rPr>
        <w:t>In announcing Mr. McPherson’s promotion, Daniel Jaffee stated that, “Mike’s promotion is well-deserved. His dedication and acumen is an enormous asset to Oil-Dri. In his new role, Mike will focus on internal alignment behind the most critical development projects and work to ensure that our efforts are resourced, funded, and implemented in a manner that aligns Oil-Dri for success.”</w:t>
      </w:r>
    </w:p>
    <w:p>
      <w:pPr>
        <w:spacing w:after="0" w:line="188" w:lineRule="exact"/>
        <w:rPr>
          <w:sz w:val="20"/>
          <w:szCs w:val="20"/>
          <w:color w:val="auto"/>
        </w:rPr>
      </w:pPr>
    </w:p>
    <w:p>
      <w:pPr>
        <w:ind w:right="120"/>
        <w:spacing w:after="0" w:line="253" w:lineRule="auto"/>
        <w:rPr>
          <w:sz w:val="20"/>
          <w:szCs w:val="20"/>
          <w:color w:val="auto"/>
        </w:rPr>
      </w:pPr>
      <w:r>
        <w:rPr>
          <w:rFonts w:ascii="Arial" w:cs="Arial" w:eastAsia="Arial" w:hAnsi="Arial"/>
          <w:sz w:val="22"/>
          <w:szCs w:val="22"/>
          <w:color w:val="auto"/>
        </w:rPr>
        <w:t>Mr. McPherson joined the Oil-Dri team in 2003. He has served as Vice President of Business-to-Business Marketing and Business Development since 2013. His background is in sales and marketing management, international market development and new technology commercialization.</w:t>
      </w:r>
    </w:p>
    <w:p>
      <w:pPr>
        <w:spacing w:after="0" w:line="186" w:lineRule="exact"/>
        <w:rPr>
          <w:sz w:val="20"/>
          <w:szCs w:val="20"/>
          <w:color w:val="auto"/>
        </w:rPr>
      </w:pPr>
    </w:p>
    <w:p>
      <w:pPr>
        <w:ind w:right="100"/>
        <w:spacing w:after="0" w:line="253" w:lineRule="auto"/>
        <w:rPr>
          <w:sz w:val="20"/>
          <w:szCs w:val="20"/>
          <w:color w:val="auto"/>
        </w:rPr>
      </w:pPr>
      <w:r>
        <w:rPr>
          <w:rFonts w:ascii="Arial" w:cs="Arial" w:eastAsia="Arial" w:hAnsi="Arial"/>
          <w:sz w:val="22"/>
          <w:szCs w:val="22"/>
          <w:color w:val="auto"/>
        </w:rPr>
        <w:t>Prior to Oil-Dri, Mr. McPherson served as Market Director, Latin America at The Dexter Corporation and General Manager of Dexter Mexicana S.A. de C.V. its Mexican subsidiary. He relocated to Mexico to oversee the design and construction of a coatings formulation plant and to expand its business in the region.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He earned his Master’s in Business Administration from Northern Illinois University.</w:t>
      </w:r>
    </w:p>
    <w:p>
      <w:pPr>
        <w:spacing w:after="0" w:line="220" w:lineRule="exact"/>
        <w:rPr>
          <w:sz w:val="20"/>
          <w:szCs w:val="20"/>
          <w:color w:val="auto"/>
        </w:rPr>
      </w:pPr>
    </w:p>
    <w:p>
      <w:pPr>
        <w:ind w:right="40"/>
        <w:spacing w:after="0" w:line="263" w:lineRule="auto"/>
        <w:rPr>
          <w:sz w:val="20"/>
          <w:szCs w:val="20"/>
          <w:color w:val="auto"/>
        </w:rPr>
      </w:pPr>
      <w:r>
        <w:rPr>
          <w:rFonts w:ascii="Arial" w:cs="Arial" w:eastAsia="Arial" w:hAnsi="Arial"/>
          <w:sz w:val="22"/>
          <w:szCs w:val="22"/>
          <w:color w:val="auto"/>
        </w:rPr>
        <w:t>In addition to his new role as CDO, Mr. McPherson will continue to oversee Oil-Dri’s Business-to-Business Marketing Department and Corporate Communications.</w:t>
      </w:r>
    </w:p>
    <w:p>
      <w:pPr>
        <w:spacing w:after="0" w:line="175" w:lineRule="exact"/>
        <w:rPr>
          <w:sz w:val="20"/>
          <w:szCs w:val="20"/>
          <w:color w:val="auto"/>
        </w:rPr>
      </w:pPr>
    </w:p>
    <w:p>
      <w:pPr>
        <w:ind w:right="100"/>
        <w:spacing w:after="0" w:line="263" w:lineRule="auto"/>
        <w:rPr>
          <w:sz w:val="20"/>
          <w:szCs w:val="20"/>
          <w:color w:val="auto"/>
        </w:rPr>
      </w:pPr>
      <w:r>
        <w:rPr>
          <w:rFonts w:ascii="Arial" w:cs="Arial" w:eastAsia="Arial" w:hAnsi="Arial"/>
          <w:sz w:val="22"/>
          <w:szCs w:val="22"/>
          <w:color w:val="auto"/>
        </w:rPr>
        <w:t>In addition to the Company’s new appointments, the Board of Directors today declared quarterly cash dividends of $0.22 per share of the Company’s Common Stock and $0.165 per share of the Company’s Class B Stock.</w:t>
      </w:r>
    </w:p>
    <w:p>
      <w:pPr>
        <w:spacing w:after="0" w:line="175"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dividends declared today will be payable on December 2, 2016, to stockholders of record at the close of business on November 18, 2016. The Company has paid cash dividends continuously since 1974 and has increased dividends annually for each of the last thirteen years.</w:t>
      </w:r>
    </w:p>
    <w:p>
      <w:pPr>
        <w:spacing w:after="0" w:line="186" w:lineRule="exact"/>
        <w:rPr>
          <w:sz w:val="20"/>
          <w:szCs w:val="20"/>
          <w:color w:val="auto"/>
        </w:rPr>
      </w:pPr>
    </w:p>
    <w:p>
      <w:pPr>
        <w:ind w:right="260"/>
        <w:spacing w:after="0" w:line="253" w:lineRule="auto"/>
        <w:rPr>
          <w:sz w:val="20"/>
          <w:szCs w:val="20"/>
          <w:color w:val="auto"/>
        </w:rPr>
      </w:pPr>
      <w:r>
        <w:rPr>
          <w:rFonts w:ascii="Arial" w:cs="Arial" w:eastAsia="Arial" w:hAnsi="Arial"/>
          <w:sz w:val="22"/>
          <w:szCs w:val="22"/>
          <w:color w:val="auto"/>
        </w:rPr>
        <w:t>The Company expects to release earnings for its first quarter of fiscal year 2017 after the close of the U.S. stock market on Thursday, December 8, 2016 and to host an earnings teleconference on Friday, December 9, 2016. Teleconference details will be communicated via web alert approximately one week prior to the call.</w:t>
      </w:r>
    </w:p>
    <w:p>
      <w:pPr>
        <w:spacing w:after="0" w:line="186" w:lineRule="exact"/>
        <w:rPr>
          <w:sz w:val="20"/>
          <w:szCs w:val="20"/>
          <w:color w:val="auto"/>
        </w:rPr>
      </w:pPr>
    </w:p>
    <w:p>
      <w:pPr>
        <w:ind w:right="620"/>
        <w:spacing w:after="0" w:line="253" w:lineRule="auto"/>
        <w:rPr>
          <w:sz w:val="20"/>
          <w:szCs w:val="20"/>
          <w:color w:val="auto"/>
        </w:rPr>
      </w:pPr>
      <w:r>
        <w:rPr>
          <w:rFonts w:ascii="Arial" w:cs="Arial" w:eastAsia="Arial" w:hAnsi="Arial"/>
          <w:sz w:val="22"/>
          <w:szCs w:val="22"/>
          <w:color w:val="auto"/>
        </w:rPr>
        <w:t>Oil-Dri will host its Annual Meeting of Stockholders on Tuesday, December 13, 2016 starting at 9:30 am, Central Time. The meeting will be held at The Standard Club, 320 South Plymouth Court, Chicago, Illinois 60604. The record date for voting eligibility at the Annual Meeting is October 17, 2016.</w:t>
      </w:r>
    </w:p>
    <w:p>
      <w:pPr>
        <w:spacing w:after="0" w:line="1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230" w:lineRule="exact"/>
        <w:rPr>
          <w:sz w:val="20"/>
          <w:szCs w:val="20"/>
          <w:color w:val="auto"/>
        </w:rPr>
      </w:pPr>
    </w:p>
    <w:p>
      <w:pPr>
        <w:jc w:val="center"/>
        <w:ind w:left="260" w:right="200"/>
        <w:spacing w:after="0" w:line="275" w:lineRule="auto"/>
        <w:rPr>
          <w:sz w:val="20"/>
          <w:szCs w:val="20"/>
          <w:color w:val="auto"/>
        </w:rPr>
      </w:pPr>
      <w:r>
        <w:rPr>
          <w:rFonts w:ascii="Arial" w:cs="Arial" w:eastAsia="Arial" w:hAnsi="Arial"/>
          <w:sz w:val="16"/>
          <w:szCs w:val="16"/>
          <w:i w:val="1"/>
          <w:iCs w:val="1"/>
          <w:color w:val="auto"/>
        </w:rPr>
        <w:t>Oil-Dri Corporation of America is a leading supplier of specialty sorbent products for agricultural, horticultural, fluids purification, specialty, industrial and automotive markets and is a leading manufacturer of cat litter.</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002D69"/>
        </w:rPr>
        <w:t>Reagan B. Culbertson</w:t>
      </w:r>
    </w:p>
    <w:p>
      <w:pPr>
        <w:spacing w:after="0" w:line="17" w:lineRule="exact"/>
        <w:rPr>
          <w:sz w:val="20"/>
          <w:szCs w:val="20"/>
          <w:color w:val="auto"/>
        </w:rPr>
      </w:pPr>
    </w:p>
    <w:p>
      <w:pPr>
        <w:jc w:val="center"/>
        <w:ind w:right="-39"/>
        <w:spacing w:after="0"/>
        <w:rPr>
          <w:sz w:val="20"/>
          <w:szCs w:val="20"/>
          <w:color w:val="auto"/>
        </w:rPr>
      </w:pPr>
      <w:r>
        <w:rPr>
          <w:rFonts w:ascii="Arial" w:cs="Arial" w:eastAsia="Arial" w:hAnsi="Arial"/>
          <w:sz w:val="14"/>
          <w:szCs w:val="14"/>
          <w:i w:val="1"/>
          <w:iCs w:val="1"/>
          <w:color w:val="002D69"/>
        </w:rPr>
        <w:t>Investor Relations Manager</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002D69"/>
        </w:rPr>
        <w:t>Oil-Dri Corporation of America</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00497F"/>
        </w:rPr>
        <w:t>reagan.culbertson@oildri.com</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002D69"/>
        </w:rPr>
        <w:t>(312) 706 3256</w:t>
      </w:r>
    </w:p>
    <w:sectPr>
      <w:pgSz w:w="11900" w:h="16838" w:orient="portrait"/>
      <w:cols w:equalWidth="0" w:num="1">
        <w:col w:w="11400"/>
      </w:cols>
      <w:pgMar w:left="240" w:top="1440"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2020-01-21T14:54:36Z</dcterms:created>
  <dcterms:modified xsi:type="dcterms:W3CDTF">2020-01-21T14:54:36Z</dcterms:modified>
</cp:coreProperties>
</file>