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780" w:type="dxa"/>
            <w:vAlign w:val="bottom"/>
            <w:gridSpan w:val="2"/>
          </w:tcPr>
          <w:p>
            <w:pPr>
              <w:jc w:val="center"/>
              <w:ind w:right="1680"/>
              <w:spacing w:after="0"/>
              <w:rPr>
                <w:sz w:val="20"/>
                <w:szCs w:val="20"/>
                <w:color w:val="auto"/>
              </w:rPr>
            </w:pPr>
            <w:r>
              <w:rPr>
                <w:rFonts w:ascii="Arial" w:cs="Arial" w:eastAsia="Arial" w:hAnsi="Arial"/>
                <w:sz w:val="18"/>
                <w:szCs w:val="18"/>
                <w:color w:val="auto"/>
                <w:w w:val="94"/>
              </w:rPr>
              <w:t>UNITED STATES</w:t>
            </w: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4"/>
                <w:szCs w:val="24"/>
                <w:color w:val="auto"/>
              </w:rPr>
            </w:pPr>
          </w:p>
        </w:tc>
        <w:tc>
          <w:tcPr>
            <w:tcW w:w="7260" w:type="dxa"/>
            <w:vAlign w:val="bottom"/>
            <w:gridSpan w:val="3"/>
          </w:tcPr>
          <w:p>
            <w:pPr>
              <w:jc w:val="center"/>
              <w:ind w:left="730"/>
              <w:spacing w:after="0"/>
              <w:rPr>
                <w:sz w:val="20"/>
                <w:szCs w:val="20"/>
                <w:color w:val="auto"/>
              </w:rPr>
            </w:pPr>
            <w:r>
              <w:rPr>
                <w:rFonts w:ascii="Arial" w:cs="Arial" w:eastAsia="Arial" w:hAnsi="Arial"/>
                <w:sz w:val="18"/>
                <w:szCs w:val="18"/>
                <w:color w:val="auto"/>
                <w:w w:val="96"/>
              </w:rPr>
              <w:t>SECURITIES AND EXCHANGE COMMISSION</w:t>
            </w: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780" w:type="dxa"/>
            <w:vAlign w:val="bottom"/>
            <w:gridSpan w:val="2"/>
          </w:tcPr>
          <w:p>
            <w:pPr>
              <w:jc w:val="center"/>
              <w:ind w:right="1680"/>
              <w:spacing w:after="0"/>
              <w:rPr>
                <w:sz w:val="20"/>
                <w:szCs w:val="20"/>
                <w:color w:val="auto"/>
              </w:rPr>
            </w:pPr>
            <w:r>
              <w:rPr>
                <w:rFonts w:ascii="Arial" w:cs="Arial" w:eastAsia="Arial" w:hAnsi="Arial"/>
                <w:sz w:val="18"/>
                <w:szCs w:val="18"/>
                <w:color w:val="auto"/>
                <w:w w:val="90"/>
              </w:rPr>
              <w:t>Washington, D. C. 20549</w:t>
            </w:r>
          </w:p>
        </w:tc>
        <w:tc>
          <w:tcPr>
            <w:tcW w:w="0" w:type="dxa"/>
            <w:vAlign w:val="bottom"/>
          </w:tcPr>
          <w:p>
            <w:pPr>
              <w:spacing w:after="0"/>
              <w:rPr>
                <w:sz w:val="1"/>
                <w:szCs w:val="1"/>
                <w:color w:val="auto"/>
              </w:rPr>
            </w:pPr>
          </w:p>
        </w:tc>
      </w:tr>
      <w:tr>
        <w:trPr>
          <w:trHeight w:val="432"/>
        </w:trPr>
        <w:tc>
          <w:tcPr>
            <w:tcW w:w="1680" w:type="dxa"/>
            <w:vAlign w:val="bottom"/>
            <w:vMerge w:val="restart"/>
          </w:tcPr>
          <w:p>
            <w:pPr>
              <w:spacing w:after="0"/>
              <w:rPr>
                <w:sz w:val="20"/>
                <w:szCs w:val="20"/>
                <w:color w:val="auto"/>
              </w:rPr>
            </w:pPr>
            <w:r>
              <w:rPr>
                <w:rFonts w:ascii="Arial" w:cs="Arial" w:eastAsia="Arial" w:hAnsi="Arial"/>
                <w:sz w:val="18"/>
                <w:szCs w:val="18"/>
                <w:color w:val="auto"/>
              </w:rPr>
              <w:t>(Mark One)</w:t>
            </w:r>
          </w:p>
        </w:tc>
        <w:tc>
          <w:tcPr>
            <w:tcW w:w="2480" w:type="dxa"/>
            <w:vAlign w:val="bottom"/>
          </w:tcPr>
          <w:p>
            <w:pPr>
              <w:spacing w:after="0"/>
              <w:rPr>
                <w:sz w:val="24"/>
                <w:szCs w:val="24"/>
                <w:color w:val="auto"/>
              </w:rPr>
            </w:pPr>
          </w:p>
        </w:tc>
        <w:tc>
          <w:tcPr>
            <w:tcW w:w="4780" w:type="dxa"/>
            <w:vAlign w:val="bottom"/>
            <w:gridSpan w:val="2"/>
          </w:tcPr>
          <w:p>
            <w:pPr>
              <w:jc w:val="center"/>
              <w:ind w:right="1660"/>
              <w:spacing w:after="0"/>
              <w:rPr>
                <w:sz w:val="20"/>
                <w:szCs w:val="20"/>
                <w:color w:val="auto"/>
              </w:rPr>
            </w:pPr>
            <w:r>
              <w:rPr>
                <w:rFonts w:ascii="Arial" w:cs="Arial" w:eastAsia="Arial" w:hAnsi="Arial"/>
                <w:sz w:val="18"/>
                <w:szCs w:val="18"/>
                <w:color w:val="auto"/>
                <w:w w:val="93"/>
              </w:rPr>
              <w:t>FORM 10-Q</w:t>
            </w:r>
          </w:p>
        </w:tc>
        <w:tc>
          <w:tcPr>
            <w:tcW w:w="0" w:type="dxa"/>
            <w:vAlign w:val="bottom"/>
          </w:tcPr>
          <w:p>
            <w:pPr>
              <w:spacing w:after="0"/>
              <w:rPr>
                <w:sz w:val="1"/>
                <w:szCs w:val="1"/>
                <w:color w:val="auto"/>
              </w:rPr>
            </w:pPr>
          </w:p>
        </w:tc>
      </w:tr>
      <w:tr>
        <w:trPr>
          <w:trHeight w:val="216"/>
        </w:trPr>
        <w:tc>
          <w:tcPr>
            <w:tcW w:w="1680" w:type="dxa"/>
            <w:vAlign w:val="bottom"/>
            <w:vMerge w:val="continue"/>
          </w:tcPr>
          <w:p>
            <w:pPr>
              <w:spacing w:after="0"/>
              <w:rPr>
                <w:sz w:val="18"/>
                <w:szCs w:val="18"/>
                <w:color w:val="auto"/>
              </w:rPr>
            </w:pPr>
          </w:p>
        </w:tc>
        <w:tc>
          <w:tcPr>
            <w:tcW w:w="24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1680" w:type="dxa"/>
            <w:vAlign w:val="bottom"/>
          </w:tcPr>
          <w:p>
            <w:pPr>
              <w:ind w:left="40"/>
              <w:spacing w:after="0"/>
              <w:rPr>
                <w:sz w:val="20"/>
                <w:szCs w:val="20"/>
                <w:color w:val="auto"/>
              </w:rPr>
            </w:pPr>
            <w:r>
              <w:rPr>
                <w:rFonts w:ascii="Arial" w:cs="Arial" w:eastAsia="Arial" w:hAnsi="Arial"/>
                <w:sz w:val="18"/>
                <w:szCs w:val="18"/>
                <w:color w:val="auto"/>
              </w:rPr>
              <w:t>x</w:t>
            </w:r>
          </w:p>
        </w:tc>
        <w:tc>
          <w:tcPr>
            <w:tcW w:w="72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Quarterly Report Pursuant to Section 13 or 15(d) of the Securities Exchange Act of 1934</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72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For the Quarterly Period Ended January 31, 2020</w:t>
            </w:r>
          </w:p>
        </w:tc>
        <w:tc>
          <w:tcPr>
            <w:tcW w:w="0" w:type="dxa"/>
            <w:vAlign w:val="bottom"/>
          </w:tcPr>
          <w:p>
            <w:pPr>
              <w:spacing w:after="0"/>
              <w:rPr>
                <w:sz w:val="1"/>
                <w:szCs w:val="1"/>
                <w:color w:val="auto"/>
              </w:rPr>
            </w:pPr>
          </w:p>
        </w:tc>
      </w:tr>
      <w:tr>
        <w:trPr>
          <w:trHeight w:val="243"/>
        </w:trPr>
        <w:tc>
          <w:tcPr>
            <w:tcW w:w="16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780" w:type="dxa"/>
            <w:vAlign w:val="bottom"/>
            <w:gridSpan w:val="2"/>
          </w:tcPr>
          <w:p>
            <w:pPr>
              <w:jc w:val="center"/>
              <w:ind w:right="1680"/>
              <w:spacing w:after="0"/>
              <w:rPr>
                <w:sz w:val="20"/>
                <w:szCs w:val="20"/>
                <w:color w:val="auto"/>
              </w:rPr>
            </w:pPr>
            <w:r>
              <w:rPr>
                <w:rFonts w:ascii="Arial" w:cs="Arial" w:eastAsia="Arial" w:hAnsi="Arial"/>
                <w:sz w:val="18"/>
                <w:szCs w:val="18"/>
                <w:color w:val="auto"/>
                <w:w w:val="87"/>
              </w:rPr>
              <w:t>or</w:t>
            </w:r>
          </w:p>
        </w:tc>
        <w:tc>
          <w:tcPr>
            <w:tcW w:w="0" w:type="dxa"/>
            <w:vAlign w:val="bottom"/>
          </w:tcPr>
          <w:p>
            <w:pPr>
              <w:spacing w:after="0"/>
              <w:rPr>
                <w:sz w:val="1"/>
                <w:szCs w:val="1"/>
                <w:color w:val="auto"/>
              </w:rPr>
            </w:pPr>
          </w:p>
        </w:tc>
      </w:tr>
      <w:tr>
        <w:trPr>
          <w:trHeight w:val="391"/>
        </w:trPr>
        <w:tc>
          <w:tcPr>
            <w:tcW w:w="1680" w:type="dxa"/>
            <w:vAlign w:val="bottom"/>
          </w:tcPr>
          <w:p>
            <w:pPr>
              <w:ind w:left="40"/>
              <w:spacing w:after="0"/>
              <w:rPr>
                <w:sz w:val="20"/>
                <w:szCs w:val="20"/>
                <w:color w:val="auto"/>
              </w:rPr>
            </w:pPr>
            <w:r>
              <w:rPr>
                <w:rFonts w:ascii="Arial" w:cs="Arial" w:eastAsia="Arial" w:hAnsi="Arial"/>
                <w:sz w:val="18"/>
                <w:szCs w:val="18"/>
                <w:color w:val="auto"/>
              </w:rPr>
              <w:t>o</w:t>
            </w:r>
          </w:p>
        </w:tc>
        <w:tc>
          <w:tcPr>
            <w:tcW w:w="72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Transition Report Pursuant to Section 13 or 15(d) of the Securities Exchange Act of 1934</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726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For the transition period from _____________ to ______________</w:t>
            </w:r>
          </w:p>
        </w:tc>
        <w:tc>
          <w:tcPr>
            <w:tcW w:w="0" w:type="dxa"/>
            <w:vAlign w:val="bottom"/>
          </w:tcPr>
          <w:p>
            <w:pPr>
              <w:spacing w:after="0"/>
              <w:rPr>
                <w:sz w:val="1"/>
                <w:szCs w:val="1"/>
                <w:color w:val="auto"/>
              </w:rPr>
            </w:pPr>
          </w:p>
        </w:tc>
      </w:tr>
      <w:tr>
        <w:trPr>
          <w:trHeight w:val="459"/>
        </w:trPr>
        <w:tc>
          <w:tcPr>
            <w:tcW w:w="1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780" w:type="dxa"/>
            <w:vAlign w:val="bottom"/>
            <w:gridSpan w:val="2"/>
          </w:tcPr>
          <w:p>
            <w:pPr>
              <w:jc w:val="center"/>
              <w:ind w:right="1680"/>
              <w:spacing w:after="0"/>
              <w:rPr>
                <w:sz w:val="20"/>
                <w:szCs w:val="20"/>
                <w:color w:val="auto"/>
              </w:rPr>
            </w:pPr>
            <w:r>
              <w:rPr>
                <w:rFonts w:ascii="Arial" w:cs="Arial" w:eastAsia="Arial" w:hAnsi="Arial"/>
                <w:sz w:val="18"/>
                <w:szCs w:val="18"/>
                <w:color w:val="auto"/>
                <w:w w:val="92"/>
              </w:rPr>
              <w:t>Commission File Number 001-12622</w:t>
            </w:r>
          </w:p>
        </w:tc>
        <w:tc>
          <w:tcPr>
            <w:tcW w:w="0" w:type="dxa"/>
            <w:vAlign w:val="bottom"/>
          </w:tcPr>
          <w:p>
            <w:pPr>
              <w:spacing w:after="0"/>
              <w:rPr>
                <w:sz w:val="1"/>
                <w:szCs w:val="1"/>
                <w:color w:val="auto"/>
              </w:rPr>
            </w:pPr>
          </w:p>
        </w:tc>
      </w:tr>
      <w:tr>
        <w:trPr>
          <w:trHeight w:val="392"/>
        </w:trPr>
        <w:tc>
          <w:tcPr>
            <w:tcW w:w="1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80" w:type="dxa"/>
            <w:vAlign w:val="bottom"/>
          </w:tcPr>
          <w:p>
            <w:pPr>
              <w:spacing w:after="0"/>
              <w:rPr>
                <w:sz w:val="20"/>
                <w:szCs w:val="20"/>
                <w:color w:val="auto"/>
              </w:rPr>
            </w:pPr>
          </w:p>
        </w:tc>
        <w:tc>
          <w:tcPr>
            <w:tcW w:w="7260" w:type="dxa"/>
            <w:vAlign w:val="bottom"/>
            <w:gridSpan w:val="3"/>
          </w:tcPr>
          <w:p>
            <w:pPr>
              <w:jc w:val="center"/>
              <w:ind w:left="71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0" w:type="dxa"/>
            <w:vAlign w:val="bottom"/>
          </w:tcPr>
          <w:p>
            <w:pPr>
              <w:spacing w:after="0"/>
              <w:rPr>
                <w:sz w:val="1"/>
                <w:szCs w:val="1"/>
                <w:color w:val="auto"/>
              </w:rPr>
            </w:pPr>
          </w:p>
        </w:tc>
      </w:tr>
    </w:tbl>
    <w:p>
      <w:pPr>
        <w:spacing w:after="0" w:line="13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517525</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94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2980" w:type="dxa"/>
            <w:vAlign w:val="bottom"/>
            <w:gridSpan w:val="2"/>
          </w:tcPr>
          <w:p>
            <w:pPr>
              <w:spacing w:after="0"/>
              <w:rPr>
                <w:sz w:val="17"/>
                <w:szCs w:val="17"/>
                <w:color w:val="auto"/>
              </w:rPr>
            </w:pPr>
          </w:p>
        </w:tc>
        <w:tc>
          <w:tcPr>
            <w:tcW w:w="3800" w:type="dxa"/>
            <w:vAlign w:val="bottom"/>
            <w:gridSpan w:val="3"/>
          </w:tcPr>
          <w:p>
            <w:pPr>
              <w:ind w:left="2060"/>
              <w:spacing w:after="0"/>
              <w:rPr>
                <w:sz w:val="20"/>
                <w:szCs w:val="20"/>
                <w:color w:val="auto"/>
              </w:rPr>
            </w:pPr>
            <w:r>
              <w:rPr>
                <w:rFonts w:ascii="Arial" w:cs="Arial" w:eastAsia="Arial" w:hAnsi="Arial"/>
                <w:sz w:val="18"/>
                <w:szCs w:val="18"/>
                <w:color w:val="auto"/>
              </w:rPr>
              <w:t>36-2048898</w:t>
            </w:r>
          </w:p>
        </w:tc>
      </w:tr>
      <w:tr>
        <w:trPr>
          <w:trHeight w:val="20"/>
        </w:trPr>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5480" w:type="dxa"/>
            <w:vAlign w:val="bottom"/>
            <w:gridSpan w:val="5"/>
          </w:tcPr>
          <w:p>
            <w:pPr>
              <w:jc w:val="center"/>
              <w:ind w:right="11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gridSpan w:val="3"/>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480" w:type="dxa"/>
            <w:vAlign w:val="bottom"/>
            <w:gridSpan w:val="5"/>
          </w:tcPr>
          <w:p>
            <w:pPr>
              <w:jc w:val="center"/>
              <w:ind w:right="1160"/>
              <w:spacing w:after="0"/>
              <w:rPr>
                <w:sz w:val="20"/>
                <w:szCs w:val="20"/>
                <w:color w:val="auto"/>
              </w:rPr>
            </w:pPr>
            <w:r>
              <w:rPr>
                <w:rFonts w:ascii="Arial" w:cs="Arial" w:eastAsia="Arial" w:hAnsi="Arial"/>
                <w:sz w:val="18"/>
                <w:szCs w:val="18"/>
                <w:color w:val="auto"/>
                <w:w w:val="92"/>
              </w:rPr>
              <w:t>410 North Michigan Avenue, Suite 400</w:t>
            </w:r>
          </w:p>
        </w:tc>
        <w:tc>
          <w:tcPr>
            <w:tcW w:w="206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60611-4213</w:t>
            </w:r>
          </w:p>
        </w:tc>
        <w:tc>
          <w:tcPr>
            <w:tcW w:w="860" w:type="dxa"/>
            <w:vAlign w:val="bottom"/>
          </w:tcPr>
          <w:p>
            <w:pPr>
              <w:spacing w:after="0"/>
              <w:rPr>
                <w:sz w:val="19"/>
                <w:szCs w:val="19"/>
                <w:color w:val="auto"/>
              </w:rPr>
            </w:pPr>
          </w:p>
        </w:tc>
      </w:tr>
      <w:tr>
        <w:trPr>
          <w:trHeight w:val="196"/>
        </w:trPr>
        <w:tc>
          <w:tcPr>
            <w:tcW w:w="156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2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40" w:type="dxa"/>
            <w:vAlign w:val="bottom"/>
            <w:gridSpan w:val="2"/>
          </w:tcPr>
          <w:p>
            <w:pPr>
              <w:jc w:val="center"/>
              <w:ind w:right="860"/>
              <w:spacing w:after="0" w:line="196" w:lineRule="exact"/>
              <w:rPr>
                <w:sz w:val="20"/>
                <w:szCs w:val="20"/>
                <w:color w:val="auto"/>
              </w:rPr>
            </w:pPr>
            <w:r>
              <w:rPr>
                <w:rFonts w:ascii="Arial" w:cs="Arial" w:eastAsia="Arial" w:hAnsi="Arial"/>
                <w:sz w:val="18"/>
                <w:szCs w:val="18"/>
                <w:color w:val="auto"/>
                <w:w w:val="94"/>
              </w:rPr>
              <w:t>(Zip Code)</w:t>
            </w:r>
          </w:p>
        </w:tc>
      </w:tr>
      <w:tr>
        <w:trPr>
          <w:trHeight w:val="237"/>
        </w:trPr>
        <w:tc>
          <w:tcPr>
            <w:tcW w:w="5480" w:type="dxa"/>
            <w:vAlign w:val="bottom"/>
            <w:gridSpan w:val="5"/>
          </w:tcPr>
          <w:p>
            <w:pPr>
              <w:jc w:val="center"/>
              <w:ind w:right="1180"/>
              <w:spacing w:after="0"/>
              <w:rPr>
                <w:sz w:val="20"/>
                <w:szCs w:val="20"/>
                <w:color w:val="auto"/>
              </w:rPr>
            </w:pPr>
            <w:r>
              <w:rPr>
                <w:rFonts w:ascii="Arial" w:cs="Arial" w:eastAsia="Arial" w:hAnsi="Arial"/>
                <w:sz w:val="18"/>
                <w:szCs w:val="18"/>
                <w:color w:val="auto"/>
                <w:w w:val="92"/>
              </w:rPr>
              <w:t>(Address of principal executive offices)</w:t>
            </w:r>
          </w:p>
        </w:tc>
        <w:tc>
          <w:tcPr>
            <w:tcW w:w="2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The registrant's telephone number, including area code: (312) 321-1515</w:t>
      </w:r>
    </w:p>
    <w:p>
      <w:pPr>
        <w:spacing w:after="0" w:line="225" w:lineRule="exact"/>
        <w:rPr>
          <w:sz w:val="24"/>
          <w:szCs w:val="24"/>
          <w:color w:val="auto"/>
        </w:rPr>
      </w:pPr>
    </w:p>
    <w:p>
      <w:pPr>
        <w:ind w:right="4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x No o</w:t>
      </w:r>
    </w:p>
    <w:p>
      <w:pPr>
        <w:spacing w:after="0" w:line="8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8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p>
      <w:pPr>
        <w:ind w:left="3280" w:right="1720" w:hanging="5307"/>
        <w:spacing w:after="0" w:line="266" w:lineRule="auto"/>
        <w:tabs>
          <w:tab w:leader="none" w:pos="3260" w:val="left"/>
        </w:tabs>
        <w:rPr>
          <w:sz w:val="20"/>
          <w:szCs w:val="20"/>
          <w:color w:val="auto"/>
        </w:rPr>
      </w:pPr>
      <w:r>
        <w:rPr>
          <w:rFonts w:ascii="Arial" w:cs="Arial" w:eastAsia="Arial" w:hAnsi="Arial"/>
          <w:sz w:val="18"/>
          <w:szCs w:val="18"/>
          <w:color w:val="auto"/>
        </w:rPr>
        <w:t>Large accelerated filer o</w:t>
        <w:tab/>
        <w:t>Accelerated filer x Non-accelerated filer o Smaller reporting Emerging growth company x company o</w:t>
      </w: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380"/>
          </w:cols>
          <w:pgMar w:left="240" w:top="1138" w:right="279" w:bottom="1440" w:gutter="0" w:footer="0" w:header="0"/>
        </w:sectPr>
      </w:pPr>
    </w:p>
    <w:p>
      <w:pPr>
        <w:spacing w:after="0" w:line="167" w:lineRule="exact"/>
        <w:rPr>
          <w:sz w:val="24"/>
          <w:szCs w:val="24"/>
          <w:color w:val="auto"/>
        </w:rPr>
      </w:pPr>
    </w:p>
    <w:p>
      <w:pPr>
        <w:ind w:left="196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4140" w:space="720"/>
            <w:col w:w="1420" w:space="700"/>
            <w:col w:w="4400"/>
          </w:cols>
          <w:pgMar w:left="240" w:top="1138" w:right="27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11" w:lineRule="exact"/>
        <w:rPr>
          <w:sz w:val="24"/>
          <w:szCs w:val="24"/>
          <w:color w:val="auto"/>
        </w:rPr>
      </w:pPr>
    </w:p>
    <w:p>
      <w:pPr>
        <w:sectPr>
          <w:pgSz w:w="11900" w:h="16838" w:orient="portrait"/>
          <w:cols w:equalWidth="0" w:num="3">
            <w:col w:w="3920" w:space="720"/>
            <w:col w:w="1200" w:space="720"/>
            <w:col w:w="4820"/>
          </w:cols>
          <w:pgMar w:left="240" w:top="1138" w:right="27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January 31, 2020.</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Common Stock – 5,415,926 Shares and Class B Stock – 2,196,170 Shares</w:t>
      </w:r>
    </w:p>
    <w:p>
      <w:pPr>
        <w:sectPr>
          <w:pgSz w:w="11900" w:h="16838" w:orient="portrait"/>
          <w:cols w:equalWidth="0" w:num="1">
            <w:col w:w="11380"/>
          </w:cols>
          <w:pgMar w:left="240" w:top="1138"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Page</w:t>
            </w:r>
          </w:p>
        </w:tc>
      </w:tr>
      <w:tr>
        <w:trPr>
          <w:trHeight w:val="48"/>
        </w:trPr>
        <w:tc>
          <w:tcPr>
            <w:tcW w:w="940" w:type="dxa"/>
            <w:vAlign w:val="bottom"/>
          </w:tcPr>
          <w:p>
            <w:pPr>
              <w:spacing w:after="0"/>
              <w:rPr>
                <w:sz w:val="4"/>
                <w:szCs w:val="4"/>
                <w:color w:val="auto"/>
              </w:rPr>
            </w:pPr>
          </w:p>
        </w:tc>
        <w:tc>
          <w:tcPr>
            <w:tcW w:w="8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20" w:type="dxa"/>
            <w:vAlign w:val="bottom"/>
            <w:shd w:val="clear" w:color="auto" w:fill="CCEEFF"/>
          </w:tcPr>
          <w:p>
            <w:pPr>
              <w:ind w:left="2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940" w:type="dxa"/>
            <w:vAlign w:val="bottom"/>
            <w:tcBorders>
              <w:top w:val="single" w:sz="8" w:color="CCEEFF"/>
            </w:tcBorders>
          </w:tcPr>
          <w:p>
            <w:pPr>
              <w:spacing w:after="0"/>
              <w:rPr>
                <w:sz w:val="23"/>
                <w:szCs w:val="23"/>
                <w:color w:val="auto"/>
              </w:rPr>
            </w:pPr>
          </w:p>
        </w:tc>
        <w:tc>
          <w:tcPr>
            <w:tcW w:w="822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20" w:type="dxa"/>
            <w:vAlign w:val="bottom"/>
            <w:shd w:val="clear" w:color="auto" w:fill="CCEEFF"/>
          </w:tcPr>
          <w:p>
            <w:pPr>
              <w:ind w:left="220"/>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c>
          <w:tcPr>
            <w:tcW w:w="260" w:type="dxa"/>
            <w:vAlign w:val="bottom"/>
            <w:shd w:val="clear" w:color="auto" w:fill="CCEEFF"/>
          </w:tcPr>
          <w:p>
            <w:pPr>
              <w:spacing w:after="0"/>
              <w:rPr>
                <w:sz w:val="21"/>
                <w:szCs w:val="21"/>
                <w:color w:val="auto"/>
              </w:rPr>
            </w:pPr>
          </w:p>
        </w:tc>
      </w:tr>
      <w:tr>
        <w:trPr>
          <w:trHeight w:val="270"/>
        </w:trPr>
        <w:tc>
          <w:tcPr>
            <w:tcW w:w="940" w:type="dxa"/>
            <w:vAlign w:val="bottom"/>
            <w:tcBorders>
              <w:top w:val="single" w:sz="8" w:color="CCEEFF"/>
            </w:tcBorders>
          </w:tcPr>
          <w:p>
            <w:pPr>
              <w:spacing w:after="0"/>
              <w:rPr>
                <w:sz w:val="23"/>
                <w:szCs w:val="23"/>
                <w:color w:val="auto"/>
              </w:rPr>
            </w:pPr>
          </w:p>
        </w:tc>
        <w:tc>
          <w:tcPr>
            <w:tcW w:w="822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20" w:type="dxa"/>
            <w:vAlign w:val="bottom"/>
            <w:shd w:val="clear" w:color="auto" w:fill="CCEEFF"/>
          </w:tcPr>
          <w:p>
            <w:pPr>
              <w:ind w:left="220"/>
              <w:spacing w:after="0" w:line="202" w:lineRule="exact"/>
              <w:rPr>
                <w:rFonts w:ascii="Arial" w:cs="Arial" w:eastAsia="Arial" w:hAnsi="Arial"/>
                <w:sz w:val="18"/>
                <w:szCs w:val="18"/>
                <w:color w:val="0000FF"/>
              </w:rPr>
            </w:pPr>
            <w:hyperlink w:anchor="page29">
              <w:r>
                <w:rPr>
                  <w:rFonts w:ascii="Arial" w:cs="Arial" w:eastAsia="Arial" w:hAnsi="Arial"/>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940" w:type="dxa"/>
            <w:vAlign w:val="bottom"/>
            <w:tcBorders>
              <w:top w:val="single" w:sz="8" w:color="CCEEFF"/>
            </w:tcBorders>
          </w:tcPr>
          <w:p>
            <w:pPr>
              <w:spacing w:after="0"/>
              <w:rPr>
                <w:sz w:val="23"/>
                <w:szCs w:val="23"/>
                <w:color w:val="auto"/>
              </w:rPr>
            </w:pPr>
          </w:p>
        </w:tc>
        <w:tc>
          <w:tcPr>
            <w:tcW w:w="822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94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shd w:val="clear" w:color="auto" w:fill="CCEEFF"/>
          </w:tcPr>
          <w:p>
            <w:pPr>
              <w:ind w:left="3400"/>
              <w:spacing w:after="0"/>
              <w:rPr>
                <w:sz w:val="20"/>
                <w:szCs w:val="20"/>
                <w:color w:val="auto"/>
              </w:rPr>
            </w:pPr>
            <w:r>
              <w:rPr>
                <w:rFonts w:ascii="Arial" w:cs="Arial" w:eastAsia="Arial" w:hAnsi="Arial"/>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554"/>
        </w:trPr>
        <w:tc>
          <w:tcPr>
            <w:tcW w:w="94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1A:</w:t>
            </w:r>
          </w:p>
        </w:tc>
        <w:tc>
          <w:tcPr>
            <w:tcW w:w="8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Risk Factors</w:t>
            </w:r>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97"/>
        </w:trPr>
        <w:tc>
          <w:tcPr>
            <w:tcW w:w="940" w:type="dxa"/>
            <w:vAlign w:val="bottom"/>
            <w:tcBorders>
              <w:top w:val="single" w:sz="8" w:color="CCEEFF"/>
            </w:tcBorders>
          </w:tcPr>
          <w:p>
            <w:pPr>
              <w:spacing w:after="0"/>
              <w:rPr>
                <w:sz w:val="24"/>
                <w:szCs w:val="24"/>
                <w:color w:val="auto"/>
              </w:rPr>
            </w:pPr>
          </w:p>
        </w:tc>
        <w:tc>
          <w:tcPr>
            <w:tcW w:w="822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r>
        <w:trPr>
          <w:trHeight w:val="250"/>
        </w:trPr>
        <w:tc>
          <w:tcPr>
            <w:tcW w:w="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20" w:type="dxa"/>
            <w:vAlign w:val="bottom"/>
            <w:shd w:val="clear" w:color="auto" w:fill="CCEEFF"/>
          </w:tcPr>
          <w:p>
            <w:pPr>
              <w:ind w:left="22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97"/>
        </w:trPr>
        <w:tc>
          <w:tcPr>
            <w:tcW w:w="940" w:type="dxa"/>
            <w:vAlign w:val="bottom"/>
            <w:tcBorders>
              <w:top w:val="single" w:sz="8" w:color="CCEEFF"/>
            </w:tcBorders>
          </w:tcPr>
          <w:p>
            <w:pPr>
              <w:spacing w:after="0"/>
              <w:rPr>
                <w:sz w:val="24"/>
                <w:szCs w:val="24"/>
                <w:color w:val="auto"/>
              </w:rPr>
            </w:pPr>
          </w:p>
        </w:tc>
        <w:tc>
          <w:tcPr>
            <w:tcW w:w="822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r>
        <w:trPr>
          <w:trHeight w:val="250"/>
        </w:trPr>
        <w:tc>
          <w:tcPr>
            <w:tcW w:w="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20" w:type="dxa"/>
            <w:vAlign w:val="bottom"/>
            <w:shd w:val="clear" w:color="auto" w:fill="CCEEFF"/>
          </w:tcPr>
          <w:p>
            <w:pPr>
              <w:ind w:left="22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940" w:type="dxa"/>
            <w:vAlign w:val="bottom"/>
            <w:tcBorders>
              <w:top w:val="single" w:sz="8" w:color="CCEEFF"/>
            </w:tcBorders>
          </w:tcPr>
          <w:p>
            <w:pPr>
              <w:spacing w:after="0"/>
              <w:rPr>
                <w:sz w:val="23"/>
                <w:szCs w:val="23"/>
                <w:color w:val="auto"/>
              </w:rPr>
            </w:pPr>
          </w:p>
        </w:tc>
        <w:tc>
          <w:tcPr>
            <w:tcW w:w="822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0000FF"/>
              </w:rPr>
              <w:t>Exhibits</w:t>
            </w:r>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940" w:type="dxa"/>
            <w:vAlign w:val="bottom"/>
            <w:tcBorders>
              <w:top w:val="single" w:sz="8" w:color="CCEEFF"/>
            </w:tcBorders>
          </w:tcPr>
          <w:p>
            <w:pPr>
              <w:spacing w:after="0"/>
              <w:rPr>
                <w:sz w:val="23"/>
                <w:szCs w:val="23"/>
                <w:color w:val="auto"/>
              </w:rPr>
            </w:pPr>
          </w:p>
        </w:tc>
        <w:tc>
          <w:tcPr>
            <w:tcW w:w="822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940" w:type="dxa"/>
            <w:vAlign w:val="bottom"/>
            <w:shd w:val="clear" w:color="auto" w:fill="CCEEFF"/>
          </w:tcPr>
          <w:p>
            <w:pPr>
              <w:spacing w:after="0"/>
              <w:rPr>
                <w:sz w:val="21"/>
                <w:szCs w:val="21"/>
                <w:color w:val="auto"/>
              </w:rPr>
            </w:pPr>
          </w:p>
        </w:tc>
        <w:tc>
          <w:tcPr>
            <w:tcW w:w="8220" w:type="dxa"/>
            <w:vAlign w:val="bottom"/>
            <w:shd w:val="clear" w:color="auto" w:fill="CCEEFF"/>
          </w:tcPr>
          <w:p>
            <w:pPr>
              <w:ind w:left="220"/>
              <w:spacing w:after="0" w:line="202" w:lineRule="exact"/>
              <w:rPr>
                <w:rFonts w:ascii="Arial" w:cs="Arial" w:eastAsia="Arial" w:hAnsi="Arial"/>
                <w:sz w:val="18"/>
                <w:szCs w:val="18"/>
                <w:color w:val="0000FF"/>
              </w:rPr>
            </w:pPr>
            <w:hyperlink w:anchor="page33">
              <w:r>
                <w:rPr>
                  <w:rFonts w:ascii="Arial" w:cs="Arial" w:eastAsia="Arial" w:hAnsi="Arial"/>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940" w:type="dxa"/>
            <w:vAlign w:val="bottom"/>
            <w:tcBorders>
              <w:top w:val="single" w:sz="8" w:color="CCEEFF"/>
            </w:tcBorders>
          </w:tcPr>
          <w:p>
            <w:pPr>
              <w:spacing w:after="0"/>
              <w:rPr>
                <w:sz w:val="24"/>
                <w:szCs w:val="24"/>
                <w:color w:val="auto"/>
              </w:rPr>
            </w:pPr>
          </w:p>
        </w:tc>
        <w:tc>
          <w:tcPr>
            <w:tcW w:w="8220" w:type="dxa"/>
            <w:vAlign w:val="bottom"/>
            <w:tcBorders>
              <w:top w:val="single" w:sz="8" w:color="CCEEFF"/>
            </w:tcBorders>
          </w:tcPr>
          <w:p>
            <w:pPr>
              <w:ind w:left="3540"/>
              <w:spacing w:after="0"/>
              <w:rPr>
                <w:sz w:val="20"/>
                <w:szCs w:val="20"/>
                <w:color w:val="auto"/>
              </w:rPr>
            </w:pPr>
            <w:r>
              <w:rPr>
                <w:rFonts w:ascii="Arial" w:cs="Arial" w:eastAsia="Arial" w:hAnsi="Arial"/>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Such statements are subject to certain risks, uncertainties and assumptions that could cause actual results to differ materially, including, but not limited to, those described in Item 1A, Risk Factors, herein and in our Annual Report on Form 10-K for the fiscal year ended July 31, 2019.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6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Oil-Dri is a registered trademark of Oil-Dri Corporation of America.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21,862</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Accounts receivable, less allowance of</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35,699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540" w:type="dxa"/>
            <w:vAlign w:val="bottom"/>
            <w:gridSpan w:val="4"/>
          </w:tcPr>
          <w:p>
            <w:pPr>
              <w:ind w:left="80"/>
              <w:spacing w:after="0"/>
              <w:rPr>
                <w:sz w:val="20"/>
                <w:szCs w:val="20"/>
                <w:color w:val="auto"/>
              </w:rPr>
            </w:pPr>
            <w:r>
              <w:rPr>
                <w:rFonts w:ascii="Arial" w:cs="Arial" w:eastAsia="Arial" w:hAnsi="Arial"/>
                <w:sz w:val="18"/>
                <w:szCs w:val="18"/>
                <w:color w:val="auto"/>
              </w:rPr>
              <w:t>$851 and $644 at January 31, 2020 and July 31, 2019,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35,459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22,679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24,163</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4,679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86,181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89,276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253,927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249,834</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(164,096)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(159,036)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89,831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90,798</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9,262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Other intangibles,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$398 and $299 at January 31, 2020 and July 31, 2019,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Customer list,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1,193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of $6,592 and $6,297 at January 31, 2020 and July 31, 2019,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7,755</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8,535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5,087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33,067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25,153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209,079</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205,227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Consolidated Balance Sheet (continued)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ind w:left="660"/>
              <w:spacing w:after="0"/>
              <w:rPr>
                <w:sz w:val="20"/>
                <w:szCs w:val="20"/>
                <w:color w:val="auto"/>
              </w:rPr>
            </w:pPr>
            <w:r>
              <w:rPr>
                <w:rFonts w:ascii="Arial" w:cs="Arial" w:eastAsia="Arial" w:hAnsi="Arial"/>
                <w:sz w:val="18"/>
                <w:szCs w:val="18"/>
                <w:b w:val="1"/>
                <w:bCs w:val="1"/>
                <w:color w:val="auto"/>
              </w:rPr>
              <w:t>LIABILITIES &amp; STOCKHOLDERS’ EQUITY</w:t>
            </w: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4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6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Current maturities of notes payable, net of unamortized debt issuance costs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3,067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$17 at January 31, 2020</w:t>
            </w: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9,565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1,461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Salaries, wages and commissions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7,446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Trade promotions and advertising</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1,387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Freight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1,862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6,951</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33,505</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Notes payable, net of unamortized debt issuance costs</w:t>
            </w:r>
          </w:p>
        </w:tc>
        <w:tc>
          <w:tcPr>
            <w:tcW w:w="160" w:type="dxa"/>
            <w:vAlign w:val="bottom"/>
            <w:shd w:val="clear" w:color="auto" w:fill="CCEEFF"/>
          </w:tcPr>
          <w:p>
            <w:pPr>
              <w:spacing w:after="0"/>
              <w:rPr>
                <w:sz w:val="19"/>
                <w:szCs w:val="19"/>
                <w:color w:val="auto"/>
              </w:rPr>
            </w:pPr>
          </w:p>
        </w:tc>
        <w:tc>
          <w:tcPr>
            <w:tcW w:w="14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$31 at July 31, 2019</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4,881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12,637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23,721</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8,602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2,525</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28,645</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37,075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62,150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69,681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Common Stock, par value $.10 per share, issued 8,349,169 shares at January 31, 2020</w:t>
            </w:r>
          </w:p>
        </w:tc>
        <w:tc>
          <w:tcPr>
            <w:tcW w:w="1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8,284,199 shares at July 31, 2019</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29"/>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Class B Stock, par value $.10 per share, issued 2,531,986 shares at January 31, 2020</w:t>
            </w:r>
          </w:p>
        </w:tc>
        <w:tc>
          <w:tcPr>
            <w:tcW w:w="160" w:type="dxa"/>
            <w:vAlign w:val="bottom"/>
          </w:tcPr>
          <w:p>
            <w:pPr>
              <w:spacing w:after="0"/>
              <w:rPr>
                <w:sz w:val="19"/>
                <w:szCs w:val="19"/>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20" w:type="dxa"/>
            <w:vAlign w:val="bottom"/>
            <w:gridSpan w:val="4"/>
          </w:tcPr>
          <w:p>
            <w:pPr>
              <w:ind w:left="80"/>
              <w:spacing w:after="0"/>
              <w:rPr>
                <w:sz w:val="20"/>
                <w:szCs w:val="20"/>
                <w:color w:val="auto"/>
              </w:rPr>
            </w:pPr>
            <w:r>
              <w:rPr>
                <w:rFonts w:ascii="Arial" w:cs="Arial" w:eastAsia="Arial" w:hAnsi="Arial"/>
                <w:sz w:val="18"/>
                <w:szCs w:val="18"/>
                <w:color w:val="auto"/>
              </w:rPr>
              <w:t>and 2,576,479 shares at July 31, 2019</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43,149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41,300</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169,590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164,756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(9,343)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Cumulative translation adjustment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(9,589)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(15,039)</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Less Treasury Stock, at cost (2,933,243 Common and 335,816 Class B shares at</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(57,138)</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January 31, 2020 and 2,926,547 Common and 324,741 Class B shares at July 31, 2019)</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(56,543)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146,929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135,546</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&amp;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209,079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205,227</w:t>
            </w:r>
          </w:p>
        </w:tc>
        <w:tc>
          <w:tcPr>
            <w:tcW w:w="0" w:type="dxa"/>
            <w:vAlign w:val="bottom"/>
          </w:tcPr>
          <w:p>
            <w:pPr>
              <w:spacing w:after="0"/>
              <w:rPr>
                <w:sz w:val="1"/>
                <w:szCs w:val="1"/>
                <w:color w:val="auto"/>
              </w:rPr>
            </w:pPr>
          </w:p>
        </w:tc>
      </w:tr>
      <w:tr>
        <w:trPr>
          <w:trHeight w:val="20"/>
        </w:trPr>
        <w:tc>
          <w:tcPr>
            <w:tcW w:w="846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46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53"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For the Six Months Ended January</w:t>
            </w:r>
          </w:p>
        </w:tc>
      </w:t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3"/>
        </w:trPr>
        <w:tc>
          <w:tcPr>
            <w:tcW w:w="8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142,127</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136,023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(103,234)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(104,609)</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38,893</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31,414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(28,899)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(27,584)</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9,994</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3,830</w:t>
            </w:r>
          </w:p>
        </w:tc>
      </w:tr>
      <w:tr>
        <w:trPr>
          <w:trHeight w:val="183"/>
        </w:trPr>
        <w:tc>
          <w:tcPr>
            <w:tcW w:w="84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39</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183"/>
        </w:trPr>
        <w:tc>
          <w:tcPr>
            <w:tcW w:w="84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9,835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(1,626)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8,209</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3,216</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8,366</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3,193</w:t>
            </w:r>
          </w:p>
        </w:tc>
      </w:tr>
      <w:tr>
        <w:trPr>
          <w:trHeight w:val="20"/>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6"/>
        </w:trPr>
        <w:tc>
          <w:tcPr>
            <w:tcW w:w="8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1.19</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0.46</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0.89</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1.09</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0.42</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5,164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5,099</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2,045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7,321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7,242</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0.5000</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0.4800</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0.3750</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0.3600</w:t>
            </w:r>
          </w:p>
        </w:tc>
      </w:tr>
      <w:tr>
        <w:trPr>
          <w:trHeight w:val="27"/>
        </w:trPr>
        <w:tc>
          <w:tcPr>
            <w:tcW w:w="8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53"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For the Six Months Ended January</w:t>
            </w:r>
          </w:p>
        </w:tc>
      </w:t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8,366</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3,193</w:t>
            </w:r>
          </w:p>
        </w:tc>
      </w:tr>
      <w:tr>
        <w:trPr>
          <w:trHeight w:val="297"/>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5,548</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291</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5,450</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255</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13,816</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53"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0"/>
              </w:rPr>
              <w:t>January 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71,005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69,880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(52,047)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(54,476)</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18,958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15,404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(13,085)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(12,577)</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5,873</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2,827</w:t>
            </w:r>
          </w:p>
        </w:tc>
      </w:tr>
      <w:tr>
        <w:trPr>
          <w:trHeight w:val="291"/>
        </w:trPr>
        <w:tc>
          <w:tcPr>
            <w:tcW w:w="84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56</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91"/>
        </w:trPr>
        <w:tc>
          <w:tcPr>
            <w:tcW w:w="84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5,758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2,788</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(1,009)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4,749</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2,282</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4,830</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2,287</w:t>
            </w: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0.68</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0.33</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0.51</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0.63</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0.30</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5,181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5,121</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2,039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2,068</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7,344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7,229</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0.2500</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0.2400</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0.1875</w:t>
            </w: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0.1800</w:t>
            </w:r>
          </w:p>
        </w:tc>
      </w:tr>
      <w:tr>
        <w:trPr>
          <w:trHeight w:val="27"/>
        </w:trPr>
        <w:tc>
          <w:tcPr>
            <w:tcW w:w="8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53"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0"/>
              </w:rPr>
              <w:t>January 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4,830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2,287</w:t>
            </w:r>
          </w:p>
        </w:tc>
      </w:tr>
      <w:tr>
        <w:trPr>
          <w:trHeight w:val="297"/>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5,277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124</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5,223</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10,053</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2,439</w:t>
            </w: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53"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8"/>
          </w:tcPr>
          <w:p>
            <w:pPr>
              <w:ind w:left="300"/>
              <w:spacing w:after="0"/>
              <w:rPr>
                <w:sz w:val="20"/>
                <w:szCs w:val="20"/>
                <w:color w:val="auto"/>
              </w:rPr>
            </w:pPr>
            <w:r>
              <w:rPr>
                <w:rFonts w:ascii="Arial" w:cs="Arial" w:eastAsia="Arial" w:hAnsi="Arial"/>
                <w:sz w:val="13"/>
                <w:szCs w:val="13"/>
                <w:b w:val="1"/>
                <w:bCs w:val="1"/>
                <w:color w:val="auto"/>
                <w:w w:val="96"/>
              </w:rPr>
              <w:t>For the Three Months Ended January 31</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80"/>
        </w:trPr>
        <w:tc>
          <w:tcPr>
            <w:tcW w:w="2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8"/>
              </w:rPr>
              <w:t>(unaudited)</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gridSpan w:val="7"/>
          </w:tcPr>
          <w:p>
            <w:pPr>
              <w:ind w:left="400"/>
              <w:spacing w:after="0"/>
              <w:rPr>
                <w:sz w:val="20"/>
                <w:szCs w:val="20"/>
                <w:color w:val="auto"/>
              </w:rPr>
            </w:pPr>
            <w:r>
              <w:rPr>
                <w:rFonts w:ascii="Arial" w:cs="Arial" w:eastAsia="Arial" w:hAnsi="Arial"/>
                <w:sz w:val="13"/>
                <w:szCs w:val="13"/>
                <w:b w:val="1"/>
                <w:bCs w:val="1"/>
                <w:color w:val="auto"/>
              </w:rPr>
              <w:t>Number of Shares</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30"/>
        </w:trPr>
        <w:tc>
          <w:tcPr>
            <w:tcW w:w="2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4"/>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Non-</w:t>
            </w:r>
          </w:p>
        </w:tc>
        <w:tc>
          <w:tcPr>
            <w:tcW w:w="120" w:type="dxa"/>
            <w:vAlign w:val="bottom"/>
          </w:tcPr>
          <w:p>
            <w:pPr>
              <w:spacing w:after="0"/>
              <w:rPr>
                <w:sz w:val="11"/>
                <w:szCs w:val="11"/>
                <w:color w:val="auto"/>
              </w:rPr>
            </w:pPr>
          </w:p>
        </w:tc>
        <w:tc>
          <w:tcPr>
            <w:tcW w:w="9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&amp; Class B</w:t>
            </w:r>
          </w:p>
        </w:tc>
        <w:tc>
          <w:tcPr>
            <w:tcW w:w="100" w:type="dxa"/>
            <w:vAlign w:val="bottom"/>
          </w:tcPr>
          <w:p>
            <w:pPr>
              <w:spacing w:after="0"/>
              <w:rPr>
                <w:sz w:val="11"/>
                <w:szCs w:val="11"/>
                <w:color w:val="auto"/>
              </w:rPr>
            </w:pPr>
          </w:p>
        </w:tc>
        <w:tc>
          <w:tcPr>
            <w:tcW w:w="96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1"/>
                <w:szCs w:val="11"/>
                <w:color w:val="auto"/>
              </w:rPr>
            </w:pPr>
          </w:p>
        </w:tc>
        <w:tc>
          <w:tcPr>
            <w:tcW w:w="840" w:type="dxa"/>
            <w:vAlign w:val="bottom"/>
            <w:gridSpan w:val="4"/>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&amp; Class B</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11"/>
                <w:szCs w:val="11"/>
                <w:color w:val="auto"/>
              </w:rPr>
            </w:pPr>
          </w:p>
        </w:tc>
        <w:tc>
          <w:tcPr>
            <w:tcW w:w="9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ind w:left="200"/>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5"/>
                <w:szCs w:val="15"/>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5"/>
                <w:szCs w:val="15"/>
                <w:color w:val="auto"/>
              </w:rPr>
            </w:pPr>
          </w:p>
        </w:tc>
        <w:tc>
          <w:tcPr>
            <w:tcW w:w="84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5"/>
                <w:szCs w:val="15"/>
                <w:color w:val="auto"/>
              </w:rPr>
            </w:pPr>
          </w:p>
        </w:tc>
        <w:tc>
          <w:tcPr>
            <w:tcW w:w="900" w:type="dxa"/>
            <w:vAlign w:val="bottom"/>
          </w:tcPr>
          <w:p>
            <w:pPr>
              <w:jc w:val="center"/>
              <w:ind w:right="37"/>
              <w:spacing w:after="0"/>
              <w:rPr>
                <w:sz w:val="20"/>
                <w:szCs w:val="20"/>
                <w:color w:val="auto"/>
              </w:rPr>
            </w:pPr>
            <w:r>
              <w:rPr>
                <w:rFonts w:ascii="Arial" w:cs="Arial" w:eastAsia="Arial" w:hAnsi="Arial"/>
                <w:sz w:val="13"/>
                <w:szCs w:val="13"/>
                <w:b w:val="1"/>
                <w:bCs w:val="1"/>
                <w:color w:val="auto"/>
                <w:w w:val="90"/>
              </w:rPr>
              <w:t>Equity</w:t>
            </w:r>
          </w:p>
        </w:tc>
      </w:tr>
      <w:tr>
        <w:trPr>
          <w:trHeight w:val="27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October 31, 2018</w:t>
            </w:r>
          </w:p>
        </w:tc>
        <w:tc>
          <w:tcPr>
            <w:tcW w:w="940" w:type="dxa"/>
            <w:vAlign w:val="bottom"/>
            <w:tcBorders>
              <w:top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10,705,328</w:t>
            </w: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(3,245,478)</w:t>
            </w:r>
          </w:p>
        </w:tc>
        <w:tc>
          <w:tcPr>
            <w:tcW w:w="1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1,071</w:t>
            </w: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39,186</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158,185</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(56,154)</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(10,512)</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11</w:t>
            </w: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131,787</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22"/>
                <w:szCs w:val="22"/>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2,281</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152</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Dividends Declared</w:t>
            </w:r>
          </w:p>
        </w:tc>
        <w:tc>
          <w:tcPr>
            <w:tcW w:w="120" w:type="dxa"/>
            <w:vAlign w:val="bottom"/>
          </w:tcPr>
          <w:p>
            <w:pPr>
              <w:spacing w:after="0"/>
              <w:rPr>
                <w:sz w:val="22"/>
                <w:szCs w:val="22"/>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(1,684)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(1,684)</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Purchases of Treasury Stock</w:t>
            </w: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300" w:type="dxa"/>
            <w:vAlign w:val="bottom"/>
          </w:tcPr>
          <w:p>
            <w:pPr>
              <w:ind w:left="40"/>
              <w:spacing w:after="0" w:line="148" w:lineRule="exact"/>
              <w:rPr>
                <w:sz w:val="20"/>
                <w:szCs w:val="20"/>
                <w:color w:val="auto"/>
              </w:rPr>
            </w:pPr>
            <w:r>
              <w:rPr>
                <w:rFonts w:ascii="Arial" w:cs="Arial" w:eastAsia="Arial" w:hAnsi="Arial"/>
                <w:sz w:val="13"/>
                <w:szCs w:val="13"/>
                <w:color w:val="auto"/>
              </w:rPr>
              <w:t>Net issuance of stock under long-term</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8"/>
        </w:trPr>
        <w:tc>
          <w:tcPr>
            <w:tcW w:w="2300" w:type="dxa"/>
            <w:vAlign w:val="bottom"/>
          </w:tcPr>
          <w:p>
            <w:pPr>
              <w:ind w:left="40"/>
              <w:spacing w:after="0"/>
              <w:rPr>
                <w:sz w:val="20"/>
                <w:szCs w:val="20"/>
                <w:color w:val="auto"/>
              </w:rPr>
            </w:pPr>
            <w:r>
              <w:rPr>
                <w:rFonts w:ascii="Arial" w:cs="Arial" w:eastAsia="Arial" w:hAnsi="Arial"/>
                <w:sz w:val="13"/>
                <w:szCs w:val="13"/>
                <w:color w:val="auto"/>
              </w:rPr>
              <w:t>incentive plans</w:t>
            </w: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107,600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jc w:val="right"/>
              <w:ind w:right="17"/>
              <w:spacing w:after="0"/>
              <w:rPr>
                <w:sz w:val="20"/>
                <w:szCs w:val="20"/>
                <w:color w:val="auto"/>
              </w:rPr>
            </w:pPr>
            <w:r>
              <w:rPr>
                <w:rFonts w:ascii="Arial" w:cs="Arial" w:eastAsia="Arial" w:hAnsi="Arial"/>
                <w:sz w:val="13"/>
                <w:szCs w:val="13"/>
                <w:color w:val="auto"/>
              </w:rPr>
              <w:t>(4,250)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72"/>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 of Restricted Stock</w:t>
            </w:r>
          </w:p>
        </w:tc>
        <w:tc>
          <w:tcPr>
            <w:tcW w:w="12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23"/>
                <w:szCs w:val="23"/>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229</w:t>
            </w:r>
          </w:p>
        </w:tc>
      </w:tr>
      <w:tr>
        <w:trPr>
          <w:trHeight w:val="254"/>
        </w:trPr>
        <w:tc>
          <w:tcPr>
            <w:tcW w:w="2300" w:type="dxa"/>
            <w:vAlign w:val="bottom"/>
          </w:tcPr>
          <w:p>
            <w:pPr>
              <w:ind w:left="40"/>
              <w:spacing w:after="0"/>
              <w:rPr>
                <w:sz w:val="20"/>
                <w:szCs w:val="20"/>
                <w:color w:val="auto"/>
              </w:rPr>
            </w:pPr>
            <w:r>
              <w:rPr>
                <w:rFonts w:ascii="Arial" w:cs="Arial" w:eastAsia="Arial" w:hAnsi="Arial"/>
                <w:sz w:val="13"/>
                <w:szCs w:val="13"/>
                <w:b w:val="1"/>
                <w:bCs w:val="1"/>
                <w:color w:val="auto"/>
              </w:rPr>
              <w:t>Balance, January 31, 2019</w:t>
            </w:r>
          </w:p>
        </w:tc>
        <w:tc>
          <w:tcPr>
            <w:tcW w:w="940" w:type="dxa"/>
            <w:vAlign w:val="bottom"/>
            <w:tcBorders>
              <w:top w:val="single" w:sz="8" w:color="auto"/>
            </w:tcBorders>
            <w:gridSpan w:val="2"/>
          </w:tcPr>
          <w:p>
            <w:pPr>
              <w:jc w:val="right"/>
              <w:ind w:right="57"/>
              <w:spacing w:after="0"/>
              <w:rPr>
                <w:sz w:val="20"/>
                <w:szCs w:val="20"/>
                <w:color w:val="auto"/>
              </w:rPr>
            </w:pPr>
            <w:r>
              <w:rPr>
                <w:rFonts w:ascii="Arial" w:cs="Arial" w:eastAsia="Arial" w:hAnsi="Arial"/>
                <w:sz w:val="13"/>
                <w:szCs w:val="13"/>
                <w:b w:val="1"/>
                <w:bCs w:val="1"/>
                <w:color w:val="auto"/>
              </w:rPr>
              <w:t>10,812,928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Borders>
              <w:top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rPr>
              <w:t>(3,249,728)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1,081</w:t>
            </w: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39,730</w:t>
            </w:r>
          </w:p>
        </w:tc>
        <w:tc>
          <w:tcPr>
            <w:tcW w:w="1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158,788</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(56,480)</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(10,360)</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132,764</w:t>
            </w:r>
          </w:p>
        </w:tc>
      </w:tr>
      <w:tr>
        <w:trPr>
          <w:trHeight w:val="151"/>
        </w:trPr>
        <w:tc>
          <w:tcPr>
            <w:tcW w:w="2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264"/>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October 31, 2019</w:t>
            </w: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10,879,655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(3,268,057)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1,088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42,327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166,526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(57,103)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(14,812)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137,936</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22"/>
                <w:szCs w:val="22"/>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4,830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4,749</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5,223</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Dividends Declared</w:t>
            </w:r>
          </w:p>
        </w:tc>
        <w:tc>
          <w:tcPr>
            <w:tcW w:w="120" w:type="dxa"/>
            <w:vAlign w:val="bottom"/>
          </w:tcPr>
          <w:p>
            <w:pPr>
              <w:spacing w:after="0"/>
              <w:rPr>
                <w:sz w:val="22"/>
                <w:szCs w:val="22"/>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(1,766)</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Purchases of Treasury Stock</w:t>
            </w: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(602)</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48"/>
        </w:trPr>
        <w:tc>
          <w:tcPr>
            <w:tcW w:w="2300" w:type="dxa"/>
            <w:vAlign w:val="bottom"/>
          </w:tcPr>
          <w:p>
            <w:pPr>
              <w:ind w:left="40"/>
              <w:spacing w:after="0" w:line="148" w:lineRule="exact"/>
              <w:rPr>
                <w:sz w:val="20"/>
                <w:szCs w:val="20"/>
                <w:color w:val="auto"/>
              </w:rPr>
            </w:pPr>
            <w:r>
              <w:rPr>
                <w:rFonts w:ascii="Arial" w:cs="Arial" w:eastAsia="Arial" w:hAnsi="Arial"/>
                <w:sz w:val="13"/>
                <w:szCs w:val="13"/>
                <w:color w:val="auto"/>
              </w:rPr>
              <w:t>Net issuance of stock under long-term</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8"/>
        </w:trPr>
        <w:tc>
          <w:tcPr>
            <w:tcW w:w="2300" w:type="dxa"/>
            <w:vAlign w:val="bottom"/>
          </w:tcPr>
          <w:p>
            <w:pPr>
              <w:ind w:left="40"/>
              <w:spacing w:after="0"/>
              <w:rPr>
                <w:sz w:val="20"/>
                <w:szCs w:val="20"/>
                <w:color w:val="auto"/>
              </w:rPr>
            </w:pPr>
            <w:r>
              <w:rPr>
                <w:rFonts w:ascii="Arial" w:cs="Arial" w:eastAsia="Arial" w:hAnsi="Arial"/>
                <w:sz w:val="13"/>
                <w:szCs w:val="13"/>
                <w:color w:val="auto"/>
              </w:rPr>
              <w:t>incentive plans</w:t>
            </w: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1,500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jc w:val="right"/>
              <w:ind w:right="17"/>
              <w:spacing w:after="0"/>
              <w:rPr>
                <w:sz w:val="20"/>
                <w:szCs w:val="20"/>
                <w:color w:val="auto"/>
              </w:rPr>
            </w:pPr>
            <w:r>
              <w:rPr>
                <w:rFonts w:ascii="Arial" w:cs="Arial" w:eastAsia="Arial" w:hAnsi="Arial"/>
                <w:sz w:val="13"/>
                <w:szCs w:val="13"/>
                <w:color w:val="auto"/>
              </w:rPr>
              <w:t>(400)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 of Restricted Stock</w:t>
            </w:r>
          </w:p>
        </w:tc>
        <w:tc>
          <w:tcPr>
            <w:tcW w:w="12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23"/>
                <w:szCs w:val="23"/>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810</w:t>
            </w:r>
          </w:p>
        </w:tc>
      </w:tr>
      <w:tr>
        <w:trPr>
          <w:trHeight w:val="255"/>
        </w:trPr>
        <w:tc>
          <w:tcPr>
            <w:tcW w:w="2300" w:type="dxa"/>
            <w:vAlign w:val="bottom"/>
          </w:tcPr>
          <w:p>
            <w:pPr>
              <w:ind w:left="40"/>
              <w:spacing w:after="0"/>
              <w:rPr>
                <w:sz w:val="20"/>
                <w:szCs w:val="20"/>
                <w:color w:val="auto"/>
              </w:rPr>
            </w:pPr>
            <w:r>
              <w:rPr>
                <w:rFonts w:ascii="Arial" w:cs="Arial" w:eastAsia="Arial" w:hAnsi="Arial"/>
                <w:sz w:val="13"/>
                <w:szCs w:val="13"/>
                <w:b w:val="1"/>
                <w:bCs w:val="1"/>
                <w:color w:val="auto"/>
              </w:rPr>
              <w:t>Balance, January 31, 2020</w:t>
            </w:r>
          </w:p>
        </w:tc>
        <w:tc>
          <w:tcPr>
            <w:tcW w:w="940" w:type="dxa"/>
            <w:vAlign w:val="bottom"/>
            <w:tcBorders>
              <w:top w:val="single" w:sz="8" w:color="auto"/>
              <w:bottom w:val="single" w:sz="8" w:color="auto"/>
            </w:tcBorders>
            <w:gridSpan w:val="2"/>
          </w:tcPr>
          <w:p>
            <w:pPr>
              <w:jc w:val="right"/>
              <w:ind w:right="57"/>
              <w:spacing w:after="0"/>
              <w:rPr>
                <w:sz w:val="20"/>
                <w:szCs w:val="20"/>
                <w:color w:val="auto"/>
              </w:rPr>
            </w:pPr>
            <w:r>
              <w:rPr>
                <w:rFonts w:ascii="Arial" w:cs="Arial" w:eastAsia="Arial" w:hAnsi="Arial"/>
                <w:sz w:val="13"/>
                <w:szCs w:val="13"/>
                <w:b w:val="1"/>
                <w:bCs w:val="1"/>
                <w:color w:val="auto"/>
              </w:rPr>
              <w:t>10,881,155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rPr>
              <w:t>(3,269,059)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1,088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43,149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169,590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(57,138)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(9,589)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(171)</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146,929</w:t>
            </w:r>
          </w:p>
        </w:tc>
      </w:tr>
      <w:tr>
        <w:trPr>
          <w:trHeight w:val="20"/>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41"/>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8"/>
          </w:tcPr>
          <w:p>
            <w:pPr>
              <w:ind w:left="420"/>
              <w:spacing w:after="0"/>
              <w:rPr>
                <w:sz w:val="20"/>
                <w:szCs w:val="20"/>
                <w:color w:val="auto"/>
              </w:rPr>
            </w:pPr>
            <w:r>
              <w:rPr>
                <w:rFonts w:ascii="Arial" w:cs="Arial" w:eastAsia="Arial" w:hAnsi="Arial"/>
                <w:sz w:val="13"/>
                <w:szCs w:val="13"/>
                <w:b w:val="1"/>
                <w:bCs w:val="1"/>
                <w:color w:val="auto"/>
                <w:w w:val="97"/>
              </w:rPr>
              <w:t>For the Six Months Ended January 31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0"/>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0"/>
              </w:rPr>
              <w:t>(unaudited)</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gridSpan w:val="7"/>
          </w:tcPr>
          <w:p>
            <w:pPr>
              <w:ind w:left="440"/>
              <w:spacing w:after="0"/>
              <w:rPr>
                <w:sz w:val="20"/>
                <w:szCs w:val="20"/>
                <w:color w:val="auto"/>
              </w:rPr>
            </w:pPr>
            <w:r>
              <w:rPr>
                <w:rFonts w:ascii="Arial" w:cs="Arial" w:eastAsia="Arial" w:hAnsi="Arial"/>
                <w:sz w:val="13"/>
                <w:szCs w:val="13"/>
                <w:b w:val="1"/>
                <w:bCs w:val="1"/>
                <w:color w:val="auto"/>
              </w:rPr>
              <w:t>Number of Shares</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30"/>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200"/>
              <w:spacing w:after="0" w:line="135" w:lineRule="exact"/>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Non-</w:t>
            </w:r>
          </w:p>
        </w:tc>
        <w:tc>
          <w:tcPr>
            <w:tcW w:w="120" w:type="dxa"/>
            <w:vAlign w:val="bottom"/>
          </w:tcPr>
          <w:p>
            <w:pPr>
              <w:spacing w:after="0"/>
              <w:rPr>
                <w:sz w:val="11"/>
                <w:szCs w:val="11"/>
                <w:color w:val="auto"/>
              </w:rPr>
            </w:pPr>
          </w:p>
        </w:tc>
        <w:tc>
          <w:tcPr>
            <w:tcW w:w="9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3"/>
                <w:szCs w:val="13"/>
                <w:b w:val="1"/>
                <w:bCs w:val="1"/>
                <w:color w:val="auto"/>
              </w:rPr>
              <w:t>&amp; Class B</w:t>
            </w:r>
          </w:p>
        </w:tc>
        <w:tc>
          <w:tcPr>
            <w:tcW w:w="100" w:type="dxa"/>
            <w:vAlign w:val="bottom"/>
          </w:tcPr>
          <w:p>
            <w:pPr>
              <w:spacing w:after="0"/>
              <w:rPr>
                <w:sz w:val="11"/>
                <w:szCs w:val="11"/>
                <w:color w:val="auto"/>
              </w:rPr>
            </w:pPr>
          </w:p>
        </w:tc>
        <w:tc>
          <w:tcPr>
            <w:tcW w:w="960" w:type="dxa"/>
            <w:vAlign w:val="bottom"/>
            <w:gridSpan w:val="3"/>
          </w:tcPr>
          <w:p>
            <w:pPr>
              <w:ind w:left="160"/>
              <w:spacing w:after="0" w:line="135" w:lineRule="exact"/>
              <w:rPr>
                <w:sz w:val="20"/>
                <w:szCs w:val="20"/>
                <w:color w:val="auto"/>
              </w:rPr>
            </w:pPr>
            <w:r>
              <w:rPr>
                <w:rFonts w:ascii="Arial" w:cs="Arial" w:eastAsia="Arial" w:hAnsi="Arial"/>
                <w:sz w:val="13"/>
                <w:szCs w:val="13"/>
                <w:b w:val="1"/>
                <w:bCs w:val="1"/>
                <w:color w:val="auto"/>
              </w:rPr>
              <w:t>Treasury</w:t>
            </w:r>
          </w:p>
        </w:tc>
        <w:tc>
          <w:tcPr>
            <w:tcW w:w="100" w:type="dxa"/>
            <w:vAlign w:val="bottom"/>
          </w:tcPr>
          <w:p>
            <w:pPr>
              <w:spacing w:after="0"/>
              <w:rPr>
                <w:sz w:val="11"/>
                <w:szCs w:val="11"/>
                <w:color w:val="auto"/>
              </w:rPr>
            </w:pPr>
          </w:p>
        </w:tc>
        <w:tc>
          <w:tcPr>
            <w:tcW w:w="84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&amp; Class B</w:t>
            </w:r>
          </w:p>
        </w:tc>
        <w:tc>
          <w:tcPr>
            <w:tcW w:w="12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11"/>
                <w:szCs w:val="11"/>
                <w:color w:val="auto"/>
              </w:rPr>
            </w:pPr>
          </w:p>
        </w:tc>
        <w:tc>
          <w:tcPr>
            <w:tcW w:w="9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Stock</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0"/>
              </w:rPr>
              <w:t>Equity</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b w:val="1"/>
                <w:bCs w:val="1"/>
                <w:color w:val="auto"/>
              </w:rPr>
              <w:t>Balance, July 31, 2018</w:t>
            </w: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10,555,828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(3,238,833)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1,056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rPr>
              <w:t>38,473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rPr>
              <w:t>158,935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(55,946)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(10,615)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auto"/>
              </w:rPr>
              <w:t>131,885</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3,216</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Other Comprehensive Income</w:t>
            </w:r>
          </w:p>
        </w:tc>
        <w:tc>
          <w:tcPr>
            <w:tcW w:w="120" w:type="dxa"/>
            <w:vAlign w:val="bottom"/>
          </w:tcPr>
          <w:p>
            <w:pPr>
              <w:spacing w:after="0"/>
              <w:rPr>
                <w:sz w:val="22"/>
                <w:szCs w:val="22"/>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255</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Declared</w:t>
            </w: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(3,340)</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Purchases of Treasury Stock</w:t>
            </w:r>
          </w:p>
        </w:tc>
        <w:tc>
          <w:tcPr>
            <w:tcW w:w="120" w:type="dxa"/>
            <w:vAlign w:val="bottom"/>
          </w:tcPr>
          <w:p>
            <w:pPr>
              <w:spacing w:after="0"/>
              <w:rPr>
                <w:sz w:val="22"/>
                <w:szCs w:val="22"/>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7"/>
              <w:spacing w:after="0"/>
              <w:rPr>
                <w:sz w:val="20"/>
                <w:szCs w:val="20"/>
                <w:color w:val="auto"/>
              </w:rPr>
            </w:pPr>
            <w:r>
              <w:rPr>
                <w:rFonts w:ascii="Arial" w:cs="Arial" w:eastAsia="Arial" w:hAnsi="Arial"/>
                <w:sz w:val="13"/>
                <w:szCs w:val="13"/>
                <w:color w:val="auto"/>
              </w:rPr>
              <w:t>(4,545)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(135)</w:t>
            </w:r>
          </w:p>
        </w:tc>
      </w:tr>
      <w:tr>
        <w:trPr>
          <w:trHeight w:val="156"/>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issuance of stock under long-term</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76"/>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incentive plans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257,100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(6,350)</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26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Amortization of Restricted Stock</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884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884</w:t>
            </w:r>
          </w:p>
        </w:tc>
      </w:tr>
      <w:tr>
        <w:trPr>
          <w:trHeight w:val="255"/>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January 31, 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10,812,928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(3,249,728)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1,081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39,730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158,788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(56,480)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(10,360)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132,764</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676"/>
        </w:trPr>
        <w:tc>
          <w:tcPr>
            <w:tcW w:w="2300" w:type="dxa"/>
            <w:vAlign w:val="bottom"/>
          </w:tcPr>
          <w:p>
            <w:pPr>
              <w:ind w:left="40"/>
              <w:spacing w:after="0"/>
              <w:rPr>
                <w:sz w:val="20"/>
                <w:szCs w:val="20"/>
                <w:color w:val="auto"/>
              </w:rPr>
            </w:pPr>
            <w:r>
              <w:rPr>
                <w:rFonts w:ascii="Arial" w:cs="Arial" w:eastAsia="Arial" w:hAnsi="Arial"/>
                <w:sz w:val="13"/>
                <w:szCs w:val="13"/>
                <w:b w:val="1"/>
                <w:bCs w:val="1"/>
                <w:color w:val="auto"/>
              </w:rPr>
              <w:t>Balance, July 31, 2019</w:t>
            </w: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10,860,678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(3,251,288)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1,086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rPr>
              <w:t>41,300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rPr>
              <w:t>164,756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(56,543)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(15,039)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auto"/>
              </w:rPr>
              <w:t>135,546</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8,209</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Other Comprehensive Income</w:t>
            </w:r>
          </w:p>
        </w:tc>
        <w:tc>
          <w:tcPr>
            <w:tcW w:w="120" w:type="dxa"/>
            <w:vAlign w:val="bottom"/>
          </w:tcPr>
          <w:p>
            <w:pPr>
              <w:spacing w:after="0"/>
              <w:rPr>
                <w:sz w:val="22"/>
                <w:szCs w:val="22"/>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5,450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5,450</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Declared</w:t>
            </w: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(3,532)</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Purchases of Treasury Stock</w:t>
            </w:r>
          </w:p>
        </w:tc>
        <w:tc>
          <w:tcPr>
            <w:tcW w:w="120" w:type="dxa"/>
            <w:vAlign w:val="bottom"/>
          </w:tcPr>
          <w:p>
            <w:pPr>
              <w:spacing w:after="0"/>
              <w:rPr>
                <w:sz w:val="22"/>
                <w:szCs w:val="22"/>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7"/>
              <w:spacing w:after="0"/>
              <w:rPr>
                <w:sz w:val="20"/>
                <w:szCs w:val="20"/>
                <w:color w:val="auto"/>
              </w:rPr>
            </w:pPr>
            <w:r>
              <w:rPr>
                <w:rFonts w:ascii="Arial" w:cs="Arial" w:eastAsia="Arial" w:hAnsi="Arial"/>
                <w:sz w:val="13"/>
                <w:szCs w:val="13"/>
                <w:color w:val="auto"/>
              </w:rPr>
              <w:t>(15,621)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(523)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(523)</w:t>
            </w:r>
          </w:p>
        </w:tc>
      </w:tr>
      <w:tr>
        <w:trPr>
          <w:trHeight w:val="156"/>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issuance of stock under long-term</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76"/>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incentive plans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20,477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(2,150)</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Amortization of Restricted Stock</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1,779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1,779</w:t>
            </w:r>
          </w:p>
        </w:tc>
      </w:tr>
      <w:tr>
        <w:trPr>
          <w:trHeight w:val="255"/>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January 31, 2020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10,881,155</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(3,269,059)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1,088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43,149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169,590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(57,138)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(9,589)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146,929</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-93980</wp:posOffset>
            </wp:positionV>
            <wp:extent cx="5720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2008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53"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For the Six Months Ended January</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6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7"/>
                <w:szCs w:val="17"/>
                <w:color w:val="auto"/>
              </w:rPr>
            </w:pPr>
          </w:p>
        </w:tc>
        <w:tc>
          <w:tcPr>
            <w:tcW w:w="126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39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4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8,209</w:t>
            </w:r>
          </w:p>
        </w:tc>
        <w:tc>
          <w:tcPr>
            <w:tcW w:w="6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6,929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net discount</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1,779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312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Provision for bad debts and cash discounts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Loss on the sale of fixed assets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116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Curtailment gain on SERP Plan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(Increase) Decrease in assets: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1,508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Prepaid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1,561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731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2,661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Deferred compensation</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163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Pension and postretirement benefits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(1,052)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Adjustments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6,061</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14,270</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3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9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(7,286)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Dispositions of short-term investments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(7,286)</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3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9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Principal payments on notes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Dividends paid</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(3,527)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 of treasury stock</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(523)</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(7,133)</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(293)</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21,862</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12,757</w:t>
            </w:r>
          </w:p>
        </w:tc>
        <w:tc>
          <w:tcPr>
            <w:tcW w:w="0" w:type="dxa"/>
            <w:vAlign w:val="bottom"/>
          </w:tcPr>
          <w:p>
            <w:pPr>
              <w:spacing w:after="0"/>
              <w:rPr>
                <w:sz w:val="1"/>
                <w:szCs w:val="1"/>
                <w:color w:val="auto"/>
              </w:rPr>
            </w:pPr>
          </w:p>
        </w:tc>
      </w:tr>
      <w:tr>
        <w:trPr>
          <w:trHeight w:val="257"/>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21,569</w:t>
            </w:r>
          </w:p>
        </w:tc>
        <w:tc>
          <w:tcPr>
            <w:tcW w:w="2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9,375</w:t>
            </w:r>
          </w:p>
        </w:tc>
        <w:tc>
          <w:tcPr>
            <w:tcW w:w="0" w:type="dxa"/>
            <w:vAlign w:val="bottom"/>
          </w:tcPr>
          <w:p>
            <w:pPr>
              <w:spacing w:after="0"/>
              <w:rPr>
                <w:sz w:val="1"/>
                <w:szCs w:val="1"/>
                <w:color w:val="auto"/>
              </w:rPr>
            </w:pPr>
          </w:p>
        </w:tc>
      </w:tr>
      <w:tr>
        <w:trPr>
          <w:trHeight w:val="20"/>
        </w:trPr>
        <w:tc>
          <w:tcPr>
            <w:tcW w:w="8460" w:type="dxa"/>
            <w:vAlign w:val="bottom"/>
            <w:gridSpan w:val="5"/>
            <w:vMerge w:val="restart"/>
          </w:tcPr>
          <w:p>
            <w:pPr>
              <w:ind w:left="562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For the Six Months Ended January</w:t>
            </w:r>
          </w:p>
        </w:tc>
        <w:tc>
          <w:tcPr>
            <w:tcW w:w="0" w:type="dxa"/>
            <w:vAlign w:val="bottom"/>
          </w:tcPr>
          <w:p>
            <w:pPr>
              <w:spacing w:after="0"/>
              <w:rPr>
                <w:sz w:val="1"/>
                <w:szCs w:val="1"/>
                <w:color w:val="auto"/>
              </w:rPr>
            </w:pPr>
          </w:p>
        </w:tc>
      </w:tr>
      <w:tr>
        <w:trPr>
          <w:trHeight w:val="234"/>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accrued, but not paid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628</w:t>
            </w:r>
          </w:p>
        </w:tc>
        <w:tc>
          <w:tcPr>
            <w:tcW w:w="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Cash dividends declared and accrued, but not paid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1,766</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69"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5100" w:firstLine="8"/>
        <w:spacing w:after="0" w:line="503"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2019 included in our Annual Report on Form 10-K filed with the SEC.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Condensed Consolidated Financial Statements reflect all adjustments, consisting of normal recurring accruals and reclassifications which are, in the opinion of management, necessary for a fair presentation of the statements contained herein. In addition, certain prior year reclassifications were made to conform to the current year presentation. Operating results for the three and six months ended January 31, 2020 are not necessarily an indication of the results that may be expected for the fiscal year ending July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Use of Estimates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that affect the reported amounts of assets, liabilities, revenues and expenses during the reporting period, as well as the related disclosures. All of our estimates and assumptions are revised periodically. Actual results could differ from these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significant accounting policies, which are detailed in our Annual Report on Form 10-K for the fiscal year ended July 31, 2019 have not materially changed, except as described herein, including policies associated with the August 1, 2019 adoption of Accounting Standards Codification (“ASC”) 842, </w:t>
      </w:r>
      <w:r>
        <w:rPr>
          <w:rFonts w:ascii="Arial" w:cs="Arial" w:eastAsia="Arial" w:hAnsi="Arial"/>
          <w:sz w:val="17"/>
          <w:szCs w:val="17"/>
          <w:i w:val="1"/>
          <w:iCs w:val="1"/>
          <w:color w:val="auto"/>
        </w:rPr>
        <w:t>Leases</w:t>
      </w:r>
      <w:r>
        <w:rPr>
          <w:rFonts w:ascii="Arial" w:cs="Arial" w:eastAsia="Arial" w:hAnsi="Arial"/>
          <w:sz w:val="17"/>
          <w:szCs w:val="17"/>
          <w:color w:val="auto"/>
        </w:rPr>
        <w:t>. Changes to our accounting policies as a result of the ASC 842 adoption are discussed below and further information is also provided in Note 2 of the</w:t>
      </w:r>
      <w:r>
        <w:rPr>
          <w:rFonts w:ascii="Arial" w:cs="Arial" w:eastAsia="Arial" w:hAnsi="Arial"/>
          <w:sz w:val="17"/>
          <w:szCs w:val="17"/>
          <w:i w:val="1"/>
          <w:iCs w:val="1"/>
          <w:color w:val="auto"/>
        </w:rPr>
        <w:t xml:space="preserve"> </w:t>
      </w:r>
      <w:r>
        <w:rPr>
          <w:rFonts w:ascii="Arial" w:cs="Arial" w:eastAsia="Arial" w:hAnsi="Arial"/>
          <w:sz w:val="17"/>
          <w:szCs w:val="17"/>
          <w:color w:val="auto"/>
        </w:rPr>
        <w:t>Notes to unaudited Condensed Consolidated Financial Statements. Following is a description of certain of our significant accounting policies.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ASC 842 provides that a contract is, or contains, a lease if it conveys the right to control the use of an identified asset and, accordingly, a lease</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and a related right-of-use (“ROU”) asset is recognized at the commencement date on our consolidated balance sheet. As provided in ASC 842, we have elected not to apply these measurement and recognition requirements to short-term leases (i.e., leases with a term of 12 months or less). Short-term leases will not be recorded as ROU assets or lease liabilities on our consolidated balance sheet, and the related lease payments will be recognized in net earnings on a straight-line basis over the lease term. For leases other than short-term leases, the lease liability is equal to the present value of unpaid lease payments over the remaining lease term. The lease term may reflect options to extend or terminate the lease when it is reasonably certain that such options will be exercised. To determine the present value of the lease liability, we used an incremental borrowing rate, which is defined as the rate of interest we would have to pay to borrow (on a collateralized basis over a similar term) an amount equal to the lease payments in similar economic environments. The ROU asset is based on the corresponding lease liability adjusted for certain costs such as initial direct costs, prepaid lease payments and lease incentives received. Both operating and finance lease ROU assets are reviewed for impairment, consistent with other long-lived assets, whenever events or changes in circumstances indicate that the carrying amount may not be recoverable. After a ROU asset is impaired, any remaining balance of the ROU asset is amortized on a straight-line basis over the shorter of the remaining lease term or the estimated useful life. After the lease commencement date, we evaluate lease modifications, if any, that could result in a change in the accounting for leases.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leases provide for variable lease payments that vary due to changes in facts and circumstances occurring after the commencement date, other than the passage of time. Variable lease payments that are dependent on an index or rate (e.g., Consumer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53" w:right="239" w:bottom="1440" w:gutter="0" w:footer="0" w:header="0"/>
        </w:sectPr>
      </w:pPr>
    </w:p>
    <w:bookmarkStart w:id="12" w:name="page13"/>
    <w:bookmarkEnd w:id="12"/>
    <w:p>
      <w:pPr>
        <w:jc w:val="both"/>
        <w:spacing w:after="0" w:line="312" w:lineRule="auto"/>
        <w:rPr>
          <w:sz w:val="20"/>
          <w:szCs w:val="20"/>
          <w:color w:val="auto"/>
        </w:rPr>
      </w:pPr>
      <w:r>
        <w:rPr>
          <w:rFonts w:ascii="Arial" w:cs="Arial" w:eastAsia="Arial" w:hAnsi="Arial"/>
          <w:sz w:val="16"/>
          <w:szCs w:val="16"/>
          <w:color w:val="auto"/>
        </w:rPr>
        <w:t>Price Index) are included in the initial measurement of the lease liability and the ROU asset. Variable lease payments that are not known at the commencement date and are determinable based on the performance or use of the underlying asset, are expensed as incurred. Our variable lease payments primarily include common area maintenance charges based on the percentage of the total square footage leased and the usage of assets, such as photocopiers.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Some of our contracts may contain lease components as well as non-lease components, such as an agreement to purchase services. As allowed under ASC 842, we have elected not to separate the lease components from non-lease components for all asset classes and we will not allocate the contract consideration to these components. This policy was applied to all existing leases upon adoption of ASC 842 and will be applied to new leases on an ongoing basis.</w:t>
      </w:r>
    </w:p>
    <w:p>
      <w:pPr>
        <w:spacing w:after="0" w:line="14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We recognize revenue when performance obligations under the terms of the contracts with customers are satisfied. Our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unconditional right to consideration under the payment terms specified in the contract upon completion of the performance obligation. We may require certain customers to provide payment in advance of product shipment. We recorded a liability for these advance payments of $313,000 and $259,000 as of January 31, 2020 and July 31, 2019, respectively. This liability is reported in Other Accrued Expenses on the unaudited Condensed Consolidated Balance Sheet. Revenue recognized during the six months ended January 31, 2020 that was included in the liability for advance payments at the beginning of the period was $234,000.</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routinely commit to one-time or ongoing trade promotion programs directly with consumers, such as coupon programs, and with customers, such as volume discounts, cooperative marketing and other arrangements. We estimate and accrue the expected costs of these programs. These costs are considered variable consideration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(“SG&amp;A”) include salaries, wages and benefits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Trade Receivables. </w:t>
      </w:r>
      <w:r>
        <w:rPr>
          <w:rFonts w:ascii="Arial" w:cs="Arial" w:eastAsia="Arial" w:hAnsi="Arial"/>
          <w:sz w:val="18"/>
          <w:szCs w:val="18"/>
          <w:color w:val="auto"/>
        </w:rPr>
        <w:t>We record an allowance for doubtful accounts based on our historical experience and a periodic review of our accounts receivable,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review of the overall aging of accounts, consideration of customer credit risk and analysis of facts and circumstances about specific customer accounts. A customer account is determined to be uncollectible when it is probable that a loss will be incurred after we have completed our internal collection procedures, including termination of shipments, direct customer contact and formal demand of payment.</w:t>
      </w:r>
    </w:p>
    <w:p>
      <w:pPr>
        <w:spacing w:after="0" w:line="18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Overburden Removal and Mining Costs. </w:t>
      </w:r>
      <w:r>
        <w:rPr>
          <w:rFonts w:ascii="Arial" w:cs="Arial" w:eastAsia="Arial" w:hAnsi="Arial"/>
          <w:sz w:val="16"/>
          <w:szCs w:val="16"/>
          <w:color w:val="auto"/>
        </w:rPr>
        <w:t>We mine sorbent materials on property that we either own or lease as part of our overall operations. A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57" w:right="239" w:bottom="1440" w:gutter="0" w:footer="0" w:header="0"/>
        </w:sectPr>
      </w:pPr>
    </w:p>
    <w:bookmarkStart w:id="13" w:name="page14"/>
    <w:bookmarkEnd w:id="13"/>
    <w:p>
      <w:pPr>
        <w:ind w:right="5860" w:firstLine="8"/>
        <w:spacing w:after="0" w:line="503"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AND REGULATIONS Recently Adopted Pronouncements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August 1, 2019 we adopted ASC 842,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transition approach and, accordingly, we did not restate prior comparative period financial statements. As of the date of adoption, we elected the package of practical expedients that allowed us to forgo assessment under the ASC 842 guidance whether existing or expired contracts contained leases, the classification of expired or existing leases and the accounting for previously incurred initial direct costs. We also elected the practical expedient to forgo assessment under ASC 842 whether existing or expired land easements not previously accounted for under legacy leasing GAAP contain leases.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adoption of ASC 842 on August 1, 2019 resulted in the recognition of additional ROU assets and lease liabilities related to operating leases of $9,348,000 and $10,910,000, respectively, on our unaudited Condensed Consolidated Balance Sheet. There was no material impact to any of our other unaudited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Pronouncements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2019, the FASB issued guidance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which simplifies the accounting for income taxes. The guidance removes several specific exceptions to the general principles in ASC 740 and clarifies and makes amendments to improve consistent application of and simplify existing accounting for other areas in ASC 740. This guidance is effective for our first quarter of fiscal year 2022, with early adoption permitted. We are currently evaluating the impact of the adoption of this requirement on our Consolidated Financial Statements.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2021. We are currently evaluating the impact of the adoption of this requirement on our Consolidated Financial Statements.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666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0"/>
        </w:trPr>
        <w:tc>
          <w:tcPr>
            <w:tcW w:w="19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w:t>
            </w:r>
          </w:p>
        </w:tc>
        <w:tc>
          <w:tcPr>
            <w:tcW w:w="22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7"/>
        </w:trPr>
        <w:tc>
          <w:tcPr>
            <w:tcW w:w="192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13,353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13,957</w:t>
            </w:r>
          </w:p>
        </w:tc>
      </w:tr>
      <w:tr>
        <w:trPr>
          <w:trHeight w:val="243"/>
        </w:trPr>
        <w:tc>
          <w:tcPr>
            <w:tcW w:w="192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Packaging</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5,122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5,681</w:t>
            </w:r>
          </w:p>
        </w:tc>
      </w:tr>
      <w:tr>
        <w:trPr>
          <w:trHeight w:val="27"/>
        </w:trPr>
        <w:tc>
          <w:tcPr>
            <w:tcW w:w="19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4,204</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4,525</w:t>
            </w:r>
          </w:p>
        </w:tc>
      </w:tr>
      <w:tr>
        <w:trPr>
          <w:trHeight w:val="257"/>
        </w:trPr>
        <w:tc>
          <w:tcPr>
            <w:tcW w:w="192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22,679</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24,163</w:t>
            </w:r>
          </w:p>
        </w:tc>
      </w:tr>
      <w:tr>
        <w:trPr>
          <w:trHeight w:val="20"/>
        </w:trPr>
        <w:tc>
          <w:tcPr>
            <w:tcW w:w="19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Inventories are valued at the lower of cost (first-in, first-out) or net realizable value. Inventory costs include the cost of raw materials, packaging supplies, labor and other overhead costs. We performed a detailed review of our inventory items to determine if an obsolescence reserve adjustment was necessary. The review surveyed all of our operating facilities and sales groups to ensure that both historical issues and new market trends were considered. The obsolescence reserve not only considered specific items, but also took into consideration the overall value of the inventory as of the balance sheet date. The inventory obsolescence reserve values at January 31, 2020 and July 31, 2019 were $1,362,000 and $704,000, respectively. The higher obsolescence reserve is attributed to our focus on inventory management and enhanced data available from our enterprise resource planning (“ERP”) system.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5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 Observable market-based inputs for similar assets or liabilities or valuation models whose inputs are observable, directly or indirectly.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Unobservable inputs.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equivalents are primarily money market mutual funds classified as Level 1. We had $26,000 cash equivalents as of both January 31, 2020 and July 31, 2019, which are included in Cash and cash equivalents on the unaudited Condensed Consolidated Balance Sheet.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Balances of accounts receivable and accounts payable approximated their fair values at January 31, 2020 and July 31, 2019 due to the short maturity and nature of those balances.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Notes payable are reported at the face amount of future maturities. The estimated fair value of notes payable, including current maturities, was $3,176,000 and $6,357,000 as of January 31, 2020 and July 31, 2019, respectively, and are classified as Level 2. The fair value was estimated using the exit price notion of fair value.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of the Notes to unaudited Condensed Consolidated Financial Statements for further information about goodwill and other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assets, other than goodwill, include trademarks, patents, customer lists and product registrations. Intangible amortization expense was $249,000 and $209,000 in the second quarter of fiscal years 2020 and 2019, respectively. Intangible amortization expense was $416,000 and $419,000 in the first six months of fiscal years 2020 and 2019. Estimated intangible amortization for the remainder of fiscal year 2020 is $370,000. Estimated intangible amortization for the next five fiscal years is as follows (in thousands):</w:t>
      </w:r>
    </w:p>
    <w:p>
      <w:pPr>
        <w:spacing w:after="0" w:line="120" w:lineRule="exact"/>
        <w:rPr>
          <w:sz w:val="20"/>
          <w:szCs w:val="20"/>
          <w:color w:val="auto"/>
        </w:rPr>
      </w:pPr>
    </w:p>
    <w:tbl>
      <w:tblPr>
        <w:tblLayout w:type="fixed"/>
        <w:tblInd w:w="4480" w:type="dxa"/>
        <w:tblCellMar>
          <w:top w:w="0" w:type="dxa"/>
          <w:left w:w="0" w:type="dxa"/>
          <w:bottom w:w="0" w:type="dxa"/>
          <w:right w:w="0" w:type="dxa"/>
        </w:tblCellMar>
      </w:tblPr>
      <w:tr>
        <w:trPr>
          <w:trHeight w:val="270"/>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2021</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2022</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7"/>
        </w:trPr>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89"/>
              </w:rPr>
              <w:t>2023</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2024</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2025</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10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$376,000 that was determined to have an indefinite life and is not amortized.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performed our annual goodwill impairment analysis in the fourth quarter of fiscal year 2019 and no impairment was identified. There have been no triggering events that would indicate a new impairment analysis is needed.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5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Further information about our accounting policy for leases is included in Note 1 of the Notes to unaudited Condensed Consolidated Financial Statements.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material finance leases, and variable costs for operating leases are immaterial for the second quarter of fiscal year 2020. Operating lease costs are included in Cost of Sales or SG&amp;A expenses based on the nature of the lease. The following table summarizes total lease costs for our operating leases (in thousands):</w:t>
      </w:r>
    </w:p>
    <w:p>
      <w:pPr>
        <w:spacing w:after="0" w:line="339" w:lineRule="exact"/>
        <w:rPr>
          <w:sz w:val="20"/>
          <w:szCs w:val="20"/>
          <w:color w:val="auto"/>
        </w:rPr>
      </w:pPr>
    </w:p>
    <w:tbl>
      <w:tblPr>
        <w:tblLayout w:type="fixed"/>
        <w:tblInd w:w="266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For the Three Months</w:t>
            </w:r>
          </w:p>
        </w:tc>
        <w:tc>
          <w:tcPr>
            <w:tcW w:w="160" w:type="dxa"/>
            <w:vAlign w:val="bottom"/>
          </w:tcPr>
          <w:p>
            <w:pPr>
              <w:spacing w:after="0"/>
              <w:rPr>
                <w:sz w:val="18"/>
                <w:szCs w:val="18"/>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For the Six Months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Ended January 31,</w:t>
            </w:r>
          </w:p>
        </w:tc>
        <w:tc>
          <w:tcPr>
            <w:tcW w:w="160" w:type="dxa"/>
            <w:vAlign w:val="bottom"/>
          </w:tcPr>
          <w:p>
            <w:pPr>
              <w:spacing w:after="0"/>
              <w:rPr>
                <w:sz w:val="18"/>
                <w:szCs w:val="18"/>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Ended January 31,</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7"/>
        </w:trPr>
        <w:tc>
          <w:tcPr>
            <w:tcW w:w="2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Lease Cost</w:t>
            </w: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color w:val="auto"/>
                <w:w w:val="94"/>
              </w:rPr>
              <w:t>Short-term operating lease cost</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383"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For the Three Months</w:t>
            </w:r>
          </w:p>
        </w:tc>
        <w:tc>
          <w:tcPr>
            <w:tcW w:w="16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For the Six Months</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Ended January 31,</w:t>
            </w:r>
          </w:p>
        </w:tc>
        <w:tc>
          <w:tcPr>
            <w:tcW w:w="16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Ended January 31,</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c>
          <w:tcPr>
            <w:tcW w:w="17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7"/>
        </w:trPr>
        <w:tc>
          <w:tcPr>
            <w:tcW w:w="4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Information</w:t>
            </w: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Cash paid for amounts included in the measurement of lease</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Operating lease ROU assets and operating lease liabilities are separately presented on the unaudited Condensed Consolidated Balance Sheet, excluding leases with an initial term of twelve months or less. Other supplemental balance sheet information related to leases was as follows:</w:t>
      </w:r>
    </w:p>
    <w:p>
      <w:pPr>
        <w:spacing w:after="0" w:line="8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For the Six Months Ended</w:t>
            </w:r>
          </w:p>
        </w:tc>
      </w:tr>
      <w:tr>
        <w:trPr>
          <w:trHeight w:val="234"/>
        </w:trPr>
        <w:tc>
          <w:tcPr>
            <w:tcW w:w="690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January 31, 2020</w:t>
            </w:r>
          </w:p>
        </w:tc>
      </w:tr>
      <w:tr>
        <w:trPr>
          <w:trHeight w:val="27"/>
        </w:trPr>
        <w:tc>
          <w:tcPr>
            <w:tcW w:w="690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Weighted-average remaining lease term - operating leases</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7"/>
              </w:rPr>
              <w:t>10.8 years</w:t>
            </w:r>
          </w:p>
        </w:tc>
      </w:tr>
      <w:tr>
        <w:trPr>
          <w:trHeight w:val="27"/>
        </w:trPr>
        <w:tc>
          <w:tcPr>
            <w:tcW w:w="690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4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 - operating leases</w:t>
            </w: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4.01%</w:t>
            </w:r>
          </w:p>
        </w:tc>
      </w:tr>
      <w:tr>
        <w:trPr>
          <w:trHeight w:val="27"/>
        </w:trPr>
        <w:tc>
          <w:tcPr>
            <w:tcW w:w="690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scheduled minimum future lease payments due within twelve months for operating leases with terms longer than one year for which cash flows are fixed and determinable as of January 31, (in thousands):</w:t>
      </w:r>
    </w:p>
    <w:p>
      <w:pPr>
        <w:spacing w:after="0" w:line="104" w:lineRule="exact"/>
        <w:rPr>
          <w:sz w:val="20"/>
          <w:szCs w:val="20"/>
          <w:color w:val="auto"/>
        </w:rPr>
      </w:pPr>
    </w:p>
    <w:tbl>
      <w:tblPr>
        <w:tblLayout w:type="fixed"/>
        <w:tblInd w:w="3420" w:type="dxa"/>
        <w:tblCellMar>
          <w:top w:w="0" w:type="dxa"/>
          <w:left w:w="0" w:type="dxa"/>
          <w:bottom w:w="0" w:type="dxa"/>
          <w:right w:w="0" w:type="dxa"/>
        </w:tblCellMar>
      </w:tblPr>
      <w:tr>
        <w:trPr>
          <w:trHeight w:val="270"/>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1,823</w:t>
            </w:r>
          </w:p>
        </w:tc>
        <w:tc>
          <w:tcPr>
            <w:tcW w:w="0" w:type="dxa"/>
            <w:vAlign w:val="bottom"/>
          </w:tcPr>
          <w:p>
            <w:pPr>
              <w:spacing w:after="0"/>
              <w:rPr>
                <w:sz w:val="1"/>
                <w:szCs w:val="1"/>
                <w:color w:val="auto"/>
              </w:rPr>
            </w:pP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2021</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1,512</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1,141</w:t>
            </w:r>
          </w:p>
        </w:tc>
        <w:tc>
          <w:tcPr>
            <w:tcW w:w="0" w:type="dxa"/>
            <w:vAlign w:val="bottom"/>
          </w:tcPr>
          <w:p>
            <w:pPr>
              <w:spacing w:after="0"/>
              <w:rPr>
                <w:sz w:val="1"/>
                <w:szCs w:val="1"/>
                <w:color w:val="auto"/>
              </w:rPr>
            </w:pP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2023</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812</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773</w:t>
            </w:r>
          </w:p>
        </w:tc>
        <w:tc>
          <w:tcPr>
            <w:tcW w:w="0" w:type="dxa"/>
            <w:vAlign w:val="bottom"/>
          </w:tcPr>
          <w:p>
            <w:pPr>
              <w:spacing w:after="0"/>
              <w:rPr>
                <w:sz w:val="1"/>
                <w:szCs w:val="1"/>
                <w:color w:val="auto"/>
              </w:rPr>
            </w:pP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6,523</w:t>
            </w:r>
          </w:p>
        </w:tc>
        <w:tc>
          <w:tcPr>
            <w:tcW w:w="0" w:type="dxa"/>
            <w:vAlign w:val="bottom"/>
          </w:tcPr>
          <w:p>
            <w:pPr>
              <w:spacing w:after="0"/>
              <w:rPr>
                <w:sz w:val="1"/>
                <w:szCs w:val="1"/>
                <w:color w:val="auto"/>
              </w:rPr>
            </w:pPr>
          </w:p>
        </w:tc>
      </w:tr>
      <w:tr>
        <w:trPr>
          <w:trHeight w:val="27"/>
        </w:trPr>
        <w:tc>
          <w:tcPr>
            <w:tcW w:w="19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12,584</w:t>
            </w:r>
          </w:p>
        </w:tc>
        <w:tc>
          <w:tcPr>
            <w:tcW w:w="0" w:type="dxa"/>
            <w:vAlign w:val="bottom"/>
          </w:tcPr>
          <w:p>
            <w:pPr>
              <w:spacing w:after="0"/>
              <w:rPr>
                <w:sz w:val="1"/>
                <w:szCs w:val="1"/>
                <w:color w:val="auto"/>
              </w:rPr>
            </w:pP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(2,521)</w:t>
            </w:r>
          </w:p>
        </w:tc>
        <w:tc>
          <w:tcPr>
            <w:tcW w:w="0" w:type="dxa"/>
            <w:vAlign w:val="bottom"/>
          </w:tcPr>
          <w:p>
            <w:pPr>
              <w:spacing w:after="0"/>
              <w:rPr>
                <w:sz w:val="1"/>
                <w:szCs w:val="1"/>
                <w:color w:val="auto"/>
              </w:rPr>
            </w:pPr>
          </w:p>
        </w:tc>
      </w:tr>
      <w:tr>
        <w:trPr>
          <w:trHeight w:val="27"/>
        </w:trPr>
        <w:tc>
          <w:tcPr>
            <w:tcW w:w="19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lease obligation</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10,063</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430"/>
              <w:spacing w:after="0"/>
              <w:rPr>
                <w:sz w:val="20"/>
                <w:szCs w:val="20"/>
                <w:color w:val="auto"/>
              </w:rPr>
            </w:pPr>
            <w:r>
              <w:rPr>
                <w:rFonts w:ascii="Arial" w:cs="Arial" w:eastAsia="Arial" w:hAnsi="Arial"/>
                <w:sz w:val="18"/>
                <w:szCs w:val="18"/>
                <w:color w:val="auto"/>
              </w:rPr>
              <w:t>16</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9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16" w:name="page17"/>
    <w:bookmarkEnd w:id="16"/>
    <w:p>
      <w:pPr>
        <w:ind w:right="20"/>
        <w:spacing w:after="0" w:line="277" w:lineRule="auto"/>
        <w:rPr>
          <w:sz w:val="20"/>
          <w:szCs w:val="20"/>
          <w:color w:val="auto"/>
        </w:rPr>
      </w:pPr>
      <w:r>
        <w:rPr>
          <w:rFonts w:ascii="Arial" w:cs="Arial" w:eastAsia="Arial" w:hAnsi="Arial"/>
          <w:sz w:val="18"/>
          <w:szCs w:val="18"/>
          <w:color w:val="auto"/>
        </w:rPr>
        <w:t>The following table summarizes scheduled minimum future lease payments due within twelve months for operating leases with terms longer than one year for which cash flows are fixed and determinable as of July 31, 2019 (in thousands):</w:t>
      </w:r>
    </w:p>
    <w:p>
      <w:pPr>
        <w:spacing w:after="0" w:line="104" w:lineRule="exact"/>
        <w:rPr>
          <w:sz w:val="20"/>
          <w:szCs w:val="20"/>
          <w:color w:val="auto"/>
        </w:rPr>
      </w:pPr>
    </w:p>
    <w:tbl>
      <w:tblPr>
        <w:tblLayout w:type="fixed"/>
        <w:tblInd w:w="3420" w:type="dxa"/>
        <w:tblCellMar>
          <w:top w:w="0" w:type="dxa"/>
          <w:left w:w="0" w:type="dxa"/>
          <w:bottom w:w="0" w:type="dxa"/>
          <w:right w:w="0" w:type="dxa"/>
        </w:tblCellMar>
      </w:tblPr>
      <w:tr>
        <w:trPr>
          <w:trHeight w:val="270"/>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72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2,255</w:t>
            </w: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2021</w:t>
            </w:r>
          </w:p>
        </w:tc>
        <w:tc>
          <w:tcPr>
            <w:tcW w:w="17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1,640</w:t>
            </w:r>
          </w:p>
        </w:tc>
      </w:tr>
      <w:tr>
        <w:trPr>
          <w:trHeight w:val="27"/>
        </w:trPr>
        <w:tc>
          <w:tcPr>
            <w:tcW w:w="1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1,513</w:t>
            </w: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2023</w:t>
            </w:r>
          </w:p>
        </w:tc>
        <w:tc>
          <w:tcPr>
            <w:tcW w:w="17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1,038</w:t>
            </w:r>
          </w:p>
        </w:tc>
      </w:tr>
      <w:tr>
        <w:trPr>
          <w:trHeight w:val="27"/>
        </w:trPr>
        <w:tc>
          <w:tcPr>
            <w:tcW w:w="1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899</w:t>
            </w: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7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7,422</w:t>
            </w:r>
          </w:p>
        </w:tc>
      </w:tr>
    </w:tbl>
    <w:p>
      <w:pPr>
        <w:spacing w:after="0" w:line="225" w:lineRule="exact"/>
        <w:rPr>
          <w:sz w:val="20"/>
          <w:szCs w:val="20"/>
          <w:color w:val="auto"/>
        </w:rPr>
      </w:pPr>
    </w:p>
    <w:p>
      <w:pPr>
        <w:ind w:right="662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 Pension and Postretirement Health Benefits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Oil-Dri Corporation of America Pension Plan (“Pension Plan”) is a defined benefit pension plan for eligible salaried and hourly employees. Pension benefits are based on a formula of years of credited service and levels of compensation or stated amounts for each year of credited service. On January 9, 2020, we amended the Pension Plan to freeze participation, all future benefit accruals and accrual of benefit service, including consideration of compensation increases, effective March 1, 2020. Consequently, the Pension Plan is closed to new participants and current participants will no longer earn additional benefits on or after March 1, 2020.</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amendment of the Pension Plan triggered a pension curtailment, which required a remeasurement of the Pension Plan's obligation. The remeasurement resulted in a decrease in the benefit obligation of approximately $6,632,000, which has been recorded in Other Comprehensive Income, net of taxes of $1,592,000.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6"/>
              </w:rPr>
              <w:t>Pension Benefits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4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660" w:type="dxa"/>
            <w:vAlign w:val="bottom"/>
          </w:tcPr>
          <w:p>
            <w:pPr>
              <w:spacing w:after="0"/>
              <w:rPr>
                <w:sz w:val="18"/>
                <w:szCs w:val="18"/>
                <w:color w:val="auto"/>
              </w:rPr>
            </w:pPr>
          </w:p>
        </w:tc>
        <w:tc>
          <w:tcPr>
            <w:tcW w:w="332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2"/>
              </w:rPr>
              <w:t>For the Three Months Ended January</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7"/>
              </w:rPr>
              <w:t>31,</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For the Six Months Ended January 31,</w:t>
            </w:r>
          </w:p>
        </w:tc>
      </w:tr>
      <w:tr>
        <w:trPr>
          <w:trHeight w:val="27"/>
        </w:trPr>
        <w:tc>
          <w:tcPr>
            <w:tcW w:w="4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363</w:t>
            </w:r>
          </w:p>
        </w:tc>
        <w:tc>
          <w:tcPr>
            <w:tcW w:w="4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813</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503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1,012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1,057</w:t>
            </w: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Prior service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Other actuarial loss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313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670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386</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463</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1,119</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852</w:t>
            </w: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92"/>
        </w:trPr>
        <w:tc>
          <w:tcPr>
            <w:tcW w:w="4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Postretirement Health Benefits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4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660" w:type="dxa"/>
            <w:vAlign w:val="bottom"/>
          </w:tcPr>
          <w:p>
            <w:pPr>
              <w:spacing w:after="0"/>
              <w:rPr>
                <w:sz w:val="18"/>
                <w:szCs w:val="18"/>
                <w:color w:val="auto"/>
              </w:rPr>
            </w:pPr>
          </w:p>
        </w:tc>
        <w:tc>
          <w:tcPr>
            <w:tcW w:w="332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2"/>
              </w:rPr>
              <w:t>For the Three Months Ended January</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7"/>
              </w:rPr>
              <w:t>31,</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For the Six Months Ended January 31,</w:t>
            </w:r>
          </w:p>
        </w:tc>
      </w:tr>
      <w:tr>
        <w:trPr>
          <w:trHeight w:val="27"/>
        </w:trPr>
        <w:tc>
          <w:tcPr>
            <w:tcW w:w="4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w:t>
            </w:r>
          </w:p>
        </w:tc>
        <w:tc>
          <w:tcPr>
            <w:tcW w:w="4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49</w:t>
            </w: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96</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non-service cost components of net periodic benefit cost are included in Other Income (Expense) in the line item Other, net on the unaudited Condensed Consolidated Statements of Income.</w:t>
      </w:r>
    </w:p>
    <w:p>
      <w:pPr>
        <w:sectPr>
          <w:pgSz w:w="11900" w:h="16838" w:orient="portrait"/>
          <w:cols w:equalWidth="0" w:num="1">
            <w:col w:w="11420"/>
          </w:cols>
          <w:pgMar w:left="240" w:top="557"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57" w:right="239" w:bottom="1440" w:gutter="0" w:footer="0" w:header="0"/>
          <w:type w:val="continuous"/>
        </w:sectPr>
      </w:pPr>
    </w:p>
    <w:bookmarkStart w:id="17" w:name="page18"/>
    <w:bookmarkEnd w:id="17"/>
    <w:p>
      <w:pPr>
        <w:jc w:val="both"/>
        <w:spacing w:after="0" w:line="279" w:lineRule="auto"/>
        <w:rPr>
          <w:sz w:val="20"/>
          <w:szCs w:val="20"/>
          <w:color w:val="auto"/>
        </w:rPr>
      </w:pPr>
      <w:r>
        <w:rPr>
          <w:rFonts w:ascii="Arial" w:cs="Arial" w:eastAsia="Arial" w:hAnsi="Arial"/>
          <w:sz w:val="17"/>
          <w:szCs w:val="17"/>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were not required to make, but did make a $5,000,000 voluntary contribution to the Pension Plan during the second quarter of fiscal year 2020. We have no minimum funding requirements for the remainder of fiscal year 2020 but we may consider making an additional voluntary contribution.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postretirement health plan is an unfunded plan. We pay insurance premiums and claims from our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previous calculations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960" w:type="dxa"/>
            <w:vAlign w:val="bottom"/>
            <w:gridSpan w:val="4"/>
          </w:tcPr>
          <w:p>
            <w:pPr>
              <w:ind w:left="760"/>
              <w:spacing w:after="0"/>
              <w:rPr>
                <w:sz w:val="20"/>
                <w:szCs w:val="20"/>
                <w:color w:val="auto"/>
              </w:rPr>
            </w:pPr>
            <w:r>
              <w:rPr>
                <w:rFonts w:ascii="Arial" w:cs="Arial" w:eastAsia="Arial" w:hAnsi="Arial"/>
                <w:sz w:val="18"/>
                <w:szCs w:val="18"/>
                <w:b w:val="1"/>
                <w:bCs w:val="1"/>
                <w:color w:val="auto"/>
              </w:rPr>
              <w:t>Pension Benefits</w:t>
            </w:r>
          </w:p>
        </w:tc>
        <w:tc>
          <w:tcPr>
            <w:tcW w:w="28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8"/>
              </w:rPr>
              <w:t>Postretirement Health Benefits</w:t>
            </w:r>
          </w:p>
        </w:tc>
      </w:tr>
      <w:tr>
        <w:trPr>
          <w:trHeight w:val="27"/>
        </w:trPr>
        <w:tc>
          <w:tcPr>
            <w:tcW w:w="4540" w:type="dxa"/>
            <w:vAlign w:val="bottom"/>
          </w:tcPr>
          <w:p>
            <w:pPr>
              <w:spacing w:after="0"/>
              <w:rPr>
                <w:sz w:val="2"/>
                <w:szCs w:val="2"/>
                <w:color w:val="auto"/>
              </w:rPr>
            </w:pPr>
          </w:p>
        </w:tc>
        <w:tc>
          <w:tcPr>
            <w:tcW w:w="4860" w:type="dxa"/>
            <w:vAlign w:val="bottom"/>
            <w:tcBorders>
              <w:bottom w:val="single" w:sz="8" w:color="auto"/>
            </w:tcBorders>
            <w:gridSpan w:val="7"/>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4860" w:type="dxa"/>
            <w:vAlign w:val="bottom"/>
            <w:gridSpan w:val="7"/>
          </w:tcPr>
          <w:p>
            <w:pPr>
              <w:ind w:left="980"/>
              <w:spacing w:after="0"/>
              <w:rPr>
                <w:sz w:val="20"/>
                <w:szCs w:val="20"/>
                <w:color w:val="auto"/>
              </w:rPr>
            </w:pPr>
            <w:r>
              <w:rPr>
                <w:rFonts w:ascii="Arial" w:cs="Arial" w:eastAsia="Arial" w:hAnsi="Arial"/>
                <w:sz w:val="18"/>
                <w:szCs w:val="18"/>
                <w:b w:val="1"/>
                <w:bCs w:val="1"/>
                <w:color w:val="auto"/>
                <w:w w:val="92"/>
              </w:rPr>
              <w:t>For the Three and Six Months Ended January 31,</w:t>
            </w:r>
          </w:p>
        </w:tc>
        <w:tc>
          <w:tcPr>
            <w:tcW w:w="90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280" w:type="dxa"/>
            <w:vAlign w:val="bottom"/>
          </w:tcPr>
          <w:p>
            <w:pPr>
              <w:ind w:left="46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7"/>
        </w:trPr>
        <w:tc>
          <w:tcPr>
            <w:tcW w:w="4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2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3.35%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280" w:type="dxa"/>
            <w:vAlign w:val="bottom"/>
          </w:tcPr>
          <w:p>
            <w:pPr>
              <w:ind w:left="760"/>
              <w:spacing w:after="0"/>
              <w:rPr>
                <w:sz w:val="20"/>
                <w:szCs w:val="20"/>
                <w:color w:val="auto"/>
              </w:rPr>
            </w:pPr>
            <w:r>
              <w:rPr>
                <w:rFonts w:ascii="Arial" w:cs="Arial" w:eastAsia="Arial" w:hAnsi="Arial"/>
                <w:sz w:val="18"/>
                <w:szCs w:val="18"/>
                <w:b w:val="1"/>
                <w:bCs w:val="1"/>
                <w:color w:val="auto"/>
                <w:w w:val="97"/>
              </w:rPr>
              <w:t>3.50%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1"/>
                <w:szCs w:val="21"/>
                <w:color w:val="auto"/>
              </w:rPr>
            </w:pPr>
          </w:p>
        </w:tc>
        <w:tc>
          <w:tcPr>
            <w:tcW w:w="190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28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7.00%</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spacing w:after="0"/>
              <w:rPr>
                <w:sz w:val="21"/>
                <w:szCs w:val="21"/>
                <w:color w:val="auto"/>
              </w:rPr>
            </w:pPr>
          </w:p>
        </w:tc>
        <w:tc>
          <w:tcPr>
            <w:tcW w:w="19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7.35%. The graded trend rate is expected to decrease to an ultimate rate of 4.50% in fiscal year 2038.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Oil-Dri Corporation of America Supplemental Executive Retirement Plan (“SERP”) provides certain retired participants in the Pension Plan with the amount of benefits that would have been provided under the Pension Plan but for: (1) the limitations on benefits imposed by Section 415 of the Internal Revenue Code (“Code”) and/or (2) the limitation on compensation for purposes of calculating benefits under the Pension Plan imposed by Section 401(a)(17) of the Code. The SERP liability is actuarially determined at the end of each fiscal year using assumptions similar to those used for the Pension Plan. The SERP is unfunded and benefits will be funded when payments are made.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On January 9, 2020, we amended the SERP to freeze participation and any excess benefit, supplemental benefit or additional benefit effective March 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Consequently, the SERP is closed to new participants and current participants no longer earn additional benefits on or after March 1, 2020.</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amendment of the SERP triggered a pension curtailment which required a remeasurement of the SERP's obligation. The remeasurement resulted in a decrease in the SERP liability of approximately $1,296,000, which has been recorded in SG&amp;A in the second quarter of fiscal year 2020.</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OPERATING SEGMENTS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two operating segments: (1) Business to Business Products Group and (2) Retail and Wholesale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2019.</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5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Net sales for our principal products by segment are as follows (in thousands):</w:t>
      </w:r>
    </w:p>
    <w:p>
      <w:pPr>
        <w:spacing w:after="0" w:line="167"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5"/>
              </w:rPr>
              <w:t>Business to Business Products</w:t>
            </w:r>
          </w:p>
        </w:tc>
        <w:tc>
          <w:tcPr>
            <w:tcW w:w="140" w:type="dxa"/>
            <w:vAlign w:val="bottom"/>
          </w:tcPr>
          <w:p>
            <w:pPr>
              <w:spacing w:after="0"/>
              <w:rPr>
                <w:sz w:val="18"/>
                <w:szCs w:val="18"/>
                <w:color w:val="auto"/>
              </w:rPr>
            </w:pPr>
          </w:p>
        </w:tc>
        <w:tc>
          <w:tcPr>
            <w:tcW w:w="258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89"/>
              </w:rPr>
              <w:t>Retail and Wholesale Products</w:t>
            </w:r>
          </w:p>
        </w:tc>
      </w:tr>
      <w:tr>
        <w:trPr>
          <w:trHeight w:val="234"/>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4"/>
          </w:tcPr>
          <w:p>
            <w:pPr>
              <w:jc w:val="center"/>
              <w:ind w:left="730"/>
              <w:spacing w:after="0"/>
              <w:rPr>
                <w:sz w:val="20"/>
                <w:szCs w:val="20"/>
                <w:color w:val="auto"/>
              </w:rPr>
            </w:pPr>
            <w:r>
              <w:rPr>
                <w:rFonts w:ascii="Arial" w:cs="Arial" w:eastAsia="Arial" w:hAnsi="Arial"/>
                <w:sz w:val="18"/>
                <w:szCs w:val="18"/>
                <w:b w:val="1"/>
                <w:bCs w:val="1"/>
                <w:color w:val="auto"/>
                <w:w w:val="92"/>
              </w:rPr>
              <w:t>Group</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2"/>
              </w:rPr>
              <w:t>Group</w:t>
            </w:r>
          </w:p>
        </w:tc>
        <w:tc>
          <w:tcPr>
            <w:tcW w:w="96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7"/>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gridSpan w:val="7"/>
          </w:tcPr>
          <w:p>
            <w:pPr>
              <w:jc w:val="center"/>
              <w:spacing w:after="0"/>
              <w:rPr>
                <w:sz w:val="20"/>
                <w:szCs w:val="20"/>
                <w:color w:val="auto"/>
              </w:rPr>
            </w:pPr>
            <w:r>
              <w:rPr>
                <w:rFonts w:ascii="Arial" w:cs="Arial" w:eastAsia="Arial" w:hAnsi="Arial"/>
                <w:sz w:val="18"/>
                <w:szCs w:val="18"/>
                <w:b w:val="1"/>
                <w:bCs w:val="1"/>
                <w:color w:val="auto"/>
                <w:w w:val="91"/>
              </w:rPr>
              <w:t>For the Six Months Ended January 31,</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ind w:left="1720"/>
              <w:spacing w:after="0"/>
              <w:rPr>
                <w:sz w:val="20"/>
                <w:szCs w:val="20"/>
                <w:color w:val="auto"/>
              </w:rPr>
            </w:pPr>
            <w:r>
              <w:rPr>
                <w:rFonts w:ascii="Arial" w:cs="Arial" w:eastAsia="Arial" w:hAnsi="Arial"/>
                <w:sz w:val="18"/>
                <w:szCs w:val="18"/>
                <w:b w:val="1"/>
                <w:bCs w:val="1"/>
                <w:color w:val="auto"/>
              </w:rPr>
              <w:t>Product</w:t>
            </w:r>
          </w:p>
        </w:tc>
        <w:tc>
          <w:tcPr>
            <w:tcW w:w="16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7"/>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Cat Litter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7,247</w:t>
            </w:r>
          </w:p>
        </w:tc>
        <w:tc>
          <w:tcPr>
            <w:tcW w:w="5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74,970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67,613</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15,012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15,429</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Agricultural and Horticultural</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10,296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24,605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24,454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1,196</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1,197</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Animal Health and Nutrition</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8,801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50,949</w:t>
            </w:r>
          </w:p>
        </w:tc>
        <w:tc>
          <w:tcPr>
            <w:tcW w:w="80" w:type="dxa"/>
            <w:vAlign w:val="bottom"/>
            <w:tcBorders>
              <w:top w:val="single" w:sz="8" w:color="auto"/>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51,784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91,178</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84,239</w:t>
            </w: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387"/>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5"/>
              </w:rPr>
              <w:t>Business to Business Products</w:t>
            </w:r>
          </w:p>
        </w:tc>
        <w:tc>
          <w:tcPr>
            <w:tcW w:w="140" w:type="dxa"/>
            <w:vAlign w:val="bottom"/>
          </w:tcPr>
          <w:p>
            <w:pPr>
              <w:spacing w:after="0"/>
              <w:rPr>
                <w:sz w:val="24"/>
                <w:szCs w:val="24"/>
                <w:color w:val="auto"/>
              </w:rPr>
            </w:pPr>
          </w:p>
        </w:tc>
        <w:tc>
          <w:tcPr>
            <w:tcW w:w="258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89"/>
              </w:rPr>
              <w:t>Retail and Wholesale Products</w:t>
            </w:r>
          </w:p>
        </w:tc>
      </w:tr>
      <w:tr>
        <w:trPr>
          <w:trHeight w:val="234"/>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4"/>
          </w:tcPr>
          <w:p>
            <w:pPr>
              <w:jc w:val="center"/>
              <w:ind w:left="730"/>
              <w:spacing w:after="0"/>
              <w:rPr>
                <w:sz w:val="20"/>
                <w:szCs w:val="20"/>
                <w:color w:val="auto"/>
              </w:rPr>
            </w:pPr>
            <w:r>
              <w:rPr>
                <w:rFonts w:ascii="Arial" w:cs="Arial" w:eastAsia="Arial" w:hAnsi="Arial"/>
                <w:sz w:val="18"/>
                <w:szCs w:val="18"/>
                <w:b w:val="1"/>
                <w:bCs w:val="1"/>
                <w:color w:val="auto"/>
                <w:w w:val="92"/>
              </w:rPr>
              <w:t>Group</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2"/>
              </w:rPr>
              <w:t>Group</w:t>
            </w:r>
          </w:p>
        </w:tc>
        <w:tc>
          <w:tcPr>
            <w:tcW w:w="96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9"/>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20" w:type="dxa"/>
            <w:vAlign w:val="bottom"/>
            <w:gridSpan w:val="9"/>
          </w:tcPr>
          <w:p>
            <w:pPr>
              <w:jc w:val="center"/>
              <w:ind w:right="130"/>
              <w:spacing w:after="0"/>
              <w:rPr>
                <w:sz w:val="20"/>
                <w:szCs w:val="20"/>
                <w:color w:val="auto"/>
              </w:rPr>
            </w:pPr>
            <w:r>
              <w:rPr>
                <w:rFonts w:ascii="Arial" w:cs="Arial" w:eastAsia="Arial" w:hAnsi="Arial"/>
                <w:sz w:val="18"/>
                <w:szCs w:val="18"/>
                <w:b w:val="1"/>
                <w:bCs w:val="1"/>
                <w:color w:val="auto"/>
                <w:w w:val="91"/>
              </w:rPr>
              <w:t>For the Three Months Ended January 31,</w:t>
            </w:r>
          </w:p>
        </w:tc>
        <w:tc>
          <w:tcPr>
            <w:tcW w:w="96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ind w:left="1720"/>
              <w:spacing w:after="0"/>
              <w:rPr>
                <w:sz w:val="20"/>
                <w:szCs w:val="20"/>
                <w:color w:val="auto"/>
              </w:rPr>
            </w:pPr>
            <w:r>
              <w:rPr>
                <w:rFonts w:ascii="Arial" w:cs="Arial" w:eastAsia="Arial" w:hAnsi="Arial"/>
                <w:sz w:val="18"/>
                <w:szCs w:val="18"/>
                <w:b w:val="1"/>
                <w:bCs w:val="1"/>
                <w:color w:val="auto"/>
              </w:rPr>
              <w:t>Product</w:t>
            </w:r>
          </w:p>
        </w:tc>
        <w:tc>
          <w:tcPr>
            <w:tcW w:w="16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7"/>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Cat Litter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3,550</w:t>
            </w:r>
          </w:p>
        </w:tc>
        <w:tc>
          <w:tcPr>
            <w:tcW w:w="5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38,591</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35,218</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7,412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7,652</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Agricultural and Horticultural</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12,382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12,559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531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552</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Animal Health and Nutrition</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24,471</w:t>
            </w:r>
          </w:p>
        </w:tc>
        <w:tc>
          <w:tcPr>
            <w:tcW w:w="80" w:type="dxa"/>
            <w:vAlign w:val="bottom"/>
            <w:tcBorders>
              <w:top w:val="single" w:sz="8" w:color="auto"/>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26,458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46,534</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43,422</w:t>
            </w: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We have refined the basis of allocation for certain of our assets as of January 31, 2020 and we have restated the allocation of assets as of July 31, 2019 presented below to enhance comparability. The asset allocation is estimated and is not a measure used by our chief operating decision maker about allocating resources to the operating segments or in assessing their performance.</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Assets</w:t>
            </w:r>
          </w:p>
        </w:tc>
      </w:tr>
      <w:tr>
        <w:trPr>
          <w:trHeight w:val="27"/>
        </w:trPr>
        <w:tc>
          <w:tcPr>
            <w:tcW w:w="8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8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8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July 31, 2019</w:t>
            </w:r>
          </w:p>
        </w:tc>
      </w:tr>
      <w:tr>
        <w:trPr>
          <w:trHeight w:val="27"/>
        </w:trPr>
        <w:tc>
          <w:tcPr>
            <w:tcW w:w="8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r>
      <w:tr>
        <w:trPr>
          <w:trHeight w:val="237"/>
        </w:trPr>
        <w:tc>
          <w:tcPr>
            <w:tcW w:w="8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63,744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66,655</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Retail and Wholesale Products Group</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96,043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95,593</w:t>
            </w:r>
          </w:p>
        </w:tc>
      </w:tr>
      <w:tr>
        <w:trPr>
          <w:trHeight w:val="27"/>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Assets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49,292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42,979</w:t>
            </w:r>
          </w:p>
        </w:tc>
      </w:tr>
      <w:tr>
        <w:trPr>
          <w:trHeight w:val="257"/>
        </w:trPr>
        <w:tc>
          <w:tcPr>
            <w:tcW w:w="87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209,079</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205,227</w:t>
            </w:r>
          </w:p>
        </w:tc>
      </w:tr>
      <w:tr>
        <w:trPr>
          <w:trHeight w:val="20"/>
        </w:trPr>
        <w:tc>
          <w:tcPr>
            <w:tcW w:w="8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and operating income for each segment are provided below.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57"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80" w:type="dxa"/>
            <w:vAlign w:val="bottom"/>
            <w:gridSpan w:val="9"/>
          </w:tcPr>
          <w:p>
            <w:pPr>
              <w:jc w:val="center"/>
              <w:ind w:right="170"/>
              <w:spacing w:after="0"/>
              <w:rPr>
                <w:sz w:val="20"/>
                <w:szCs w:val="20"/>
                <w:color w:val="auto"/>
              </w:rPr>
            </w:pPr>
            <w:r>
              <w:rPr>
                <w:rFonts w:ascii="Arial" w:cs="Arial" w:eastAsia="Arial" w:hAnsi="Arial"/>
                <w:sz w:val="18"/>
                <w:szCs w:val="18"/>
                <w:b w:val="1"/>
                <w:bCs w:val="1"/>
                <w:color w:val="auto"/>
                <w:w w:val="91"/>
              </w:rPr>
              <w:t>For the Six Months Ended January 31,</w:t>
            </w: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50,949</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Retail and Wholesale Products Group</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91,178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84,239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8,968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2,662</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142,127</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136,023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(14,822)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(13,136)</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3,193</w:t>
            </w:r>
          </w:p>
        </w:tc>
      </w:tr>
      <w:tr>
        <w:trPr>
          <w:trHeight w:val="20"/>
        </w:trPr>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78"/>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80" w:type="dxa"/>
            <w:vAlign w:val="bottom"/>
            <w:gridSpan w:val="10"/>
          </w:tcPr>
          <w:p>
            <w:pPr>
              <w:jc w:val="center"/>
              <w:ind w:left="570"/>
              <w:spacing w:after="0"/>
              <w:rPr>
                <w:sz w:val="20"/>
                <w:szCs w:val="20"/>
                <w:color w:val="auto"/>
              </w:rPr>
            </w:pPr>
            <w:r>
              <w:rPr>
                <w:rFonts w:ascii="Arial" w:cs="Arial" w:eastAsia="Arial" w:hAnsi="Arial"/>
                <w:sz w:val="18"/>
                <w:szCs w:val="18"/>
                <w:b w:val="1"/>
                <w:bCs w:val="1"/>
                <w:color w:val="auto"/>
                <w:w w:val="91"/>
              </w:rPr>
              <w:t>For the Three Months Ended January 31,</w:t>
            </w:r>
          </w:p>
        </w:tc>
        <w:tc>
          <w:tcPr>
            <w:tcW w:w="900" w:type="dxa"/>
            <w:vAlign w:val="bottom"/>
          </w:tcPr>
          <w:p>
            <w:pPr>
              <w:spacing w:after="0"/>
              <w:rPr>
                <w:sz w:val="24"/>
                <w:szCs w:val="24"/>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24,471</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Retail and Wholesale Products Group</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46,534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43,422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5,608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2,653</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71,005</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(7,287)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(7,098)</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2,287</w:t>
            </w:r>
          </w:p>
        </w:tc>
      </w:tr>
      <w:tr>
        <w:trPr>
          <w:trHeight w:val="20"/>
        </w:trPr>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1,219,500.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our non-vested restricted stock as of January 31, 2020 was issued under the 2006 Plan with vesting periods generally between one and five years. We determined the fair value of restricted stock as of the grant date. We recognize the related compensation expense over the period from the date of grant to the date the shares vest.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15" w:right="239" w:bottom="1440" w:gutter="0" w:footer="0" w:header="0"/>
        </w:sectPr>
      </w:pPr>
    </w:p>
    <w:bookmarkStart w:id="20" w:name="page21"/>
    <w:bookmarkEnd w:id="20"/>
    <w:p>
      <w:pPr>
        <w:jc w:val="both"/>
        <w:spacing w:after="0" w:line="276" w:lineRule="auto"/>
        <w:rPr>
          <w:sz w:val="20"/>
          <w:szCs w:val="20"/>
          <w:color w:val="auto"/>
        </w:rPr>
      </w:pPr>
      <w:r>
        <w:rPr>
          <w:rFonts w:ascii="Arial" w:cs="Arial" w:eastAsia="Arial" w:hAnsi="Arial"/>
          <w:sz w:val="17"/>
          <w:szCs w:val="17"/>
          <w:color w:val="auto"/>
        </w:rPr>
        <w:t>There were 1,500 and 117,000 restricted shares of Common Stock granted during the second quarter of fiscal years 2020 and 2019, respectively. There were no restricted shares of Class B Stock granted during the second quarter of fiscal year 2020 and 7,000 restricted shares of Class B Stock granted during the second quarter of fiscal year 2019. Stock-based compensation expense related to non-vested restricted stock was $810,000 and $229,000 for the second quarter of fiscal years 2020 and 2019, respectively. Stock-based compensation expense related to non-vested restricted stock was $1,779,000 and $889,000 for the first six months of fiscal years 2020 and 2019, respectively.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0"/>
        </w:trPr>
        <w:tc>
          <w:tcPr>
            <w:tcW w:w="8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16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Restricted Shares</w:t>
            </w: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r>
      <w:tr>
        <w:trPr>
          <w:trHeight w:val="234"/>
        </w:trPr>
        <w:tc>
          <w:tcPr>
            <w:tcW w:w="816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w:t>
            </w:r>
          </w:p>
        </w:tc>
      </w:tr>
      <w:tr>
        <w:trPr>
          <w:trHeight w:val="27"/>
        </w:trPr>
        <w:tc>
          <w:tcPr>
            <w:tcW w:w="8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2019</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33.09</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33.51</w:t>
            </w:r>
          </w:p>
        </w:tc>
      </w:tr>
      <w:tr>
        <w:trPr>
          <w:trHeight w:val="27"/>
        </w:trPr>
        <w:tc>
          <w:tcPr>
            <w:tcW w:w="8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32.34</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33.51</w:t>
            </w:r>
          </w:p>
        </w:tc>
      </w:tr>
      <w:tr>
        <w:trPr>
          <w:trHeight w:val="27"/>
        </w:trPr>
        <w:tc>
          <w:tcPr>
            <w:tcW w:w="8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January 31, 2020</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33.19</w:t>
            </w:r>
          </w:p>
        </w:tc>
      </w:tr>
      <w:tr>
        <w:trPr>
          <w:trHeight w:val="20"/>
        </w:trPr>
        <w:tc>
          <w:tcPr>
            <w:tcW w:w="8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accumulated other comprehensive (loss) income by component as of January 31, 2020 (in thousands):</w:t>
      </w:r>
    </w:p>
    <w:p>
      <w:pPr>
        <w:spacing w:after="0" w:line="39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Pension and</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Cumulative</w:t>
            </w:r>
          </w:p>
        </w:tc>
        <w:tc>
          <w:tcPr>
            <w:tcW w:w="18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Postretirement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Translation</w:t>
            </w:r>
          </w:p>
        </w:tc>
        <w:tc>
          <w:tcPr>
            <w:tcW w:w="18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Comprehensive</w:t>
            </w:r>
          </w:p>
        </w:tc>
      </w:tr>
      <w:tr>
        <w:trPr>
          <w:trHeight w:val="234"/>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Health Benefits</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Adjustment</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(Loss) Income</w:t>
            </w:r>
          </w:p>
        </w:tc>
      </w:tr>
      <w:tr>
        <w:trPr>
          <w:trHeight w:val="27"/>
        </w:trPr>
        <w:tc>
          <w:tcPr>
            <w:tcW w:w="4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(14,891)</w:t>
            </w:r>
          </w:p>
        </w:tc>
        <w:tc>
          <w:tcPr>
            <w:tcW w:w="6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(15,039)</w:t>
            </w: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w w:val="91"/>
              </w:rPr>
              <w:t>Other comprehensive loss before reclassifications, net of</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c>
          <w:tcPr>
            <w:tcW w:w="60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0"/>
              </w:rPr>
              <w:t>(a)</w:t>
            </w:r>
          </w:p>
        </w:tc>
        <w:tc>
          <w:tcPr>
            <w:tcW w:w="16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Curtailment on Pension Plan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5,040</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(b)  $</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5,040</w:t>
            </w:r>
          </w:p>
        </w:tc>
      </w:tr>
      <w:tr>
        <w:trPr>
          <w:trHeight w:val="27"/>
        </w:trPr>
        <w:tc>
          <w:tcPr>
            <w:tcW w:w="4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Net current-period other comprehensive income (loss),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57"/>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5,548</w:t>
            </w:r>
          </w:p>
        </w:tc>
        <w:tc>
          <w:tcPr>
            <w:tcW w:w="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5,450</w:t>
            </w:r>
          </w:p>
        </w:tc>
      </w:tr>
      <w:tr>
        <w:trPr>
          <w:trHeight w:val="257"/>
        </w:trPr>
        <w:tc>
          <w:tcPr>
            <w:tcW w:w="4180" w:type="dxa"/>
            <w:vAlign w:val="bottom"/>
          </w:tcPr>
          <w:p>
            <w:pPr>
              <w:ind w:left="20"/>
              <w:spacing w:after="0"/>
              <w:rPr>
                <w:sz w:val="20"/>
                <w:szCs w:val="20"/>
                <w:color w:val="auto"/>
              </w:rPr>
            </w:pPr>
            <w:r>
              <w:rPr>
                <w:rFonts w:ascii="Arial" w:cs="Arial" w:eastAsia="Arial" w:hAnsi="Arial"/>
                <w:sz w:val="18"/>
                <w:szCs w:val="18"/>
                <w:color w:val="auto"/>
              </w:rPr>
              <w:t>Balance as of January 31,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(9,343)</w:t>
            </w:r>
          </w:p>
        </w:tc>
        <w:tc>
          <w:tcPr>
            <w:tcW w:w="38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8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(9,589)</w:t>
            </w: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8" w:lineRule="auto"/>
        <w:tabs>
          <w:tab w:leader="none" w:pos="257"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is net of tax expense of $160,138. Amount is included in the components of net periodic benefit cost for the pension and postretirement health plans. See Note 7 of the Notes to unaudited Condensed Consolidated Financial Statement-s for further information.</w:t>
      </w:r>
    </w:p>
    <w:p>
      <w:pPr>
        <w:spacing w:after="0" w:line="1" w:lineRule="exact"/>
        <w:rPr>
          <w:rFonts w:ascii="Arial" w:cs="Arial" w:eastAsia="Arial" w:hAnsi="Arial"/>
          <w:sz w:val="18"/>
          <w:szCs w:val="18"/>
          <w:color w:val="auto"/>
        </w:rPr>
      </w:pPr>
    </w:p>
    <w:p>
      <w:pPr>
        <w:ind w:firstLine="8"/>
        <w:spacing w:after="0" w:line="261" w:lineRule="auto"/>
        <w:tabs>
          <w:tab w:leader="none" w:pos="289"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is net of tax expense of $1,592,000. See Note 7 of the Notes to the unaudited Condensed Consolidated Financial Statements for further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One member of our Board of Directors (the “Board”), and our Lead Independent Director, retired from the role of President and Chief Executive Officer of a customer of ours in September 2019. That company was a customer of ours before the board member joined that company and before he became a member of our Board. Total net sales to that customer, including sales to subsidiaries of that customer, were $49,000 and $105,000 for the second quarter of fiscal years 2020 and 2019, respectively, and were $160,000 and $202,000 for the first six months of fiscal years 2020 and 2019, respectively. Outstanding accounts receivable from that customer, and its subsidiaries, were $10,000 at both January 31, 2020 and July 31, 2019.</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member of our Board, and of the Compensation Committee of our Board, is the President and Chief Executive Officer as well as a director and shareholder of a law firm that regularly provides services to us. Total payments to that vendor for fees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57" w:right="239" w:bottom="1440" w:gutter="0" w:footer="0" w:header="0"/>
        </w:sectPr>
      </w:pPr>
    </w:p>
    <w:bookmarkStart w:id="21" w:name="page22"/>
    <w:bookmarkEnd w:id="21"/>
    <w:p>
      <w:pPr>
        <w:spacing w:after="0" w:line="342" w:lineRule="auto"/>
        <w:rPr>
          <w:sz w:val="20"/>
          <w:szCs w:val="20"/>
          <w:color w:val="auto"/>
        </w:rPr>
      </w:pPr>
      <w:r>
        <w:rPr>
          <w:rFonts w:ascii="Arial" w:cs="Arial" w:eastAsia="Arial" w:hAnsi="Arial"/>
          <w:sz w:val="16"/>
          <w:szCs w:val="16"/>
          <w:color w:val="auto"/>
        </w:rPr>
        <w:t>cost reimbursements were $25,000 and $51,000 for the second quarter of fiscal years 2020 and 2019, respectively, and were $63,000 and $97,000 for the first six months of fiscal years 2020 and 2019, respectively. There were no outstanding accounts payable to that vendor as of January 31, 2020 or July 31, 2019.</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5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2019.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this quarterly report on Form 10-Q for the quarter ended January 31, 2020 and of our Annual Report on Form 10-K for the fiscal year ended July 31,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bleaching clay and fluid purification aids, cat litter,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8 of the Notes to unaudited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2020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net sales for the six months ended January 31, 2020 were $142,127,000, a 4% increase compared to net sales of $136,023,000 for the six months ended January 31, 2019. Net sales increased for our Retail and Wholesale Products Group but decreased for our Business to Business Products Group. Segment results are discussed further below.</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Consolidated gross profit for the first six months of fiscal year 2020 was $38,893,000, or 27% of net sales, compared to $31,414,000, or 23% of net sales, for the first six months of fiscal year 2019. Lower freight and natural gas costs drove the increase in gross profit. Freight costs declined approximately 21% per manufactured ton for the first six months of fiscal year 2020 compared to the same period in fiscal year 2019 as the result of lower transportation rates from improved truck availability. In addition, costs were higher in the first half of the prior fiscal year due to other one-time events, including a greater number of product transfers between our plants and warehouses to support customer service during the implementation of our new ERP system on August 1, 2018 and disruptions due to Hurricane Michael. Our overall freight costs also vary between periods depending on the mix of products sold and the geographic distribution of our customers. The cost of natural gas used to operate kilns that dry our clay was approximately 29% lower per manufactured ton in the first six months of fiscal year 2020 compared to the first six months of fiscal year 2019. Non-fuel manufacturing costs per manufactured ton were flat compared to the first six months of the prior fiscal year. In contrast, packaging costs per manufactured ton for the first six months of fiscal year 2020 were slightly higher compared to the first six months of fiscal year 2019, due in part to the mix of products produced. In addition, many of our contracts for packaging purchases are subject to periodic price adjustments, which trail changes in underlying commodity prices.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Total SG&amp;A expenses were $28,899,000 for the first six months of fiscal year 2020, a 5% increase compared to $27,584,000 for the first six months of fiscal year 2019. The discussion of the segments' operating incomes below describes the changes in SG&amp;A expenses that were allocated to the operating segments. The remaining unallocated corporate expenses included a higher estimated annual incentive bonus accrual, which was based on performance targets established for each fiscal year. The increased bonus expense was p</w:t>
      </w:r>
      <w:r>
        <w:rPr>
          <w:rFonts w:ascii="Arial" w:cs="Arial" w:eastAsia="Arial" w:hAnsi="Arial"/>
          <w:sz w:val="17"/>
          <w:szCs w:val="17"/>
          <w:color w:val="222222"/>
        </w:rPr>
        <w:t>artially offset by a curtailment gain reported upon the freeze of our SERP in the</w:t>
      </w:r>
      <w:r>
        <w:rPr>
          <w:rFonts w:ascii="Arial" w:cs="Arial" w:eastAsia="Arial" w:hAnsi="Arial"/>
          <w:sz w:val="17"/>
          <w:szCs w:val="17"/>
          <w:color w:val="auto"/>
        </w:rPr>
        <w:t xml:space="preserve"> </w:t>
      </w:r>
      <w:r>
        <w:rPr>
          <w:rFonts w:ascii="Arial" w:cs="Arial" w:eastAsia="Arial" w:hAnsi="Arial"/>
          <w:sz w:val="17"/>
          <w:szCs w:val="17"/>
          <w:color w:val="222222"/>
        </w:rPr>
        <w:t xml:space="preserve">second quarter of fiscal year 2020 (see Note 7 of the Notes to the unaudited Condensed Consolidated Financial Statements). In addition, higher SG&amp;A expenses were reported in the first half of fiscal year 2019 for consulting costs related to our </w:t>
      </w:r>
      <w:r>
        <w:rPr>
          <w:rFonts w:ascii="Arial" w:cs="Arial" w:eastAsia="Arial" w:hAnsi="Arial"/>
          <w:sz w:val="17"/>
          <w:szCs w:val="17"/>
          <w:color w:val="000000"/>
        </w:rPr>
        <w:t>ERP system implemented in the first quarter of the prior fiscal</w:t>
      </w:r>
      <w:r>
        <w:rPr>
          <w:rFonts w:ascii="Arial" w:cs="Arial" w:eastAsia="Arial" w:hAnsi="Arial"/>
          <w:sz w:val="17"/>
          <w:szCs w:val="17"/>
          <w:color w:val="222222"/>
        </w:rPr>
        <w:t xml:space="preserve"> </w:t>
      </w:r>
      <w:r>
        <w:rPr>
          <w:rFonts w:ascii="Arial" w:cs="Arial" w:eastAsia="Arial" w:hAnsi="Arial"/>
          <w:sz w:val="17"/>
          <w:szCs w:val="17"/>
          <w:color w:val="000000"/>
        </w:rPr>
        <w:t>year and legal costs for legal proceedings resolved in the third quarter of the prior fiscal year.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53" w:right="2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color w:val="auto"/>
        </w:rPr>
        <w:t>Consolidated net income before taxes for the first six months of fiscal year 2020 was $9,835,000, a 168% increase from net income before taxes of $3,672,000 for the first six months of fiscal year 2019. Results for the first six months of fiscal year 2020 were driven by the factors discussed above, including higher sales and lower freight and natural gas costs, which more than offset the increase in SG&amp;A expenses.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tax expense for the first six months of fiscal year 2020 was $1,626,000 (an effective tax rate of 16.5%) compared to $456,000 for the first six months of fiscal year 2019 (an effective tax rate of 12.4%). An estimated annual effective tax rate was used in both periods to determine the provision for income taxes, which is based on expected annual taxable income and the assessment of various tax deductions, including depletion. The lower tax rate in fiscal year 2019 primarily relates to the discrete benefit recorded relating to the completion of a federal income tax return examination in the first quarter of that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sales of the Business to Business Products Group for the first six months of fiscal year 2020 were $50,949,000, a decrease of $835,000, or 2%, from net sales of $51,784,000 for the first six months of fiscal year 2019. Net sales of our agricultural and horticultural chemical carrier products decreased approximately 19% for the first six months of fiscal year 2020 compared to the same period in fiscal year 2019. Sales of traditional granules declined due primarily to the loss of a customer, which was partially offset by increased sales to an existing customer. These lower sales were significantly offset by higher sales of other products in the Business to Business Group, including an increase of approximately 11% compared to the first six months of the prior fiscal year for sales of our co-packaged coarse cat litter. Net sales of our animal health and nutrition products also increased approximately 8% compared to the first six months of the prior year. Sales growth occurred for our feed additives primarily in Africa, Mexico and Asia, excluding China. See “Foreign Operations” below for a discussion of sales in China, which were impacted by the spread of the African swine fever in the prior year and the recent novel coronavirus (COVID-19) outbreak (“the coronavirus”). Net sales of our fluids purification products increased approximately 1% compared to the first six months of the prior fiscal year as higher sales to edible oil producers offset lower sales that resulted from a biodiesel processing customer closing operations.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expenses for the Business to Business Products Group were approximately 7% higher for the first six months of fiscal year 2020 compared to the same period of the prior year, including higher costs for product development and support, increased compensation-related expenses and additional costs to establish our subsidiary in Indonesia.</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to Business Products Group’s operating income for the first six months of fiscal year 2020 was $15,848,000, an increase of $1,544,000, or 11%, from operating income of $14,304,000 for the first six months of fiscal year 2019. The improved operating income was driven primarily by the lower freight and natural gas costs discussed in “Consolidated Results”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sales of the Retail and Wholesale Products Group for the first six months of fiscal year 2020 were $91,178,000, an increase of $6,939,000, or 8%, from net sales of $84,239,000 for the first six months of fiscal year 2019. Sales of cat litter drove the sales increase. Total cat litter net sales were approximately 11% higher compared to the first six months of the prior fiscal year, with increased sales for both private label and branded litters. Sales of private label scoopable litter increased to existing customers, some of whom had expanded their selection of our products during the prior fiscal year. Higher sales of private label coarse litter included incremental sales to customers who added these products in the second half of the prior fiscal year. Branded coarse litter and litter box liners sales were also higher compared to the first half of the prior fiscal year. Cat litter sales by our subsidiary in Canada further contributed to the sales increase, as discussed in “Foreign Operations” below. Also included in the Retail and Wholesale Products Group's results were slightly lower sales for our industrial and automotive products compared to the first six months of fiscal year 2019.</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SG&amp;A expenses for the Retail and Wholesale Products Group were approximately 7% lower in the first six months of fiscal year 2020 compared to the first six months of fiscal year 2019. Lower advertising expense in the first six months of fiscal year 2020 contributed to the reduction in costs compared to the same period in the prior year; however, we expect spending for advertising in the remainder of fiscal 2020 to result in a higher expense for the full year of fiscal 2020 compared to fiscal year 2019. In addition, non-recurring expenses were incurred in the first half of fiscal year 2019 for customer compliance fees related to shipping and data communication incurred in connection with the implementation of the ERP system.</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Retail and Wholesale Products Group's operating income for the first six months of fiscal year 2020 was $8,968,000, an increase of $6,306,000 from operating income of $2,662,000 for the first six months of fiscal year 2019. The improved operating income was driven by the higher sales and lower SG&amp;A described above, and by lower freight and natural gas costs discussed in “Consolidated Results”.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5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Foreign operations include our subsidiaries in Canada and the United Kingdom, which are reported in the Retail and Wholesale Products Group, and our subsidiaries in China, Mexico and Indonesia, which are reported in the Business to Business Products Group. Net sales by our foreign subsidiaries during the first six months of fiscal year 2020 were $7,154,000, an increase of $672,000, or 10%, compared to net sales of $6,482,000 during the first six months of fiscal year 2019. This increase was attributable primarily to new cat litter business for our Canada subsidiary. Sales of our animal health products by our foreign operations grew to a lesser extent, as higher sales for our subsidiaries in Mexico and Indonesia were mostly offset by lower sales for our subsidiary in China. Sales of animal health products to pork producers in China have not fully recovered since the spread of African swine fever in fiscal year 2019. In addition, our Chinese subsidiary's business operations have been impacted in the second quarter of fiscal year 2020 by the recent outbreak of the coronavirus. Chinese government restrictions to control the spread of the coronavirus disrupted our sales office, limited travel by our salesforce and delayed product shipments. Net sales by our foreign subsidiaries represented 5% of our consolidated net sales during the first six months of both fiscal years 2020 and 2019.</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foreign subsidiaries reported a net loss of $169,000 for the first six months of fiscal year 2020, compared to net income of $315,000 for the first six months of fiscal year 2019. The lower sales described above for our subsidiary in China and additional costs to establish operations in Indonesia drove the net loss.</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Identifiable assets of our foreign subsidiaries as of January 31, 2020 were $10,158,000, compared to $9,643,000 as of January 31, 2019. The increase was attributed primarily to the addition of our subsidiary in Indonesia and new right-of-use lease assets recorded upon the implementation of ASC 842,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2020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net sales for the three months ended January 31, 2020 were $71,005,000, a 2% increase compared to net sales of $69,880,000 for the three months ended January 31, 2019. Net sales increased for our Retail and Wholesale Products Group, but decreased for our Business to Business Products Group. Segment results are discussed further below.</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Consolidated gross profit for the three months ended January 31, 2020 was $18,958,000, or 27% of net sales, compared to $15,404,000, or 22% of net sales, for the second quarter of fiscal year 2019. Lower freight and natural gas costs drove the increase in gross profit. Freight costs declined approximately 21% for the second quarter of fiscal year 2020 per manufactured ton as the result of lower transportation rates from improved truck availability. Our overall freight costs also vary between periods depending on the mix of products sold and the geographic distribution of our customers. The cost of natural gas used to operate kilns that dry our clay was approximately 36% lower per manufactured ton for the second quarter of fiscal year 2020 compared to the same period of fiscal year 2019. Non-fuel manufacturing costs per ton produced were slightly lower compared to the second quarter in the prior fiscal year. In contrast, packaging costs per manufactured ton were slightly higher compared to the second quarter of the prior fiscal year, driven primarily by the mix of products produced. In addition, many of our contracts for packaging purchases are subject to periodic price adjustments, which trail changes in underlying commodity prices.</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Total SG&amp;A expenses were $13,085,000 for the second quarter of fiscal year 2020, a 4% increase compared to $12,577,000 for the second quarter of fiscal year 2019. The discussion below describes the SG&amp;A expenses allocated to the operating segments. The remaining unallocated corporate expenses included a higher estimated annual incentive bonus accrual, which was based on performance targets established for each fiscal year. The increased bonus expense was p</w:t>
      </w:r>
      <w:r>
        <w:rPr>
          <w:rFonts w:ascii="Arial" w:cs="Arial" w:eastAsia="Arial" w:hAnsi="Arial"/>
          <w:sz w:val="16"/>
          <w:szCs w:val="16"/>
          <w:color w:val="222222"/>
        </w:rPr>
        <w:t>artially offset by a curtailment gain reported upon the freeze of our SERP in the second quarter of fiscal year 2020 (see Note 7 of the Notes to the unaudited</w:t>
      </w:r>
      <w:r>
        <w:rPr>
          <w:rFonts w:ascii="Arial" w:cs="Arial" w:eastAsia="Arial" w:hAnsi="Arial"/>
          <w:sz w:val="16"/>
          <w:szCs w:val="16"/>
          <w:color w:val="auto"/>
        </w:rPr>
        <w:t xml:space="preserve"> </w:t>
      </w:r>
      <w:r>
        <w:rPr>
          <w:rFonts w:ascii="Arial" w:cs="Arial" w:eastAsia="Arial" w:hAnsi="Arial"/>
          <w:sz w:val="16"/>
          <w:szCs w:val="16"/>
          <w:color w:val="222222"/>
        </w:rPr>
        <w:t xml:space="preserve">Condensed Consolidated Financial Statements). In addition, lower SG&amp;A expenses were reported in the second quarter of fiscal year 2020 for consulting costs related to our </w:t>
      </w:r>
      <w:r>
        <w:rPr>
          <w:rFonts w:ascii="Arial" w:cs="Arial" w:eastAsia="Arial" w:hAnsi="Arial"/>
          <w:sz w:val="16"/>
          <w:szCs w:val="16"/>
          <w:color w:val="000000"/>
        </w:rPr>
        <w:t>ERP system and costs for legal proceedings resolved in the third quarter of the prior fiscal year.</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net income before taxes for the second quarter of fiscal year 2020 was $5,758,000, compared to net income before taxes of $2,788,000 for the second quarter of fiscal year 2019. Results for the second quarter of fiscal year 2020 were driven by the factors described above, including higher sales and lower freight and natural gas costs, which more than offset the increase in SG&amp;A expenses.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 expense was $1,009,000 for the second quarter of fiscal year 2020, compared to $506,000 for the second quarter of fiscal year 2019, which resulted in an effective tax rate of 18% for the second quarters of both fiscal years. We used an estimated annual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57"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effective tax rate in determining our quarterly provision for income taxes, which is based on expected annual taxable income and the assessment of various tax deductions, including depletion.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sales of the Business to Business Products Group for the second quarter of fiscal year 2020 were $24,471,000, a decrease of $1,987,000, or 8%, from net sales of $26,458,000 for the second quarter of fiscal year 2019. Net sales of our agricultural and horticultural chemical carrier products decreased 31%, due primarily to the loss of a customer for our traditional granules. Net sales of our fluids purification products decreased approximately 1% for the second quarter of fiscal year 2020. Lower sales due to a plant closing of a biodiesel processing customer was partially offset by higher sales to edible oil producers. Net sales of our animal health and nutrition products were essentially flat as sales growth for our feed additives in Mexico and Asia, excluding China, mostly offset lower sales in China. See “Foreign Operations” below for a discussion of sales in China, which were impacted by the spread of the African swine fever in the prior year and the recent outbreak of the coronavirus. Net sales of our co-packaged coarse cat litter for the second quarter were approximately 8% higher compared to the second quarter of the prior year.</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SG&amp;A expenses for the Business to Business Products Group were approximately 11% higher compared to the second quarter of fiscal year 2019, including higher costs for product development and support and compensation-related expenses.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to Business Products Group’s operating income for the second quarter of fiscal year 2020 was $7,552,000, an increase of $280,000, or 4%, from operating income of $7,272,000 in the second quarter of fiscal year 2019. The improved operating income was driven by the lower freight and natural gas costs discussed in “Consolidated Results”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of the Retail and Wholesale Products Group for the second quarter of fiscal year 2020 were $46,534,000, an increase of $3,112,000, or 7%, from net sales of $43,422,000 for the second quarter of fiscal year 2019. Total cat litter net sales were 10% higher compared to the second quarter of fiscal year 2019, driven by increased sales of both private label and branded litters. Sales of private label scoopable litter increased to existing customers, some of whom had expanded their selection of our products during the prior fiscal year. Higher sales of private label coarse litter included incremental sales to customers who added these products in the second half of the prior fiscal year. Branded coarse litter and litter box liners sales were also higher compared to the second quarter of the prior year. Cat litter sales by our subsidiary in Canada also contributed to the sales increase, as discussed in “Foreign Operations” below. Also included in the Retail and Wholesale Products Group's results were slightly lower sales for our industrial and automotive products compared to the second quarter of fiscal year 2019.</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SG&amp;A expenses for the Retail and Wholesale Products Group were slightly higher to support the increased sales compared to the second quarter of fiscal year 2019.</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second quarter of fiscal year 2020, the Retail and Wholesale Products Group reported operating income of $5,608,000, an increase of $2,955,000, compared to operating income of $2,653,000 for the second quarter of fiscal year 2019. The improved operating income was driven by the higher sales described above, and by lower freight and natural gas costs discussed above in “Consolidated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Foreign operations included our subsidiaries in Canada and the United Kingdom, which are reported in the Retail and Wholesale Products Group, and our subsidiaries in China, Mexico and Indonesia, which are reported in the Business to Business Products Group. Net sales by our foreign subsidiaries during the second quarter of fiscal year 2020 were $3,505,000, a 15% increase compared to net sales of $3,039,000 in the second quarter of fiscal year 2019. This increase was attributable primarily to new cat litter business and improved sales of industrial absorbents for our Canada subsidiary. Sales of our animal health products by our foreign operations grew to a lesser extent, as higher sales for our Mexico and Indonesia subsidiaries were mostly offset by lower sales for our subsidiary in China. Sales of these products to pork producers in China have not fully recovered since the spread of African swine fever in fiscal year 2019. In addition, business operations of our Chinese subsidiary have been impacted in the second quarter of fiscal year 2020 by the recent outbreak of the coronavirus. Chinese government restrictions to control the spread of the coronavirus disrupted our sales office, limited travel by our salesforce and delayed product shipments. Our foreign subsidiaries' net sales represented approximately 5% and 4% of consolidated net sales during the second quarters of fiscal years 2020 and 2019, respectively.</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foreign subsidiaries reported a net loss attributable to Oil-Dri of $101,000 for the second quarter of fiscal year 2020 compared to net income of $79,000 for the second quarter of fiscal year 2019. The lower sales described above for our China subsidiary,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5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higher material costs for our subsidiary in the United Kingdom and additional costs to establish operations in Indonesia drove the net loss.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Our principal capital requirements include: funding working capital needs; purchasing and upgrading equipment, facilities, information systems and real estate; supporting new product development; investing in infrastructure; repurchasing stock; paying dividends; making pension contributions; and, from time to time, business acquisitions. During the first six months of fiscal year 2020, we principally used cash generated from operations to fund these requirements.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unaudited Condensed Consolidated Statements of Cash Flows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02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For the Six Months Ended January 31,</w:t>
            </w:r>
          </w:p>
        </w:tc>
      </w:tr>
      <w:tr>
        <w:trPr>
          <w:trHeight w:val="27"/>
        </w:trPr>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14,270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2,692</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(7,286)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455</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(6,505)</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six months of fiscal years 2020 and 2019 were as follows: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Accounts receivable, less allowance for doubtful accounts, increased $213,000 in the first six months of fiscal year 2020 compared to an increase of $4,697,000 in the first six months of fiscal year 2019. Higher sales in the second quarter of fiscal year 2020 compared to the second quarter of 2019 drove the increase in accounts receivable as of January 31, 2020. The accounts receivable balance at the end of the second quarter of fiscal year 2019 was significantly higher due to delays in sending invoices to some customers upon implementation of the new ERP system on August 1, 2018. The variation in accounts receivable balances also reflected differences in the level and timing of collections as well as the payment terms provided to various customers.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Inventory decreased $1,508,000 in the first six months of fiscal year 2020 compared to an increase of $5,607,000 in the first six months of fiscal year 2019. Packaging and finished goods decreased as of January 31, 2020 due to higher production and efforts to better manage our safety stock levels. In addition, our inventory obsolescence reserve increased during the first six months of fiscal year 2020 which is attributable to our focus on inventory management and enhanced data available from our new ERP system. Previously, inventory had increased significantly during the first six months of fiscal year 2019 due to production interruptions and increased safety stock for anticipated disruptions during the new ERP system implementation.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Prepaid expenses decreased $1,561,000 in the first six months of fiscal year 2020 compared to a decrease of $970,000 in the first six months of fiscal year 2019. Lower prepaid advertising costs drove the decrease in the first six months of fiscal year 2020. Lower prepaid taxes was the primary reason for lower prepaid expenses in the first six months of fiscal year 2019. Prepaid expenses also fluctuated in both periods due to the timing of prepayment of insurance premium renewals.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assets decreased $731,000 in the first six months of fiscal year 2020 compared to an increase of $422,000 in the first six months of fiscal year 2019. The decrease in fiscal year 2020 related to amortization of our operating lease right-of-use lease assets while the increase in fiscal year 2019 related to additional costs to establish operations in Indonesia.</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payable, including income taxes payable, increased $2,661,000 in the first six months of fiscal year 2020 compared to an increase of $2,295,000 in the first six months of fiscal year 2019. Higher accrued income taxes due to higher net income drove the increase in the first half of fiscal year 2020. Accounts payable increased in the first half of fiscal year 2019 as we managed our cash flow due to issues related to the ERP system implementation. Trade and freight payables also varied in both periods due to the timing of payments, fluctuations in the cost of goods and services we purchased, production volume levels and vendor payment terms.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Accrued expenses decreased $1,602,000 in the first six months of fiscal year 2020 compared to a decrease of $1,390,000 in the first six months of fiscal year 2019. The payout of the prior fiscal year's discretionary incentive bonus reduced accrued salaries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57" w:right="2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t>in both fiscal years. Accrued freight also decreased in the first six months of fiscal year 2020, but increased in the first six months of fiscal year 2019 due to cash flow management as described above. Accrued plant expenses also fluctuated due to timing of payments, changes in the cost of goods and services we purchased, production volume levels and vendor payment terms.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Pension and postretirement benefits decreased $5,536,000 in the first six months of fiscal year 2020 compared to an increase in the first six months of fiscal year 2019 of $859,000. See Note 7 of the Notes to the unaudited Condensed Consolidated Financial Statements for explanation of the decrease in fiscal year 2020 upon curtailment of our Pension Plan. The increase in fiscal year 2019 is due to normal increases in benefit obligation due to additional service.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liabilities decreased $1,052,000 in the first six months of fiscal year 2020 compared to an increase of $370,000 in the first six months of fiscal year 2019. The decrease in fiscal year 2020 is due to a reclassification of the deferred lease liability to operating lease liabilities. The increase in fiscal year 2019 was due to a new deferred lease liability.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was $7,286,000 in the first six months of fiscal year 2020 compared to cash provided by investing activities of $455,000 in the first six months of fiscal year 2019. Cash used for capital expenditures was higher for the first quarter of fiscal year 2020 than fiscal year 2019. Net dispositions of investment securities provided cash in the first half of fiscal year 2019; however, no short-term investments were held in fiscal year 2020 due to the low returns available on these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used in financing activities of $7,133,000 in the first six months of fiscal year 2020 was higher than cash used in financing activities of $6,505,000 in the first six months of fiscal year 2019, primarily due to increased purchases of treasury stock and a higher dividend payout.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cash and investment balances held by our foreign subsidiaries of $2,709,000 as of January 31, 2020 were slightly higher than the January 31, 2019 balances of $2,123,000. See further discussion in “Foreign Operations” above.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31, 2019, we signed a fifth amendment to our credit agreement with BMO Harris Bank N.A. (“BMO Harris”), which expires on January 31, 2024. The agreement provides for a $45,000,000 unsecured revolving credit agreement and a maximum of $10,000,000 for letters of credit. The agreement terms also state that we may select a variable interest rate based on either the BMO Harris prime rate or a LIBOR-based rate, plus a margin that varies depending on our debt to earnings ratio, or a fixed rate as agreed between us and BMO Harris. As of January 31, 2020, the variable rates would have been 5.00% for the BMO Harris prime-based rate or 3.00% for the three-month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January 31, 2020 and 2019, we were in compliance with the covenants. There were no borrowings during the first six months of either fiscal year 2019 or 2020.</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January 31, 2020, we had remaining authority to repurchase 1,041,371 shares of Common Stock and 288,925 shares of Class B Stock under a repurchase plan approved by our Board of Directors (the “Board”). Repurchases may be made on the open market (pursuant to Rule 10b5-1 plans or otherwise) or in negotiated transactions. The timing and number of shares repurchased will be determined by our management pursuant to the repurchase plan approved by our Board.</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deferred compensation payouts, dividend payments and debt service obligations for at least the next 12 months. We expect both capital expenditures and advertising expense in fiscal year 2020 to be greater than in fiscal year 2019. </w:t>
      </w:r>
      <w:r>
        <w:rPr>
          <w:rFonts w:ascii="Arial" w:cs="Arial" w:eastAsia="Arial" w:hAnsi="Arial"/>
          <w:sz w:val="17"/>
          <w:szCs w:val="17"/>
          <w:color w:val="222222"/>
        </w:rPr>
        <w:t>We do not believe that these increased expenditures will dramatically impact our cash</w:t>
      </w:r>
      <w:r>
        <w:rPr>
          <w:rFonts w:ascii="Arial" w:cs="Arial" w:eastAsia="Arial" w:hAnsi="Arial"/>
          <w:sz w:val="17"/>
          <w:szCs w:val="17"/>
          <w:color w:val="auto"/>
        </w:rPr>
        <w:t xml:space="preserve"> </w:t>
      </w:r>
      <w:r>
        <w:rPr>
          <w:rFonts w:ascii="Arial" w:cs="Arial" w:eastAsia="Arial" w:hAnsi="Arial"/>
          <w:sz w:val="17"/>
          <w:szCs w:val="17"/>
          <w:color w:val="222222"/>
        </w:rPr>
        <w:t>position; however our cash requirements are subject to change as business conditions warrant and opportunities arise.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continually evaluate our liquidity position and anticipated cash needs, as well as the financing options available to obtain additional cash reserves. Our ability to fund operations, to make planned capital expenditures, to make scheduled debt payments, to contribute to our pension plan and to remain in compliance with all financial covenants under debt agreements, including, but not limited to, the current credit agreement, depends on our future operating performance, which, in turn, is subject to prevailing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57"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economic conditions and to financial, business and other factors. The timing and size of any new business ventures or acquisitions that we complete may also impact our cash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implemented, and is continuing to add new functionality to, a new ERP system designed to upgrade our technology and improve our financial and operational information. While the Company believes that this new system and related changes to internal controls will ultimately strengthen its internal control over financial reporting, there are inherent risks in implementing a new ERP system. The Company has appropriately considered these changes in its design of and testing for effectiveness of internal controls over financial reporting and concluded, as part of the evaluation described in the above paragraph, that the implementation and ongoing enhancement of the new ERP in these circumstances has not materially changed the effectiveness of its internal control over financial reporting.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other than those described herein, in our internal control over financial reporting (as defined in Rule 13a-15(f) under the Exchange Act) that occurred during the fiscal quarter ended January 31, 2020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5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1, 3 and 5 of this Part II are either inapplicable or are answered in the negative and are omitted pursuant to the instructions to Part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operations and financial results are subject to various risks and uncertainties, including those described in Part I, Item 1A, “Risk Factors” in the Company's Annual Report on Form 10-K for the year ended July 31, 2019. Except as set forth below, there have been no material changes to our risk factors since the Company's Annual Report on Form 10-K for the year ended July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a widespread threat to public health</w:t>
      </w:r>
      <w:r>
        <w:rPr>
          <w:rFonts w:ascii="Arial" w:cs="Arial" w:eastAsia="Arial" w:hAnsi="Arial"/>
          <w:sz w:val="18"/>
          <w:szCs w:val="18"/>
          <w:color w:val="auto"/>
        </w:rPr>
        <w: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2019, a novel strain of the coronavirus was reported in China that has subsequently spread outside of China. In response to the coronavirus outbreak, the Chinese government has placed restrictions on travel and mandated business closures. Such restrictions and closures have disrupted our sales office in China, limited travel by our salesforce and delayed product shipments. Although the impact of such disruptions and delays has not had a material impact on our results of operations, there is significant uncertainty relating to the outbreak of coronavirus as well as the potential effects of such outbreak on our business. Related disruptions, inside or outside of China, to our operations, or the operations of our suppliers or customers, may impact our operations and results. Given the uncertainties related to the outbreak, including its duration and severity, we cannot reasonably estimate the scope of its impact on our employees, operations, suppliers, or customers, or the full extent to which the coronavirus could affect the global economy and our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5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three months ended January 31, 2020, we did not sell any securities which were not registered under the Securities Act of 1933. The following charts summarize our repurchases (and remaining authority to repurchase) shares of our Common Stock during this period. There were no repurchases of Class B Stock during this period and no shares of our Class A Common Stock are currently outstanding. Descriptions of our Common Stock, Class B Stock and Class A Common Stock are contained in Exhibit 4.1 to our Annual Report on Form 10-K for the fiscal year ended July 31, 2019 filed with the SEC.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57" w:lineRule="exact"/>
        <w:rPr>
          <w:sz w:val="20"/>
          <w:szCs w:val="20"/>
          <w:color w:val="auto"/>
        </w:rPr>
      </w:pPr>
    </w:p>
    <w:tbl>
      <w:tblPr>
        <w:tblLayout w:type="fixed"/>
        <w:tblInd w:w="3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22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26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(d)</w:t>
            </w:r>
          </w:p>
        </w:tc>
        <w:tc>
          <w:tcPr>
            <w:tcW w:w="20" w:type="dxa"/>
            <w:vAlign w:val="bottom"/>
          </w:tcPr>
          <w:p>
            <w:pPr>
              <w:spacing w:after="0"/>
              <w:rPr>
                <w:sz w:val="20"/>
                <w:szCs w:val="20"/>
                <w:color w:val="auto"/>
              </w:rPr>
            </w:pPr>
          </w:p>
        </w:tc>
      </w:tr>
      <w:tr>
        <w:trPr>
          <w:trHeight w:val="252"/>
        </w:trPr>
        <w:tc>
          <w:tcPr>
            <w:tcW w:w="20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26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Maximum Number of</w:t>
            </w:r>
          </w:p>
        </w:tc>
        <w:tc>
          <w:tcPr>
            <w:tcW w:w="20" w:type="dxa"/>
            <w:vAlign w:val="bottom"/>
          </w:tcPr>
          <w:p>
            <w:pPr>
              <w:spacing w:after="0"/>
              <w:rPr>
                <w:sz w:val="21"/>
                <w:szCs w:val="21"/>
                <w:color w:val="auto"/>
              </w:rPr>
            </w:pPr>
          </w:p>
        </w:tc>
      </w:tr>
      <w:tr>
        <w:trPr>
          <w:trHeight w:val="216"/>
        </w:trPr>
        <w:tc>
          <w:tcPr>
            <w:tcW w:w="20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226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Shares that may yet be</w:t>
            </w:r>
          </w:p>
        </w:tc>
        <w:tc>
          <w:tcPr>
            <w:tcW w:w="20" w:type="dxa"/>
            <w:vAlign w:val="bottom"/>
          </w:tcPr>
          <w:p>
            <w:pPr>
              <w:spacing w:after="0"/>
              <w:rPr>
                <w:sz w:val="18"/>
                <w:szCs w:val="18"/>
                <w:color w:val="auto"/>
              </w:rPr>
            </w:pPr>
          </w:p>
        </w:tc>
      </w:tr>
      <w:tr>
        <w:trPr>
          <w:trHeight w:val="216"/>
        </w:trPr>
        <w:tc>
          <w:tcPr>
            <w:tcW w:w="2080" w:type="dxa"/>
            <w:vAlign w:val="bottom"/>
          </w:tcPr>
          <w:p>
            <w:pPr>
              <w:ind w:left="120"/>
              <w:spacing w:after="0"/>
              <w:rPr>
                <w:sz w:val="20"/>
                <w:szCs w:val="20"/>
                <w:color w:val="auto"/>
              </w:rPr>
            </w:pPr>
            <w:r>
              <w:rPr>
                <w:rFonts w:ascii="Arial" w:cs="Arial" w:eastAsia="Arial" w:hAnsi="Arial"/>
                <w:sz w:val="18"/>
                <w:szCs w:val="18"/>
                <w:b w:val="1"/>
                <w:bCs w:val="1"/>
                <w:color w:val="auto"/>
              </w:rPr>
              <w:t>For the Three Months</w:t>
            </w:r>
          </w:p>
        </w:tc>
        <w:tc>
          <w:tcPr>
            <w:tcW w:w="22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Total Number of Shares</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Price Paid per</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226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Purchased Under Plans or</w:t>
            </w:r>
          </w:p>
        </w:tc>
        <w:tc>
          <w:tcPr>
            <w:tcW w:w="20" w:type="dxa"/>
            <w:vAlign w:val="bottom"/>
          </w:tcPr>
          <w:p>
            <w:pPr>
              <w:spacing w:after="0"/>
              <w:rPr>
                <w:sz w:val="18"/>
                <w:szCs w:val="18"/>
                <w:color w:val="auto"/>
              </w:rPr>
            </w:pPr>
          </w:p>
        </w:tc>
      </w:tr>
      <w:tr>
        <w:trPr>
          <w:trHeight w:val="261"/>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8"/>
              </w:rPr>
              <w:t>Ended January 31, 2020</w:t>
            </w:r>
          </w:p>
        </w:tc>
        <w:tc>
          <w:tcPr>
            <w:tcW w:w="2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Purchased</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2260" w:type="dxa"/>
            <w:vAlign w:val="bottom"/>
            <w:tcBorders>
              <w:bottom w:val="single" w:sz="8" w:color="auto"/>
            </w:tcBorders>
          </w:tcPr>
          <w:p>
            <w:pPr>
              <w:jc w:val="center"/>
              <w:ind w:left="30"/>
              <w:spacing w:after="0" w:line="262"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5"/>
                <w:szCs w:val="25"/>
                <w:b w:val="1"/>
                <w:bCs w:val="1"/>
                <w:color w:val="auto"/>
                <w:w w:val="87"/>
                <w:vertAlign w:val="superscript"/>
              </w:rPr>
              <w:t>1</w:t>
            </w:r>
          </w:p>
        </w:tc>
        <w:tc>
          <w:tcPr>
            <w:tcW w:w="20" w:type="dxa"/>
            <w:vAlign w:val="bottom"/>
            <w:tcBorders>
              <w:bottom w:val="single" w:sz="8" w:color="auto"/>
            </w:tcBorders>
          </w:tcPr>
          <w:p>
            <w:pPr>
              <w:spacing w:after="0"/>
              <w:rPr>
                <w:sz w:val="22"/>
                <w:szCs w:val="22"/>
                <w:color w:val="auto"/>
              </w:rPr>
            </w:pPr>
          </w:p>
        </w:tc>
      </w:tr>
      <w:tr>
        <w:trPr>
          <w:trHeight w:val="269"/>
        </w:trPr>
        <w:tc>
          <w:tcPr>
            <w:tcW w:w="2080" w:type="dxa"/>
            <w:vAlign w:val="bottom"/>
            <w:tcBorders>
              <w:left w:val="single" w:sz="8" w:color="auto"/>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b w:val="1"/>
                <w:bCs w:val="1"/>
                <w:color w:val="auto"/>
              </w:rPr>
              <w:t>Common Stock</w:t>
            </w:r>
          </w:p>
        </w:tc>
        <w:tc>
          <w:tcPr>
            <w:tcW w:w="24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r>
      <w:tr>
        <w:trPr>
          <w:trHeight w:val="222"/>
        </w:trPr>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November 1, 2019 to</w:t>
            </w:r>
          </w:p>
        </w:tc>
        <w:tc>
          <w:tcPr>
            <w:tcW w:w="228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November 30, 2019</w:t>
            </w:r>
          </w:p>
        </w:tc>
        <w:tc>
          <w:tcPr>
            <w:tcW w:w="2280" w:type="dxa"/>
            <w:vAlign w:val="bottom"/>
          </w:tcPr>
          <w:p>
            <w:pPr>
              <w:jc w:val="center"/>
              <w:ind w:right="30"/>
              <w:spacing w:after="0"/>
              <w:rPr>
                <w:sz w:val="20"/>
                <w:szCs w:val="20"/>
                <w:color w:val="auto"/>
              </w:rPr>
            </w:pPr>
            <w:r>
              <w:rPr>
                <w:rFonts w:ascii="Arial" w:cs="Arial" w:eastAsia="Arial" w:hAnsi="Arial"/>
                <w:sz w:val="18"/>
                <w:szCs w:val="18"/>
                <w:color w:val="auto"/>
                <w:w w:val="93"/>
              </w:rPr>
              <w:t>602</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$37.22</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Pr>
          <w:p>
            <w:pPr>
              <w:jc w:val="center"/>
              <w:ind w:left="10"/>
              <w:spacing w:after="0"/>
              <w:rPr>
                <w:sz w:val="20"/>
                <w:szCs w:val="20"/>
                <w:color w:val="auto"/>
              </w:rPr>
            </w:pPr>
            <w:r>
              <w:rPr>
                <w:rFonts w:ascii="Arial" w:cs="Arial" w:eastAsia="Arial" w:hAnsi="Arial"/>
                <w:sz w:val="18"/>
                <w:szCs w:val="18"/>
                <w:color w:val="auto"/>
                <w:w w:val="89"/>
              </w:rPr>
              <w:t>1,041,371</w:t>
            </w:r>
          </w:p>
        </w:tc>
        <w:tc>
          <w:tcPr>
            <w:tcW w:w="20" w:type="dxa"/>
            <w:vAlign w:val="bottom"/>
          </w:tcPr>
          <w:p>
            <w:pPr>
              <w:spacing w:after="0"/>
              <w:rPr>
                <w:sz w:val="20"/>
                <w:szCs w:val="20"/>
                <w:color w:val="auto"/>
              </w:rPr>
            </w:pPr>
          </w:p>
        </w:tc>
      </w:tr>
      <w:tr>
        <w:trPr>
          <w:trHeight w:val="27"/>
        </w:trPr>
        <w:tc>
          <w:tcPr>
            <w:tcW w:w="2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208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1, 2019 to</w:t>
            </w:r>
          </w:p>
        </w:tc>
        <w:tc>
          <w:tcPr>
            <w:tcW w:w="228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208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2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1,041,371</w:t>
            </w:r>
          </w:p>
        </w:tc>
        <w:tc>
          <w:tcPr>
            <w:tcW w:w="20" w:type="dxa"/>
            <w:vAlign w:val="bottom"/>
          </w:tcPr>
          <w:p>
            <w:pPr>
              <w:spacing w:after="0"/>
              <w:rPr>
                <w:sz w:val="20"/>
                <w:szCs w:val="20"/>
                <w:color w:val="auto"/>
              </w:rPr>
            </w:pP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January 1, 2020 to</w:t>
            </w:r>
          </w:p>
        </w:tc>
        <w:tc>
          <w:tcPr>
            <w:tcW w:w="2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January 31, 2020</w:t>
            </w:r>
          </w:p>
        </w:tc>
        <w:tc>
          <w:tcPr>
            <w:tcW w:w="228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Pr>
          <w:p>
            <w:pPr>
              <w:jc w:val="center"/>
              <w:ind w:left="10"/>
              <w:spacing w:after="0"/>
              <w:rPr>
                <w:sz w:val="20"/>
                <w:szCs w:val="20"/>
                <w:color w:val="auto"/>
              </w:rPr>
            </w:pPr>
            <w:r>
              <w:rPr>
                <w:rFonts w:ascii="Arial" w:cs="Arial" w:eastAsia="Arial" w:hAnsi="Arial"/>
                <w:sz w:val="18"/>
                <w:szCs w:val="18"/>
                <w:color w:val="auto"/>
                <w:w w:val="89"/>
              </w:rPr>
              <w:t>1,041,371</w:t>
            </w:r>
          </w:p>
        </w:tc>
        <w:tc>
          <w:tcPr>
            <w:tcW w:w="20" w:type="dxa"/>
            <w:vAlign w:val="bottom"/>
          </w:tcPr>
          <w:p>
            <w:pPr>
              <w:spacing w:after="0"/>
              <w:rPr>
                <w:sz w:val="20"/>
                <w:szCs w:val="20"/>
                <w:color w:val="auto"/>
              </w:rPr>
            </w:pPr>
          </w:p>
        </w:tc>
      </w:tr>
    </w:tbl>
    <w:p>
      <w:pPr>
        <w:spacing w:after="0" w:line="229" w:lineRule="exact"/>
        <w:rPr>
          <w:sz w:val="20"/>
          <w:szCs w:val="20"/>
          <w:color w:val="auto"/>
        </w:rPr>
      </w:pPr>
    </w:p>
    <w:p>
      <w:pPr>
        <w:jc w:val="both"/>
        <w:ind w:firstLine="8"/>
        <w:spacing w:after="0" w:line="250" w:lineRule="auto"/>
        <w:tabs>
          <w:tab w:leader="none" w:pos="132"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Our Board authorized the repurchase of 250,000 shares of Common Stock on March 11, 2011, an additional 250,000 shares on June 14, 2012 and an additional 750,000 shares on March 11, 2019. Our Board also authorized the repurchase of 300,000 shares of Class B Stock on March 21, 2018. These authorizations do not have a stated expiration date. The share numbers in this column indicate the number of shares of each class of stock that may yet be repurchased under these authorizations. Repurchases may be made on the open market (pursuant to Rule 10b5-1 plans or otherwise) or in negotiated transactions. The timing and number of shares repurchased will be determined by our management.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ectPr>
          <w:pgSz w:w="11900" w:h="16838" w:orient="portrait"/>
          <w:cols w:equalWidth="0" w:num="1">
            <w:col w:w="11420"/>
          </w:cols>
          <w:pgMar w:left="240" w:top="337"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8120" w:type="dxa"/>
            <w:vAlign w:val="bottom"/>
            <w:gridSpan w:val="11"/>
          </w:tcPr>
          <w:p>
            <w:pPr>
              <w:spacing w:after="0"/>
              <w:rPr>
                <w:sz w:val="20"/>
                <w:szCs w:val="20"/>
                <w:color w:val="auto"/>
              </w:rPr>
            </w:pPr>
            <w:r>
              <w:rPr>
                <w:rFonts w:ascii="Arial" w:cs="Arial" w:eastAsia="Arial" w:hAnsi="Arial"/>
                <w:sz w:val="18"/>
                <w:szCs w:val="18"/>
                <w:b w:val="1"/>
                <w:bCs w:val="1"/>
                <w:color w:val="auto"/>
              </w:rPr>
              <w:t>ITEM 6. EXHIBITS</w:t>
            </w:r>
          </w:p>
        </w:tc>
        <w:tc>
          <w:tcPr>
            <w:tcW w:w="3300" w:type="dxa"/>
            <w:vAlign w:val="bottom"/>
          </w:tcPr>
          <w:p>
            <w:pPr>
              <w:spacing w:after="0"/>
              <w:rPr>
                <w:sz w:val="20"/>
                <w:szCs w:val="20"/>
                <w:color w:val="auto"/>
              </w:rPr>
            </w:pPr>
          </w:p>
        </w:tc>
      </w:tr>
      <w:tr>
        <w:trPr>
          <w:trHeight w:val="580"/>
        </w:trPr>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30"/>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60" w:type="dxa"/>
            <w:vAlign w:val="bottom"/>
            <w:gridSpan w:val="6"/>
          </w:tcPr>
          <w:p>
            <w:pPr>
              <w:ind w:left="1200"/>
              <w:spacing w:after="0"/>
              <w:rPr>
                <w:sz w:val="20"/>
                <w:szCs w:val="20"/>
                <w:color w:val="auto"/>
              </w:rPr>
            </w:pPr>
            <w:r>
              <w:rPr>
                <w:rFonts w:ascii="Arial" w:cs="Arial" w:eastAsia="Arial" w:hAnsi="Arial"/>
                <w:sz w:val="18"/>
                <w:szCs w:val="18"/>
                <w:color w:val="auto"/>
              </w:rPr>
              <w:t>Description</w:t>
            </w:r>
          </w:p>
        </w:tc>
        <w:tc>
          <w:tcPr>
            <w:tcW w:w="3300" w:type="dxa"/>
            <w:vAlign w:val="bottom"/>
          </w:tcPr>
          <w:p>
            <w:pPr>
              <w:ind w:left="700"/>
              <w:spacing w:after="0"/>
              <w:rPr>
                <w:sz w:val="20"/>
                <w:szCs w:val="20"/>
                <w:color w:val="auto"/>
              </w:rPr>
            </w:pPr>
            <w:r>
              <w:rPr>
                <w:rFonts w:ascii="Arial" w:cs="Arial" w:eastAsia="Arial" w:hAnsi="Arial"/>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196"/>
        </w:trPr>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gridSpan w:val="8"/>
          </w:tcPr>
          <w:p>
            <w:pPr>
              <w:spacing w:after="0" w:line="196" w:lineRule="exact"/>
              <w:rPr>
                <w:rFonts w:ascii="Arial" w:cs="Arial" w:eastAsia="Arial" w:hAnsi="Arial"/>
                <w:sz w:val="18"/>
                <w:szCs w:val="18"/>
                <w:color w:val="0000FF"/>
                <w:w w:val="94"/>
              </w:rPr>
            </w:pPr>
            <w:hyperlink w:anchor="page34">
              <w:r>
                <w:rPr>
                  <w:rFonts w:ascii="Arial" w:cs="Arial" w:eastAsia="Arial" w:hAnsi="Arial"/>
                  <w:sz w:val="18"/>
                  <w:szCs w:val="18"/>
                  <w:color w:val="0000FF"/>
                  <w:w w:val="94"/>
                </w:rPr>
                <w:t>First Amendment, effective as of March 1, 2020 to Supplemental Executive Retirement Plan</w:t>
              </w:r>
            </w:hyperlink>
          </w:p>
        </w:tc>
        <w:tc>
          <w:tcPr>
            <w:tcW w:w="3300" w:type="dxa"/>
            <w:vAlign w:val="bottom"/>
          </w:tcPr>
          <w:p>
            <w:pPr>
              <w:ind w:left="20"/>
              <w:spacing w:after="0" w:line="196" w:lineRule="exact"/>
              <w:rPr>
                <w:sz w:val="20"/>
                <w:szCs w:val="20"/>
                <w:color w:val="auto"/>
              </w:rPr>
            </w:pPr>
            <w:r>
              <w:rPr>
                <w:rFonts w:ascii="Arial" w:cs="Arial" w:eastAsia="Arial" w:hAnsi="Arial"/>
                <w:sz w:val="18"/>
                <w:szCs w:val="18"/>
                <w:color w:val="auto"/>
              </w:rPr>
              <w:t>Filed herewith.</w:t>
            </w: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3"/>
              </w:rPr>
            </w:pPr>
            <w:hyperlink w:anchor="page34">
              <w:r>
                <w:rPr>
                  <w:rFonts w:ascii="Arial" w:cs="Arial" w:eastAsia="Arial" w:hAnsi="Arial"/>
                  <w:sz w:val="18"/>
                  <w:szCs w:val="18"/>
                  <w:color w:val="0000FF"/>
                  <w:w w:val="93"/>
                </w:rPr>
                <w:t>dated April 1, 2003.*</w:t>
              </w:r>
            </w:hyperlink>
          </w:p>
        </w:tc>
        <w:tc>
          <w:tcPr>
            <w:tcW w:w="5240" w:type="dxa"/>
            <w:vAlign w:val="bottom"/>
            <w:tcBorders>
              <w:top w:val="single" w:sz="8" w:color="0000FF"/>
            </w:tcBorders>
            <w:gridSpan w:val="5"/>
          </w:tcPr>
          <w:p>
            <w:pPr>
              <w:spacing w:after="0"/>
              <w:rPr>
                <w:sz w:val="17"/>
                <w:szCs w:val="17"/>
                <w:color w:val="auto"/>
              </w:rPr>
            </w:pPr>
          </w:p>
        </w:tc>
        <w:tc>
          <w:tcPr>
            <w:tcW w:w="160" w:type="dxa"/>
            <w:vAlign w:val="bottom"/>
            <w:gridSpan w:val="2"/>
          </w:tcPr>
          <w:p>
            <w:pPr>
              <w:spacing w:after="0"/>
              <w:rPr>
                <w:sz w:val="17"/>
                <w:szCs w:val="17"/>
                <w:color w:val="auto"/>
              </w:rPr>
            </w:pPr>
          </w:p>
        </w:tc>
        <w:tc>
          <w:tcPr>
            <w:tcW w:w="3300" w:type="dxa"/>
            <w:vAlign w:val="bottom"/>
          </w:tcPr>
          <w:p>
            <w:pPr>
              <w:spacing w:after="0"/>
              <w:rPr>
                <w:sz w:val="17"/>
                <w:szCs w:val="17"/>
                <w:color w:val="auto"/>
              </w:rPr>
            </w:pPr>
          </w:p>
        </w:tc>
      </w:tr>
      <w:tr>
        <w:trPr>
          <w:trHeight w:val="385"/>
        </w:trPr>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Statement re: Computation of Earnings per Share.</w:t>
              </w:r>
            </w:hyperlink>
          </w:p>
        </w:tc>
        <w:tc>
          <w:tcPr>
            <w:tcW w:w="3340" w:type="dxa"/>
            <w:vAlign w:val="bottom"/>
            <w:gridSpan w:val="4"/>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20"/>
        </w:trPr>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Certifications pursuant to Rule 13a–14(a).</w:t>
              </w:r>
            </w:hyperlink>
          </w:p>
        </w:tc>
        <w:tc>
          <w:tcPr>
            <w:tcW w:w="3900" w:type="dxa"/>
            <w:vAlign w:val="bottom"/>
            <w:gridSpan w:val="5"/>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20"/>
        </w:trPr>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40" w:type="dxa"/>
            <w:vAlign w:val="bottom"/>
            <w:gridSpan w:val="8"/>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Certifications pursuant to Section 1350 of the Sarbanes-Oxley Act of 2002</w:t>
              </w:r>
            </w:hyperlink>
            <w:r>
              <w:rPr>
                <w:rFonts w:ascii="Arial" w:cs="Arial" w:eastAsia="Arial" w:hAnsi="Arial"/>
                <w:sz w:val="18"/>
                <w:szCs w:val="18"/>
                <w:color w:val="000000"/>
              </w:rPr>
              <w:t>.</w:t>
            </w:r>
          </w:p>
        </w:tc>
        <w:tc>
          <w:tcPr>
            <w:tcW w:w="330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20"/>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4"/>
                <w:szCs w:val="24"/>
                <w:color w:val="auto"/>
              </w:rPr>
            </w:pPr>
          </w:p>
        </w:tc>
        <w:tc>
          <w:tcPr>
            <w:tcW w:w="17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Mine Safety Disclosures</w:t>
              </w:r>
            </w:hyperlink>
          </w:p>
        </w:tc>
        <w:tc>
          <w:tcPr>
            <w:tcW w:w="3600" w:type="dxa"/>
            <w:vAlign w:val="bottom"/>
            <w:tcBorders>
              <w:top w:val="single" w:sz="8" w:color="0000FF"/>
            </w:tcBorders>
            <w:gridSpan w:val="3"/>
          </w:tcPr>
          <w:p>
            <w:pPr>
              <w:spacing w:after="0"/>
              <w:rPr>
                <w:sz w:val="24"/>
                <w:szCs w:val="24"/>
                <w:color w:val="auto"/>
              </w:rPr>
            </w:pPr>
          </w:p>
        </w:tc>
        <w:tc>
          <w:tcPr>
            <w:tcW w:w="1560" w:type="dxa"/>
            <w:vAlign w:val="bottom"/>
            <w:gridSpan w:val="3"/>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41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6940" w:type="dxa"/>
            <w:vAlign w:val="bottom"/>
            <w:gridSpan w:val="8"/>
          </w:tcPr>
          <w:p>
            <w:pPr>
              <w:spacing w:after="0"/>
              <w:rPr>
                <w:sz w:val="20"/>
                <w:szCs w:val="20"/>
                <w:color w:val="auto"/>
              </w:rPr>
            </w:pPr>
            <w:r>
              <w:rPr>
                <w:rFonts w:ascii="Arial" w:cs="Arial" w:eastAsia="Arial" w:hAnsi="Arial"/>
                <w:sz w:val="18"/>
                <w:szCs w:val="18"/>
                <w:color w:val="auto"/>
              </w:rPr>
              <w:t>XBRL Taxonomy Instance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694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694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694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6940" w:type="dxa"/>
            <w:vAlign w:val="bottom"/>
            <w:gridSpan w:val="8"/>
          </w:tcPr>
          <w:p>
            <w:pPr>
              <w:spacing w:after="0"/>
              <w:rPr>
                <w:sz w:val="20"/>
                <w:szCs w:val="20"/>
                <w:color w:val="auto"/>
              </w:rPr>
            </w:pPr>
            <w:r>
              <w:rPr>
                <w:rFonts w:ascii="Arial" w:cs="Arial" w:eastAsia="Arial" w:hAnsi="Arial"/>
                <w:sz w:val="18"/>
                <w:szCs w:val="18"/>
                <w:color w:val="auto"/>
              </w:rPr>
              <w:t>XBRL Taxonomy Extension Labels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69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53"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39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987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Susan M. Kreh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March 5, 2020</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320"/>
          </w:cols>
          <w:pgMar w:left="580" w:top="557" w:right="9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Exhibit 10.1:</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FIRST AMENDMENT TO THE</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OIL-DRI CORPORATION OF AMERICA</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SUPPLEMENTAL EXECUTIVE RETIREMENT PLAN</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WHEREAS, Oil-Dri Corporation of America (the “Company”) maintains the Oil-Dri Corporation of America Supplemental Executive Retirement Plan (the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Section 5.1 of the Plan provides that the Company may amend the Plan at any time;</w:t>
      </w:r>
    </w:p>
    <w:p>
      <w:pPr>
        <w:spacing w:after="0" w:line="220"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auto"/>
        </w:rPr>
        <w:t>WHEREAS, the Company deems it appropriate to amend the Plan to freeze participation and all future benefit accruals under the Plan effective March 1, 2020;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Board of Directors of the Company has previously approved freezing the Plan.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Company amends the Plan, effective March 1, 2020, as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40" w:hanging="784"/>
        <w:spacing w:after="0"/>
        <w:tabs>
          <w:tab w:leader="none" w:pos="14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Capitalized terms not defined herein shall have the meaning as defined under the Plan.</w:t>
      </w:r>
    </w:p>
    <w:p>
      <w:pPr>
        <w:spacing w:after="0" w:line="219" w:lineRule="exact"/>
        <w:rPr>
          <w:rFonts w:ascii="Arial" w:cs="Arial" w:eastAsia="Arial" w:hAnsi="Arial"/>
          <w:sz w:val="22"/>
          <w:szCs w:val="22"/>
          <w:color w:val="auto"/>
        </w:rPr>
      </w:pPr>
    </w:p>
    <w:p>
      <w:pPr>
        <w:ind w:left="1460" w:hanging="804"/>
        <w:spacing w:after="0"/>
        <w:tabs>
          <w:tab w:leader="none" w:pos="14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Article 2 is amended by adding a new Section 2.2 as follows:</w:t>
      </w:r>
    </w:p>
    <w:p>
      <w:pPr>
        <w:spacing w:after="0" w:line="247" w:lineRule="exact"/>
        <w:rPr>
          <w:sz w:val="20"/>
          <w:szCs w:val="20"/>
          <w:color w:val="auto"/>
        </w:rPr>
      </w:pPr>
    </w:p>
    <w:p>
      <w:pPr>
        <w:ind w:left="660" w:right="260" w:firstLine="648"/>
        <w:spacing w:after="0" w:line="358"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Participation Freeze.</w:t>
      </w:r>
      <w:r>
        <w:rPr>
          <w:rFonts w:ascii="Arial" w:cs="Arial" w:eastAsia="Arial" w:hAnsi="Arial"/>
          <w:sz w:val="19"/>
          <w:szCs w:val="19"/>
          <w:color w:val="auto"/>
        </w:rPr>
        <w:t xml:space="preserve"> Notwithstanding any provision of the Plan, participation in the Plan is frozen effective March 1, 2020, such that no Retirement Plan participant shall become a Participant on or after March 1, 2020.”</w:t>
      </w:r>
    </w:p>
    <w:p>
      <w:pPr>
        <w:spacing w:after="0" w:line="64" w:lineRule="exact"/>
        <w:rPr>
          <w:sz w:val="20"/>
          <w:szCs w:val="20"/>
          <w:color w:val="auto"/>
        </w:rPr>
      </w:pPr>
    </w:p>
    <w:p>
      <w:pPr>
        <w:ind w:left="1460" w:hanging="804"/>
        <w:spacing w:after="0"/>
        <w:tabs>
          <w:tab w:leader="none" w:pos="1460" w:val="left"/>
        </w:tabs>
        <w:numPr>
          <w:ilvl w:val="0"/>
          <w:numId w:val="7"/>
        </w:numPr>
        <w:rPr>
          <w:rFonts w:ascii="Arial" w:cs="Arial" w:eastAsia="Arial" w:hAnsi="Arial"/>
          <w:sz w:val="22"/>
          <w:szCs w:val="22"/>
          <w:color w:val="auto"/>
        </w:rPr>
      </w:pPr>
      <w:r>
        <w:rPr>
          <w:rFonts w:ascii="Arial" w:cs="Arial" w:eastAsia="Arial" w:hAnsi="Arial"/>
          <w:sz w:val="22"/>
          <w:szCs w:val="22"/>
          <w:color w:val="auto"/>
        </w:rPr>
        <w:t>Article 3 is amended by adding new Section 3.5 as follows:</w:t>
      </w:r>
    </w:p>
    <w:p>
      <w:pPr>
        <w:spacing w:after="0" w:line="247" w:lineRule="exact"/>
        <w:rPr>
          <w:sz w:val="20"/>
          <w:szCs w:val="20"/>
          <w:color w:val="auto"/>
        </w:rPr>
      </w:pPr>
    </w:p>
    <w:p>
      <w:pPr>
        <w:ind w:left="660" w:right="140" w:firstLine="648"/>
        <w:spacing w:after="0" w:line="260"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Plan Freeze</w:t>
      </w:r>
      <w:r>
        <w:rPr>
          <w:rFonts w:ascii="Arial" w:cs="Arial" w:eastAsia="Arial" w:hAnsi="Arial"/>
          <w:sz w:val="22"/>
          <w:szCs w:val="22"/>
          <w:color w:val="auto"/>
        </w:rPr>
        <w:t>. Notwithstanding any provision of the Plan, the Plan is frozen effective March 1, 2020, such that no Participant shall accrue any Excess Benefit, Supplemental Benefit or additional benefit for any purpose on and after March 1, 2020.”</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22"/>
          <w:szCs w:val="22"/>
          <w:color w:val="auto"/>
        </w:rPr>
        <w:t>[signature page to follow]</w:t>
      </w:r>
    </w:p>
    <w:p>
      <w:pPr>
        <w:spacing w:after="0" w:line="260"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color w:val="auto"/>
        </w:rPr>
        <w:t>IN WITNESS WHEREOF, the Company has caused this First Amendment to be executed by the signature of a duly authorized officer as of this 9th day of January 2020 effective as provided herein.</w:t>
      </w:r>
    </w:p>
    <w:p>
      <w:pPr>
        <w:sectPr>
          <w:pgSz w:w="11900" w:h="16838" w:orient="portrait"/>
          <w:cols w:equalWidth="0" w:num="1">
            <w:col w:w="11400"/>
          </w:cols>
          <w:pgMar w:left="240" w:top="769" w:right="2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75"/>
        </w:trPr>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880" w:type="dxa"/>
            <w:vAlign w:val="bottom"/>
            <w:gridSpan w:val="5"/>
          </w:tcPr>
          <w:p>
            <w:pPr>
              <w:ind w:left="1120"/>
              <w:spacing w:after="0"/>
              <w:rPr>
                <w:sz w:val="20"/>
                <w:szCs w:val="20"/>
                <w:color w:val="auto"/>
              </w:rPr>
            </w:pPr>
            <w:r>
              <w:rPr>
                <w:rFonts w:ascii="Arial" w:cs="Arial" w:eastAsia="Arial" w:hAnsi="Arial"/>
                <w:sz w:val="22"/>
                <w:szCs w:val="22"/>
                <w:color w:val="auto"/>
              </w:rPr>
              <w:t>COMPANY:</w:t>
            </w:r>
          </w:p>
        </w:tc>
        <w:tc>
          <w:tcPr>
            <w:tcW w:w="0" w:type="dxa"/>
            <w:vAlign w:val="bottom"/>
          </w:tcPr>
          <w:p>
            <w:pPr>
              <w:spacing w:after="0"/>
              <w:rPr>
                <w:sz w:val="1"/>
                <w:szCs w:val="1"/>
                <w:color w:val="auto"/>
              </w:rPr>
            </w:pPr>
          </w:p>
        </w:tc>
      </w:tr>
      <w:tr>
        <w:trPr>
          <w:trHeight w:val="459"/>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80" w:type="dxa"/>
            <w:vAlign w:val="bottom"/>
            <w:gridSpan w:val="5"/>
          </w:tcPr>
          <w:p>
            <w:pPr>
              <w:ind w:left="1120"/>
              <w:spacing w:after="0"/>
              <w:rPr>
                <w:sz w:val="20"/>
                <w:szCs w:val="20"/>
                <w:color w:val="auto"/>
              </w:rPr>
            </w:pPr>
            <w:r>
              <w:rPr>
                <w:rFonts w:ascii="Arial" w:cs="Arial" w:eastAsia="Arial" w:hAnsi="Arial"/>
                <w:sz w:val="22"/>
                <w:szCs w:val="22"/>
                <w:color w:val="auto"/>
                <w:w w:val="95"/>
              </w:rPr>
              <w:t>OIL-DRI CORPORATION OF AMERICA</w:t>
            </w:r>
          </w:p>
        </w:tc>
        <w:tc>
          <w:tcPr>
            <w:tcW w:w="0" w:type="dxa"/>
            <w:vAlign w:val="bottom"/>
          </w:tcPr>
          <w:p>
            <w:pPr>
              <w:spacing w:after="0"/>
              <w:rPr>
                <w:sz w:val="1"/>
                <w:szCs w:val="1"/>
                <w:color w:val="auto"/>
              </w:rPr>
            </w:pPr>
          </w:p>
        </w:tc>
      </w:tr>
      <w:tr>
        <w:trPr>
          <w:trHeight w:val="625"/>
        </w:trPr>
        <w:tc>
          <w:tcPr>
            <w:tcW w:w="4580" w:type="dxa"/>
            <w:vAlign w:val="bottom"/>
            <w:gridSpan w:val="7"/>
            <w:vMerge w:val="restart"/>
          </w:tcPr>
          <w:p>
            <w:pPr>
              <w:spacing w:after="0"/>
              <w:rPr>
                <w:sz w:val="20"/>
                <w:szCs w:val="20"/>
                <w:color w:val="auto"/>
              </w:rPr>
            </w:pPr>
            <w:r>
              <w:rPr>
                <w:rFonts w:ascii="Arial" w:cs="Arial" w:eastAsia="Arial" w:hAnsi="Arial"/>
                <w:sz w:val="22"/>
                <w:szCs w:val="22"/>
                <w:color w:val="auto"/>
              </w:rPr>
              <w:t>ATTEST</w:t>
            </w:r>
          </w:p>
        </w:tc>
        <w:tc>
          <w:tcPr>
            <w:tcW w:w="4880" w:type="dxa"/>
            <w:vAlign w:val="bottom"/>
            <w:gridSpan w:val="5"/>
          </w:tcPr>
          <w:p>
            <w:pPr>
              <w:ind w:left="1120"/>
              <w:spacing w:after="0"/>
              <w:rPr>
                <w:sz w:val="20"/>
                <w:szCs w:val="20"/>
                <w:color w:val="auto"/>
              </w:rPr>
            </w:pPr>
            <w:r>
              <w:rPr>
                <w:rFonts w:ascii="Arial" w:cs="Arial" w:eastAsia="Arial" w:hAnsi="Arial"/>
                <w:sz w:val="22"/>
                <w:szCs w:val="22"/>
                <w:color w:val="auto"/>
              </w:rPr>
              <w:t>By: /s/ Daniel S. Jaffee</w:t>
            </w:r>
          </w:p>
        </w:tc>
        <w:tc>
          <w:tcPr>
            <w:tcW w:w="0" w:type="dxa"/>
            <w:vAlign w:val="bottom"/>
          </w:tcPr>
          <w:p>
            <w:pPr>
              <w:spacing w:after="0"/>
              <w:rPr>
                <w:sz w:val="1"/>
                <w:szCs w:val="1"/>
                <w:color w:val="auto"/>
              </w:rPr>
            </w:pPr>
          </w:p>
        </w:tc>
      </w:tr>
      <w:tr>
        <w:trPr>
          <w:trHeight w:val="112"/>
        </w:trPr>
        <w:tc>
          <w:tcPr>
            <w:tcW w:w="4580" w:type="dxa"/>
            <w:vAlign w:val="bottom"/>
            <w:gridSpan w:val="7"/>
            <w:vMerge w:val="continue"/>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7"/>
        </w:trPr>
        <w:tc>
          <w:tcPr>
            <w:tcW w:w="360" w:type="dxa"/>
            <w:vAlign w:val="bottom"/>
            <w:gridSpan w:val="2"/>
          </w:tcPr>
          <w:p>
            <w:pPr>
              <w:spacing w:after="0"/>
              <w:rPr>
                <w:sz w:val="20"/>
                <w:szCs w:val="20"/>
                <w:color w:val="auto"/>
              </w:rPr>
            </w:pPr>
            <w:r>
              <w:rPr>
                <w:rFonts w:ascii="Arial" w:cs="Arial" w:eastAsia="Arial" w:hAnsi="Arial"/>
                <w:sz w:val="22"/>
                <w:szCs w:val="22"/>
                <w:color w:val="auto"/>
              </w:rPr>
              <w:t>By:</w:t>
            </w:r>
          </w:p>
        </w:tc>
        <w:tc>
          <w:tcPr>
            <w:tcW w:w="188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7"/>
              </w:rPr>
              <w:t>/s/ Laura G. Scheland</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80" w:type="dxa"/>
            <w:vAlign w:val="bottom"/>
            <w:gridSpan w:val="5"/>
          </w:tcPr>
          <w:p>
            <w:pPr>
              <w:ind w:left="1120"/>
              <w:spacing w:after="0"/>
              <w:rPr>
                <w:sz w:val="20"/>
                <w:szCs w:val="20"/>
                <w:color w:val="auto"/>
              </w:rPr>
            </w:pPr>
            <w:r>
              <w:rPr>
                <w:rFonts w:ascii="Arial" w:cs="Arial" w:eastAsia="Arial" w:hAnsi="Arial"/>
                <w:sz w:val="22"/>
                <w:szCs w:val="22"/>
                <w:color w:val="auto"/>
              </w:rPr>
              <w:t>Its: CEO</w:t>
            </w:r>
          </w:p>
        </w:tc>
        <w:tc>
          <w:tcPr>
            <w:tcW w:w="0" w:type="dxa"/>
            <w:vAlign w:val="bottom"/>
          </w:tcPr>
          <w:p>
            <w:pPr>
              <w:spacing w:after="0"/>
              <w:rPr>
                <w:sz w:val="1"/>
                <w:szCs w:val="1"/>
                <w:color w:val="auto"/>
              </w:rPr>
            </w:pPr>
          </w:p>
        </w:tc>
      </w:tr>
      <w:tr>
        <w:trPr>
          <w:trHeight w:val="20"/>
        </w:trPr>
        <w:tc>
          <w:tcPr>
            <w:tcW w:w="4580" w:type="dxa"/>
            <w:vAlign w:val="bottom"/>
            <w:gridSpan w:val="7"/>
            <w:vMerge w:val="restart"/>
          </w:tcPr>
          <w:p>
            <w:pPr>
              <w:spacing w:after="0"/>
              <w:rPr>
                <w:sz w:val="20"/>
                <w:szCs w:val="20"/>
                <w:color w:val="auto"/>
              </w:rPr>
            </w:pPr>
            <w:r>
              <w:rPr>
                <w:rFonts w:ascii="Arial" w:cs="Arial" w:eastAsia="Arial" w:hAnsi="Arial"/>
                <w:sz w:val="22"/>
                <w:szCs w:val="22"/>
                <w:color w:val="auto"/>
              </w:rPr>
              <w:t>Its: Vice President and General Counsel</w:t>
            </w:r>
          </w:p>
        </w:tc>
        <w:tc>
          <w:tcPr>
            <w:tcW w:w="1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580" w:type="dxa"/>
            <w:vAlign w:val="bottom"/>
            <w:gridSpan w:val="7"/>
            <w:vMerge w:val="continue"/>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580" w:type="dxa"/>
            <w:vAlign w:val="bottom"/>
            <w:gridSpan w:val="7"/>
          </w:tcPr>
          <w:p>
            <w:pPr>
              <w:spacing w:after="0"/>
              <w:rPr>
                <w:sz w:val="20"/>
                <w:szCs w:val="20"/>
                <w:color w:val="auto"/>
              </w:rPr>
            </w:pPr>
            <w:r>
              <w:rPr>
                <w:rFonts w:ascii="Arial" w:cs="Arial" w:eastAsia="Arial" w:hAnsi="Arial"/>
                <w:sz w:val="22"/>
                <w:szCs w:val="22"/>
                <w:color w:val="auto"/>
              </w:rPr>
              <w:t>Date: January 9, 2020</w:t>
            </w: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79"/>
          </w:cols>
          <w:pgMar w:left="280" w:top="712" w:right="1440"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right="4280"/>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7" w:lineRule="exact"/>
        <w:rPr>
          <w:sz w:val="20"/>
          <w:szCs w:val="20"/>
          <w:color w:val="auto"/>
        </w:rPr>
      </w:pPr>
    </w:p>
    <w:p>
      <w:pPr>
        <w:jc w:val="right"/>
        <w:ind w:right="4220"/>
        <w:spacing w:after="0"/>
        <w:rPr>
          <w:sz w:val="20"/>
          <w:szCs w:val="20"/>
          <w:color w:val="auto"/>
        </w:rPr>
      </w:pPr>
      <w:r>
        <w:rPr>
          <w:rFonts w:ascii="Arial" w:cs="Arial" w:eastAsia="Arial" w:hAnsi="Arial"/>
          <w:sz w:val="18"/>
          <w:szCs w:val="18"/>
          <w:b w:val="1"/>
          <w:bCs w:val="1"/>
          <w:color w:val="auto"/>
        </w:rPr>
        <w:t>Computation of Earnings Per Share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4"/>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tcPr>
          <w:p>
            <w:pPr>
              <w:spacing w:after="0"/>
              <w:rPr>
                <w:sz w:val="18"/>
                <w:szCs w:val="18"/>
                <w:color w:val="auto"/>
              </w:rPr>
            </w:pPr>
          </w:p>
        </w:tc>
        <w:tc>
          <w:tcPr>
            <w:tcW w:w="24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5"/>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4,830</w:t>
            </w:r>
          </w:p>
        </w:tc>
        <w:tc>
          <w:tcPr>
            <w:tcW w:w="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8,366</w:t>
            </w:r>
          </w:p>
        </w:tc>
        <w:tc>
          <w:tcPr>
            <w:tcW w:w="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Less: Distributed and undistributed earnings allocated</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(240)</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(421)</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Arial" w:cs="Arial" w:eastAsia="Arial" w:hAnsi="Arial"/>
                <w:sz w:val="18"/>
                <w:szCs w:val="18"/>
                <w:color w:val="auto"/>
              </w:rPr>
              <w:t>to non-vested restricted stock</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4,590</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2,195</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7,945</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Shares Calculation</w:t>
            </w: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2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5,181</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5,164</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Average shares outstanding - Basic Class B Common</w:t>
            </w: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2,039</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2,068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2,045</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Potential Common Stock relating to stock options and</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124</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7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non-vested restricted stock</w:t>
            </w:r>
          </w:p>
        </w:tc>
        <w:tc>
          <w:tcPr>
            <w:tcW w:w="8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vMerge w:val="continue"/>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vMerge w:val="continue"/>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Average shares outstanding - Assuming dilution</w:t>
            </w:r>
          </w:p>
        </w:tc>
        <w:tc>
          <w:tcPr>
            <w:tcW w:w="86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7,344</w:t>
            </w:r>
          </w:p>
        </w:tc>
        <w:tc>
          <w:tcPr>
            <w:tcW w:w="5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7,229</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7,321</w:t>
            </w:r>
          </w:p>
        </w:tc>
        <w:tc>
          <w:tcPr>
            <w:tcW w:w="5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7,242</w:t>
            </w: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Common</w:t>
            </w: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0.68</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Per Share: Basic Class B Common</w:t>
            </w:r>
          </w:p>
        </w:tc>
        <w:tc>
          <w:tcPr>
            <w:tcW w:w="8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0.51</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0.25</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0.89</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 Diluted Common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0.63</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553"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540" w:type="dxa"/>
            <w:vAlign w:val="bottom"/>
          </w:tcPr>
          <w:p>
            <w:pPr>
              <w:ind w:left="20"/>
              <w:spacing w:after="0"/>
              <w:rPr>
                <w:sz w:val="20"/>
                <w:szCs w:val="20"/>
                <w:color w:val="auto"/>
              </w:rPr>
            </w:pPr>
            <w:r>
              <w:rPr>
                <w:rFonts w:ascii="Arial" w:cs="Arial" w:eastAsia="Arial" w:hAnsi="Arial"/>
                <w:sz w:val="18"/>
                <w:szCs w:val="18"/>
                <w:color w:val="auto"/>
              </w:rPr>
              <w:t>March 5, 2020</w:t>
            </w:r>
          </w:p>
        </w:tc>
      </w:tr>
      <w:tr>
        <w:trPr>
          <w:trHeight w:val="27"/>
        </w:trPr>
        <w:tc>
          <w:tcPr>
            <w:tcW w:w="9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8"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Exhibit 31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Susan M. Kreh,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March 5, 2020</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Susan M. Kreh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Susan M. Kreh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2020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March 5, 2020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Chairman,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2020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March 5, 2020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Susan M. Kreh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8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January 31, 2020.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ind w:left="80"/>
              <w:spacing w:after="0"/>
              <w:rPr>
                <w:sz w:val="20"/>
                <w:szCs w:val="20"/>
                <w:color w:val="auto"/>
              </w:rPr>
            </w:pPr>
            <w:r>
              <w:rPr>
                <w:rFonts w:ascii="Arial" w:cs="Arial" w:eastAsia="Arial" w:hAnsi="Arial"/>
                <w:sz w:val="18"/>
                <w:szCs w:val="18"/>
                <w:color w:val="auto"/>
                <w:w w:val="9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ind w:left="120"/>
              <w:spacing w:after="0"/>
              <w:rPr>
                <w:sz w:val="20"/>
                <w:szCs w:val="20"/>
                <w:color w:val="auto"/>
              </w:rPr>
            </w:pPr>
            <w:r>
              <w:rPr>
                <w:rFonts w:ascii="Arial" w:cs="Arial" w:eastAsia="Arial" w:hAnsi="Arial"/>
                <w:sz w:val="18"/>
                <w:szCs w:val="18"/>
                <w:color w:val="auto"/>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1,030</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January 31, 2020.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7"/>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3"/>
    </w:lvl>
  </w:abstractNum>
  <w:abstractNum w:abstractNumId="7">
    <w:nsid w:val="515F007C"/>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8">
    <w:nsid w:val="5BD062C2"/>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2020-03-05T15:12:17Z</dcterms:created>
  <dcterms:modified xsi:type="dcterms:W3CDTF">2020-03-05T15:12:17Z</dcterms:modified>
</cp:coreProperties>
</file>