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9"/>
              </w:rPr>
              <w:t>March 11, 2019</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6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18"/>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rPr>
              <w:t>(Commission File</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incorporation)</w:t>
            </w:r>
          </w:p>
        </w:tc>
        <w:tc>
          <w:tcPr>
            <w:tcW w:w="3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rPr>
              <w:t>Number)</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99"/>
        </w:trPr>
        <w:tc>
          <w:tcPr>
            <w:tcW w:w="43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8"/>
        </w:trPr>
        <w:tc>
          <w:tcPr>
            <w:tcW w:w="43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rPr>
              <w:t>(Zip Code)</w:t>
            </w:r>
          </w:p>
        </w:tc>
      </w:tr>
      <w:tr>
        <w:trPr>
          <w:trHeight w:val="621"/>
        </w:trPr>
        <w:tc>
          <w:tcPr>
            <w:tcW w:w="4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720" w:hanging="45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Times New Roman" w:cs="Times New Roman" w:eastAsia="Times New Roman" w:hAnsi="Times New Roman"/>
          <w:sz w:val="18"/>
          <w:szCs w:val="18"/>
          <w:color w:val="auto"/>
        </w:rPr>
      </w:pPr>
    </w:p>
    <w:p>
      <w:pPr>
        <w:ind w:left="720" w:hanging="45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Times New Roman" w:cs="Times New Roman" w:eastAsia="Times New Roman" w:hAnsi="Times New Roman"/>
          <w:sz w:val="18"/>
          <w:szCs w:val="18"/>
          <w:color w:val="auto"/>
        </w:rPr>
      </w:pPr>
    </w:p>
    <w:p>
      <w:pPr>
        <w:ind w:left="720" w:hanging="45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Times New Roman" w:cs="Times New Roman" w:eastAsia="Times New Roman" w:hAnsi="Times New Roman"/>
          <w:sz w:val="18"/>
          <w:szCs w:val="18"/>
          <w:color w:val="auto"/>
        </w:rPr>
      </w:pPr>
    </w:p>
    <w:p>
      <w:pPr>
        <w:ind w:left="720" w:hanging="45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 w:name="page2"/>
    <w:bookmarkEnd w:id="1"/>
    <w:p>
      <w:pPr>
        <w:ind w:left="260"/>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11, 2019, Oil-Dri Corporation of America (the “Registrant”) issued a press release announcing its results of operations for its second quarter ended January 31, 2019.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2" w:lineRule="exact"/>
        <w:rPr>
          <w:sz w:val="20"/>
          <w:szCs w:val="20"/>
          <w:color w:val="auto"/>
        </w:rPr>
      </w:pPr>
    </w:p>
    <w:p>
      <w:pPr>
        <w:ind w:left="260"/>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w:t>
            </w:r>
          </w:p>
        </w:tc>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582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of the Registrant dated March 11, 2019</w:t>
              </w:r>
            </w:hyperlink>
          </w:p>
        </w:tc>
        <w:tc>
          <w:tcPr>
            <w:tcW w:w="582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2" w:name="page3"/>
    <w:bookmarkEnd w:id="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2019</w:t>
      </w:r>
    </w:p>
    <w:p>
      <w:pPr>
        <w:sectPr>
          <w:pgSz w:w="11900" w:h="16838" w:orient="portrait"/>
          <w:cols w:equalWidth="0" w:num="1">
            <w:col w:w="10880"/>
          </w:cols>
          <w:pgMar w:left="240" w:top="576" w:right="7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294640</wp:posOffset>
            </wp:positionV>
            <wp:extent cx="1475105"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21"/>
          <w:szCs w:val="21"/>
          <w:color w:val="auto"/>
        </w:rPr>
        <w:t>Exhibit 99.1</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Oil-Dri Announces Second Quarter and First Six-Months of Fiscal 2019 Results</w:t>
      </w:r>
    </w:p>
    <w:p>
      <w:pPr>
        <w:spacing w:after="0" w:line="26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CHICAGO-(March 11, 2019)-Oil-Dri Corporation of America (NYSE: ODC), producer and marketer of sorbent mineral products, today announced results for its second quarter and first six-months of fiscal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8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5"/>
              </w:rPr>
              <w:t>Year to Date</w:t>
            </w:r>
          </w:p>
        </w:tc>
        <w:tc>
          <w:tcPr>
            <w:tcW w:w="860" w:type="dxa"/>
            <w:vAlign w:val="bottom"/>
          </w:tcPr>
          <w:p>
            <w:pPr>
              <w:spacing w:after="0"/>
              <w:rPr>
                <w:sz w:val="20"/>
                <w:szCs w:val="20"/>
                <w:color w:val="auto"/>
              </w:rPr>
            </w:pPr>
          </w:p>
        </w:tc>
      </w:tr>
      <w:tr>
        <w:trPr>
          <w:trHeight w:val="287"/>
        </w:trPr>
        <w:tc>
          <w:tcPr>
            <w:tcW w:w="3920" w:type="dxa"/>
            <w:vAlign w:val="bottom"/>
          </w:tcPr>
          <w:p>
            <w:pPr>
              <w:spacing w:after="0"/>
              <w:rPr>
                <w:sz w:val="24"/>
                <w:szCs w:val="24"/>
                <w:color w:val="auto"/>
              </w:rPr>
            </w:pPr>
          </w:p>
        </w:tc>
        <w:tc>
          <w:tcPr>
            <w:tcW w:w="28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i w:val="1"/>
                <w:iCs w:val="1"/>
                <w:color w:val="auto"/>
              </w:rPr>
              <w:t>Ended January 31, 2019</w:t>
            </w:r>
          </w:p>
        </w:tc>
        <w:tc>
          <w:tcPr>
            <w:tcW w:w="880" w:type="dxa"/>
            <w:vAlign w:val="bottom"/>
          </w:tcPr>
          <w:p>
            <w:pPr>
              <w:spacing w:after="0"/>
              <w:rPr>
                <w:sz w:val="24"/>
                <w:szCs w:val="24"/>
                <w:color w:val="auto"/>
              </w:rPr>
            </w:pPr>
          </w:p>
        </w:tc>
        <w:tc>
          <w:tcPr>
            <w:tcW w:w="298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i w:val="1"/>
                <w:iCs w:val="1"/>
                <w:color w:val="auto"/>
              </w:rPr>
              <w:t>Ended January 31, 2019</w:t>
            </w:r>
          </w:p>
        </w:tc>
        <w:tc>
          <w:tcPr>
            <w:tcW w:w="860" w:type="dxa"/>
            <w:vAlign w:val="bottom"/>
          </w:tcPr>
          <w:p>
            <w:pPr>
              <w:spacing w:after="0"/>
              <w:rPr>
                <w:sz w:val="24"/>
                <w:szCs w:val="24"/>
                <w:color w:val="auto"/>
              </w:rPr>
            </w:pPr>
          </w:p>
        </w:tc>
      </w:tr>
      <w:tr>
        <w:trPr>
          <w:trHeight w:val="334"/>
        </w:trPr>
        <w:tc>
          <w:tcPr>
            <w:tcW w:w="39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37"/>
        </w:trPr>
        <w:tc>
          <w:tcPr>
            <w:tcW w:w="3920" w:type="dxa"/>
            <w:vAlign w:val="bottom"/>
            <w:tcBorders>
              <w:right w:val="single" w:sz="8" w:color="auto"/>
            </w:tcBorders>
          </w:tcPr>
          <w:p>
            <w:pPr>
              <w:spacing w:after="0"/>
              <w:rPr>
                <w:sz w:val="20"/>
                <w:szCs w:val="20"/>
                <w:color w:val="auto"/>
              </w:rPr>
            </w:pPr>
          </w:p>
        </w:tc>
        <w:tc>
          <w:tcPr>
            <w:tcW w:w="156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F19</w:t>
            </w: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F18</w:t>
            </w:r>
          </w:p>
        </w:tc>
        <w:tc>
          <w:tcPr>
            <w:tcW w:w="8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F19</w:t>
            </w:r>
          </w:p>
        </w:tc>
        <w:tc>
          <w:tcPr>
            <w:tcW w:w="15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F18</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3920" w:type="dxa"/>
            <w:vAlign w:val="bottom"/>
            <w:tcBorders>
              <w:right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250"/>
        </w:trPr>
        <w:tc>
          <w:tcPr>
            <w:tcW w:w="39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Consolidated Results</w:t>
            </w:r>
          </w:p>
        </w:tc>
        <w:tc>
          <w:tcPr>
            <w:tcW w:w="1560" w:type="dxa"/>
            <w:vAlign w:val="bottom"/>
            <w:tcBorders>
              <w:bottom w:val="single" w:sz="8" w:color="auto"/>
            </w:tcBorders>
            <w:shd w:val="clear" w:color="auto" w:fill="000000"/>
          </w:tcPr>
          <w:p>
            <w:pPr>
              <w:spacing w:after="0"/>
              <w:rPr>
                <w:sz w:val="21"/>
                <w:szCs w:val="21"/>
                <w:color w:val="auto"/>
              </w:rPr>
            </w:pPr>
          </w:p>
        </w:tc>
        <w:tc>
          <w:tcPr>
            <w:tcW w:w="1240" w:type="dxa"/>
            <w:vAlign w:val="bottom"/>
            <w:tcBorders>
              <w:bottom w:val="single" w:sz="8" w:color="auto"/>
            </w:tcBorders>
            <w:shd w:val="clear" w:color="auto" w:fill="000000"/>
          </w:tcPr>
          <w:p>
            <w:pPr>
              <w:spacing w:after="0"/>
              <w:rPr>
                <w:sz w:val="21"/>
                <w:szCs w:val="21"/>
                <w:color w:val="auto"/>
              </w:rPr>
            </w:pPr>
          </w:p>
        </w:tc>
        <w:tc>
          <w:tcPr>
            <w:tcW w:w="880" w:type="dxa"/>
            <w:vAlign w:val="bottom"/>
            <w:tcBorders>
              <w:bottom w:val="single" w:sz="8" w:color="auto"/>
              <w:right w:val="single" w:sz="8" w:color="auto"/>
            </w:tcBorders>
            <w:shd w:val="clear" w:color="auto" w:fill="000000"/>
          </w:tcPr>
          <w:p>
            <w:pPr>
              <w:spacing w:after="0"/>
              <w:rPr>
                <w:sz w:val="21"/>
                <w:szCs w:val="21"/>
                <w:color w:val="auto"/>
              </w:rPr>
            </w:pPr>
          </w:p>
        </w:tc>
        <w:tc>
          <w:tcPr>
            <w:tcW w:w="14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shd w:val="clear" w:color="auto" w:fill="000000"/>
          </w:tcPr>
          <w:p>
            <w:pPr>
              <w:spacing w:after="0"/>
              <w:rPr>
                <w:sz w:val="21"/>
                <w:szCs w:val="21"/>
                <w:color w:val="auto"/>
              </w:rPr>
            </w:pPr>
          </w:p>
        </w:tc>
        <w:tc>
          <w:tcPr>
            <w:tcW w:w="8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$69,880,000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$68,894,000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$136,023,000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$135,540,000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Oil-Dri</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$2,287,000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($1,096,000)</w:t>
            </w:r>
          </w:p>
        </w:tc>
        <w:tc>
          <w:tcPr>
            <w:tcW w:w="8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6"/>
              </w:rPr>
              <w:t>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$3,193,000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$1,954,000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w:t>
            </w:r>
          </w:p>
        </w:tc>
      </w:tr>
      <w:tr>
        <w:trPr>
          <w:trHeight w:val="270"/>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8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6"/>
              </w:rPr>
              <w:t>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3920" w:type="dxa"/>
            <w:vAlign w:val="bottom"/>
            <w:tcBorders>
              <w:right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250"/>
        </w:trPr>
        <w:tc>
          <w:tcPr>
            <w:tcW w:w="39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Business to Business</w:t>
            </w:r>
          </w:p>
        </w:tc>
        <w:tc>
          <w:tcPr>
            <w:tcW w:w="1560" w:type="dxa"/>
            <w:vAlign w:val="bottom"/>
            <w:tcBorders>
              <w:bottom w:val="single" w:sz="8" w:color="auto"/>
            </w:tcBorders>
            <w:shd w:val="clear" w:color="auto" w:fill="000000"/>
          </w:tcPr>
          <w:p>
            <w:pPr>
              <w:spacing w:after="0"/>
              <w:rPr>
                <w:sz w:val="21"/>
                <w:szCs w:val="21"/>
                <w:color w:val="auto"/>
              </w:rPr>
            </w:pPr>
          </w:p>
        </w:tc>
        <w:tc>
          <w:tcPr>
            <w:tcW w:w="1240" w:type="dxa"/>
            <w:vAlign w:val="bottom"/>
            <w:tcBorders>
              <w:bottom w:val="single" w:sz="8" w:color="auto"/>
            </w:tcBorders>
            <w:shd w:val="clear" w:color="auto" w:fill="000000"/>
          </w:tcPr>
          <w:p>
            <w:pPr>
              <w:spacing w:after="0"/>
              <w:rPr>
                <w:sz w:val="21"/>
                <w:szCs w:val="21"/>
                <w:color w:val="auto"/>
              </w:rPr>
            </w:pPr>
          </w:p>
        </w:tc>
        <w:tc>
          <w:tcPr>
            <w:tcW w:w="880" w:type="dxa"/>
            <w:vAlign w:val="bottom"/>
            <w:tcBorders>
              <w:bottom w:val="single" w:sz="8" w:color="auto"/>
              <w:right w:val="single" w:sz="8" w:color="auto"/>
            </w:tcBorders>
            <w:shd w:val="clear" w:color="auto" w:fill="000000"/>
          </w:tcPr>
          <w:p>
            <w:pPr>
              <w:spacing w:after="0"/>
              <w:rPr>
                <w:sz w:val="21"/>
                <w:szCs w:val="21"/>
                <w:color w:val="auto"/>
              </w:rPr>
            </w:pPr>
          </w:p>
        </w:tc>
        <w:tc>
          <w:tcPr>
            <w:tcW w:w="14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shd w:val="clear" w:color="auto" w:fill="000000"/>
          </w:tcPr>
          <w:p>
            <w:pPr>
              <w:spacing w:after="0"/>
              <w:rPr>
                <w:sz w:val="21"/>
                <w:szCs w:val="21"/>
                <w:color w:val="auto"/>
              </w:rPr>
            </w:pPr>
          </w:p>
        </w:tc>
        <w:tc>
          <w:tcPr>
            <w:tcW w:w="8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$26,458,000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$27,355,000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$51,784,000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$54,442,000</w:t>
            </w:r>
          </w:p>
        </w:tc>
        <w:tc>
          <w:tcPr>
            <w:tcW w:w="8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(5)%</w:t>
            </w:r>
          </w:p>
        </w:tc>
      </w:tr>
      <w:tr>
        <w:trPr>
          <w:trHeight w:val="270"/>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$7,272,000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$9,759,000</w:t>
            </w:r>
          </w:p>
        </w:tc>
        <w:tc>
          <w:tcPr>
            <w:tcW w:w="8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$14,304,000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$18,635,000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3920" w:type="dxa"/>
            <w:vAlign w:val="bottom"/>
            <w:tcBorders>
              <w:right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250"/>
        </w:trPr>
        <w:tc>
          <w:tcPr>
            <w:tcW w:w="39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Retail and Wholesale</w:t>
            </w:r>
          </w:p>
        </w:tc>
        <w:tc>
          <w:tcPr>
            <w:tcW w:w="1560" w:type="dxa"/>
            <w:vAlign w:val="bottom"/>
            <w:tcBorders>
              <w:bottom w:val="single" w:sz="8" w:color="auto"/>
            </w:tcBorders>
            <w:shd w:val="clear" w:color="auto" w:fill="000000"/>
          </w:tcPr>
          <w:p>
            <w:pPr>
              <w:spacing w:after="0"/>
              <w:rPr>
                <w:sz w:val="21"/>
                <w:szCs w:val="21"/>
                <w:color w:val="auto"/>
              </w:rPr>
            </w:pPr>
          </w:p>
        </w:tc>
        <w:tc>
          <w:tcPr>
            <w:tcW w:w="1240" w:type="dxa"/>
            <w:vAlign w:val="bottom"/>
            <w:tcBorders>
              <w:bottom w:val="single" w:sz="8" w:color="auto"/>
            </w:tcBorders>
            <w:shd w:val="clear" w:color="auto" w:fill="000000"/>
          </w:tcPr>
          <w:p>
            <w:pPr>
              <w:spacing w:after="0"/>
              <w:rPr>
                <w:sz w:val="21"/>
                <w:szCs w:val="21"/>
                <w:color w:val="auto"/>
              </w:rPr>
            </w:pPr>
          </w:p>
        </w:tc>
        <w:tc>
          <w:tcPr>
            <w:tcW w:w="880" w:type="dxa"/>
            <w:vAlign w:val="bottom"/>
            <w:tcBorders>
              <w:bottom w:val="single" w:sz="8" w:color="auto"/>
              <w:right w:val="single" w:sz="8" w:color="auto"/>
            </w:tcBorders>
            <w:shd w:val="clear" w:color="auto" w:fill="000000"/>
          </w:tcPr>
          <w:p>
            <w:pPr>
              <w:spacing w:after="0"/>
              <w:rPr>
                <w:sz w:val="21"/>
                <w:szCs w:val="21"/>
                <w:color w:val="auto"/>
              </w:rPr>
            </w:pPr>
          </w:p>
        </w:tc>
        <w:tc>
          <w:tcPr>
            <w:tcW w:w="14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shd w:val="clear" w:color="auto" w:fill="000000"/>
          </w:tcPr>
          <w:p>
            <w:pPr>
              <w:spacing w:after="0"/>
              <w:rPr>
                <w:sz w:val="21"/>
                <w:szCs w:val="21"/>
                <w:color w:val="auto"/>
              </w:rPr>
            </w:pPr>
          </w:p>
        </w:tc>
        <w:tc>
          <w:tcPr>
            <w:tcW w:w="8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$43,422,000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$41,539,000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$84,239,000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$81,098,000</w:t>
            </w:r>
          </w:p>
        </w:tc>
        <w:tc>
          <w:tcPr>
            <w:tcW w:w="8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4%</w:t>
            </w:r>
          </w:p>
        </w:tc>
      </w:tr>
      <w:tr>
        <w:trPr>
          <w:trHeight w:val="270"/>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$2,653,000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$2,422,000</w:t>
            </w:r>
          </w:p>
        </w:tc>
        <w:tc>
          <w:tcPr>
            <w:tcW w:w="8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$2,662,000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$4,787,000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3920" w:type="dxa"/>
            <w:vAlign w:val="bottom"/>
            <w:tcBorders>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21"/>
          <w:szCs w:val="21"/>
          <w:color w:val="auto"/>
        </w:rPr>
        <w:t>Daniel S. Jaffee, President and CEO, stated, “Our financial results are disappointing but reflect short-term growing pains and industry-wide challenges. While some of the negative impacts were anticipated, some were not. However, as I have stated previously, I am confident that our long-term strategies are working. We are gaining traction in our focused markets, and as Head Coach of the Oil-Dri Team, I can assure you we have every intention of staying the course and winning over the long run.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002D69"/>
        </w:rPr>
        <w:t>(312) 321-1515</w:t>
      </w:r>
    </w:p>
    <w:p>
      <w:pPr>
        <w:sectPr>
          <w:pgSz w:w="11900" w:h="16838" w:orient="portrait"/>
          <w:cols w:equalWidth="0" w:num="1">
            <w:col w:w="11440"/>
          </w:cols>
          <w:pgMar w:left="240" w:top="1253" w:right="219" w:bottom="1440" w:gutter="0" w:footer="0" w:header="0"/>
        </w:sectPr>
      </w:pPr>
    </w:p>
    <w:bookmarkStart w:id="4" w:name="page5"/>
    <w:bookmarkEnd w:id="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The areas listed below are where the business experienced the greatest incremental approximate cost increases, year-over-year:</w:t>
      </w:r>
    </w:p>
    <w:p>
      <w:pPr>
        <w:spacing w:after="0" w:line="25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Freight</w:t>
      </w:r>
    </w:p>
    <w:p>
      <w:pPr>
        <w:spacing w:after="0" w:line="3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Quarter: </w:t>
      </w:r>
      <w:r>
        <w:rPr>
          <w:rFonts w:ascii="Times New Roman" w:cs="Times New Roman" w:eastAsia="Times New Roman" w:hAnsi="Times New Roman"/>
          <w:sz w:val="22"/>
          <w:szCs w:val="22"/>
          <w:color w:val="auto"/>
        </w:rPr>
        <w:t>$2M</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Six-Months: </w:t>
      </w:r>
      <w:r>
        <w:rPr>
          <w:rFonts w:ascii="Times New Roman" w:cs="Times New Roman" w:eastAsia="Times New Roman" w:hAnsi="Times New Roman"/>
          <w:sz w:val="22"/>
          <w:szCs w:val="22"/>
          <w:color w:val="auto"/>
        </w:rPr>
        <w:t>$4M</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Packaging</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Quarter: </w:t>
      </w:r>
      <w:r>
        <w:rPr>
          <w:rFonts w:ascii="Times New Roman" w:cs="Times New Roman" w:eastAsia="Times New Roman" w:hAnsi="Times New Roman"/>
          <w:sz w:val="22"/>
          <w:szCs w:val="22"/>
          <w:color w:val="auto"/>
        </w:rPr>
        <w:t>$900,000</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Six-Months: </w:t>
      </w:r>
      <w:r>
        <w:rPr>
          <w:rFonts w:ascii="Times New Roman" w:cs="Times New Roman" w:eastAsia="Times New Roman" w:hAnsi="Times New Roman"/>
          <w:sz w:val="22"/>
          <w:szCs w:val="22"/>
          <w:color w:val="auto"/>
        </w:rPr>
        <w:t>$1.7M</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New Enterprise Resource Planning (ERP) System</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Quarter: </w:t>
      </w:r>
      <w:r>
        <w:rPr>
          <w:rFonts w:ascii="Times New Roman" w:cs="Times New Roman" w:eastAsia="Times New Roman" w:hAnsi="Times New Roman"/>
          <w:sz w:val="22"/>
          <w:szCs w:val="22"/>
          <w:color w:val="auto"/>
        </w:rPr>
        <w:t>$250,000</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Six-Months: </w:t>
      </w:r>
      <w:r>
        <w:rPr>
          <w:rFonts w:ascii="Times New Roman" w:cs="Times New Roman" w:eastAsia="Times New Roman" w:hAnsi="Times New Roman"/>
          <w:sz w:val="22"/>
          <w:szCs w:val="22"/>
          <w:color w:val="auto"/>
        </w:rPr>
        <w:t>$1.2M</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Customer Compliance Fines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Quarter: </w:t>
      </w:r>
      <w:r>
        <w:rPr>
          <w:rFonts w:ascii="Times New Roman" w:cs="Times New Roman" w:eastAsia="Times New Roman" w:hAnsi="Times New Roman"/>
          <w:sz w:val="22"/>
          <w:szCs w:val="22"/>
          <w:color w:val="auto"/>
        </w:rPr>
        <w:t>$200,000</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Six-Months: </w:t>
      </w:r>
      <w:r>
        <w:rPr>
          <w:rFonts w:ascii="Times New Roman" w:cs="Times New Roman" w:eastAsia="Times New Roman" w:hAnsi="Times New Roman"/>
          <w:sz w:val="22"/>
          <w:szCs w:val="22"/>
          <w:color w:val="auto"/>
        </w:rPr>
        <w:t>$700,000</w:t>
      </w:r>
    </w:p>
    <w:p>
      <w:pPr>
        <w:spacing w:after="0" w:line="23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The most significant increases were largely outside of our control and driven by industry conditions, such as freight rates, natural gas cost and packaging material commodity pricing. We believe similar pressures will continue to affect our business for several future periods. We raised cat litter prices effective August 1, 2018, but this increase has proven to be insufficient. In hindsight, we should have done a better job anticipating the magnitude of market conditions and adjusted our prices accordingly. For this reason, we are implementing another price increase on all cat litter products effective May 1, 2019.</w:t>
      </w:r>
    </w:p>
    <w:p>
      <w:pPr>
        <w:spacing w:after="0" w:line="22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In the first six-months of fiscal 2019, our costs related to non-fuel manufacturing increased approximately 7% year over year due to increased product transfers between plants and warehouses, repairs and preventative maintenance of our mining equipment, labor, additional leased warehousing space to house incremental inventory during our ERP implementation, and waste disposal. During the period, inventory increased by $5.6 million which can be attributed to anticipated sales requirements, incremental safety stock during our ERP implementation, and related higher product costs. We are working diligently to improve manufacturing efficiencies and expect these costs to progressively decrease in the second half of fiscal 2019.</w:t>
      </w:r>
    </w:p>
    <w:p>
      <w:pPr>
        <w:spacing w:after="0" w:line="22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21"/>
          <w:szCs w:val="21"/>
          <w:color w:val="auto"/>
        </w:rPr>
        <w:t>While our cash position is slowly improving, it reflects the investment we made in our new ERP system and difficulties we experienced during the implementation process. We continue to address customer invoicing delays and other issues related to the new system. This contributed to an increase of approximately $4.7 million in accounts receivable during the first half of the year.</w:t>
      </w:r>
    </w:p>
    <w:p>
      <w:pPr>
        <w:spacing w:after="0" w:line="196" w:lineRule="exact"/>
        <w:rPr>
          <w:sz w:val="20"/>
          <w:szCs w:val="20"/>
          <w:color w:val="auto"/>
        </w:rPr>
      </w:pPr>
    </w:p>
    <w:p>
      <w:pPr>
        <w:ind w:right="1000"/>
        <w:spacing w:after="0" w:line="271" w:lineRule="auto"/>
        <w:rPr>
          <w:sz w:val="20"/>
          <w:szCs w:val="20"/>
          <w:color w:val="auto"/>
        </w:rPr>
      </w:pPr>
      <w:r>
        <w:rPr>
          <w:rFonts w:ascii="Times New Roman" w:cs="Times New Roman" w:eastAsia="Times New Roman" w:hAnsi="Times New Roman"/>
          <w:sz w:val="22"/>
          <w:szCs w:val="22"/>
          <w:color w:val="auto"/>
        </w:rPr>
        <w:t>Challenges were also faced by our Business to Business Product Group. Sales of fluids purification products were down internationally due to price competition, and animal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002D69"/>
        </w:rPr>
        <w:t>(312) 321-1515</w:t>
      </w:r>
    </w:p>
    <w:p>
      <w:pPr>
        <w:sectPr>
          <w:pgSz w:w="11900" w:h="16838" w:orient="portrait"/>
          <w:cols w:equalWidth="0" w:num="1">
            <w:col w:w="11400"/>
          </w:cols>
          <w:pgMar w:left="240" w:top="1440" w:right="259" w:bottom="1440" w:gutter="0" w:footer="0" w:header="0"/>
        </w:sectPr>
      </w:pPr>
    </w:p>
    <w:bookmarkStart w:id="5" w:name="page6"/>
    <w:bookmarkEnd w:id="5"/>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300"/>
        <w:spacing w:after="0" w:line="252" w:lineRule="auto"/>
        <w:rPr>
          <w:sz w:val="20"/>
          <w:szCs w:val="20"/>
          <w:color w:val="auto"/>
        </w:rPr>
      </w:pPr>
      <w:r>
        <w:rPr>
          <w:rFonts w:ascii="Times New Roman" w:cs="Times New Roman" w:eastAsia="Times New Roman" w:hAnsi="Times New Roman"/>
          <w:sz w:val="22"/>
          <w:szCs w:val="22"/>
          <w:color w:val="auto"/>
        </w:rPr>
        <w:t>health products were negatively impacted in Asia by the widespread African Swine Fever. However, Amlan products, such as Varium for poultry and NeoPrime for piglets, are being trialed and adopted to improve feed efficiency around the world. Specifically, sales momentum is increasing in Latin America. We believe this can be attributed to an increased sales presence as well as a new marketing strategy.</w:t>
      </w:r>
    </w:p>
    <w:p>
      <w:pPr>
        <w:spacing w:after="0" w:line="18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Sales were up in both periods for the Retail and Wholesale Product Group, led primarily by increased sales of our private label lightweight products to existing large-scale accounts. According to third-party market data from the latest 12-week period ending January 26, 2019, Oil-Dri’s branded and private label products accounted for 14.2% unit share of the overall cat litter category compared to 13.3% in the same period of 2018. However, the group’s operating income for the first six months of fiscal year 2019 was negatively impacted by the higher freight, packaging and non-fuel manufacturing costs discussed above.</w:t>
      </w:r>
    </w:p>
    <w:p>
      <w:pPr>
        <w:spacing w:after="0" w:line="1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We have strategically used our advertising dollars to focus more on the digital promotion of our Litter for Good program. Since the program launched in January 2018, we have promised 5 million pounds of litter to 1,211 shelters. As an on-going program, Litter for Good truly reflects many of Oil-Dri’s core values, and we are very proud of the program’s success.</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We have made several changes in leadership over the past few months to support the future growth of our business. Our investment in infrastructure (ERP System) and people will allow us to capitalize on the incremental opportunities in the markets in which we participate.</w:t>
      </w:r>
    </w:p>
    <w:p>
      <w:pPr>
        <w:spacing w:after="0" w:line="17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2"/>
          <w:szCs w:val="22"/>
          <w:color w:val="auto"/>
        </w:rPr>
        <w:t>Looking forward, the team and I are very confident that while fiscal 2019 may not be a record year financially, we will all look back at the organizational changes and investments that were made and realize it was one of our most strategic years in company history. We very much appreciate your support in this bumpy and somewhat painful journey towards becoming a larger, more sophisticated company.”</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w:t>
      </w:r>
    </w:p>
    <w:p>
      <w:pPr>
        <w:spacing w:after="0" w:line="215"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While Oil-Dri’s founding product was granular clay floor absorbents, it has since greatly diversified its portfolio. The Company’s mission to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i w:val="1"/>
          <w:iCs w:val="1"/>
          <w:color w:val="auto"/>
        </w:rPr>
        <w:t>Create Value from Sorbent Minerals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i w:val="1"/>
          <w:iCs w:val="1"/>
          <w:color w:val="auto"/>
        </w:rPr>
        <w:t xml:space="preserve"> is supported by its wide array of consumer and business to business product offerings. In 2016, Oil-Dri celebrated its seventy-fifth year of business and looks forward to the next milestone.</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Company will host its second quarter teleconference on Monday, March 11, 2019 at 3:30pm Central Time. </w:t>
      </w:r>
      <w:r>
        <w:rPr>
          <w:rFonts w:ascii="Times New Roman" w:cs="Times New Roman" w:eastAsia="Times New Roman" w:hAnsi="Times New Roman"/>
          <w:sz w:val="18"/>
          <w:szCs w:val="18"/>
          <w:color w:val="auto"/>
        </w:rPr>
        <w:t>Participation details are available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our website’s </w:t>
      </w:r>
      <w:r>
        <w:rPr>
          <w:rFonts w:ascii="Times New Roman" w:cs="Times New Roman" w:eastAsia="Times New Roman" w:hAnsi="Times New Roman"/>
          <w:sz w:val="18"/>
          <w:szCs w:val="18"/>
          <w:u w:val="single" w:color="auto"/>
          <w:color w:val="0000FF"/>
        </w:rPr>
        <w:t>Events</w:t>
      </w:r>
      <w:r>
        <w:rPr>
          <w:rFonts w:ascii="Times New Roman" w:cs="Times New Roman" w:eastAsia="Times New Roman" w:hAnsi="Times New Roman"/>
          <w:sz w:val="18"/>
          <w:szCs w:val="18"/>
          <w:color w:val="auto"/>
        </w:rPr>
        <w:t xml:space="preserve"> page.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002D69"/>
        </w:rPr>
        <w:t>(312) 321-1515</w:t>
      </w:r>
    </w:p>
    <w:p>
      <w:pPr>
        <w:sectPr>
          <w:pgSz w:w="11900" w:h="16838" w:orient="portrait"/>
          <w:cols w:equalWidth="0" w:num="1">
            <w:col w:w="11360"/>
          </w:cols>
          <w:pgMar w:left="240" w:top="1440" w:right="299" w:bottom="1440" w:gutter="0" w:footer="0" w:header="0"/>
        </w:sectPr>
      </w:pPr>
    </w:p>
    <w:bookmarkStart w:id="6" w:name="page7"/>
    <w:bookmarkEnd w:id="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“Oil-Dri”, “Amlan”, “Cat’s Pride”, “Varium”, and “NeoPrime” are registered trademarks of Oil-Dri Corporation of America.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“Litter for Good” is a trademark of Oil-Dri Corporation of America.</w:t>
      </w:r>
    </w:p>
    <w:p>
      <w:pPr>
        <w:spacing w:after="0" w:line="3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29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002D69"/>
        </w:rPr>
        <w:t>(312) 321-1515</w:t>
      </w:r>
    </w:p>
    <w:p>
      <w:pPr>
        <w:sectPr>
          <w:pgSz w:w="11900" w:h="16838" w:orient="portrait"/>
          <w:cols w:equalWidth="0" w:num="1">
            <w:col w:w="11400"/>
          </w:cols>
          <w:pgMar w:left="240" w:top="1440" w:right="259" w:bottom="1440" w:gutter="0" w:footer="0" w:header="0"/>
        </w:sectPr>
      </w:pPr>
    </w:p>
    <w:bookmarkStart w:id="7" w:name="page8"/>
    <w:bookmarkEnd w:id="7"/>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Second Quarter Ended January 31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9"/>
                <w:szCs w:val="19"/>
                <w:color w:val="auto"/>
              </w:rPr>
            </w:pPr>
          </w:p>
        </w:tc>
        <w:tc>
          <w:tcPr>
            <w:tcW w:w="1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80" w:type="dxa"/>
            <w:vAlign w:val="bottom"/>
          </w:tcPr>
          <w:p>
            <w:pPr>
              <w:spacing w:after="0"/>
              <w:rPr>
                <w:sz w:val="19"/>
                <w:szCs w:val="19"/>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1480" w:type="dxa"/>
            <w:vAlign w:val="bottom"/>
            <w:vMerge w:val="restart"/>
          </w:tcPr>
          <w:p>
            <w:pPr>
              <w:jc w:val="right"/>
              <w:ind w:right="249"/>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69,880</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68,894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b w:val="1"/>
                <w:bCs w:val="1"/>
                <w:i w:val="1"/>
                <w:iCs w:val="1"/>
                <w:color w:val="auto"/>
              </w:rPr>
              <w:t>(1)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(54,476)</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(49,237)</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15,404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19,657</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b w:val="1"/>
                <w:bCs w:val="1"/>
                <w:i w:val="1"/>
                <w:iCs w:val="1"/>
                <w:color w:val="auto"/>
              </w:rPr>
              <w:t>(1)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2,827</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b w:val="1"/>
                <w:bCs w:val="1"/>
                <w:i w:val="1"/>
                <w:iCs w:val="1"/>
                <w:color w:val="auto"/>
              </w:rPr>
              <w:t>(1)</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2,788</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5,071</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2,282</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3"/>
                <w:szCs w:val="23"/>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4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Oil-Dri</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0.33</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5,121</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5,035</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2,068</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2,104</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7,229</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7,139</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January 31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1480" w:type="dxa"/>
            <w:vAlign w:val="bottom"/>
          </w:tcPr>
          <w:p>
            <w:pPr>
              <w:jc w:val="right"/>
              <w:ind w:right="249"/>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136,023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135,540</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b w:val="1"/>
                <w:bCs w:val="1"/>
                <w:i w:val="1"/>
                <w:iCs w:val="1"/>
                <w:color w:val="auto"/>
              </w:rPr>
              <w:t>(1)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(104,609)</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(96,908)</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31,414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38,632</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b w:val="1"/>
                <w:bCs w:val="1"/>
                <w:i w:val="1"/>
                <w:iCs w:val="1"/>
                <w:color w:val="auto"/>
              </w:rPr>
              <w:t>(1)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(27,584)</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(29,234)</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3,830</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9,398</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Other Income (Expense) </w:t>
            </w:r>
            <w:r>
              <w:rPr>
                <w:rFonts w:ascii="Times New Roman" w:cs="Times New Roman" w:eastAsia="Times New Roman" w:hAnsi="Times New Roman"/>
                <w:sz w:val="18"/>
                <w:szCs w:val="18"/>
                <w:b w:val="1"/>
                <w:bCs w:val="1"/>
                <w:i w:val="1"/>
                <w:iCs w:val="1"/>
                <w:color w:val="auto"/>
              </w:rPr>
              <w:t>(1)</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3,672</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8,910</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3,216</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9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17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w:t>
            </w:r>
          </w:p>
        </w:tc>
        <w:tc>
          <w:tcPr>
            <w:tcW w:w="28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3,193</w:t>
            </w:r>
          </w:p>
        </w:tc>
        <w:tc>
          <w:tcPr>
            <w:tcW w:w="2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22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1,954</w:t>
            </w:r>
          </w:p>
        </w:tc>
        <w:tc>
          <w:tcPr>
            <w:tcW w:w="2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5,099</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5,030</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2,069</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2,097</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7,242</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7,215</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right="120" w:firstLine="8"/>
        <w:spacing w:after="0" w:line="318" w:lineRule="auto"/>
        <w:tabs>
          <w:tab w:leader="none" w:pos="229"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Prior year amounts have been retrospectively adjusted to conform to the current year presentation of the non-service cost components of net periodic benefit cost required by new guidance under Accounting Standards Codification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ASC</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715, Improving the Presentation of Net Periodic Pension Cost and Net Periodic Postretirement Benefit Cost.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(312) 321-1515</w:t>
      </w:r>
    </w:p>
    <w:p>
      <w:pPr>
        <w:sectPr>
          <w:pgSz w:w="11900" w:h="16838" w:orient="portrait"/>
          <w:cols w:equalWidth="0" w:num="1">
            <w:col w:w="11420"/>
          </w:cols>
          <w:pgMar w:left="240" w:top="1440" w:right="239" w:bottom="0" w:gutter="0" w:footer="0" w:header="0"/>
        </w:sectPr>
      </w:pPr>
    </w:p>
    <w:bookmarkStart w:id="8" w:name="page9"/>
    <w:bookmarkEnd w:id="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18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9,375</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9,381</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21,894</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38,282</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32,309</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28,123</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22,603</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6,040</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82,300</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94,154</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86,193</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84,289</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24,644</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27,092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8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193,137</w:t>
            </w:r>
          </w:p>
        </w:tc>
        <w:tc>
          <w:tcPr>
            <w:tcW w:w="340" w:type="dxa"/>
            <w:vAlign w:val="bottom"/>
          </w:tcPr>
          <w:p>
            <w:pPr>
              <w:spacing w:after="0"/>
              <w:rPr>
                <w:sz w:val="22"/>
                <w:szCs w:val="22"/>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205,535</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2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318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3,083</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7,882</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8,089</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1,680</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18,444</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20,603</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31,089</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33,334</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3,038</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6,092</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26,246</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39,847</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29,284</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45,939</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132,764</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126,262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18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193,137</w:t>
            </w:r>
          </w:p>
        </w:tc>
        <w:tc>
          <w:tcPr>
            <w:tcW w:w="340" w:type="dxa"/>
            <w:vAlign w:val="bottom"/>
          </w:tcPr>
          <w:p>
            <w:pPr>
              <w:spacing w:after="0"/>
              <w:rPr>
                <w:sz w:val="22"/>
                <w:szCs w:val="22"/>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205,535</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2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18.52</w:t>
            </w:r>
          </w:p>
        </w:tc>
        <w:tc>
          <w:tcPr>
            <w:tcW w:w="340" w:type="dxa"/>
            <w:vAlign w:val="bottom"/>
          </w:tcPr>
          <w:p>
            <w:pPr>
              <w:spacing w:after="0"/>
              <w:rPr>
                <w:sz w:val="24"/>
                <w:szCs w:val="24"/>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567"/>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Acquisitions of:</w:t>
            </w: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2,141</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3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6,199</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3,234</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3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6,539</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175260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002D69"/>
        </w:rPr>
        <w:t>(312) 321-1515</w:t>
      </w:r>
    </w:p>
    <w:p>
      <w:pPr>
        <w:sectPr>
          <w:pgSz w:w="11900" w:h="16838" w:orient="portrait"/>
          <w:cols w:equalWidth="0" w:num="1">
            <w:col w:w="11380"/>
          </w:cols>
          <w:pgMar w:left="280" w:top="1440" w:right="239" w:bottom="1440" w:gutter="0" w:footer="0" w:header="0"/>
        </w:sectPr>
      </w:pPr>
    </w:p>
    <w:bookmarkStart w:id="10" w:name="page11"/>
    <w:bookmarkEnd w:id="10"/>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33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6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3,216</w:t>
            </w:r>
          </w:p>
        </w:tc>
        <w:tc>
          <w:tcPr>
            <w:tcW w:w="340" w:type="dxa"/>
            <w:vAlign w:val="bottom"/>
          </w:tcPr>
          <w:p>
            <w:pPr>
              <w:spacing w:after="0"/>
              <w:rPr>
                <w:sz w:val="23"/>
                <w:szCs w:val="23"/>
                <w:color w:val="auto"/>
              </w:rPr>
            </w:pP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6,539</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6,413</w:t>
            </w:r>
          </w:p>
        </w:tc>
        <w:tc>
          <w:tcPr>
            <w:tcW w:w="0" w:type="dxa"/>
            <w:vAlign w:val="bottom"/>
          </w:tcPr>
          <w:p>
            <w:pPr>
              <w:spacing w:after="0"/>
              <w:rPr>
                <w:sz w:val="1"/>
                <w:szCs w:val="1"/>
                <w:color w:val="auto"/>
              </w:rPr>
            </w:pPr>
          </w:p>
        </w:tc>
      </w:tr>
      <w:tr>
        <w:trPr>
          <w:trHeight w:val="27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(Increase) Decrease in Accounts Receivable</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7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(Increase) Decrease in Inventories</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Increase (Decrease) in Accounts Payable</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2,295</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7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(Decrease) in Accrued Expenses</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7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Increase in Pension and Postretirement Benefits</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6,556</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9,675</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2,692</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11,629</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Dispositions of Investment Securities</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6,654</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60" w:type="dxa"/>
            <w:vAlign w:val="bottom"/>
          </w:tcPr>
          <w:p>
            <w:pPr>
              <w:spacing w:after="0"/>
              <w:rPr>
                <w:sz w:val="23"/>
                <w:szCs w:val="23"/>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Principal Payments on Long-Term Debt</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Purchase of Treasury Stock</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24"/>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12,757</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9,375</w:t>
            </w:r>
          </w:p>
        </w:tc>
        <w:tc>
          <w:tcPr>
            <w:tcW w:w="340" w:type="dxa"/>
            <w:vAlign w:val="bottom"/>
          </w:tcPr>
          <w:p>
            <w:pPr>
              <w:spacing w:after="0"/>
              <w:rPr>
                <w:sz w:val="22"/>
                <w:szCs w:val="22"/>
                <w:color w:val="auto"/>
              </w:rPr>
            </w:pP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9,381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175260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u w:val="single" w:color="auto"/>
          <w:color w:val="002D69"/>
        </w:rPr>
        <w:t>InvestorRelations@oildri.com</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002D69"/>
        </w:rPr>
        <w:t>(312) 321-1515</w:t>
      </w:r>
    </w:p>
    <w:sectPr>
      <w:pgSz w:w="11900" w:h="16838" w:orient="portrait"/>
      <w:cols w:equalWidth="0" w:num="1">
        <w:col w:w="11380"/>
      </w:cols>
      <w:pgMar w:left="28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2020-01-09T16:20:20Z</dcterms:created>
  <dcterms:modified xsi:type="dcterms:W3CDTF">2020-01-09T16:20:20Z</dcterms:modified>
</cp:coreProperties>
</file>