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400" w:type="dxa"/>
            <w:vAlign w:val="bottom"/>
          </w:tcPr>
          <w:p>
            <w:pPr>
              <w:spacing w:after="0"/>
              <w:rPr>
                <w:sz w:val="20"/>
                <w:szCs w:val="20"/>
                <w:color w:val="auto"/>
              </w:rPr>
            </w:pPr>
            <w:r>
              <w:rPr>
                <w:rFonts w:ascii="Arial" w:cs="Arial" w:eastAsia="Arial" w:hAnsi="Arial"/>
                <w:sz w:val="17"/>
                <w:szCs w:val="17"/>
                <w:color w:val="auto"/>
              </w:rPr>
              <w:t>Date of Report (Date of earliest event reported)</w:t>
            </w:r>
          </w:p>
        </w:tc>
        <w:tc>
          <w:tcPr>
            <w:tcW w:w="1720" w:type="dxa"/>
            <w:vAlign w:val="bottom"/>
          </w:tcPr>
          <w:p>
            <w:pPr>
              <w:spacing w:after="0"/>
              <w:rPr>
                <w:sz w:val="20"/>
                <w:szCs w:val="20"/>
                <w:color w:val="auto"/>
              </w:rPr>
            </w:pPr>
          </w:p>
        </w:tc>
        <w:tc>
          <w:tcPr>
            <w:tcW w:w="21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w w:val="89"/>
              </w:rPr>
              <w:t>December 8, 2011</w:t>
            </w:r>
          </w:p>
        </w:tc>
        <w:tc>
          <w:tcPr>
            <w:tcW w:w="3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52"/>
        </w:trPr>
        <w:tc>
          <w:tcPr>
            <w:tcW w:w="44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234"/>
              <w:spacing w:after="0"/>
              <w:rPr>
                <w:sz w:val="20"/>
                <w:szCs w:val="20"/>
                <w:color w:val="auto"/>
              </w:rPr>
            </w:pPr>
            <w:r>
              <w:rPr>
                <w:rFonts w:ascii="Arial" w:cs="Arial" w:eastAsia="Arial" w:hAnsi="Arial"/>
                <w:sz w:val="17"/>
                <w:szCs w:val="17"/>
                <w:b w:val="1"/>
                <w:bCs w:val="1"/>
                <w:color w:val="auto"/>
              </w:rPr>
              <w:t>Oil-Dri Corporation of America</w:t>
            </w:r>
          </w:p>
        </w:tc>
        <w:tc>
          <w:tcPr>
            <w:tcW w:w="3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8220" w:type="dxa"/>
            <w:vAlign w:val="bottom"/>
            <w:gridSpan w:val="3"/>
          </w:tcPr>
          <w:p>
            <w:pPr>
              <w:jc w:val="right"/>
              <w:ind w:right="634"/>
              <w:spacing w:after="0"/>
              <w:rPr>
                <w:sz w:val="20"/>
                <w:szCs w:val="20"/>
                <w:color w:val="auto"/>
              </w:rPr>
            </w:pPr>
            <w:r>
              <w:rPr>
                <w:rFonts w:ascii="Arial" w:cs="Arial" w:eastAsia="Arial" w:hAnsi="Arial"/>
                <w:sz w:val="17"/>
                <w:szCs w:val="17"/>
                <w:color w:val="auto"/>
              </w:rPr>
              <w:t>(Exact name of registrant as specified in its charter)</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65"/>
        </w:trPr>
        <w:tc>
          <w:tcPr>
            <w:tcW w:w="440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3"/>
              </w:rPr>
              <w:t>Delaware</w:t>
            </w:r>
          </w:p>
        </w:tc>
        <w:tc>
          <w:tcPr>
            <w:tcW w:w="3820" w:type="dxa"/>
            <w:vAlign w:val="bottom"/>
            <w:tcBorders>
              <w:bottom w:val="single" w:sz="8" w:color="auto"/>
            </w:tcBorders>
            <w:gridSpan w:val="2"/>
          </w:tcPr>
          <w:p>
            <w:pPr>
              <w:jc w:val="right"/>
              <w:ind w:right="1294"/>
              <w:spacing w:after="0"/>
              <w:rPr>
                <w:sz w:val="20"/>
                <w:szCs w:val="20"/>
                <w:color w:val="auto"/>
              </w:rPr>
            </w:pPr>
            <w:r>
              <w:rPr>
                <w:rFonts w:ascii="Arial" w:cs="Arial" w:eastAsia="Arial" w:hAnsi="Arial"/>
                <w:sz w:val="17"/>
                <w:szCs w:val="17"/>
                <w:b w:val="1"/>
                <w:bCs w:val="1"/>
                <w:color w:val="auto"/>
              </w:rPr>
              <w:t>001-12622</w:t>
            </w:r>
          </w:p>
        </w:tc>
        <w:tc>
          <w:tcPr>
            <w:tcW w:w="32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36-2048898</w:t>
            </w:r>
          </w:p>
        </w:tc>
        <w:tc>
          <w:tcPr>
            <w:tcW w:w="20" w:type="dxa"/>
            <w:vAlign w:val="bottom"/>
          </w:tcPr>
          <w:p>
            <w:pPr>
              <w:spacing w:after="0"/>
              <w:rPr>
                <w:sz w:val="24"/>
                <w:szCs w:val="24"/>
                <w:color w:val="auto"/>
              </w:rPr>
            </w:pPr>
          </w:p>
        </w:tc>
      </w:tr>
      <w:tr>
        <w:trPr>
          <w:trHeight w:val="219"/>
        </w:trPr>
        <w:tc>
          <w:tcPr>
            <w:tcW w:w="4400" w:type="dxa"/>
            <w:vAlign w:val="bottom"/>
          </w:tcPr>
          <w:p>
            <w:pPr>
              <w:jc w:val="center"/>
              <w:ind w:right="214"/>
              <w:spacing w:after="0"/>
              <w:rPr>
                <w:sz w:val="20"/>
                <w:szCs w:val="20"/>
                <w:color w:val="auto"/>
              </w:rPr>
            </w:pPr>
            <w:r>
              <w:rPr>
                <w:rFonts w:ascii="Arial" w:cs="Arial" w:eastAsia="Arial" w:hAnsi="Arial"/>
                <w:sz w:val="17"/>
                <w:szCs w:val="17"/>
                <w:color w:val="auto"/>
                <w:w w:val="93"/>
              </w:rPr>
              <w:t>(State or other jurisdiction of incorporation)</w:t>
            </w:r>
          </w:p>
        </w:tc>
        <w:tc>
          <w:tcPr>
            <w:tcW w:w="3820" w:type="dxa"/>
            <w:vAlign w:val="bottom"/>
            <w:gridSpan w:val="2"/>
          </w:tcPr>
          <w:p>
            <w:pPr>
              <w:jc w:val="right"/>
              <w:ind w:right="714"/>
              <w:spacing w:after="0"/>
              <w:rPr>
                <w:sz w:val="20"/>
                <w:szCs w:val="20"/>
                <w:color w:val="auto"/>
              </w:rPr>
            </w:pPr>
            <w:r>
              <w:rPr>
                <w:rFonts w:ascii="Arial" w:cs="Arial" w:eastAsia="Arial" w:hAnsi="Arial"/>
                <w:sz w:val="17"/>
                <w:szCs w:val="17"/>
                <w:color w:val="auto"/>
              </w:rPr>
              <w:t>(Commission File Number)</w:t>
            </w:r>
          </w:p>
        </w:tc>
        <w:tc>
          <w:tcPr>
            <w:tcW w:w="3200" w:type="dxa"/>
            <w:vAlign w:val="bottom"/>
          </w:tcPr>
          <w:p>
            <w:pPr>
              <w:jc w:val="right"/>
              <w:spacing w:after="0"/>
              <w:rPr>
                <w:sz w:val="20"/>
                <w:szCs w:val="20"/>
                <w:color w:val="auto"/>
              </w:rPr>
            </w:pPr>
            <w:r>
              <w:rPr>
                <w:rFonts w:ascii="Arial" w:cs="Arial" w:eastAsia="Arial" w:hAnsi="Arial"/>
                <w:sz w:val="17"/>
                <w:szCs w:val="17"/>
                <w:color w:val="auto"/>
              </w:rPr>
              <w:t>(IRS Employer Identification No.)</w:t>
            </w:r>
          </w:p>
        </w:tc>
        <w:tc>
          <w:tcPr>
            <w:tcW w:w="20" w:type="dxa"/>
            <w:vAlign w:val="bottom"/>
          </w:tcPr>
          <w:p>
            <w:pPr>
              <w:spacing w:after="0"/>
              <w:rPr>
                <w:sz w:val="19"/>
                <w:szCs w:val="19"/>
                <w:color w:val="auto"/>
              </w:rPr>
            </w:pPr>
          </w:p>
        </w:tc>
      </w:tr>
      <w:tr>
        <w:trPr>
          <w:trHeight w:val="641"/>
        </w:trPr>
        <w:tc>
          <w:tcPr>
            <w:tcW w:w="4400" w:type="dxa"/>
            <w:vAlign w:val="bottom"/>
          </w:tcPr>
          <w:p>
            <w:pPr>
              <w:jc w:val="center"/>
              <w:ind w:left="1294"/>
              <w:spacing w:after="0"/>
              <w:rPr>
                <w:sz w:val="20"/>
                <w:szCs w:val="20"/>
                <w:color w:val="auto"/>
              </w:rPr>
            </w:pPr>
            <w:r>
              <w:rPr>
                <w:rFonts w:ascii="Arial" w:cs="Arial" w:eastAsia="Arial" w:hAnsi="Arial"/>
                <w:sz w:val="17"/>
                <w:szCs w:val="17"/>
                <w:b w:val="1"/>
                <w:bCs w:val="1"/>
                <w:color w:val="auto"/>
                <w:w w:val="92"/>
              </w:rPr>
              <w:t>410 North Michigan Avenue</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400" w:type="dxa"/>
            <w:vAlign w:val="bottom"/>
          </w:tcPr>
          <w:p>
            <w:pPr>
              <w:jc w:val="center"/>
              <w:ind w:left="1294"/>
              <w:spacing w:after="0"/>
              <w:rPr>
                <w:sz w:val="20"/>
                <w:szCs w:val="20"/>
                <w:color w:val="auto"/>
              </w:rPr>
            </w:pPr>
            <w:r>
              <w:rPr>
                <w:rFonts w:ascii="Arial" w:cs="Arial" w:eastAsia="Arial" w:hAnsi="Arial"/>
                <w:sz w:val="17"/>
                <w:szCs w:val="17"/>
                <w:b w:val="1"/>
                <w:bCs w:val="1"/>
                <w:color w:val="auto"/>
                <w:w w:val="88"/>
              </w:rPr>
              <w:t>Suite 400</w:t>
            </w:r>
          </w:p>
        </w:tc>
        <w:tc>
          <w:tcPr>
            <w:tcW w:w="1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3"/>
        </w:trPr>
        <w:tc>
          <w:tcPr>
            <w:tcW w:w="4400" w:type="dxa"/>
            <w:vAlign w:val="bottom"/>
            <w:tcBorders>
              <w:bottom w:val="single" w:sz="8" w:color="auto"/>
            </w:tcBorders>
          </w:tcPr>
          <w:p>
            <w:pPr>
              <w:jc w:val="center"/>
              <w:ind w:left="1294"/>
              <w:spacing w:after="0"/>
              <w:rPr>
                <w:sz w:val="20"/>
                <w:szCs w:val="20"/>
                <w:color w:val="auto"/>
              </w:rPr>
            </w:pPr>
            <w:r>
              <w:rPr>
                <w:rFonts w:ascii="Arial" w:cs="Arial" w:eastAsia="Arial" w:hAnsi="Arial"/>
                <w:sz w:val="17"/>
                <w:szCs w:val="17"/>
                <w:b w:val="1"/>
                <w:bCs w:val="1"/>
                <w:color w:val="auto"/>
                <w:w w:val="90"/>
              </w:rPr>
              <w:t>Chicago, Illinois</w:t>
            </w:r>
          </w:p>
        </w:tc>
        <w:tc>
          <w:tcPr>
            <w:tcW w:w="1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60611-4213</w:t>
            </w:r>
          </w:p>
        </w:tc>
      </w:tr>
      <w:tr>
        <w:trPr>
          <w:trHeight w:val="219"/>
        </w:trPr>
        <w:tc>
          <w:tcPr>
            <w:tcW w:w="4400" w:type="dxa"/>
            <w:vAlign w:val="bottom"/>
          </w:tcPr>
          <w:p>
            <w:pPr>
              <w:jc w:val="center"/>
              <w:ind w:left="1294"/>
              <w:spacing w:after="0"/>
              <w:rPr>
                <w:sz w:val="20"/>
                <w:szCs w:val="20"/>
                <w:color w:val="auto"/>
              </w:rPr>
            </w:pPr>
            <w:r>
              <w:rPr>
                <w:rFonts w:ascii="Arial" w:cs="Arial" w:eastAsia="Arial" w:hAnsi="Arial"/>
                <w:sz w:val="17"/>
                <w:szCs w:val="17"/>
                <w:color w:val="auto"/>
                <w:w w:val="94"/>
              </w:rPr>
              <w:t>(Address of principal executive offices)</w:t>
            </w:r>
          </w:p>
        </w:tc>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7"/>
                <w:szCs w:val="17"/>
                <w:color w:val="auto"/>
              </w:rPr>
              <w:t>(Zip Code)</w:t>
            </w:r>
          </w:p>
        </w:tc>
      </w:tr>
      <w:tr>
        <w:trPr>
          <w:trHeight w:val="432"/>
        </w:trPr>
        <w:tc>
          <w:tcPr>
            <w:tcW w:w="4400" w:type="dxa"/>
            <w:vAlign w:val="bottom"/>
          </w:tcPr>
          <w:p>
            <w:pPr>
              <w:spacing w:after="0"/>
              <w:rPr>
                <w:sz w:val="20"/>
                <w:szCs w:val="20"/>
                <w:color w:val="auto"/>
              </w:rPr>
            </w:pPr>
            <w:r>
              <w:rPr>
                <w:rFonts w:ascii="Arial" w:cs="Arial" w:eastAsia="Arial" w:hAnsi="Arial"/>
                <w:sz w:val="17"/>
                <w:szCs w:val="17"/>
                <w:color w:val="auto"/>
              </w:rPr>
              <w:t>Registrant’s telephone number, including area code</w:t>
            </w:r>
          </w:p>
        </w:tc>
        <w:tc>
          <w:tcPr>
            <w:tcW w:w="1720" w:type="dxa"/>
            <w:vAlign w:val="bottom"/>
          </w:tcPr>
          <w:p>
            <w:pPr>
              <w:spacing w:after="0"/>
              <w:rPr>
                <w:sz w:val="24"/>
                <w:szCs w:val="24"/>
                <w:color w:val="auto"/>
              </w:rPr>
            </w:pPr>
          </w:p>
        </w:tc>
        <w:tc>
          <w:tcPr>
            <w:tcW w:w="210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b w:val="1"/>
                <w:bCs w:val="1"/>
                <w:color w:val="auto"/>
                <w:w w:val="91"/>
              </w:rPr>
              <w:t>(312) 321-1515</w:t>
            </w:r>
          </w:p>
        </w:tc>
        <w:tc>
          <w:tcPr>
            <w:tcW w:w="3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278765</wp:posOffset>
            </wp:positionV>
            <wp:extent cx="72523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jc w:val="both"/>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5" w:lineRule="exact"/>
        <w:rPr>
          <w:sz w:val="24"/>
          <w:szCs w:val="24"/>
          <w:color w:val="auto"/>
        </w:rPr>
      </w:pPr>
    </w:p>
    <w:p>
      <w:pPr>
        <w:ind w:left="560" w:hanging="557"/>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Arial" w:cs="Arial" w:eastAsia="Arial" w:hAnsi="Arial"/>
          <w:sz w:val="17"/>
          <w:szCs w:val="17"/>
          <w:color w:val="auto"/>
        </w:rPr>
      </w:pPr>
    </w:p>
    <w:p>
      <w:pPr>
        <w:ind w:left="560" w:hanging="557"/>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Arial" w:cs="Arial" w:eastAsia="Arial" w:hAnsi="Arial"/>
          <w:sz w:val="17"/>
          <w:szCs w:val="17"/>
          <w:color w:val="auto"/>
        </w:rPr>
      </w:pPr>
    </w:p>
    <w:p>
      <w:pPr>
        <w:ind w:left="560" w:hanging="557"/>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Arial" w:cs="Arial" w:eastAsia="Arial" w:hAnsi="Arial"/>
          <w:sz w:val="17"/>
          <w:szCs w:val="17"/>
          <w:color w:val="auto"/>
        </w:rPr>
      </w:pPr>
    </w:p>
    <w:p>
      <w:pPr>
        <w:ind w:left="560" w:hanging="557"/>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1" w:name="page2"/>
    <w:bookmarkEnd w:id="1"/>
    <w:p>
      <w:pPr>
        <w:spacing w:after="0"/>
        <w:tabs>
          <w:tab w:leader="none" w:pos="1500" w:val="left"/>
        </w:tabs>
        <w:rPr>
          <w:sz w:val="20"/>
          <w:szCs w:val="20"/>
          <w:color w:val="auto"/>
        </w:rPr>
      </w:pPr>
      <w:r>
        <w:rPr>
          <w:rFonts w:ascii="Arial" w:cs="Arial" w:eastAsia="Arial" w:hAnsi="Arial"/>
          <w:sz w:val="17"/>
          <w:szCs w:val="17"/>
          <w:b w:val="1"/>
          <w:bCs w:val="1"/>
          <w:u w:val="single" w:color="auto"/>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50"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On December 8, 2011, Oil-Dri Corporation of America (the “Registrant”) issued a press release announcing its results of operations for its first quarter ended October 31, 2011.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3"/>
              </w:rPr>
              <w:t>Item 9.01</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40" w:type="dxa"/>
            <w:vAlign w:val="bottom"/>
          </w:tcPr>
          <w:p>
            <w:pPr>
              <w:ind w:left="4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58"/>
        </w:trPr>
        <w:tc>
          <w:tcPr>
            <w:tcW w:w="620" w:type="dxa"/>
            <w:vAlign w:val="bottom"/>
          </w:tcPr>
          <w:p>
            <w:pPr>
              <w:spacing w:after="0"/>
              <w:rPr>
                <w:sz w:val="20"/>
                <w:szCs w:val="20"/>
                <w:color w:val="auto"/>
              </w:rPr>
            </w:pPr>
            <w:r>
              <w:rPr>
                <w:rFonts w:ascii="Arial" w:cs="Arial" w:eastAsia="Arial" w:hAnsi="Arial"/>
                <w:sz w:val="17"/>
                <w:szCs w:val="17"/>
                <w:color w:val="auto"/>
              </w:rPr>
              <w:t>(d)</w:t>
            </w:r>
          </w:p>
        </w:tc>
        <w:tc>
          <w:tcPr>
            <w:tcW w:w="640" w:type="dxa"/>
            <w:vAlign w:val="bottom"/>
            <w:gridSpan w:val="2"/>
          </w:tcPr>
          <w:p>
            <w:pPr>
              <w:ind w:left="60"/>
              <w:spacing w:after="0"/>
              <w:rPr>
                <w:sz w:val="20"/>
                <w:szCs w:val="20"/>
                <w:color w:val="auto"/>
              </w:rPr>
            </w:pPr>
            <w:r>
              <w:rPr>
                <w:rFonts w:ascii="Arial" w:cs="Arial" w:eastAsia="Arial" w:hAnsi="Arial"/>
                <w:sz w:val="17"/>
                <w:szCs w:val="17"/>
                <w:color w:val="auto"/>
                <w:w w:val="94"/>
              </w:rPr>
              <w:t>Exhibits</w:t>
            </w:r>
          </w:p>
        </w:tc>
        <w:tc>
          <w:tcPr>
            <w:tcW w:w="22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659"/>
        </w:trPr>
        <w:tc>
          <w:tcPr>
            <w:tcW w:w="620" w:type="dxa"/>
            <w:vAlign w:val="bottom"/>
          </w:tcPr>
          <w:p>
            <w:pPr>
              <w:spacing w:after="0"/>
              <w:rPr>
                <w:sz w:val="20"/>
                <w:szCs w:val="20"/>
                <w:color w:val="auto"/>
              </w:rPr>
            </w:pPr>
            <w:r>
              <w:rPr>
                <w:rFonts w:ascii="Arial" w:cs="Arial" w:eastAsia="Arial" w:hAnsi="Arial"/>
                <w:sz w:val="17"/>
                <w:szCs w:val="17"/>
                <w:color w:val="auto"/>
              </w:rPr>
              <w:t>Exhibit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225"/>
        </w:trPr>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Number</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940" w:type="dxa"/>
            <w:vAlign w:val="bottom"/>
            <w:tcBorders>
              <w:bottom w:val="single" w:sz="8" w:color="auto"/>
            </w:tcBorders>
          </w:tcPr>
          <w:p>
            <w:pPr>
              <w:ind w:left="4180"/>
              <w:spacing w:after="0"/>
              <w:rPr>
                <w:sz w:val="20"/>
                <w:szCs w:val="20"/>
                <w:color w:val="auto"/>
              </w:rPr>
            </w:pPr>
            <w:r>
              <w:rPr>
                <w:rFonts w:ascii="Arial" w:cs="Arial" w:eastAsia="Arial" w:hAnsi="Arial"/>
                <w:sz w:val="17"/>
                <w:szCs w:val="17"/>
                <w:color w:val="auto"/>
              </w:rPr>
              <w:t>Description of Exhibits</w:t>
            </w:r>
          </w:p>
        </w:tc>
      </w:tr>
      <w:tr>
        <w:trPr>
          <w:trHeight w:val="414"/>
        </w:trPr>
        <w:tc>
          <w:tcPr>
            <w:tcW w:w="620" w:type="dxa"/>
            <w:vAlign w:val="bottom"/>
          </w:tcPr>
          <w:p>
            <w:pPr>
              <w:spacing w:after="0"/>
              <w:rPr>
                <w:sz w:val="20"/>
                <w:szCs w:val="20"/>
                <w:color w:val="auto"/>
              </w:rPr>
            </w:pPr>
            <w:r>
              <w:rPr>
                <w:rFonts w:ascii="Arial" w:cs="Arial" w:eastAsia="Arial" w:hAnsi="Arial"/>
                <w:sz w:val="17"/>
                <w:szCs w:val="17"/>
                <w:color w:val="auto"/>
              </w:rPr>
              <w:t>99.1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7"/>
                <w:szCs w:val="17"/>
                <w:color w:val="auto"/>
              </w:rPr>
              <w:t>Press Release dated December 8, 2011 (Quarterly Earnings)</w:t>
            </w:r>
          </w:p>
        </w:tc>
      </w:tr>
      <w:tr>
        <w:trPr>
          <w:trHeight w:val="1085"/>
        </w:trPr>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72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82"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OIL-DRI CORPORATION OF AMERICA</w:t>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23495</wp:posOffset>
            </wp:positionV>
            <wp:extent cx="253492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92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Douglas A. Graham</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Vice President and 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December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2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00"/>
          </w:cols>
          <w:pgMar w:left="240" w:top="961"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40" w:type="dxa"/>
            <w:vAlign w:val="bottom"/>
            <w:gridSpan w:val="3"/>
          </w:tcPr>
          <w:p>
            <w:pPr>
              <w:ind w:left="3760"/>
              <w:spacing w:after="0"/>
              <w:rPr>
                <w:sz w:val="20"/>
                <w:szCs w:val="20"/>
                <w:color w:val="auto"/>
              </w:rPr>
            </w:pPr>
            <w:r>
              <w:rPr>
                <w:rFonts w:ascii="Arial" w:cs="Arial" w:eastAsia="Arial" w:hAnsi="Arial"/>
                <w:sz w:val="17"/>
                <w:szCs w:val="17"/>
                <w:color w:val="auto"/>
              </w:rPr>
              <w:t>Exhibit Index</w:t>
            </w:r>
          </w:p>
        </w:tc>
      </w:tr>
      <w:tr>
        <w:trPr>
          <w:trHeight w:val="678"/>
        </w:trPr>
        <w:tc>
          <w:tcPr>
            <w:tcW w:w="1260" w:type="dxa"/>
            <w:vAlign w:val="bottom"/>
          </w:tcPr>
          <w:p>
            <w:pPr>
              <w:spacing w:after="0"/>
              <w:rPr>
                <w:sz w:val="20"/>
                <w:szCs w:val="20"/>
                <w:color w:val="auto"/>
              </w:rPr>
            </w:pPr>
            <w:r>
              <w:rPr>
                <w:rFonts w:ascii="Arial" w:cs="Arial" w:eastAsia="Arial" w:hAnsi="Arial"/>
                <w:sz w:val="17"/>
                <w:szCs w:val="17"/>
                <w:color w:val="auto"/>
              </w:rPr>
              <w:t>Exhibit</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22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Number</w:t>
            </w:r>
          </w:p>
        </w:tc>
        <w:tc>
          <w:tcPr>
            <w:tcW w:w="220" w:type="dxa"/>
            <w:vAlign w:val="bottom"/>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color w:val="auto"/>
              </w:rPr>
              <w:t>Description of Exhibits</w:t>
            </w:r>
          </w:p>
        </w:tc>
      </w:tr>
      <w:tr>
        <w:trPr>
          <w:trHeight w:val="414"/>
        </w:trPr>
        <w:tc>
          <w:tcPr>
            <w:tcW w:w="1260" w:type="dxa"/>
            <w:vAlign w:val="bottom"/>
          </w:tcPr>
          <w:p>
            <w:pPr>
              <w:spacing w:after="0"/>
              <w:rPr>
                <w:sz w:val="20"/>
                <w:szCs w:val="20"/>
                <w:color w:val="auto"/>
              </w:rPr>
            </w:pPr>
            <w:r>
              <w:rPr>
                <w:rFonts w:ascii="Arial" w:cs="Arial" w:eastAsia="Arial" w:hAnsi="Arial"/>
                <w:sz w:val="17"/>
                <w:szCs w:val="17"/>
                <w:color w:val="auto"/>
              </w:rPr>
              <w:t>99.1</w:t>
            </w:r>
          </w:p>
        </w:tc>
        <w:tc>
          <w:tcPr>
            <w:tcW w:w="22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Press Release dated December 8, 2011 (Quarterly Earnings)</w:t>
            </w:r>
          </w:p>
        </w:tc>
      </w:tr>
      <w:tr>
        <w:trPr>
          <w:trHeight w:val="852"/>
        </w:trPr>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435735" cy="623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5735" cy="62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41"/>
          <w:szCs w:val="41"/>
          <w:b w:val="1"/>
          <w:bCs w:val="1"/>
          <w:color w:val="0000FF"/>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7329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9700" w:val="left"/>
        </w:tabs>
        <w:rPr>
          <w:sz w:val="20"/>
          <w:szCs w:val="20"/>
          <w:color w:val="auto"/>
        </w:rPr>
      </w:pPr>
      <w:r>
        <w:rPr>
          <w:rFonts w:ascii="Arial" w:cs="Arial" w:eastAsia="Arial" w:hAnsi="Arial"/>
          <w:sz w:val="17"/>
          <w:szCs w:val="17"/>
          <w:b w:val="1"/>
          <w:bCs w:val="1"/>
          <w:color w:val="auto"/>
        </w:rPr>
        <w:t>News Announcement</w:t>
      </w:r>
      <w:r>
        <w:rPr>
          <w:sz w:val="20"/>
          <w:szCs w:val="20"/>
          <w:color w:val="auto"/>
        </w:rPr>
        <w:tab/>
      </w:r>
      <w:r>
        <w:rPr>
          <w:rFonts w:ascii="Arial" w:cs="Arial" w:eastAsia="Arial" w:hAnsi="Arial"/>
          <w:sz w:val="15"/>
          <w:szCs w:val="15"/>
          <w:b w:val="1"/>
          <w:bCs w:val="1"/>
          <w:color w:val="auto"/>
        </w:rPr>
        <w:t>For Immediate Release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Ronda J. Williams, 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Oil-Dri Corporation of America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312/706-3232; ronda.williams@oildri.com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Oil-Dri Announces First Quarter Results</w:t>
      </w:r>
    </w:p>
    <w:p>
      <w:pPr>
        <w:spacing w:after="0" w:line="340" w:lineRule="exact"/>
        <w:rPr>
          <w:sz w:val="20"/>
          <w:szCs w:val="20"/>
          <w:color w:val="auto"/>
        </w:rPr>
      </w:pPr>
    </w:p>
    <w:p>
      <w:pPr>
        <w:jc w:val="both"/>
        <w:ind w:right="60"/>
        <w:spacing w:after="0" w:line="478" w:lineRule="auto"/>
        <w:rPr>
          <w:sz w:val="20"/>
          <w:szCs w:val="20"/>
          <w:color w:val="auto"/>
        </w:rPr>
      </w:pPr>
      <w:r>
        <w:rPr>
          <w:rFonts w:ascii="Arial" w:cs="Arial" w:eastAsia="Arial" w:hAnsi="Arial"/>
          <w:sz w:val="16"/>
          <w:szCs w:val="16"/>
          <w:color w:val="auto"/>
        </w:rPr>
        <w:t>CHICAGO – (December 8, 2011) – Oil-Dri Corporation of America (NYSE: ODC) today announced net sales of $59,582,000 for the first quarter ended October 31, 2011, a 6% increase compared with net sales of $56,285,000 in the same quarter one year ago. Net income for the first quarter was $1,075,000, or $0.15 per diluted share, a 57% decrease compared with net income of $2,519,000 or $0.35 per diluted share, for the same quarter one year ago.</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Q</w:t>
      </w:r>
      <w:r>
        <w:rPr>
          <w:rFonts w:ascii="Arial" w:cs="Arial" w:eastAsia="Arial" w:hAnsi="Arial"/>
          <w:sz w:val="11"/>
          <w:szCs w:val="11"/>
          <w:b w:val="1"/>
          <w:bCs w:val="1"/>
          <w:color w:val="auto"/>
        </w:rPr>
        <w:t>UARTER</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USINESS</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EVIEW</w:t>
      </w:r>
    </w:p>
    <w:p>
      <w:pPr>
        <w:spacing w:after="0" w:line="159" w:lineRule="exact"/>
        <w:rPr>
          <w:sz w:val="20"/>
          <w:szCs w:val="20"/>
          <w:color w:val="auto"/>
        </w:rPr>
      </w:pPr>
    </w:p>
    <w:p>
      <w:pPr>
        <w:ind w:right="240"/>
        <w:spacing w:after="0" w:line="457" w:lineRule="auto"/>
        <w:rPr>
          <w:sz w:val="20"/>
          <w:szCs w:val="20"/>
          <w:color w:val="auto"/>
        </w:rPr>
      </w:pPr>
      <w:r>
        <w:rPr>
          <w:rFonts w:ascii="Arial" w:cs="Arial" w:eastAsia="Arial" w:hAnsi="Arial"/>
          <w:sz w:val="17"/>
          <w:szCs w:val="17"/>
          <w:color w:val="auto"/>
        </w:rPr>
        <w:t>President and Chief Executive Officer Daniel S. Jaffee said, “This quarter’s results reflect increased net sales of higher margin products combined with significant promotional spending to support our newly introduced Cat’s Pride Fresh &amp; Light cat litter.</w:t>
      </w:r>
    </w:p>
    <w:p>
      <w:pPr>
        <w:spacing w:after="0" w:line="302" w:lineRule="exact"/>
        <w:rPr>
          <w:sz w:val="20"/>
          <w:szCs w:val="20"/>
          <w:color w:val="auto"/>
        </w:rPr>
      </w:pPr>
    </w:p>
    <w:p>
      <w:pPr>
        <w:ind w:right="180"/>
        <w:spacing w:after="0" w:line="518" w:lineRule="auto"/>
        <w:rPr>
          <w:sz w:val="20"/>
          <w:szCs w:val="20"/>
          <w:color w:val="auto"/>
        </w:rPr>
      </w:pPr>
      <w:r>
        <w:rPr>
          <w:rFonts w:ascii="Arial" w:cs="Arial" w:eastAsia="Arial" w:hAnsi="Arial"/>
          <w:sz w:val="15"/>
          <w:szCs w:val="15"/>
          <w:color w:val="auto"/>
        </w:rPr>
        <w:t>“Business to Business products showed significant sales and income growth which helped to defray advertising and promotional costs for Cat’s Pride Fresh &amp; Light. During the quarter advertising and promotional expenses were nearly $3,000,000 more than those same expenditures one year ago. We are pleased with the initial positive retailer and consumer response to our new litter and expect distribution to grow for this product throughout the balance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5"/>
        </w:trPr>
        <w:tc>
          <w:tcPr>
            <w:tcW w:w="4320" w:type="dxa"/>
            <w:vAlign w:val="bottom"/>
          </w:tcPr>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Q</w:t>
            </w:r>
            <w:r>
              <w:rPr>
                <w:rFonts w:ascii="Arial" w:cs="Arial" w:eastAsia="Arial" w:hAnsi="Arial"/>
                <w:sz w:val="11"/>
                <w:szCs w:val="11"/>
                <w:b w:val="1"/>
                <w:bCs w:val="1"/>
                <w:color w:val="auto"/>
              </w:rPr>
              <w:t>UARTER</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EGMENT</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EVIEW</w:t>
            </w: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20" w:type="dxa"/>
            <w:vAlign w:val="bottom"/>
            <w:tcBorders>
              <w:bottom w:val="single" w:sz="8" w:color="auto"/>
            </w:tcBorders>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320" w:type="dxa"/>
            <w:vAlign w:val="bottom"/>
            <w:tcBorders>
              <w:left w:val="single" w:sz="8" w:color="auto"/>
            </w:tcBorders>
          </w:tcPr>
          <w:p>
            <w:pPr>
              <w:ind w:left="20"/>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USINESS TO</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USINESS</w:t>
            </w:r>
          </w:p>
        </w:tc>
        <w:tc>
          <w:tcPr>
            <w:tcW w:w="3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60" w:type="dxa"/>
            <w:vAlign w:val="bottom"/>
            <w:gridSpan w:val="2"/>
          </w:tcPr>
          <w:p>
            <w:pPr>
              <w:ind w:left="8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Q</w:t>
            </w:r>
            <w:r>
              <w:rPr>
                <w:rFonts w:ascii="Arial" w:cs="Arial" w:eastAsia="Arial" w:hAnsi="Arial"/>
                <w:sz w:val="11"/>
                <w:szCs w:val="11"/>
                <w:b w:val="1"/>
                <w:bCs w:val="1"/>
                <w:color w:val="auto"/>
              </w:rPr>
              <w:t>UARTER</w:t>
            </w:r>
          </w:p>
        </w:tc>
        <w:tc>
          <w:tcPr>
            <w:tcW w:w="0" w:type="dxa"/>
            <w:vAlign w:val="bottom"/>
          </w:tcPr>
          <w:p>
            <w:pPr>
              <w:spacing w:after="0"/>
              <w:rPr>
                <w:sz w:val="1"/>
                <w:szCs w:val="1"/>
                <w:color w:val="auto"/>
              </w:rPr>
            </w:pPr>
          </w:p>
        </w:tc>
      </w:tr>
      <w:tr>
        <w:trPr>
          <w:trHeight w:val="57"/>
        </w:trPr>
        <w:tc>
          <w:tcPr>
            <w:tcW w:w="4320" w:type="dxa"/>
            <w:vAlign w:val="bottom"/>
            <w:tcBorders>
              <w:left w:val="single" w:sz="8" w:color="auto"/>
              <w:bottom w:val="single" w:sz="8" w:color="auto"/>
            </w:tcBorders>
          </w:tcPr>
          <w:p>
            <w:pPr>
              <w:spacing w:after="0"/>
              <w:rPr>
                <w:sz w:val="4"/>
                <w:szCs w:val="4"/>
                <w:color w:val="auto"/>
              </w:rPr>
            </w:pPr>
          </w:p>
        </w:tc>
        <w:tc>
          <w:tcPr>
            <w:tcW w:w="3240" w:type="dxa"/>
            <w:vAlign w:val="bottom"/>
            <w:vMerge w:val="restart"/>
          </w:tcPr>
          <w:p>
            <w:pPr>
              <w:ind w:left="15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ISCAL</w:t>
            </w:r>
            <w:r>
              <w:rPr>
                <w:rFonts w:ascii="Arial" w:cs="Arial" w:eastAsia="Arial" w:hAnsi="Arial"/>
                <w:sz w:val="17"/>
                <w:szCs w:val="17"/>
                <w:b w:val="1"/>
                <w:bCs w:val="1"/>
                <w:color w:val="auto"/>
              </w:rPr>
              <w:t xml:space="preserve"> 2012</w:t>
            </w:r>
          </w:p>
        </w:tc>
        <w:tc>
          <w:tcPr>
            <w:tcW w:w="20" w:type="dxa"/>
            <w:vAlign w:val="bottom"/>
          </w:tcPr>
          <w:p>
            <w:pPr>
              <w:spacing w:after="0"/>
              <w:rPr>
                <w:sz w:val="4"/>
                <w:szCs w:val="4"/>
                <w:color w:val="auto"/>
              </w:rPr>
            </w:pPr>
          </w:p>
        </w:tc>
        <w:tc>
          <w:tcPr>
            <w:tcW w:w="3840" w:type="dxa"/>
            <w:vAlign w:val="bottom"/>
            <w:vMerge w:val="restart"/>
          </w:tcPr>
          <w:p>
            <w:pPr>
              <w:ind w:left="18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ISCAL</w:t>
            </w:r>
            <w:r>
              <w:rPr>
                <w:rFonts w:ascii="Arial" w:cs="Arial" w:eastAsia="Arial" w:hAnsi="Arial"/>
                <w:sz w:val="17"/>
                <w:szCs w:val="17"/>
                <w:b w:val="1"/>
                <w:bCs w:val="1"/>
                <w:color w:val="auto"/>
              </w:rPr>
              <w:t xml:space="preserve"> 2011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320" w:type="dxa"/>
            <w:vAlign w:val="bottom"/>
            <w:tcBorders>
              <w:left w:val="single" w:sz="8" w:color="auto"/>
              <w:right w:val="single" w:sz="8" w:color="auto"/>
            </w:tcBorders>
          </w:tcPr>
          <w:p>
            <w:pPr>
              <w:spacing w:after="0"/>
              <w:rPr>
                <w:sz w:val="23"/>
                <w:szCs w:val="23"/>
                <w:color w:val="auto"/>
              </w:rPr>
            </w:pPr>
          </w:p>
        </w:tc>
        <w:tc>
          <w:tcPr>
            <w:tcW w:w="3240" w:type="dxa"/>
            <w:vAlign w:val="bottom"/>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3840" w:type="dxa"/>
            <w:vAlign w:val="bottom"/>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Net Sales</w:t>
            </w:r>
          </w:p>
        </w:tc>
        <w:tc>
          <w:tcPr>
            <w:tcW w:w="3240" w:type="dxa"/>
            <w:vAlign w:val="bottom"/>
          </w:tcPr>
          <w:p>
            <w:pPr>
              <w:jc w:val="right"/>
              <w:ind w:right="794"/>
              <w:spacing w:after="0"/>
              <w:rPr>
                <w:sz w:val="20"/>
                <w:szCs w:val="20"/>
                <w:color w:val="auto"/>
              </w:rPr>
            </w:pPr>
            <w:r>
              <w:rPr>
                <w:rFonts w:ascii="Arial" w:cs="Arial" w:eastAsia="Arial" w:hAnsi="Arial"/>
                <w:sz w:val="17"/>
                <w:szCs w:val="17"/>
                <w:color w:val="auto"/>
              </w:rPr>
              <w:t>$20,934,000</w:t>
            </w:r>
          </w:p>
        </w:tc>
        <w:tc>
          <w:tcPr>
            <w:tcW w:w="20" w:type="dxa"/>
            <w:vAlign w:val="bottom"/>
            <w:shd w:val="clear" w:color="auto" w:fill="000000"/>
          </w:tcPr>
          <w:p>
            <w:pPr>
              <w:spacing w:after="0"/>
              <w:rPr>
                <w:sz w:val="23"/>
                <w:szCs w:val="23"/>
                <w:color w:val="auto"/>
              </w:rPr>
            </w:pPr>
          </w:p>
        </w:tc>
        <w:tc>
          <w:tcPr>
            <w:tcW w:w="3840" w:type="dxa"/>
            <w:vAlign w:val="bottom"/>
          </w:tcPr>
          <w:p>
            <w:pPr>
              <w:jc w:val="right"/>
              <w:ind w:right="1094"/>
              <w:spacing w:after="0"/>
              <w:rPr>
                <w:sz w:val="20"/>
                <w:szCs w:val="20"/>
                <w:color w:val="auto"/>
              </w:rPr>
            </w:pPr>
            <w:r>
              <w:rPr>
                <w:rFonts w:ascii="Arial" w:cs="Arial" w:eastAsia="Arial" w:hAnsi="Arial"/>
                <w:sz w:val="17"/>
                <w:szCs w:val="17"/>
                <w:color w:val="auto"/>
              </w:rPr>
              <w:t>$19,045,000</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Segment Income</w:t>
            </w:r>
          </w:p>
        </w:tc>
        <w:tc>
          <w:tcPr>
            <w:tcW w:w="3240" w:type="dxa"/>
            <w:vAlign w:val="bottom"/>
          </w:tcPr>
          <w:p>
            <w:pPr>
              <w:jc w:val="right"/>
              <w:ind w:right="834"/>
              <w:spacing w:after="0"/>
              <w:rPr>
                <w:sz w:val="20"/>
                <w:szCs w:val="20"/>
                <w:color w:val="auto"/>
              </w:rPr>
            </w:pPr>
            <w:r>
              <w:rPr>
                <w:rFonts w:ascii="Arial" w:cs="Arial" w:eastAsia="Arial" w:hAnsi="Arial"/>
                <w:sz w:val="17"/>
                <w:szCs w:val="17"/>
                <w:color w:val="auto"/>
              </w:rPr>
              <w:t>$7,440,000</w:t>
            </w:r>
          </w:p>
        </w:tc>
        <w:tc>
          <w:tcPr>
            <w:tcW w:w="20" w:type="dxa"/>
            <w:vAlign w:val="bottom"/>
            <w:shd w:val="clear" w:color="auto" w:fill="000000"/>
          </w:tcPr>
          <w:p>
            <w:pPr>
              <w:spacing w:after="0"/>
              <w:rPr>
                <w:sz w:val="23"/>
                <w:szCs w:val="23"/>
                <w:color w:val="auto"/>
              </w:rPr>
            </w:pPr>
          </w:p>
        </w:tc>
        <w:tc>
          <w:tcPr>
            <w:tcW w:w="3840" w:type="dxa"/>
            <w:vAlign w:val="bottom"/>
          </w:tcPr>
          <w:p>
            <w:pPr>
              <w:jc w:val="right"/>
              <w:ind w:right="1134"/>
              <w:spacing w:after="0"/>
              <w:rPr>
                <w:sz w:val="20"/>
                <w:szCs w:val="20"/>
                <w:color w:val="auto"/>
              </w:rPr>
            </w:pPr>
            <w:r>
              <w:rPr>
                <w:rFonts w:ascii="Arial" w:cs="Arial" w:eastAsia="Arial" w:hAnsi="Arial"/>
                <w:sz w:val="17"/>
                <w:szCs w:val="17"/>
                <w:color w:val="auto"/>
              </w:rPr>
              <w:t>$5,288,000</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-906145</wp:posOffset>
            </wp:positionV>
            <wp:extent cx="4545965" cy="255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5965" cy="2552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120"/>
        <w:spacing w:after="0" w:line="468" w:lineRule="auto"/>
        <w:rPr>
          <w:sz w:val="20"/>
          <w:szCs w:val="20"/>
          <w:color w:val="auto"/>
        </w:rPr>
      </w:pPr>
      <w:r>
        <w:rPr>
          <w:rFonts w:ascii="Arial" w:cs="Arial" w:eastAsia="Arial" w:hAnsi="Arial"/>
          <w:sz w:val="16"/>
          <w:szCs w:val="16"/>
          <w:color w:val="auto"/>
        </w:rPr>
        <w:t xml:space="preserve">Net sales for the Company’s </w:t>
      </w:r>
      <w:r>
        <w:rPr>
          <w:rFonts w:ascii="Arial" w:cs="Arial" w:eastAsia="Arial" w:hAnsi="Arial"/>
          <w:sz w:val="16"/>
          <w:szCs w:val="16"/>
          <w:b w:val="1"/>
          <w:bCs w:val="1"/>
          <w:color w:val="auto"/>
        </w:rPr>
        <w:t>Business to Business products</w:t>
      </w:r>
      <w:r>
        <w:rPr>
          <w:rFonts w:ascii="Arial" w:cs="Arial" w:eastAsia="Arial" w:hAnsi="Arial"/>
          <w:sz w:val="16"/>
          <w:szCs w:val="16"/>
          <w:color w:val="auto"/>
        </w:rPr>
        <w:t xml:space="preserve"> were up 10% from one year ago driven by a higher average net selling price which offset the Group’s volume decrease. Group income was up 41% in the quarter due to increased product sales. Net sales of fluids purification and animal health products increased, agricultural carriers were flat, and co-packaged cat litters were down. The Group benefited from net sales and volume growth of fluids purification products sold to vegetable oil and petroleum refineries, and increased sales and volume of animal health products for livestock production. Sales of co-packaged cat litters declined as the market for cat litter continues to shift from traditional coarse litter to scoopable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139700</wp:posOffset>
            </wp:positionV>
            <wp:extent cx="4398010" cy="255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98010" cy="255270"/>
                    </a:xfrm>
                    <a:prstGeom prst="rect">
                      <a:avLst/>
                    </a:prstGeom>
                    <a:noFill/>
                  </pic:spPr>
                </pic:pic>
              </a:graphicData>
            </a:graphic>
          </wp:anchor>
        </w:drawing>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5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ETAIL AND</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HOLESALE</w:t>
            </w:r>
          </w:p>
        </w:tc>
        <w:tc>
          <w:tcPr>
            <w:tcW w:w="2440" w:type="dxa"/>
            <w:vAlign w:val="bottom"/>
          </w:tcPr>
          <w:p>
            <w:pPr>
              <w:spacing w:after="0"/>
              <w:rPr>
                <w:sz w:val="24"/>
                <w:szCs w:val="24"/>
                <w:color w:val="auto"/>
              </w:rPr>
            </w:pPr>
          </w:p>
        </w:tc>
        <w:tc>
          <w:tcPr>
            <w:tcW w:w="4440" w:type="dxa"/>
            <w:vAlign w:val="bottom"/>
            <w:gridSpan w:val="3"/>
          </w:tcPr>
          <w:p>
            <w:pPr>
              <w:ind w:left="46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Q</w:t>
            </w:r>
            <w:r>
              <w:rPr>
                <w:rFonts w:ascii="Arial" w:cs="Arial" w:eastAsia="Arial" w:hAnsi="Arial"/>
                <w:sz w:val="11"/>
                <w:szCs w:val="11"/>
                <w:b w:val="1"/>
                <w:bCs w:val="1"/>
                <w:color w:val="auto"/>
              </w:rPr>
              <w:t>UARTER</w:t>
            </w:r>
          </w:p>
        </w:tc>
        <w:tc>
          <w:tcPr>
            <w:tcW w:w="0" w:type="dxa"/>
            <w:vAlign w:val="bottom"/>
          </w:tcPr>
          <w:p>
            <w:pPr>
              <w:spacing w:after="0"/>
              <w:rPr>
                <w:sz w:val="1"/>
                <w:szCs w:val="1"/>
                <w:color w:val="auto"/>
              </w:rPr>
            </w:pPr>
          </w:p>
        </w:tc>
      </w:tr>
      <w:tr>
        <w:trPr>
          <w:trHeight w:val="57"/>
        </w:trPr>
        <w:tc>
          <w:tcPr>
            <w:tcW w:w="4560" w:type="dxa"/>
            <w:vAlign w:val="bottom"/>
            <w:tcBorders>
              <w:left w:val="single" w:sz="8" w:color="auto"/>
              <w:bottom w:val="single" w:sz="8" w:color="auto"/>
            </w:tcBorders>
          </w:tcPr>
          <w:p>
            <w:pPr>
              <w:spacing w:after="0"/>
              <w:rPr>
                <w:sz w:val="4"/>
                <w:szCs w:val="4"/>
                <w:color w:val="auto"/>
              </w:rPr>
            </w:pPr>
          </w:p>
        </w:tc>
        <w:tc>
          <w:tcPr>
            <w:tcW w:w="2440" w:type="dxa"/>
            <w:vAlign w:val="bottom"/>
            <w:vMerge w:val="restart"/>
          </w:tcPr>
          <w:p>
            <w:pPr>
              <w:ind w:left="11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ISCAL</w:t>
            </w:r>
            <w:r>
              <w:rPr>
                <w:rFonts w:ascii="Arial" w:cs="Arial" w:eastAsia="Arial" w:hAnsi="Arial"/>
                <w:sz w:val="17"/>
                <w:szCs w:val="17"/>
                <w:b w:val="1"/>
                <w:bCs w:val="1"/>
                <w:color w:val="auto"/>
              </w:rPr>
              <w:t xml:space="preserve"> 2012</w:t>
            </w:r>
          </w:p>
        </w:tc>
        <w:tc>
          <w:tcPr>
            <w:tcW w:w="640" w:type="dxa"/>
            <w:vAlign w:val="bottom"/>
          </w:tcPr>
          <w:p>
            <w:pPr>
              <w:spacing w:after="0"/>
              <w:rPr>
                <w:sz w:val="4"/>
                <w:szCs w:val="4"/>
                <w:color w:val="auto"/>
              </w:rPr>
            </w:pPr>
          </w:p>
        </w:tc>
        <w:tc>
          <w:tcPr>
            <w:tcW w:w="3780" w:type="dxa"/>
            <w:vAlign w:val="bottom"/>
            <w:vMerge w:val="restart"/>
          </w:tcPr>
          <w:p>
            <w:pPr>
              <w:ind w:left="146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ISCAL</w:t>
            </w:r>
            <w:r>
              <w:rPr>
                <w:rFonts w:ascii="Arial" w:cs="Arial" w:eastAsia="Arial" w:hAnsi="Arial"/>
                <w:sz w:val="17"/>
                <w:szCs w:val="17"/>
                <w:b w:val="1"/>
                <w:bCs w:val="1"/>
                <w:color w:val="auto"/>
              </w:rPr>
              <w:t xml:space="preserve"> 2011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560" w:type="dxa"/>
            <w:vAlign w:val="bottom"/>
            <w:tcBorders>
              <w:left w:val="single" w:sz="8" w:color="auto"/>
              <w:right w:val="single" w:sz="8" w:color="auto"/>
            </w:tcBorders>
          </w:tcPr>
          <w:p>
            <w:pPr>
              <w:spacing w:after="0"/>
              <w:rPr>
                <w:sz w:val="23"/>
                <w:szCs w:val="23"/>
                <w:color w:val="auto"/>
              </w:rPr>
            </w:pPr>
          </w:p>
        </w:tc>
        <w:tc>
          <w:tcPr>
            <w:tcW w:w="2440" w:type="dxa"/>
            <w:vAlign w:val="bottom"/>
            <w:vMerge w:val="continue"/>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3780" w:type="dxa"/>
            <w:vAlign w:val="bottom"/>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Net Sales</w:t>
            </w:r>
          </w:p>
        </w:tc>
        <w:tc>
          <w:tcPr>
            <w:tcW w:w="2440" w:type="dxa"/>
            <w:vAlign w:val="bottom"/>
          </w:tcPr>
          <w:p>
            <w:pPr>
              <w:jc w:val="right"/>
              <w:ind w:right="394"/>
              <w:spacing w:after="0"/>
              <w:rPr>
                <w:sz w:val="20"/>
                <w:szCs w:val="20"/>
                <w:color w:val="auto"/>
              </w:rPr>
            </w:pPr>
            <w:r>
              <w:rPr>
                <w:rFonts w:ascii="Arial" w:cs="Arial" w:eastAsia="Arial" w:hAnsi="Arial"/>
                <w:sz w:val="17"/>
                <w:szCs w:val="17"/>
                <w:color w:val="auto"/>
              </w:rPr>
              <w:t>$38,648,000</w:t>
            </w:r>
          </w:p>
        </w:tc>
        <w:tc>
          <w:tcPr>
            <w:tcW w:w="640" w:type="dxa"/>
            <w:vAlign w:val="bottom"/>
            <w:tcBorders>
              <w:right w:val="single" w:sz="8" w:color="auto"/>
            </w:tcBorders>
          </w:tcPr>
          <w:p>
            <w:pPr>
              <w:spacing w:after="0"/>
              <w:rPr>
                <w:sz w:val="23"/>
                <w:szCs w:val="23"/>
                <w:color w:val="auto"/>
              </w:rPr>
            </w:pPr>
          </w:p>
        </w:tc>
        <w:tc>
          <w:tcPr>
            <w:tcW w:w="3780" w:type="dxa"/>
            <w:vAlign w:val="bottom"/>
          </w:tcPr>
          <w:p>
            <w:pPr>
              <w:jc w:val="right"/>
              <w:ind w:right="1394"/>
              <w:spacing w:after="0"/>
              <w:rPr>
                <w:sz w:val="20"/>
                <w:szCs w:val="20"/>
                <w:color w:val="auto"/>
              </w:rPr>
            </w:pPr>
            <w:r>
              <w:rPr>
                <w:rFonts w:ascii="Arial" w:cs="Arial" w:eastAsia="Arial" w:hAnsi="Arial"/>
                <w:sz w:val="17"/>
                <w:szCs w:val="17"/>
                <w:color w:val="auto"/>
              </w:rPr>
              <w:t>$37,240,000</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Segment Income</w:t>
            </w:r>
          </w:p>
        </w:tc>
        <w:tc>
          <w:tcPr>
            <w:tcW w:w="2440" w:type="dxa"/>
            <w:vAlign w:val="bottom"/>
          </w:tcPr>
          <w:p>
            <w:pPr>
              <w:jc w:val="right"/>
              <w:ind w:right="394"/>
              <w:spacing w:after="0"/>
              <w:rPr>
                <w:sz w:val="20"/>
                <w:szCs w:val="20"/>
                <w:color w:val="auto"/>
              </w:rPr>
            </w:pPr>
            <w:r>
              <w:rPr>
                <w:rFonts w:ascii="Arial" w:cs="Arial" w:eastAsia="Arial" w:hAnsi="Arial"/>
                <w:sz w:val="17"/>
                <w:szCs w:val="17"/>
                <w:color w:val="auto"/>
              </w:rPr>
              <w:t>($1,219,000)</w:t>
            </w:r>
          </w:p>
        </w:tc>
        <w:tc>
          <w:tcPr>
            <w:tcW w:w="640" w:type="dxa"/>
            <w:vAlign w:val="bottom"/>
            <w:tcBorders>
              <w:right w:val="single" w:sz="8" w:color="auto"/>
            </w:tcBorders>
          </w:tcPr>
          <w:p>
            <w:pPr>
              <w:spacing w:after="0"/>
              <w:rPr>
                <w:sz w:val="23"/>
                <w:szCs w:val="23"/>
                <w:color w:val="auto"/>
              </w:rPr>
            </w:pPr>
          </w:p>
        </w:tc>
        <w:tc>
          <w:tcPr>
            <w:tcW w:w="3780" w:type="dxa"/>
            <w:vAlign w:val="bottom"/>
          </w:tcPr>
          <w:p>
            <w:pPr>
              <w:jc w:val="right"/>
              <w:ind w:right="1434"/>
              <w:spacing w:after="0"/>
              <w:rPr>
                <w:sz w:val="20"/>
                <w:szCs w:val="20"/>
                <w:color w:val="auto"/>
              </w:rPr>
            </w:pPr>
            <w:r>
              <w:rPr>
                <w:rFonts w:ascii="Arial" w:cs="Arial" w:eastAsia="Arial" w:hAnsi="Arial"/>
                <w:sz w:val="17"/>
                <w:szCs w:val="17"/>
                <w:color w:val="auto"/>
              </w:rPr>
              <w:t>$3,066,000</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120"/>
        <w:spacing w:after="0" w:line="473" w:lineRule="auto"/>
        <w:rPr>
          <w:sz w:val="20"/>
          <w:szCs w:val="20"/>
          <w:color w:val="auto"/>
        </w:rPr>
      </w:pPr>
      <w:r>
        <w:rPr>
          <w:rFonts w:ascii="Arial" w:cs="Arial" w:eastAsia="Arial" w:hAnsi="Arial"/>
          <w:sz w:val="16"/>
          <w:szCs w:val="16"/>
          <w:color w:val="auto"/>
        </w:rPr>
        <w:t xml:space="preserve">Net sales for the Company’s </w:t>
      </w:r>
      <w:r>
        <w:rPr>
          <w:rFonts w:ascii="Arial" w:cs="Arial" w:eastAsia="Arial" w:hAnsi="Arial"/>
          <w:sz w:val="16"/>
          <w:szCs w:val="16"/>
          <w:b w:val="1"/>
          <w:bCs w:val="1"/>
          <w:color w:val="auto"/>
        </w:rPr>
        <w:t>Retail and Wholesale products</w:t>
      </w:r>
      <w:r>
        <w:rPr>
          <w:rFonts w:ascii="Arial" w:cs="Arial" w:eastAsia="Arial" w:hAnsi="Arial"/>
          <w:sz w:val="16"/>
          <w:szCs w:val="16"/>
          <w:color w:val="auto"/>
        </w:rPr>
        <w:t xml:space="preserve"> for the first quarter were up 4% due to the launch of Cat’s Pride Fresh &amp; Light and the benefit of increased sales of Cat’s Pride scoopable litters. These sales more than overcame the decline in coarse cat litter and private label accounts. Group income was down due to heavy advertisement and promotional spending for Cat’s Pride Fresh &amp; Light cat litters. Industrial floor absorbents and sports field products realized increased net sales in the quarter. The Company’s foreign subsidiaries sales were down significantly due to strong 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INANCIAL</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EVIEW</w:t>
      </w:r>
    </w:p>
    <w:p>
      <w:pPr>
        <w:spacing w:after="0" w:line="159" w:lineRule="exact"/>
        <w:rPr>
          <w:sz w:val="20"/>
          <w:szCs w:val="20"/>
          <w:color w:val="auto"/>
        </w:rPr>
      </w:pPr>
    </w:p>
    <w:p>
      <w:pPr>
        <w:ind w:right="120"/>
        <w:spacing w:after="0" w:line="443" w:lineRule="auto"/>
        <w:rPr>
          <w:sz w:val="20"/>
          <w:szCs w:val="20"/>
          <w:color w:val="auto"/>
        </w:rPr>
      </w:pPr>
      <w:r>
        <w:rPr>
          <w:rFonts w:ascii="Arial" w:cs="Arial" w:eastAsia="Arial" w:hAnsi="Arial"/>
          <w:sz w:val="17"/>
          <w:szCs w:val="17"/>
          <w:color w:val="auto"/>
        </w:rPr>
        <w:t>On October 18, 2011, Oil-Dri’s Board of Directors declared quarterly cash dividends of $0.17 per share of outstanding Common Stock and $0.1275 per share of outstanding Class B Stock. The dividends were payable December 2, 2011 to stockholders of record at the close of business on November 18, 2011. The Company has paid cash dividends continuously since 1974 and has increased dividends annually for the past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7252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6" w:name="page7"/>
    <w:bookmarkEnd w:id="6"/>
    <w:p>
      <w:pPr>
        <w:ind w:right="260"/>
        <w:spacing w:after="0" w:line="457" w:lineRule="auto"/>
        <w:rPr>
          <w:sz w:val="20"/>
          <w:szCs w:val="20"/>
          <w:color w:val="auto"/>
        </w:rPr>
      </w:pPr>
      <w:r>
        <w:rPr>
          <w:rFonts w:ascii="Arial" w:cs="Arial" w:eastAsia="Arial" w:hAnsi="Arial"/>
          <w:sz w:val="17"/>
          <w:szCs w:val="17"/>
          <w:color w:val="auto"/>
        </w:rPr>
        <w:t>At the end of the first quarter, the annualized dividend yield on the Company’s Common Stock was 3.4%, based on the quarter’s stock closing price of $20.05 per share and the latest cash quarterly dividend of $0.17.</w:t>
      </w:r>
    </w:p>
    <w:p>
      <w:pPr>
        <w:spacing w:after="0" w:line="302" w:lineRule="exact"/>
        <w:rPr>
          <w:sz w:val="20"/>
          <w:szCs w:val="20"/>
          <w:color w:val="auto"/>
        </w:rPr>
      </w:pPr>
    </w:p>
    <w:p>
      <w:pPr>
        <w:ind w:right="40"/>
        <w:spacing w:after="0" w:line="457" w:lineRule="auto"/>
        <w:rPr>
          <w:sz w:val="20"/>
          <w:szCs w:val="20"/>
          <w:color w:val="auto"/>
        </w:rPr>
      </w:pPr>
      <w:r>
        <w:rPr>
          <w:rFonts w:ascii="Arial" w:cs="Arial" w:eastAsia="Arial" w:hAnsi="Arial"/>
          <w:sz w:val="17"/>
          <w:szCs w:val="17"/>
          <w:color w:val="auto"/>
        </w:rPr>
        <w:t>Cash, cash equivalents and short-term investments at October 31, 2011, totaled $29,390,000. Capital expenditures for the first quarter totaled $1,611,000, which was $734,000 less than the quarter’s depreciation and amortization of $2,345,000.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1"/>
          <w:szCs w:val="11"/>
          <w:b w:val="1"/>
          <w:bCs w:val="1"/>
          <w:color w:val="auto"/>
        </w:rPr>
        <w:t>OOKING</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ORWARD</w:t>
      </w:r>
    </w:p>
    <w:p>
      <w:pPr>
        <w:spacing w:after="0" w:line="159" w:lineRule="exact"/>
        <w:rPr>
          <w:sz w:val="20"/>
          <w:szCs w:val="20"/>
          <w:color w:val="auto"/>
        </w:rPr>
      </w:pPr>
    </w:p>
    <w:p>
      <w:pPr>
        <w:ind w:right="420"/>
        <w:spacing w:after="0" w:line="457" w:lineRule="auto"/>
        <w:rPr>
          <w:sz w:val="20"/>
          <w:szCs w:val="20"/>
          <w:color w:val="auto"/>
        </w:rPr>
      </w:pPr>
      <w:r>
        <w:rPr>
          <w:rFonts w:ascii="Arial" w:cs="Arial" w:eastAsia="Arial" w:hAnsi="Arial"/>
          <w:sz w:val="17"/>
          <w:szCs w:val="17"/>
          <w:color w:val="auto"/>
        </w:rPr>
        <w:t>Jaffee continued, “We are focused on building brand awareness of Cat’s Pride Fresh &amp; Light by optimizing our promotional activity for our target audience and closely monitoring these expenses. Our sales team is energized by the positive response we have received from our retail partners.</w:t>
      </w:r>
    </w:p>
    <w:p>
      <w:pPr>
        <w:spacing w:after="0" w:line="302" w:lineRule="exact"/>
        <w:rPr>
          <w:sz w:val="20"/>
          <w:szCs w:val="20"/>
          <w:color w:val="auto"/>
        </w:rPr>
      </w:pPr>
    </w:p>
    <w:p>
      <w:pPr>
        <w:ind w:right="1520"/>
        <w:spacing w:after="0" w:line="457" w:lineRule="auto"/>
        <w:rPr>
          <w:sz w:val="20"/>
          <w:szCs w:val="20"/>
          <w:color w:val="auto"/>
        </w:rPr>
      </w:pPr>
      <w:r>
        <w:rPr>
          <w:rFonts w:ascii="Arial" w:cs="Arial" w:eastAsia="Arial" w:hAnsi="Arial"/>
          <w:sz w:val="17"/>
          <w:szCs w:val="17"/>
          <w:color w:val="auto"/>
        </w:rPr>
        <w:t>“While increased distribution is expected in the remaining fiscal quarters, we expect the introduction of Cat’s Pride Fresh &amp; Light to negatively impact consolidated earnings compared with those reported in fiscal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79" w:lineRule="exact"/>
        <w:rPr>
          <w:sz w:val="20"/>
          <w:szCs w:val="20"/>
          <w:color w:val="auto"/>
        </w:rPr>
      </w:pPr>
    </w:p>
    <w:p>
      <w:pPr>
        <w:jc w:val="both"/>
        <w:ind w:right="180"/>
        <w:spacing w:after="0" w:line="227" w:lineRule="auto"/>
        <w:rPr>
          <w:sz w:val="20"/>
          <w:szCs w:val="20"/>
          <w:color w:val="auto"/>
        </w:rPr>
      </w:pPr>
      <w:r>
        <w:rPr>
          <w:rFonts w:ascii="Arial" w:cs="Arial" w:eastAsia="Arial" w:hAnsi="Arial"/>
          <w:sz w:val="17"/>
          <w:szCs w:val="17"/>
          <w:color w:val="auto"/>
        </w:rPr>
        <w:t xml:space="preserve">The Company will offer a live webcast of the first quarter earnings teleconference on Friday, December 9, 2011 from 10:00 a.m. to 10:30 a.m., Chicago Time. To listen to the call via the web, please visit </w:t>
      </w:r>
      <w:r>
        <w:rPr>
          <w:rFonts w:ascii="Arial" w:cs="Arial" w:eastAsia="Arial" w:hAnsi="Arial"/>
          <w:sz w:val="17"/>
          <w:szCs w:val="17"/>
          <w:u w:val="single" w:color="auto"/>
          <w:color w:val="0000FF"/>
        </w:rPr>
        <w:t>www.streetevents.com</w:t>
      </w:r>
      <w:r>
        <w:rPr>
          <w:rFonts w:ascii="Arial" w:cs="Arial" w:eastAsia="Arial" w:hAnsi="Arial"/>
          <w:sz w:val="17"/>
          <w:szCs w:val="17"/>
          <w:color w:val="auto"/>
        </w:rPr>
        <w:t xml:space="preserve"> or </w:t>
      </w:r>
      <w:r>
        <w:rPr>
          <w:rFonts w:ascii="Arial" w:cs="Arial" w:eastAsia="Arial" w:hAnsi="Arial"/>
          <w:sz w:val="17"/>
          <w:szCs w:val="17"/>
          <w:u w:val="single" w:color="auto"/>
          <w:color w:val="0000FF"/>
        </w:rPr>
        <w:t>www.oildri.com</w:t>
      </w:r>
      <w:r>
        <w:rPr>
          <w:rFonts w:ascii="Arial" w:cs="Arial" w:eastAsia="Arial" w:hAnsi="Arial"/>
          <w:sz w:val="17"/>
          <w:szCs w:val="17"/>
          <w:color w:val="auto"/>
        </w:rPr>
        <w:t>. An archived recording of the call and written transcripts of all teleconferences are posted on the Oil-Dri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2732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Cat’s Pride is a registered trademark of Oil-Dri Corporation of America. Fresh &amp; Light is a trademark of Oil-Dri Corporation of America.</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18"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252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 w:name="page8"/>
    <w:bookmarkEnd w:id="7"/>
    <w:p>
      <w:pPr>
        <w:spacing w:after="0" w:line="213"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640715</wp:posOffset>
            </wp:positionV>
            <wp:extent cx="7252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00"/>
          </w:cols>
          <w:pgMar w:left="240" w:top="424"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20"/>
                <w:szCs w:val="20"/>
                <w:color w:val="auto"/>
              </w:rPr>
            </w:pPr>
            <w:r>
              <w:rPr>
                <w:rFonts w:ascii="Arial" w:cs="Arial" w:eastAsia="Arial" w:hAnsi="Arial"/>
                <w:sz w:val="17"/>
                <w:szCs w:val="17"/>
                <w:b w:val="1"/>
                <w:bCs w:val="1"/>
                <w:color w:val="auto"/>
              </w:rPr>
              <w:t>O I L - D R I  C O R P O R A T I O N  O F A M E R I C A</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7"/>
        </w:trPr>
        <w:tc>
          <w:tcPr>
            <w:tcW w:w="4840" w:type="dxa"/>
            <w:vAlign w:val="bottom"/>
          </w:tcPr>
          <w:p>
            <w:pPr>
              <w:spacing w:after="0"/>
              <w:rPr>
                <w:sz w:val="20"/>
                <w:szCs w:val="20"/>
                <w:color w:val="auto"/>
              </w:rPr>
            </w:pPr>
            <w:r>
              <w:rPr>
                <w:rFonts w:ascii="Arial" w:cs="Arial" w:eastAsia="Arial" w:hAnsi="Arial"/>
                <w:sz w:val="17"/>
                <w:szCs w:val="17"/>
                <w:b w:val="1"/>
                <w:bCs w:val="1"/>
                <w:color w:val="auto"/>
              </w:rPr>
              <w:t>Consolidated Statements of Income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color w:val="auto"/>
              </w:rPr>
              <w:t>(in thousands, except for per share amounts)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7"/>
                <w:szCs w:val="17"/>
                <w:color w:val="auto"/>
              </w:rPr>
              <w:t>(unaudited)</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9"/>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7"/>
                <w:szCs w:val="17"/>
                <w:b w:val="1"/>
                <w:bCs w:val="1"/>
                <w:color w:val="auto"/>
              </w:rPr>
              <w:t>Three Months Ended October 31,</w:t>
            </w:r>
          </w:p>
        </w:tc>
        <w:tc>
          <w:tcPr>
            <w:tcW w:w="1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2011</w:t>
            </w:r>
          </w:p>
        </w:tc>
        <w:tc>
          <w:tcPr>
            <w:tcW w:w="220" w:type="dxa"/>
            <w:vAlign w:val="bottom"/>
          </w:tcPr>
          <w:p>
            <w:pPr>
              <w:spacing w:after="0"/>
              <w:rPr>
                <w:sz w:val="18"/>
                <w:szCs w:val="18"/>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 of Sales</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 of Sales</w:t>
            </w:r>
          </w:p>
        </w:tc>
        <w:tc>
          <w:tcPr>
            <w:tcW w:w="160" w:type="dxa"/>
            <w:vAlign w:val="bottom"/>
          </w:tcPr>
          <w:p>
            <w:pPr>
              <w:spacing w:after="0"/>
              <w:rPr>
                <w:sz w:val="18"/>
                <w:szCs w:val="18"/>
                <w:color w:val="auto"/>
              </w:rPr>
            </w:pPr>
          </w:p>
        </w:tc>
      </w:tr>
      <w:tr>
        <w:trPr>
          <w:trHeight w:val="207"/>
        </w:trPr>
        <w:tc>
          <w:tcPr>
            <w:tcW w:w="4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Net Sales</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59,582</w:t>
            </w:r>
          </w:p>
        </w:tc>
        <w:tc>
          <w:tcPr>
            <w:tcW w:w="16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FFC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56,285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100.0%</w:t>
            </w:r>
          </w:p>
        </w:tc>
      </w:tr>
      <w:tr>
        <w:trPr>
          <w:trHeight w:val="207"/>
        </w:trPr>
        <w:tc>
          <w:tcPr>
            <w:tcW w:w="4840" w:type="dxa"/>
            <w:vAlign w:val="bottom"/>
          </w:tcPr>
          <w:p>
            <w:pPr>
              <w:spacing w:after="0"/>
              <w:rPr>
                <w:sz w:val="20"/>
                <w:szCs w:val="20"/>
                <w:color w:val="auto"/>
              </w:rPr>
            </w:pPr>
            <w:r>
              <w:rPr>
                <w:rFonts w:ascii="Arial" w:cs="Arial" w:eastAsia="Arial" w:hAnsi="Arial"/>
                <w:sz w:val="17"/>
                <w:szCs w:val="17"/>
                <w:b w:val="1"/>
                <w:bCs w:val="1"/>
                <w:color w:val="auto"/>
              </w:rPr>
              <w:t>Cost of Sales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(45,379)</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76.2%</w:t>
            </w: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(43,077)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76.5%</w:t>
            </w:r>
          </w:p>
        </w:tc>
      </w:tr>
      <w:tr>
        <w:trPr>
          <w:trHeight w:val="26"/>
        </w:trPr>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7"/>
        </w:trPr>
        <w:tc>
          <w:tcPr>
            <w:tcW w:w="4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Gross Profit</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14,203</w:t>
            </w:r>
          </w:p>
        </w:tc>
        <w:tc>
          <w:tcPr>
            <w:tcW w:w="16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23.8%</w:t>
            </w: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13,208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23.5%</w:t>
            </w:r>
          </w:p>
        </w:tc>
      </w:tr>
      <w:tr>
        <w:trPr>
          <w:trHeight w:val="213"/>
        </w:trPr>
        <w:tc>
          <w:tcPr>
            <w:tcW w:w="484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(12,407)</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20.8%</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(9,386)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16.7%</w:t>
            </w:r>
          </w:p>
        </w:tc>
      </w:tr>
      <w:tr>
        <w:trPr>
          <w:trHeight w:val="207"/>
        </w:trPr>
        <w:tc>
          <w:tcPr>
            <w:tcW w:w="4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tcBorders>
              <w:top w:val="single" w:sz="8" w:color="auto"/>
            </w:tcBorders>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1,796</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3,822</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6.8%</w:t>
            </w:r>
          </w:p>
        </w:tc>
      </w:tr>
      <w:tr>
        <w:trPr>
          <w:trHeight w:val="207"/>
        </w:trPr>
        <w:tc>
          <w:tcPr>
            <w:tcW w:w="4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Interest Expense</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(524)</w:t>
            </w:r>
          </w:p>
        </w:tc>
        <w:tc>
          <w:tcPr>
            <w:tcW w:w="16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0.9%</w:t>
            </w: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(411)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0.7%</w:t>
            </w:r>
          </w:p>
        </w:tc>
      </w:tr>
      <w:tr>
        <w:trPr>
          <w:trHeight w:val="213"/>
        </w:trPr>
        <w:tc>
          <w:tcPr>
            <w:tcW w:w="4840" w:type="dxa"/>
            <w:vAlign w:val="bottom"/>
          </w:tcPr>
          <w:p>
            <w:pPr>
              <w:spacing w:after="0"/>
              <w:rPr>
                <w:sz w:val="20"/>
                <w:szCs w:val="20"/>
                <w:color w:val="auto"/>
              </w:rPr>
            </w:pPr>
            <w:r>
              <w:rPr>
                <w:rFonts w:ascii="Arial" w:cs="Arial" w:eastAsia="Arial" w:hAnsi="Arial"/>
                <w:sz w:val="17"/>
                <w:szCs w:val="17"/>
                <w:b w:val="1"/>
                <w:bCs w:val="1"/>
                <w:color w:val="auto"/>
              </w:rPr>
              <w:t>Other Income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201</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0.1%</w:t>
            </w:r>
          </w:p>
        </w:tc>
      </w:tr>
      <w:tr>
        <w:trPr>
          <w:trHeight w:val="207"/>
        </w:trPr>
        <w:tc>
          <w:tcPr>
            <w:tcW w:w="4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tcBorders>
              <w:top w:val="single" w:sz="8" w:color="auto"/>
            </w:tcBorders>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b w:val="1"/>
                <w:bCs w:val="1"/>
                <w:color w:val="auto"/>
              </w:rPr>
              <w:t>Income Before Income Taxes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1,473</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3,480</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6.2%</w:t>
            </w:r>
          </w:p>
        </w:tc>
      </w:tr>
      <w:tr>
        <w:trPr>
          <w:trHeight w:val="207"/>
        </w:trPr>
        <w:tc>
          <w:tcPr>
            <w:tcW w:w="4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Income Taxes</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(398)</w:t>
            </w:r>
          </w:p>
        </w:tc>
        <w:tc>
          <w:tcPr>
            <w:tcW w:w="16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0.7%</w:t>
            </w: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(961)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1.7%</w:t>
            </w:r>
          </w:p>
        </w:tc>
      </w:tr>
      <w:tr>
        <w:trPr>
          <w:trHeight w:val="26"/>
        </w:trPr>
        <w:tc>
          <w:tcPr>
            <w:tcW w:w="484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1,075</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2,519</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4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4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Net Income Per Share:</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ind w:left="2180"/>
              <w:spacing w:after="0"/>
              <w:rPr>
                <w:sz w:val="20"/>
                <w:szCs w:val="20"/>
                <w:color w:val="auto"/>
              </w:rPr>
            </w:pPr>
            <w:r>
              <w:rPr>
                <w:rFonts w:ascii="Arial" w:cs="Arial" w:eastAsia="Arial" w:hAnsi="Arial"/>
                <w:sz w:val="17"/>
                <w:szCs w:val="17"/>
                <w:b w:val="1"/>
                <w:bCs w:val="1"/>
                <w:color w:val="auto"/>
              </w:rPr>
              <w:t>Basic Common</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0.16</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0.38</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4840" w:type="dxa"/>
            <w:vAlign w:val="bottom"/>
            <w:shd w:val="clear" w:color="auto" w:fill="CCFFCC"/>
          </w:tcPr>
          <w:p>
            <w:pPr>
              <w:ind w:left="2180"/>
              <w:spacing w:after="0"/>
              <w:rPr>
                <w:sz w:val="20"/>
                <w:szCs w:val="20"/>
                <w:color w:val="auto"/>
              </w:rPr>
            </w:pPr>
            <w:r>
              <w:rPr>
                <w:rFonts w:ascii="Arial" w:cs="Arial" w:eastAsia="Arial" w:hAnsi="Arial"/>
                <w:sz w:val="17"/>
                <w:szCs w:val="17"/>
                <w:b w:val="1"/>
                <w:bCs w:val="1"/>
                <w:color w:val="auto"/>
              </w:rPr>
              <w:t>Basic Class B Common</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0.12</w:t>
            </w: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0.30</w:t>
            </w: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ind w:left="2180"/>
              <w:spacing w:after="0"/>
              <w:rPr>
                <w:sz w:val="20"/>
                <w:szCs w:val="20"/>
                <w:color w:val="auto"/>
              </w:rPr>
            </w:pPr>
            <w:r>
              <w:rPr>
                <w:rFonts w:ascii="Arial" w:cs="Arial" w:eastAsia="Arial" w:hAnsi="Arial"/>
                <w:sz w:val="17"/>
                <w:szCs w:val="17"/>
                <w:b w:val="1"/>
                <w:bCs w:val="1"/>
                <w:color w:val="auto"/>
              </w:rPr>
              <w:t>Diluted</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0.15</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0.35</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4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b w:val="1"/>
                <w:bCs w:val="1"/>
                <w:color w:val="auto"/>
              </w:rPr>
              <w:t>Average Shares Outstanding:</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4840" w:type="dxa"/>
            <w:vAlign w:val="bottom"/>
            <w:shd w:val="clear" w:color="auto" w:fill="CCFFCC"/>
          </w:tcPr>
          <w:p>
            <w:pPr>
              <w:ind w:left="2180"/>
              <w:spacing w:after="0"/>
              <w:rPr>
                <w:sz w:val="20"/>
                <w:szCs w:val="20"/>
                <w:color w:val="auto"/>
              </w:rPr>
            </w:pPr>
            <w:r>
              <w:rPr>
                <w:rFonts w:ascii="Arial" w:cs="Arial" w:eastAsia="Arial" w:hAnsi="Arial"/>
                <w:sz w:val="17"/>
                <w:szCs w:val="17"/>
                <w:b w:val="1"/>
                <w:bCs w:val="1"/>
                <w:color w:val="auto"/>
              </w:rPr>
              <w:t>Basic Common</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5,114</w:t>
            </w: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5,086</w:t>
            </w: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7"/>
        </w:trPr>
        <w:tc>
          <w:tcPr>
            <w:tcW w:w="4840" w:type="dxa"/>
            <w:vAlign w:val="bottom"/>
          </w:tcPr>
          <w:p>
            <w:pPr>
              <w:ind w:left="2180"/>
              <w:spacing w:after="0"/>
              <w:rPr>
                <w:sz w:val="20"/>
                <w:szCs w:val="20"/>
                <w:color w:val="auto"/>
              </w:rPr>
            </w:pPr>
            <w:r>
              <w:rPr>
                <w:rFonts w:ascii="Arial" w:cs="Arial" w:eastAsia="Arial" w:hAnsi="Arial"/>
                <w:sz w:val="17"/>
                <w:szCs w:val="17"/>
                <w:b w:val="1"/>
                <w:bCs w:val="1"/>
                <w:color w:val="auto"/>
              </w:rPr>
              <w:t>Basic Class B Common</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1,920</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1,897</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4840" w:type="dxa"/>
            <w:vAlign w:val="bottom"/>
            <w:shd w:val="clear" w:color="auto" w:fill="CCFFCC"/>
          </w:tcPr>
          <w:p>
            <w:pPr>
              <w:ind w:left="2180"/>
              <w:spacing w:after="0"/>
              <w:rPr>
                <w:sz w:val="20"/>
                <w:szCs w:val="20"/>
                <w:color w:val="auto"/>
              </w:rPr>
            </w:pPr>
            <w:r>
              <w:rPr>
                <w:rFonts w:ascii="Arial" w:cs="Arial" w:eastAsia="Arial" w:hAnsi="Arial"/>
                <w:sz w:val="17"/>
                <w:szCs w:val="17"/>
                <w:b w:val="1"/>
                <w:bCs w:val="1"/>
                <w:color w:val="auto"/>
              </w:rPr>
              <w:t>Diluted</w:t>
            </w: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7,100</w:t>
            </w:r>
          </w:p>
        </w:tc>
        <w:tc>
          <w:tcPr>
            <w:tcW w:w="13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7,123</w:t>
            </w:r>
          </w:p>
        </w:tc>
        <w:tc>
          <w:tcPr>
            <w:tcW w:w="13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853"/>
        </w:trPr>
        <w:tc>
          <w:tcPr>
            <w:tcW w:w="48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86" w:right="2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O I L - D R I  C O R P O R A T I O N  O F A M E R I C 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20"/>
                <w:szCs w:val="20"/>
                <w:color w:val="auto"/>
              </w:rPr>
            </w:pPr>
            <w:r>
              <w:rPr>
                <w:rFonts w:ascii="Arial" w:cs="Arial" w:eastAsia="Arial" w:hAnsi="Arial"/>
                <w:sz w:val="17"/>
                <w:szCs w:val="17"/>
                <w:b w:val="1"/>
                <w:bCs w:val="1"/>
                <w:color w:val="auto"/>
              </w:rPr>
              <w:t>Consolidated Balance Sheets</w:t>
            </w: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color w:val="auto"/>
              </w:rPr>
              <w:t>(in thousands, except for per share amounts)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(unaudited)</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6"/>
            <w:vMerge w:val="restart"/>
          </w:tcPr>
          <w:p>
            <w:pPr>
              <w:ind w:left="280"/>
              <w:spacing w:after="0"/>
              <w:rPr>
                <w:sz w:val="20"/>
                <w:szCs w:val="20"/>
                <w:color w:val="auto"/>
              </w:rPr>
            </w:pPr>
            <w:r>
              <w:rPr>
                <w:rFonts w:ascii="Arial" w:cs="Arial" w:eastAsia="Arial" w:hAnsi="Arial"/>
                <w:sz w:val="17"/>
                <w:szCs w:val="17"/>
                <w:b w:val="1"/>
                <w:bCs w:val="1"/>
                <w:color w:val="auto"/>
              </w:rPr>
              <w:t>As of October 31,</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67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ind w:left="1840"/>
              <w:spacing w:after="0"/>
              <w:rPr>
                <w:sz w:val="20"/>
                <w:szCs w:val="20"/>
                <w:color w:val="auto"/>
              </w:rPr>
            </w:pPr>
            <w:r>
              <w:rPr>
                <w:rFonts w:ascii="Arial" w:cs="Arial" w:eastAsia="Arial" w:hAnsi="Arial"/>
                <w:sz w:val="17"/>
                <w:szCs w:val="17"/>
                <w:b w:val="1"/>
                <w:bCs w:val="1"/>
                <w:color w:val="auto"/>
              </w:rPr>
              <w:t>Cash and Cash Equivalents</w:t>
            </w: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21,000</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16,099</w:t>
            </w:r>
          </w:p>
        </w:tc>
        <w:tc>
          <w:tcPr>
            <w:tcW w:w="0" w:type="dxa"/>
            <w:vAlign w:val="bottom"/>
          </w:tcPr>
          <w:p>
            <w:pPr>
              <w:spacing w:after="0"/>
              <w:rPr>
                <w:sz w:val="1"/>
                <w:szCs w:val="1"/>
                <w:color w:val="auto"/>
              </w:rPr>
            </w:pPr>
          </w:p>
        </w:tc>
      </w:tr>
      <w:tr>
        <w:trPr>
          <w:trHeight w:val="207"/>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Investment in Short-term Securities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8,390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3,854</w:t>
            </w: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ind w:left="1840"/>
              <w:spacing w:after="0"/>
              <w:rPr>
                <w:sz w:val="20"/>
                <w:szCs w:val="20"/>
                <w:color w:val="auto"/>
              </w:rPr>
            </w:pPr>
            <w:r>
              <w:rPr>
                <w:rFonts w:ascii="Arial" w:cs="Arial" w:eastAsia="Arial" w:hAnsi="Arial"/>
                <w:sz w:val="17"/>
                <w:szCs w:val="17"/>
                <w:b w:val="1"/>
                <w:bCs w:val="1"/>
                <w:color w:val="auto"/>
              </w:rPr>
              <w:t>Accounts Receivable, net</w:t>
            </w: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31,294</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28,037</w:t>
            </w:r>
          </w:p>
        </w:tc>
        <w:tc>
          <w:tcPr>
            <w:tcW w:w="0" w:type="dxa"/>
            <w:vAlign w:val="bottom"/>
          </w:tcPr>
          <w:p>
            <w:pPr>
              <w:spacing w:after="0"/>
              <w:rPr>
                <w:sz w:val="1"/>
                <w:szCs w:val="1"/>
                <w:color w:val="auto"/>
              </w:rPr>
            </w:pPr>
          </w:p>
        </w:tc>
      </w:tr>
      <w:tr>
        <w:trPr>
          <w:trHeight w:val="207"/>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Inventories</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22,263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17,296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FFCC"/>
            </w:tcBorders>
            <w:shd w:val="clear" w:color="auto" w:fill="CCFFCC"/>
          </w:tcPr>
          <w:p>
            <w:pPr>
              <w:ind w:left="1840"/>
              <w:spacing w:after="0"/>
              <w:rPr>
                <w:sz w:val="20"/>
                <w:szCs w:val="20"/>
                <w:color w:val="auto"/>
              </w:rPr>
            </w:pPr>
            <w:r>
              <w:rPr>
                <w:rFonts w:ascii="Arial" w:cs="Arial" w:eastAsia="Arial" w:hAnsi="Arial"/>
                <w:sz w:val="17"/>
                <w:szCs w:val="17"/>
                <w:b w:val="1"/>
                <w:bCs w:val="1"/>
                <w:color w:val="auto"/>
              </w:rPr>
              <w:t>Prepaid Expenses</w:t>
            </w:r>
          </w:p>
        </w:tc>
        <w:tc>
          <w:tcPr>
            <w:tcW w:w="216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8,932</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8,761</w:t>
            </w:r>
          </w:p>
        </w:tc>
        <w:tc>
          <w:tcPr>
            <w:tcW w:w="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480"/>
              <w:spacing w:after="0"/>
              <w:rPr>
                <w:sz w:val="20"/>
                <w:szCs w:val="20"/>
                <w:color w:val="auto"/>
              </w:rPr>
            </w:pPr>
            <w:r>
              <w:rPr>
                <w:rFonts w:ascii="Arial" w:cs="Arial" w:eastAsia="Arial" w:hAnsi="Arial"/>
                <w:sz w:val="17"/>
                <w:szCs w:val="17"/>
                <w:b w:val="1"/>
                <w:bCs w:val="1"/>
                <w:color w:val="auto"/>
              </w:rPr>
              <w:t>Total Current Assets</w:t>
            </w:r>
          </w:p>
        </w:tc>
        <w:tc>
          <w:tcPr>
            <w:tcW w:w="2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Property, Plant and Equipment</w:t>
            </w: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67,285</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62,091</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b w:val="1"/>
                <w:bCs w:val="1"/>
                <w:color w:val="auto"/>
              </w:rPr>
              <w:t>Other Assets</w:t>
            </w:r>
          </w:p>
        </w:tc>
        <w:tc>
          <w:tcPr>
            <w:tcW w:w="2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Total Assets</w:t>
            </w:r>
          </w:p>
        </w:tc>
        <w:tc>
          <w:tcPr>
            <w:tcW w:w="216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172,518</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151,343</w:t>
            </w:r>
          </w:p>
        </w:tc>
        <w:tc>
          <w:tcPr>
            <w:tcW w:w="0" w:type="dxa"/>
            <w:vAlign w:val="bottom"/>
          </w:tcPr>
          <w:p>
            <w:pPr>
              <w:spacing w:after="0"/>
              <w:rPr>
                <w:sz w:val="1"/>
                <w:szCs w:val="1"/>
                <w:color w:val="auto"/>
              </w:rPr>
            </w:pPr>
          </w:p>
        </w:tc>
      </w:tr>
      <w:tr>
        <w:trPr>
          <w:trHeight w:val="198"/>
        </w:trPr>
        <w:tc>
          <w:tcPr>
            <w:tcW w:w="6760" w:type="dxa"/>
            <w:vAlign w:val="bottom"/>
            <w:tcBorders>
              <w:top w:val="single" w:sz="8" w:color="CCFFCC"/>
            </w:tcBorders>
          </w:tcPr>
          <w:p>
            <w:pPr>
              <w:spacing w:after="0"/>
              <w:rPr>
                <w:sz w:val="17"/>
                <w:szCs w:val="17"/>
                <w:color w:val="auto"/>
              </w:rPr>
            </w:pPr>
          </w:p>
        </w:tc>
        <w:tc>
          <w:tcPr>
            <w:tcW w:w="2160" w:type="dxa"/>
            <w:vAlign w:val="bottom"/>
            <w:tcBorders>
              <w:top w:val="single" w:sz="8" w:color="CCFF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Current Liabilities</w:t>
            </w: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Current Maturities of Notes Payable</w:t>
            </w:r>
          </w:p>
        </w:tc>
        <w:tc>
          <w:tcPr>
            <w:tcW w:w="21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3,800</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4,100</w:t>
            </w: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ind w:left="1840"/>
              <w:spacing w:after="0"/>
              <w:rPr>
                <w:sz w:val="20"/>
                <w:szCs w:val="20"/>
                <w:color w:val="auto"/>
              </w:rPr>
            </w:pPr>
            <w:r>
              <w:rPr>
                <w:rFonts w:ascii="Arial" w:cs="Arial" w:eastAsia="Arial" w:hAnsi="Arial"/>
                <w:sz w:val="17"/>
                <w:szCs w:val="17"/>
                <w:b w:val="1"/>
                <w:bCs w:val="1"/>
                <w:color w:val="auto"/>
              </w:rPr>
              <w:t>Accounts Payable</w:t>
            </w: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6,424</w:t>
            </w:r>
          </w:p>
        </w:tc>
        <w:tc>
          <w:tcPr>
            <w:tcW w:w="0" w:type="dxa"/>
            <w:vAlign w:val="bottom"/>
          </w:tcPr>
          <w:p>
            <w:pPr>
              <w:spacing w:after="0"/>
              <w:rPr>
                <w:sz w:val="1"/>
                <w:szCs w:val="1"/>
                <w:color w:val="auto"/>
              </w:rPr>
            </w:pPr>
          </w:p>
        </w:tc>
      </w:tr>
      <w:tr>
        <w:trPr>
          <w:trHeight w:val="207"/>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Dividends Payable</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FFCC"/>
            </w:tcBorders>
            <w:shd w:val="clear" w:color="auto" w:fill="CCFFCC"/>
          </w:tcPr>
          <w:p>
            <w:pPr>
              <w:ind w:left="1840"/>
              <w:spacing w:after="0"/>
              <w:rPr>
                <w:sz w:val="20"/>
                <w:szCs w:val="20"/>
                <w:color w:val="auto"/>
              </w:rPr>
            </w:pPr>
            <w:r>
              <w:rPr>
                <w:rFonts w:ascii="Arial" w:cs="Arial" w:eastAsia="Arial" w:hAnsi="Arial"/>
                <w:sz w:val="17"/>
                <w:szCs w:val="17"/>
                <w:b w:val="1"/>
                <w:bCs w:val="1"/>
                <w:color w:val="auto"/>
              </w:rPr>
              <w:t>Accrued Expenses</w:t>
            </w:r>
          </w:p>
        </w:tc>
        <w:tc>
          <w:tcPr>
            <w:tcW w:w="216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15,921</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13,936</w:t>
            </w:r>
          </w:p>
        </w:tc>
        <w:tc>
          <w:tcPr>
            <w:tcW w:w="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480"/>
              <w:spacing w:after="0"/>
              <w:rPr>
                <w:sz w:val="20"/>
                <w:szCs w:val="20"/>
                <w:color w:val="auto"/>
              </w:rPr>
            </w:pPr>
            <w:r>
              <w:rPr>
                <w:rFonts w:ascii="Arial" w:cs="Arial" w:eastAsia="Arial" w:hAnsi="Arial"/>
                <w:sz w:val="17"/>
                <w:szCs w:val="17"/>
                <w:b w:val="1"/>
                <w:bCs w:val="1"/>
                <w:color w:val="auto"/>
              </w:rPr>
              <w:t>Total Current Liabilities</w:t>
            </w: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25,521</w:t>
            </w: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Long-Term Liabilities</w:t>
            </w:r>
          </w:p>
        </w:tc>
        <w:tc>
          <w:tcPr>
            <w:tcW w:w="2160" w:type="dxa"/>
            <w:vAlign w:val="bottom"/>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Notes Payable</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12,700</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FFCC"/>
            </w:tcBorders>
            <w:shd w:val="clear" w:color="auto" w:fill="CCFFCC"/>
          </w:tcPr>
          <w:p>
            <w:pPr>
              <w:ind w:left="1840"/>
              <w:spacing w:after="0"/>
              <w:rPr>
                <w:sz w:val="20"/>
                <w:szCs w:val="20"/>
                <w:color w:val="auto"/>
              </w:rPr>
            </w:pPr>
            <w:r>
              <w:rPr>
                <w:rFonts w:ascii="Arial" w:cs="Arial" w:eastAsia="Arial" w:hAnsi="Arial"/>
                <w:sz w:val="17"/>
                <w:szCs w:val="17"/>
                <w:b w:val="1"/>
                <w:bCs w:val="1"/>
                <w:color w:val="auto"/>
              </w:rPr>
              <w:t>Other Noncurrent Liabilities</w:t>
            </w:r>
          </w:p>
        </w:tc>
        <w:tc>
          <w:tcPr>
            <w:tcW w:w="216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22,264</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20,971</w:t>
            </w:r>
          </w:p>
        </w:tc>
        <w:tc>
          <w:tcPr>
            <w:tcW w:w="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480"/>
              <w:spacing w:after="0"/>
              <w:rPr>
                <w:sz w:val="20"/>
                <w:szCs w:val="20"/>
                <w:color w:val="auto"/>
              </w:rPr>
            </w:pPr>
            <w:r>
              <w:rPr>
                <w:rFonts w:ascii="Arial" w:cs="Arial" w:eastAsia="Arial" w:hAnsi="Arial"/>
                <w:sz w:val="17"/>
                <w:szCs w:val="17"/>
                <w:b w:val="1"/>
                <w:bCs w:val="1"/>
                <w:color w:val="auto"/>
              </w:rPr>
              <w:t>Total Long-Term Liabilities</w:t>
            </w:r>
          </w:p>
        </w:tc>
        <w:tc>
          <w:tcPr>
            <w:tcW w:w="2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Stockholders' Equity</w:t>
            </w:r>
          </w:p>
        </w:tc>
        <w:tc>
          <w:tcPr>
            <w:tcW w:w="216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95,380</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92,151</w:t>
            </w:r>
          </w:p>
        </w:tc>
        <w:tc>
          <w:tcPr>
            <w:tcW w:w="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1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172,518</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151,343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shd w:val="clear" w:color="auto" w:fill="CCFFCC"/>
          </w:tcPr>
          <w:p>
            <w:pPr>
              <w:spacing w:after="0"/>
              <w:rPr>
                <w:sz w:val="17"/>
                <w:szCs w:val="17"/>
                <w:color w:val="auto"/>
              </w:rPr>
            </w:pP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b w:val="1"/>
                <w:bCs w:val="1"/>
                <w:color w:val="auto"/>
              </w:rPr>
              <w:t>Book Value Per Share Outstanding</w:t>
            </w:r>
          </w:p>
        </w:tc>
        <w:tc>
          <w:tcPr>
            <w:tcW w:w="21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13.56</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spacing w:after="0"/>
              <w:rPr>
                <w:sz w:val="17"/>
                <w:szCs w:val="17"/>
                <w:color w:val="auto"/>
              </w:rPr>
            </w:pPr>
          </w:p>
        </w:tc>
        <w:tc>
          <w:tcPr>
            <w:tcW w:w="2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b w:val="1"/>
                <w:bCs w:val="1"/>
                <w:color w:val="auto"/>
              </w:rPr>
              <w:t>Acquisitions of</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FFCC"/>
          </w:tcPr>
          <w:p>
            <w:pPr>
              <w:ind w:left="1840"/>
              <w:spacing w:after="0"/>
              <w:rPr>
                <w:sz w:val="20"/>
                <w:szCs w:val="20"/>
                <w:color w:val="auto"/>
              </w:rPr>
            </w:pPr>
            <w:r>
              <w:rPr>
                <w:rFonts w:ascii="Arial" w:cs="Arial" w:eastAsia="Arial" w:hAnsi="Arial"/>
                <w:sz w:val="17"/>
                <w:szCs w:val="17"/>
                <w:b w:val="1"/>
                <w:bCs w:val="1"/>
                <w:color w:val="auto"/>
              </w:rPr>
              <w:t>Property, Plant and Equipment</w:t>
            </w:r>
          </w:p>
        </w:tc>
        <w:tc>
          <w:tcPr>
            <w:tcW w:w="2160" w:type="dxa"/>
            <w:vAlign w:val="bottom"/>
            <w:shd w:val="clear" w:color="auto" w:fill="CCFFCC"/>
          </w:tcPr>
          <w:p>
            <w:pPr>
              <w:ind w:left="240"/>
              <w:spacing w:after="0"/>
              <w:rPr>
                <w:sz w:val="20"/>
                <w:szCs w:val="20"/>
                <w:color w:val="auto"/>
              </w:rPr>
            </w:pPr>
            <w:r>
              <w:rPr>
                <w:rFonts w:ascii="Arial" w:cs="Arial" w:eastAsia="Arial" w:hAnsi="Arial"/>
                <w:sz w:val="17"/>
                <w:szCs w:val="17"/>
                <w:b w:val="1"/>
                <w:bCs w:val="1"/>
                <w:color w:val="auto"/>
              </w:rPr>
              <w:t>First Quarter</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1,611</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r>
        <w:trPr>
          <w:trHeight w:val="225"/>
        </w:trPr>
        <w:tc>
          <w:tcPr>
            <w:tcW w:w="6760" w:type="dxa"/>
            <w:vAlign w:val="bottom"/>
          </w:tcPr>
          <w:p>
            <w:pPr>
              <w:ind w:left="1840"/>
              <w:spacing w:after="0"/>
              <w:rPr>
                <w:sz w:val="20"/>
                <w:szCs w:val="20"/>
                <w:color w:val="auto"/>
              </w:rPr>
            </w:pPr>
            <w:r>
              <w:rPr>
                <w:rFonts w:ascii="Arial" w:cs="Arial" w:eastAsia="Arial" w:hAnsi="Arial"/>
                <w:sz w:val="17"/>
                <w:szCs w:val="17"/>
                <w:b w:val="1"/>
                <w:bCs w:val="1"/>
                <w:color w:val="auto"/>
              </w:rPr>
              <w:t>Depreciation and Amortization Charges</w:t>
            </w:r>
          </w:p>
        </w:tc>
        <w:tc>
          <w:tcPr>
            <w:tcW w:w="2160" w:type="dxa"/>
            <w:vAlign w:val="bottom"/>
          </w:tcPr>
          <w:p>
            <w:pPr>
              <w:ind w:left="240"/>
              <w:spacing w:after="0"/>
              <w:rPr>
                <w:sz w:val="20"/>
                <w:szCs w:val="20"/>
                <w:color w:val="auto"/>
              </w:rPr>
            </w:pPr>
            <w:r>
              <w:rPr>
                <w:rFonts w:ascii="Arial" w:cs="Arial" w:eastAsia="Arial" w:hAnsi="Arial"/>
                <w:sz w:val="17"/>
                <w:szCs w:val="17"/>
                <w:b w:val="1"/>
                <w:bCs w:val="1"/>
                <w:color w:val="auto"/>
              </w:rPr>
              <w:t>First Quarter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2,345</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834"/>
        </w:trPr>
        <w:tc>
          <w:tcPr>
            <w:tcW w:w="67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7" w:right="2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auto"/>
        </w:rPr>
        <w:t>O I L - D R I  C O R P O R A T I O N  O F A M E R I C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6"/>
          </w:tcPr>
          <w:p>
            <w:pPr>
              <w:jc w:val="right"/>
              <w:ind w:right="500"/>
              <w:spacing w:after="0"/>
              <w:rPr>
                <w:sz w:val="20"/>
                <w:szCs w:val="20"/>
                <w:color w:val="auto"/>
              </w:rPr>
            </w:pPr>
            <w:r>
              <w:rPr>
                <w:rFonts w:ascii="Arial" w:cs="Arial" w:eastAsia="Arial" w:hAnsi="Arial"/>
                <w:sz w:val="17"/>
                <w:szCs w:val="17"/>
                <w:b w:val="1"/>
                <w:bCs w:val="1"/>
                <w:color w:val="auto"/>
                <w:w w:val="99"/>
              </w:rPr>
              <w:t>For the Three Months Ended</w:t>
            </w:r>
          </w:p>
        </w:tc>
      </w:tr>
      <w:tr>
        <w:trPr>
          <w:trHeight w:val="231"/>
        </w:trPr>
        <w:tc>
          <w:tcPr>
            <w:tcW w:w="6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October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8"/>
                <w:szCs w:val="18"/>
                <w:color w:val="auto"/>
              </w:rPr>
            </w:pPr>
          </w:p>
        </w:tc>
      </w:tr>
      <w:tr>
        <w:trPr>
          <w:trHeight w:val="207"/>
        </w:trPr>
        <w:tc>
          <w:tcPr>
            <w:tcW w:w="6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Net Income</w:t>
            </w:r>
          </w:p>
        </w:tc>
        <w:tc>
          <w:tcPr>
            <w:tcW w:w="2180" w:type="dxa"/>
            <w:vAlign w:val="bottom"/>
            <w:gridSpan w:val="2"/>
            <w:shd w:val="clear" w:color="auto" w:fill="CCFFCC"/>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1,075</w:t>
            </w:r>
          </w:p>
        </w:tc>
        <w:tc>
          <w:tcPr>
            <w:tcW w:w="480" w:type="dxa"/>
            <w:vAlign w:val="bottom"/>
            <w:gridSpan w:val="2"/>
            <w:shd w:val="clear" w:color="auto" w:fill="CCFFCC"/>
          </w:tcPr>
          <w:p>
            <w:pPr>
              <w:jc w:val="right"/>
              <w:ind w:right="21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2,519</w:t>
            </w:r>
          </w:p>
        </w:tc>
      </w:tr>
      <w:tr>
        <w:trPr>
          <w:trHeight w:val="207"/>
        </w:trPr>
        <w:tc>
          <w:tcPr>
            <w:tcW w:w="6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Adjustments to reconcile net income to net cash</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7"/>
                <w:szCs w:val="17"/>
                <w:b w:val="1"/>
                <w:bCs w:val="1"/>
                <w:color w:val="auto"/>
              </w:rPr>
              <w:t>provided by operating activities: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Depreciation and Amortization</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2,345</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2,054</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(Increase) in Accounts Receivable</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(2,102)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(897)</w:t>
            </w: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(Increase) in Inventories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(3,033)</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(1,273)</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Increase in Accounts Payable</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449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Increase (Decrease) in Accrued Expenses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539</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(2,830)</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Other</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(92)</w:t>
            </w:r>
          </w:p>
        </w:tc>
      </w:tr>
      <w:tr>
        <w:trPr>
          <w:trHeight w:val="26"/>
        </w:trPr>
        <w:tc>
          <w:tcPr>
            <w:tcW w:w="6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6420" w:type="dxa"/>
            <w:vAlign w:val="bottom"/>
            <w:shd w:val="clear" w:color="auto" w:fill="CCFFCC"/>
          </w:tcPr>
          <w:p>
            <w:pPr>
              <w:ind w:left="440"/>
              <w:spacing w:after="0"/>
              <w:rPr>
                <w:sz w:val="20"/>
                <w:szCs w:val="20"/>
                <w:color w:val="auto"/>
              </w:rPr>
            </w:pPr>
            <w:r>
              <w:rPr>
                <w:rFonts w:ascii="Arial" w:cs="Arial" w:eastAsia="Arial" w:hAnsi="Arial"/>
                <w:sz w:val="17"/>
                <w:szCs w:val="17"/>
                <w:b w:val="1"/>
                <w:bCs w:val="1"/>
                <w:color w:val="auto"/>
              </w:rPr>
              <w:t>Total Adjustments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(698)</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(2,983)</w:t>
            </w:r>
          </w:p>
        </w:tc>
      </w:tr>
      <w:tr>
        <w:trPr>
          <w:trHeight w:val="26"/>
        </w:trPr>
        <w:tc>
          <w:tcPr>
            <w:tcW w:w="6420" w:type="dxa"/>
            <w:vAlign w:val="bottom"/>
            <w:shd w:val="clear" w:color="auto" w:fill="CCFFCC"/>
          </w:tcPr>
          <w:p>
            <w:pPr>
              <w:spacing w:after="0"/>
              <w:rPr>
                <w:sz w:val="2"/>
                <w:szCs w:val="2"/>
                <w:color w:val="auto"/>
              </w:rPr>
            </w:pPr>
          </w:p>
        </w:tc>
        <w:tc>
          <w:tcPr>
            <w:tcW w:w="19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3"/>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(464)</w:t>
            </w:r>
          </w:p>
        </w:tc>
      </w:tr>
      <w:tr>
        <w:trPr>
          <w:trHeight w:val="207"/>
        </w:trPr>
        <w:tc>
          <w:tcPr>
            <w:tcW w:w="6420" w:type="dxa"/>
            <w:vAlign w:val="bottom"/>
            <w:shd w:val="clear" w:color="auto" w:fill="CCFFCC"/>
          </w:tcPr>
          <w:p>
            <w:pPr>
              <w:spacing w:after="0"/>
              <w:rPr>
                <w:sz w:val="17"/>
                <w:szCs w:val="17"/>
                <w:color w:val="auto"/>
              </w:rPr>
            </w:pPr>
          </w:p>
        </w:tc>
        <w:tc>
          <w:tcPr>
            <w:tcW w:w="1920" w:type="dxa"/>
            <w:vAlign w:val="bottom"/>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Capital Expenditures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(1,611)</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(1,638)</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Net Dispositions of Investment Securities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7,435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2,001</w:t>
            </w: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Other</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110</w:t>
            </w:r>
          </w:p>
        </w:tc>
      </w:tr>
      <w:tr>
        <w:trPr>
          <w:trHeight w:val="26"/>
        </w:trPr>
        <w:tc>
          <w:tcPr>
            <w:tcW w:w="6420" w:type="dxa"/>
            <w:vAlign w:val="bottom"/>
            <w:shd w:val="clear" w:color="auto" w:fill="CCFFCC"/>
          </w:tcPr>
          <w:p>
            <w:pPr>
              <w:spacing w:after="0"/>
              <w:rPr>
                <w:sz w:val="2"/>
                <w:szCs w:val="2"/>
                <w:color w:val="auto"/>
              </w:rPr>
            </w:pPr>
          </w:p>
        </w:tc>
        <w:tc>
          <w:tcPr>
            <w:tcW w:w="19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3"/>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Net Cash Provided by Investing Activities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473</w:t>
            </w:r>
          </w:p>
        </w:tc>
      </w:tr>
      <w:tr>
        <w:trPr>
          <w:trHeight w:val="207"/>
        </w:trPr>
        <w:tc>
          <w:tcPr>
            <w:tcW w:w="6420" w:type="dxa"/>
            <w:vAlign w:val="bottom"/>
            <w:shd w:val="clear" w:color="auto" w:fill="CCFFCC"/>
          </w:tcPr>
          <w:p>
            <w:pPr>
              <w:spacing w:after="0"/>
              <w:rPr>
                <w:sz w:val="17"/>
                <w:szCs w:val="17"/>
                <w:color w:val="auto"/>
              </w:rPr>
            </w:pPr>
          </w:p>
        </w:tc>
        <w:tc>
          <w:tcPr>
            <w:tcW w:w="1920" w:type="dxa"/>
            <w:vAlign w:val="bottom"/>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Principal Payments on Long-Term Debt</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(2,100)</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(1,500)</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Dividends Paid</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(1,130)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(1,043)</w:t>
            </w:r>
          </w:p>
        </w:tc>
      </w:tr>
      <w:tr>
        <w:trPr>
          <w:trHeight w:val="207"/>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Purchase of Treasury Stock</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(511)</w:t>
            </w:r>
          </w:p>
        </w:tc>
      </w:tr>
      <w:tr>
        <w:trPr>
          <w:trHeight w:val="207"/>
        </w:trPr>
        <w:tc>
          <w:tcPr>
            <w:tcW w:w="6420" w:type="dxa"/>
            <w:vAlign w:val="bottom"/>
          </w:tcPr>
          <w:p>
            <w:pPr>
              <w:ind w:left="220"/>
              <w:spacing w:after="0"/>
              <w:rPr>
                <w:sz w:val="20"/>
                <w:szCs w:val="20"/>
                <w:color w:val="auto"/>
              </w:rPr>
            </w:pPr>
            <w:r>
              <w:rPr>
                <w:rFonts w:ascii="Arial" w:cs="Arial" w:eastAsia="Arial" w:hAnsi="Arial"/>
                <w:sz w:val="17"/>
                <w:szCs w:val="17"/>
                <w:b w:val="1"/>
                <w:bCs w:val="1"/>
                <w:color w:val="auto"/>
              </w:rPr>
              <w:t>Other</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420</w:t>
            </w:r>
          </w:p>
        </w:tc>
      </w:tr>
      <w:tr>
        <w:trPr>
          <w:trHeight w:val="26"/>
        </w:trPr>
        <w:tc>
          <w:tcPr>
            <w:tcW w:w="6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6420" w:type="dxa"/>
            <w:vAlign w:val="bottom"/>
            <w:shd w:val="clear" w:color="auto" w:fill="CCFFCC"/>
          </w:tcPr>
          <w:p>
            <w:pPr>
              <w:ind w:left="220"/>
              <w:spacing w:after="0"/>
              <w:rPr>
                <w:sz w:val="20"/>
                <w:szCs w:val="20"/>
                <w:color w:val="auto"/>
              </w:rPr>
            </w:pPr>
            <w:r>
              <w:rPr>
                <w:rFonts w:ascii="Arial" w:cs="Arial" w:eastAsia="Arial" w:hAnsi="Arial"/>
                <w:sz w:val="17"/>
                <w:szCs w:val="17"/>
                <w:b w:val="1"/>
                <w:bCs w:val="1"/>
                <w:color w:val="auto"/>
              </w:rPr>
              <w:t>Net Cash (Used in) Financing Activities</w:t>
            </w:r>
          </w:p>
        </w:tc>
        <w:tc>
          <w:tcPr>
            <w:tcW w:w="1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(3,223)</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(2,634)</w:t>
            </w:r>
          </w:p>
        </w:tc>
      </w:tr>
      <w:tr>
        <w:trPr>
          <w:trHeight w:val="207"/>
        </w:trPr>
        <w:tc>
          <w:tcPr>
            <w:tcW w:w="6420" w:type="dxa"/>
            <w:vAlign w:val="bottom"/>
            <w:tcBorders>
              <w:top w:val="single" w:sz="8" w:color="CCFFCC"/>
            </w:tcBorders>
          </w:tcPr>
          <w:p>
            <w:pPr>
              <w:spacing w:after="0"/>
              <w:rPr>
                <w:sz w:val="17"/>
                <w:szCs w:val="17"/>
                <w:color w:val="auto"/>
              </w:rPr>
            </w:pPr>
          </w:p>
        </w:tc>
        <w:tc>
          <w:tcPr>
            <w:tcW w:w="1920" w:type="dxa"/>
            <w:vAlign w:val="bottom"/>
            <w:tcBorders>
              <w:top w:val="single" w:sz="8" w:color="CCFFC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07"/>
        </w:trPr>
        <w:tc>
          <w:tcPr>
            <w:tcW w:w="64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Effect of exchange rate changes on cash and cash equivalents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(38)</w:t>
            </w:r>
          </w:p>
        </w:tc>
      </w:tr>
      <w:tr>
        <w:trPr>
          <w:trHeight w:val="207"/>
        </w:trPr>
        <w:tc>
          <w:tcPr>
            <w:tcW w:w="6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3,115</w:t>
            </w:r>
          </w:p>
        </w:tc>
        <w:tc>
          <w:tcPr>
            <w:tcW w:w="8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(2,663)</w:t>
            </w:r>
          </w:p>
        </w:tc>
      </w:tr>
      <w:tr>
        <w:trPr>
          <w:trHeight w:val="207"/>
        </w:trPr>
        <w:tc>
          <w:tcPr>
            <w:tcW w:w="642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17,885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18,762</w:t>
            </w:r>
          </w:p>
        </w:tc>
      </w:tr>
      <w:tr>
        <w:trPr>
          <w:trHeight w:val="26"/>
        </w:trPr>
        <w:tc>
          <w:tcPr>
            <w:tcW w:w="6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64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and Cash Equivalents, October 31</w:t>
            </w:r>
          </w:p>
        </w:tc>
        <w:tc>
          <w:tcPr>
            <w:tcW w:w="19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21,000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16,099</w:t>
            </w:r>
          </w:p>
        </w:tc>
      </w:tr>
      <w:tr>
        <w:trPr>
          <w:trHeight w:val="1077"/>
        </w:trPr>
        <w:tc>
          <w:tcPr>
            <w:tcW w:w="6420" w:type="dxa"/>
            <w:vAlign w:val="bottom"/>
            <w:tcBorders>
              <w:top w:val="single" w:sz="8" w:color="CCFFCC"/>
              <w:bottom w:val="single" w:sz="8" w:color="808080"/>
            </w:tcBorders>
          </w:tcPr>
          <w:p>
            <w:pPr>
              <w:spacing w:after="0"/>
              <w:rPr>
                <w:sz w:val="24"/>
                <w:szCs w:val="24"/>
                <w:color w:val="auto"/>
              </w:rPr>
            </w:pPr>
          </w:p>
        </w:tc>
        <w:tc>
          <w:tcPr>
            <w:tcW w:w="1920" w:type="dxa"/>
            <w:vAlign w:val="bottom"/>
            <w:tcBorders>
              <w:top w:val="single" w:sz="8" w:color="CCFFCC"/>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FFCC"/>
              <w:bottom w:val="single" w:sz="8" w:color="808080"/>
            </w:tcBorders>
          </w:tcPr>
          <w:p>
            <w:pPr>
              <w:spacing w:after="0"/>
              <w:rPr>
                <w:sz w:val="24"/>
                <w:szCs w:val="24"/>
                <w:color w:val="auto"/>
              </w:rPr>
            </w:pPr>
          </w:p>
        </w:tc>
        <w:tc>
          <w:tcPr>
            <w:tcW w:w="80" w:type="dxa"/>
            <w:vAlign w:val="bottom"/>
            <w:tcBorders>
              <w:top w:val="single" w:sz="8" w:color="CCFFCC"/>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FFCC"/>
              <w:bottom w:val="single" w:sz="8" w:color="808080"/>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2020-01-29T07:00:04Z</dcterms:created>
  <dcterms:modified xsi:type="dcterms:W3CDTF">2020-01-29T07:00:04Z</dcterms:modified>
</cp:coreProperties>
</file>