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2018</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2018.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5,136,458 Shares and Class B Stock – 2,178,937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in Item 1A, Risk Factors, of our Annual Report on Form 10-K for the fiscal year ended July 31, 2017, which contains a description of the issues that may arise with the implementation of our new enterprise resource planning system currently scheduled to be operational on August 1, 2018.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$931 and $748 at April 30, 2018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87,132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232,678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84,807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$259 and $238 at April 30, 2018 and July 31, 2017,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$5,305 and $4,601 at April 30, 2018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8,272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198,010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Short-term borrowing</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7,886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6,924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35,719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$68 and $89 at April 30, 2018 and July 31, 2017,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6,266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17,282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3,631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68,997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Common Stock, par value $.10 per share, issued 8,050,050 shares at April 30, 2018</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8,015,166 shares at July 31, 2017</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Class B Stock, par value $.10 per share, issued 2,503,678 shares at April 30, 2018</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2,513,512 shares at July 31, 2017</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157,862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154,735</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(2,913,592 Common and 324,741 Class B shares at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(55,931)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60"/>
              <w:spacing w:after="0"/>
              <w:rPr>
                <w:sz w:val="20"/>
                <w:szCs w:val="20"/>
                <w:color w:val="auto"/>
              </w:rPr>
            </w:pPr>
            <w:r>
              <w:rPr>
                <w:rFonts w:ascii="Arial" w:cs="Arial" w:eastAsia="Arial" w:hAnsi="Arial"/>
                <w:sz w:val="18"/>
                <w:szCs w:val="18"/>
                <w:color w:val="auto"/>
              </w:rPr>
              <w:t>April 30, 2018 and 2,907,370 Common and 324,741 Class B shares at July 31, 2017)</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129,013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198,010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200,387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(144,035)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(138,900)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56,352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(44,565)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(45,252)</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11,787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768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12,205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(6,666)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9,470</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154,735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149,945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Reclassification to retained earnings upon adoption of accounting standard (a)</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2,264</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157,862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154,966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0.82</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0.75</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5,032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5,015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7,217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7,151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0.6900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0.6600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0.5175</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0.4950</w:t>
            </w:r>
          </w:p>
        </w:tc>
      </w:tr>
      <w:tr>
        <w:trPr>
          <w:trHeight w:val="27"/>
        </w:trPr>
        <w:tc>
          <w:tcPr>
            <w:tcW w:w="8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80" w:firstLine="8"/>
        <w:spacing w:after="0" w:line="308" w:lineRule="auto"/>
        <w:tabs>
          <w:tab w:leader="none" w:pos="24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In the third quarter of fiscal year 2018 we early adopted guidance under ASC 220, </w:t>
      </w:r>
      <w:r>
        <w:rPr>
          <w:rFonts w:ascii="Arial" w:cs="Arial" w:eastAsia="Arial" w:hAnsi="Arial"/>
          <w:sz w:val="17"/>
          <w:szCs w:val="17"/>
          <w:i w:val="1"/>
          <w:iCs w:val="1"/>
          <w:color w:val="auto"/>
        </w:rPr>
        <w:t>Reclassification of Certain Tax Effects from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See Note 2 of the Notes to Condensed Consolidated Financial Statements for further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9,470</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867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816</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10,286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64,847</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64,745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(47,104)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(46,964)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17,743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(14,629)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(14,035)</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3,114</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250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290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0.53</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0.40</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0.48</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5,037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5,022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7,222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7,164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0.2300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0.2200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0.1725</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(2,191)</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6,242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Life insurance benefits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(11,223)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48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(10,533)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(29,035)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38,410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life insurance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1,747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short-term borrowing</w:t>
            </w:r>
          </w:p>
        </w:tc>
        <w:tc>
          <w:tcPr>
            <w:tcW w:w="32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6,000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(1,781)</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1,518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10,613</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2017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nine months ended April 30, 2018 are not necessarily an indication of the results that may be expected for the fiscal year ending July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See Note 10 for additional discussion regarding tax legislation enacted by the U.S. government in December 2017, the impact of which may affect the estimates and assumptions used to determine the expected future tax consequences of events recognized in our consolidated financial statements. All of our estimates and assumptions are revised periodically. Actual results could differ from these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herein, our significant accounting policies, which are detailed in our Annual Report on Form 10-K for the fiscal year ended July 31, 2017, have not materially changed. However, the unaudited Condensed Consolidated Financial Statements reflect changes required upon adoption of new accounting guidance, as described in Note 2, and the effects of changes from recent U.S. tax legislation, as described in Note 10. The following is a description of certain of our significant accounting policies.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We recognize revenue when risk of loss and title are transferred under the terms of our sales agreements with customers at a fixed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include salaries, wages and benefits associated with staff</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58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currently in the process of performing a comprehensive evaluation of the revenue requirements, including the impact on how we record certain incentives and advertising arrangements, as well as significant new disclosure requirements. We plan to adopt the standard at the beginning of our first quarter of fiscal year 2019. Transition options to implement this guidance include either a full or modified retrospective approach and early adoption is permitted. We expect to use the modified retrospective implementation method.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which requires presenting the service cost component of net periodic benefit cost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same income statement line item(s) as 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with early adoption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first quarter of fiscal year 2018, we adopted the FASB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that simplified several aspects of the accounting for share-based payment transactions, including accounting for income taxes and classification of excess tax benefits in the statement of cash flows. As a result of implementing this guidance, we recognized $9,000 and $166,000 of excess tax benefits as a reduction of income tax expense for the third quarter and first nine months of fiscal year 2018, respectively, rather than in Stockholders' Equity on the unaudited Condensed Consolidated Balance Sheet, and classified in operating activities on the unaudited Condensed Consolidated Statements of Cash Flows. These changes have been applied prospectively in accordance with the guidance and prior period presentations have not been adjusted. The adoption resulted in approximately a 0% and 1% benefit to our effective tax rate for the third quarter and first nine months of fiscal year 2018, respectively. In addition, we excluded the excess tax benefits from the assumed proceeds available to repurchase shares under the treasury stock method for the computation of diluted earnings per share. This change did not have a material impact on our diluted earnings per share for the third quarter or first nine months of fiscal year 2018. The guidance allows for a policy election to either use estimated forfeitures or account for them as they occur to determine the amount of compensation cost to be recognized each period. We have elected to continue to account for forfeitures on an estimated basis. No other material changes resulted from the adoption of this standard.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the first quarter of fiscal year 2018, we adopted the FASB guidance under ASC 740,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which required deferred tax liabilities and assets to be classified as noncurrent in a classified statement of financial position. Prior periods presented were also restated. We reclassified $2,787,000 from Total Current Assets to Total Other Assets on the unaudited Condensed Consolidated Balance Sheet as of July 31, 2017.</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required inventory to be measured at the lower of cost and net realizable value, which is defined as the estimated selling price in the ordinary course of business less reasonably predictable costs of completion, disposal and transportation. Adoption of this guidance did not have a material impact on our unaudited Condensed Consolidated Financial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the third quarter of fiscal year 2018, we early adopted the FASB guidance under ASC 220, </w:t>
      </w:r>
      <w:r>
        <w:rPr>
          <w:rFonts w:ascii="Arial" w:cs="Arial" w:eastAsia="Arial" w:hAnsi="Arial"/>
          <w:sz w:val="17"/>
          <w:szCs w:val="17"/>
          <w:i w:val="1"/>
          <w:iCs w:val="1"/>
          <w:color w:val="auto"/>
        </w:rPr>
        <w:t>Reclassification of Certain Tax Effects from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Current U.S. GAAP requires deferred tax liabilities and assets to be adjusted for a change in tax laws or rates with the effect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income from continuing operations, even when the deferred taxes being remeasured were established through other comprehensive income. As a result, a disproportionate tax effect may remain in accumulated other comprehensive income. The new guidance under ASC 220 provided an option to reclassify from accumulated other comprehensive income to retained earnings the stranded tax effects that resulted from the Tax Cuts and Jobs Act (the “2017 Tax Act”), which was enacted on December 22, 2017. Upon adoption of the guidance, we reclassified $2,264,000 from accumulated other comprehensive income to retained earnings on the unaudited Condensed Consolidated Balance Sheet as of April 30, 2018. See Notes 9 and 10 for further information about our accumulated other comprehensive income and about the impact of the 2017 Tax Act,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8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4,988</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23,415</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22,615</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April 30, 2018 and July 31, 2017 were $1,136,000 and $619,000, respectively. The reserve increased due to higher levels of discontinued, slow moving and unsaleable inventory.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of $4,248,000 and $3,814,000 as of April 30, 2018 and July 31, 2017, respectively, were classified as Level 1. These cash instruments are primarily money market mutual funds and are included in cash and cash equivalents on the unaudited Condensed Consolidated Balance Sheet.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April 30, 2018 and July 31,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April 30, 2018 and July 31, 2017 due to the short maturity and nature of those balances.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borrowings of $6,000,000 in the third quarter of fiscal year 2018 are anticipated to be repaid in the fourth quarter of this year. These borrowings were reported at face amount, which approximated their fair value at April 30, 2018, due to the short maturity period.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$9,491,000 and $13,001,000 as of April 30, 2018 and July 31, 2017,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amortization expense was $255,000 and $306,000 in the third quarter of fiscal years 2018 and 2017, respectively. Intangible amortization expense was $762,000 and $918,000 for the first nine months of fiscal years 2018 and 2017, respectively. Estimated intangible amortization for the remainder of fiscal year 2018 is $255,000.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2017 and no impairment was identified. There have been no triggering events that would indicate a new impairment analysis is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503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1,517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1,396</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(656)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314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955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1,371</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2,808</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(gain) loss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$12,435,000 and $13,204,000 to our pension plan during the third quarter and first nine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months of fiscal year 2018, respectively. In the third quarter of fiscal year 2018, we made an $11,500,000 voluntary contribution in excess of the minimum required contribution. This contribution was made within eight and one-half months after the end of our fiscal year 2017 and therefore was deductible for our 2017 tax year. We received a greater tax benefit for this deduction in our 2017 tax year compared to the the benefit we would have received if the contribution were attributed to our 2018 tax year. See Note 10 for further discussion of the tax rates and other changes enacted by the 2017 Tax Act. This voluntary contribution also improved our funded status and contributed to a lower net periodic benefit expense for the third quarter and first nine months of fiscal year 2018 compared to the same periods in the prior year.</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minimum funding requirements for the remainder of fiscal year 2018. See Item 3. “Quantitative and Qualitative Disclosures About Market Risk” for a discussion of the potential impact of financial market fluctuations on pension plan assets and future funding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4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40" w:type="dxa"/>
            <w:vAlign w:val="bottom"/>
            <w:gridSpan w:val="7"/>
          </w:tcPr>
          <w:p>
            <w:pPr>
              <w:ind w:left="104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3.75%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7.20%. The graded trend rate is expected to decrease to an ultimate rate of 4.50% in fiscal year 2036.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988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63500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to Business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 and Wholesale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Unallocated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to Business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 and Wholesale Products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Sales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(Expense), Net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Expense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to Business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 and Wholesale Products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Sales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Expenses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Net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Benefit (Expense)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2640" w:type="dxa"/>
        <w:tblCellMar>
          <w:top w:w="0" w:type="dxa"/>
          <w:left w:w="0" w:type="dxa"/>
          <w:bottom w:w="0" w:type="dxa"/>
          <w:right w:w="0" w:type="dxa"/>
        </w:tblCellMar>
      </w:tblPr>
      <w:tr>
        <w:trPr>
          <w:trHeight w:val="234"/>
        </w:trPr>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2018</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2017</w:t>
            </w:r>
          </w:p>
        </w:tc>
      </w:tr>
      <w:tr>
        <w:trPr>
          <w:trHeight w:val="27"/>
        </w:trPr>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61,134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65,337</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90,065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90,508</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46,811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56,730</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198,010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212,575</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-719455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-376555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 the 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79,226</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74,893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26,191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121,161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121,638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7,010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200,387</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196,531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(21,414)</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(18,650)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11,787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11,691</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5,539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9"/>
          </w:tcPr>
          <w:p>
            <w:pPr>
              <w:jc w:val="right"/>
              <w:ind w:right="190"/>
              <w:spacing w:after="0"/>
              <w:rPr>
                <w:sz w:val="20"/>
                <w:szCs w:val="20"/>
                <w:color w:val="auto"/>
              </w:rPr>
            </w:pPr>
            <w:r>
              <w:rPr>
                <w:rFonts w:ascii="Arial" w:cs="Arial" w:eastAsia="Arial" w:hAnsi="Arial"/>
                <w:sz w:val="18"/>
                <w:szCs w:val="18"/>
                <w:b w:val="1"/>
                <w:bCs w:val="1"/>
                <w:color w:val="auto"/>
                <w:w w:val="93"/>
              </w:rPr>
              <w:t>For the Three Months Ended April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24,784</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24,159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7,556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40,063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40,586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64,847</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64,745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(6,665)</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-4210050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-3867150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-3515360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-3163570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-2812415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-1602740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-1259840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-908685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-556895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5340" w:space="720"/>
            <w:col w:w="5360"/>
          </w:cols>
          <w:pgMar w:left="240" w:top="742" w:right="239" w:bottom="1440" w:gutter="0" w:footer="0" w:header="0"/>
          <w:type w:val="continuous"/>
        </w:sectPr>
      </w:pP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stock options were granted during the first nine months of either fiscal year 2017 or 2018. There were no stock options outstanding at the end of fiscal year 2017. The amount of cash received from the exercise of stock options during the first nine months of fiscal year 2017 was $170,000 and the related tax benefit was $80,000.</w:t>
      </w:r>
    </w:p>
    <w:p>
      <w:pPr>
        <w:sectPr>
          <w:pgSz w:w="11900" w:h="16838" w:orient="portrait"/>
          <w:cols w:equalWidth="0" w:num="1">
            <w:col w:w="11420"/>
          </w:cols>
          <w:pgMar w:left="240" w:top="742"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of our non-vested restricted stock as of April 30, 2018 was issued under the 2006 Plan with vesting periods between two years and five years. We determine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1,000 restricted shares of Common Stock granted during the third quarter of fiscal year 2018. No restricted stock was granted during the third quarter of fiscal year 2017. Stock-based compensation expense related to non-vested restricted stock for the third quarter of fiscal years 2018 and 2017 was $410,000 and $360,000, respectively. Stock-based compensation expense related to non-vested restricted stock for the first nine months of fiscal years 2018 and 2017 was $1,338,000 and $1,137,000,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2017</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42.58</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36.41</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2018</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April 30, 2018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Pension and</w:t>
            </w: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Postretirement</w:t>
            </w: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Health Benefits</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6"/>
              </w:rPr>
              <w:t>Other comprehensive income before reclassifications,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656  (a)</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6"/>
              </w:rPr>
              <w:t>Reclassification to retained earnings upon adoption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accounting standard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(2,264) (b)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current-period other comprehensive income, net of</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Balance as of April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38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(11,995)</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net of tax expense of $296,000. Amount is included in the components of net periodic benefit cost for the pension and postretirement health plans. See Note 6 for further information.</w:t>
      </w:r>
    </w:p>
    <w:p>
      <w:pPr>
        <w:spacing w:after="0" w:line="170" w:lineRule="exact"/>
        <w:rPr>
          <w:rFonts w:ascii="Arial" w:cs="Arial" w:eastAsia="Arial" w:hAnsi="Arial"/>
          <w:sz w:val="18"/>
          <w:szCs w:val="18"/>
          <w:color w:val="auto"/>
        </w:rPr>
      </w:pPr>
    </w:p>
    <w:p>
      <w:pPr>
        <w:jc w:val="both"/>
        <w:ind w:firstLine="8"/>
        <w:spacing w:after="0" w:line="286" w:lineRule="auto"/>
        <w:tabs>
          <w:tab w:leader="none" w:pos="279"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In the third quarter of fiscal year 2018, we early adopted guidance under ASC 220, </w:t>
      </w:r>
      <w:r>
        <w:rPr>
          <w:rFonts w:ascii="Arial" w:cs="Arial" w:eastAsia="Arial" w:hAnsi="Arial"/>
          <w:sz w:val="17"/>
          <w:szCs w:val="17"/>
          <w:i w:val="1"/>
          <w:iCs w:val="1"/>
          <w:color w:val="auto"/>
        </w:rPr>
        <w:t>Reclassification of Certain Tax Effects from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This guidance allowed the stranded tax effects resulting from the change in the U.S. federal corporate income tax rate under the 2017</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to be reclassified from accumulated other comprehensive income to retained earnings. See Note 2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22, 2017, the U.S. government enacted the the 2017 Tax Act. The 2017 Tax Act included a number of changes to existing U.S. tax laws that impact us, most notably a reduction of the U.S. corporate income tax rate and acceleration of depreciation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for certain assets placed into service after September 27, 2017, as well as prospective changes, including repeal of the domestic manufacturing deduction and capitalization of research and development expenditures.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SEC Staff Accounting Bulletin No. 118 (“SAB 118”), which was codified by the FASB in March 2018, provided guidance for the application of ASC 740, </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the 2017 Tax Act. The guidance provides that companies (i) should record the effects of the changes from the 2017 Tax Act for which the accounting is complete (not provisional), (ii) should record provisional amounts for the effects of the changes for which the accounting is not complete, and for which reasonable estimates can be determined, in the period they are identified, and (iii) should not record provisional amounts if reasonable estimates cannot be made for the effects of the changes, and should continue to apply guidance based on the tax law in effect prior to the enactment on December 22, 2017. The guidance established a one-year measurement period (through December 22, 2018) where provisional amounts could be subject to adjustment, and requires certain qualitative and quantitative disclosures related to provisional amounts and accounting during the measurement period.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ASC 740 and SAB 118, we remeasured our U.S. net deferred tax assets at the reduced U.S. federal corporate tax rate and a provisional charge was recognized as a discrete item in the provision for income taxes in the second quarter of fiscal 2018. In the third quarter of fiscal 2018, this provisional charge was reduced, primarily as the result of a tax deductible contribution we made to our pension plan in excess of the minimum required amount. (See Note 6 for further information about our pension plan.) A provisional tax benefit of $1,095,000 was recognized as a discrete item in the provision for income taxes in the third quarter of fiscal 2018 and a net provisional tax charge of $3,996,000 was recognized for the nine months ended April 30, 2018. The measurement of deferred income taxes, as shown in Other Assets on the unaudited Condensed Consolidated Balance Sheet, is provisional. The final remeasurement cannot be determined until the underlying temporary differences are known, rather than estimated.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Tax Act also reduced the U.S. federal corporate tax rate from 35.0% to 21.0% for all corporations effective January 1, 2018. For fiscal year companies, the change in law requires the application of a blended rate for each quarter of the fiscal year of enactment. We will apply a blended tax rate of 26.9% for the fiscal year ending July 31, 2018. Thereafter, the applicable statutory rate is 21.0%. In addition, the 2017 Tax Act included a one-time transition tax on cumulative unrepatriated foreign earnings. Based on information available, we estimate our unrepatriated foreign earnings represent a cumulative loss and therefore no additional income tax expense was recorded related to this provision of the 2017 Tax Act.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analyze the impact of the 2017 Tax Act. As such, our financial results reflect reasonable estimates of items for which the income tax effects of the 2017 Tax Act have not been completed as of April 30, 2018. Adjustments to the provisional charges will be recorded as discrete items in the provision for income taxes in the period in when those adjustments become reasonably estimable and/or the accounting is complete. We will complete our analysis no later than December 22,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member of our Board of Directors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$150,000 and $142,000 for the third quarters of fiscal years 2018 and 2017, respectively, and were $313,000 and $320,000 for the first nine months of fiscal years 2018 and 2017, respectively. Outstanding accounts receivable from that customer, and its subsidiaries, were $30,000 as of April 30, 2018. There were no outstanding amounts due as of July 31, 2017.</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$67,000 and $9,000 for the third quarters of fiscal years 2018 and 2017, respectively, and were $183,000 and $77,000 for the first nine months of fiscal years 2018 and 2017, respectively. Outstanding accounts payable to that vendor were $0 and $19,000 as of April 30, 2018 and July 31, 2017,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2017.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2017, which contains a description of the issues that may arise with the implementation of our new enterprise resource planning system currently scheduled to be operational on August 1, 2018.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Consolidated net sales for the nine months ended April 30, 2018 were $200,387,000, compared to net sales of $196,531,000 for the nine months ended April 30, 2017. Net sales were up for our Business to Business Products Group and were down for our Retail and Wholesale Products Group. Both groups reported higher operating income, as discussed further below.</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net income for the first nine months of fiscal year 2018 was $5,539,000, a 42% decrease from net income of $9,470,000 for the first nine months of fiscal year 2017. Net income was significantly impacted by adjustments to tax expense recorded in both the second and third quarters of fiscal 2018. The net adjustments increased tax expense by $3,996,000 for the first nine months of fiscal 2018 to record the impact of the 2017 Tax Act on deferred income tax assets. See Note 10 of the Notes to Condensed Consolidated Financial Statements for further information about income taxes.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net income per share was $0.75 for the first nine months of fiscal year 2018, compared to $1.29 for the first nine months of fiscal year 2017. The tax expense adjustment discussed above effectively reduced diluted net income per share by $0.54 for the first nine months of fiscal year 2018.</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Consolidated gross profit as a percentage of net sales for the first nine months of fiscal year 2018 was 28.1%, compared to 29.3% for the first nine months of fiscal year 2017. Gross profit in fiscal year 2018 was negatively impacted by higher natural gas and other manufacturing costs, as well as by increased freight and packaging costs. The cost of natural gas per manufactured ton was approximately 5% higher than the prior year. Other manufacturing costs per ton produced were up approximately 4% compared to the same period in the prior fiscal year, including higher expenses for wages, salaries, repairs and depreciation. Freight costs per ton increased approximately 8% compared to the same period in the prior year. Freight rates have increased due to new regulations in the trucking industry and a shortage of drivers, which have resulted in less truck availability. Packaging costs per ton were approximately 9% higher compared to the prior fiscal year. Significant amounts of our packaging purchases are subject to contractual price adjustments throughout the year based on underlying commodity prices, including both resin and paper-based packaging. The impact of these higher costs was partially offset by increased selling prices and a favorable product sales mix.</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selling, general and administrative expenses were 2% lower for the first nine months of fiscal year 2018 compared to the first nine months of fiscal year 2017. The discussion of the segments' operating incomes below describe the changes in the selling,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color w:val="auto"/>
        </w:rPr>
        <w:t xml:space="preserve">general and administrative expenses that were allocated to the operating segments. The remaining unallocated corporate expenses in the first nine months of fiscal year 2018 included lower pension expense, as discussed in Note 6 of the Notes to Condensed Consolidated Financial Statements, and reduced Pension Benefit Guarantee Corporation (“PBGC") insurance premiums. These lower costs were </w:t>
      </w:r>
      <w:r>
        <w:rPr>
          <w:rFonts w:ascii="Arial" w:cs="Arial" w:eastAsia="Arial" w:hAnsi="Arial"/>
          <w:sz w:val="16"/>
          <w:szCs w:val="16"/>
          <w:color w:val="222222"/>
        </w:rPr>
        <w:t>partially offset by</w:t>
      </w:r>
      <w:r>
        <w:rPr>
          <w:rFonts w:ascii="Arial" w:cs="Arial" w:eastAsia="Arial" w:hAnsi="Arial"/>
          <w:sz w:val="16"/>
          <w:szCs w:val="16"/>
          <w:color w:val="auto"/>
        </w:rPr>
        <w:t xml:space="preserve"> higher costs for research and development, implementation of our new </w:t>
      </w:r>
      <w:r>
        <w:rPr>
          <w:rFonts w:ascii="Arial" w:cs="Arial" w:eastAsia="Arial" w:hAnsi="Arial"/>
          <w:sz w:val="16"/>
          <w:szCs w:val="16"/>
          <w:color w:val="222222"/>
        </w:rPr>
        <w:t>enterprise resource planning software and outside legal fees associated with ongoing litigation, as described further in Part II. Item</w:t>
      </w:r>
    </w:p>
    <w:p>
      <w:pPr>
        <w:spacing w:after="0" w:line="2" w:lineRule="exact"/>
        <w:rPr>
          <w:sz w:val="20"/>
          <w:szCs w:val="20"/>
          <w:color w:val="auto"/>
        </w:rPr>
      </w:pPr>
    </w:p>
    <w:p>
      <w:pPr>
        <w:jc w:val="both"/>
        <w:ind w:firstLine="8"/>
        <w:spacing w:after="0" w:line="255" w:lineRule="auto"/>
        <w:tabs>
          <w:tab w:leader="none" w:pos="180" w:val="left"/>
        </w:tabs>
        <w:numPr>
          <w:ilvl w:val="0"/>
          <w:numId w:val="5"/>
        </w:numPr>
        <w:rPr>
          <w:rFonts w:ascii="Arial" w:cs="Arial" w:eastAsia="Arial" w:hAnsi="Arial"/>
          <w:sz w:val="18"/>
          <w:szCs w:val="18"/>
          <w:color w:val="222222"/>
        </w:rPr>
      </w:pPr>
      <w:r>
        <w:rPr>
          <w:rFonts w:ascii="Arial" w:cs="Arial" w:eastAsia="Arial" w:hAnsi="Arial"/>
          <w:sz w:val="18"/>
          <w:szCs w:val="18"/>
          <w:color w:val="auto"/>
        </w:rPr>
        <w:t>“</w:t>
      </w:r>
      <w:r>
        <w:rPr>
          <w:rFonts w:ascii="Arial" w:cs="Arial" w:eastAsia="Arial" w:hAnsi="Arial"/>
          <w:sz w:val="18"/>
          <w:szCs w:val="18"/>
          <w:color w:val="222222"/>
        </w:rPr>
        <w:t>Legal Proceedings</w:t>
      </w:r>
      <w:r>
        <w:rPr>
          <w:rFonts w:ascii="Arial" w:cs="Arial" w:eastAsia="Arial" w:hAnsi="Arial"/>
          <w:sz w:val="18"/>
          <w:szCs w:val="18"/>
          <w:color w:val="auto"/>
        </w:rPr>
        <w:t xml:space="preserve">” </w:t>
      </w:r>
      <w:r>
        <w:rPr>
          <w:rFonts w:ascii="Arial" w:cs="Arial" w:eastAsia="Arial" w:hAnsi="Arial"/>
          <w:sz w:val="18"/>
          <w:szCs w:val="18"/>
          <w:color w:val="222222"/>
        </w:rPr>
        <w:t>of this Quarterly Report on Form 10-Q. In addition, the</w:t>
      </w:r>
      <w:r>
        <w:rPr>
          <w:rFonts w:ascii="Arial" w:cs="Arial" w:eastAsia="Arial" w:hAnsi="Arial"/>
          <w:sz w:val="18"/>
          <w:szCs w:val="18"/>
          <w:color w:val="auto"/>
        </w:rPr>
        <w:t xml:space="preserve"> estimated annual incentive bonus accrual for the first nine months of fiscal year 2018 was higher compared to the same period in the prior year. The incentive bonus accruals were based on performance targets established for each fiscal year.</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Tax expense for the first nine months of fiscal year 2018 was $6,666,000, compared to $2,221,000 for the first nine months of fiscal year 2017. Excluding the net $3,996,000 tax expense adjustment to reflect the provisions of the 2017 Tax Act discussed above, the effective tax rate for the first nine months of fiscal year 2018 would have been 21.9%, compared to 19.0% for the first nine months of fiscal year 2017. We used an estimated annual effective tax rate in determining our quarterly provision for income taxes, which is based on expected annual taxable income and the assessment of various tax deductions, including depletion. In addition, the effective tax rate for the first nine months of fiscal year 2018 included a reduction of approximately 1% under new accounting guidance for the recognition of excess tax benefits for share-based compensation. See Notes 2 and 10 of the Notes to Condensed Consolidated Financial Statements for more information about new accounting pronouncements and income taxes,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Business to Business Products Group for the first nine months of fiscal year 2018 were $79,226,000, an increase of $4,333,000, or 6%, from net sales of $74,893,000 for the first nine months of fiscal year 2017. Net sales of our traditional and engineered agricultural chemical granules increased approximately 13% due primarily to new customers and higher sales to existing customers. Net sales of our fluids purification products were up approximately 5% primarily as a result of increased sales in both foreign and domestic markets to petroleum oil and biodiesel processors. Net sales of our animal health and nutrition products were approximately 7% higher than the first nine months of fiscal year 2017, driven by increased sales in Latin America and a favorable product sales mix. Targeted marketing efforts for animal health products in Latin America resulted in significantly higher sales to both new and existing distributors. This increase was partially offset by lower sales both domestically and for our subsidiary in China, as described in “Foreign Operations” below. Sales of our co-packaged cat litter were down 4% compared to the prior year.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approximately 2% higher due primarily to increased costs to promote, develop and improve the Group's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nine months of fiscal year 2018 was $26,191,000, an increase of $1,158,000, or 5%, from operating income of $25,033,000 for the first nine months of fiscal year 2017. The improved income was primarily due to higher sales, which more than offset increased natural gas, manufacturing, freight and packaging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nine months of fiscal year 2018 of $121,161,000 were marginally lower compared to net sales of $121,638,000 for the first nine months of fiscal year 2017. Total cat litter net sales were down slightly compared to the first nine months of the prior year. Lower sales of branded litters were partially offset by higher sales of private label litter. Branded litter sales were negatively impacted by the loss of a customer; however, significantly higher e-commerce sales of our branded litter lessened the overall decline. Sales of our private label lightweight scoopable litter continued to grow, driven by new distribution and increased sales to current customers. The loss of a customer for private label coarse litter partially offset the increase in scoopable litter sales.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industrial and automotive absorbent products were flat compared to the first nine months of fiscal year 2017. Nine month sales for our subsidiary in the United Kingdom were slightly higher, while sales for our subsidiary in Canada were lower than the prior year. See “Foreign Operations” below for further discussion about the sales and types of products sold by our foreign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Retail and Wholesale Products Group were 17% lower compared to the first nine months of fiscal year 2017. The decrease was driven by approximately $2,600,000 lower advertising expense. We plan to continue promoting lightweight litter through the remainder of fiscal year 2018, however we expect advertising expense for the full year of fiscal year 2018 to be less than in fiscal year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nine months of fiscal year 2018 was $7,010,000, an increase of $1,014,000, or 17%, from operating income of $5,996,000 for the first nine months of fiscal year 2017. The reduction in selling, general and administrative expenses, as discussed above, more than offset increased natural gas, manufacturing, freight and packaging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nine months of fiscal year 2018 were $8,821,000, a 6% decrease compared to net sales of $9,344,000 during the first nine months of fiscal year 2017. This decrease was driven by approximately 15% fewer tons of animal health and nutrition products sold by our subsidiary in China, primarily as the result of lower sales to the succeeding business after the merger of two customers. To a much lesser extent, cat litter sales by our subsidiary in Canada were down, while sales of fluids purification products by our subsidiary in the United Kingdom were up. Net sales by our foreign subsidiaries represented 4% and 5% of our consolidated net sales during the first nine months of fiscal years 2018 and 2017,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of $553,000 for the first nine months of fiscal 2018, compared to a net loss of $41,000 for the first nine months of fiscal 2017. The improved profitability was driven primarily by both a favorable product sales mix and positive changes in foreign currency exchange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April 30, 2018 were $8,312,000, compared to $7,719,000 as of April 30, 2017. The increase was attributed to higher cash and cash equivalents, accounts receivable and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April 30, 2018 were $64,847,000, compared to $64,745,000 for the three months ended April 30, 2017. Net sales were up for the Business to Business Products Group, but were down for the Retail and Wholesale Products Group. Third quarter operating income increased for the the Retail and Wholesale Products Group, but decreased for Business to Business Products Group, as discussed further below.</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income of $3,585,000 was reported for the third quarter of fiscal year 2018, a 12% increase compared to net income of $3,211,000 for the third quarter of fiscal year 2017. Net income for the third quarter of fiscal 2018 was significantly impacted by a $1,095,000 reduction in tax expense, primarily due to the benefit of a $12,000,000 tax deductible contribution we made to our pension plan. We received a greater tax benefit for this deduction in our 2017 tax year compared to the the benefit we would have received if the contribution were attributed to our 2018 tax year under the provisions of the 2017 Tax Act. See Notes 6 and 10 of the Notes to Condensed Consolidated Financial Statements for further information about our pension plan and income taxes,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net earnings per share of $0.48 was reported for the third quarter of fiscal year 2018, compared to diluted net income per share of $0.44 for the third quarter of fiscal year 2017. The additional tax benefit discussed above effectively increased diluted net income per share by $0.15 for the third quarter of fiscal year 2018.</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Consolidated gross profit as a percentage of net sales for the third quarter of fiscal year 2018 was 27.4%, which was essentially flat compared to 27.5% for the third quarter of fiscal year 2017. Gross profit was positively impacted by lower natural gas and other manufacturing costs, which were primarily offset by increased freight and packaging costs. The cost per manufactured ton for natural gas used to operate kilns that dry our clay was approximately 6% lower in the third quarter of fiscal year 2018 compared to the third quarter of fiscal year 2017. Other manufacturing costs per ton produced were down approximately 3%, including lower expenses for purchased materials. Freight costs per ton increased approximately 15%. Freight rates have increased due to new regulations in the trucking industry and a shortage of drivers, which have resulted in less truck availability. Packaging costs per ton were approximately 9% higher compared to the third quarter of the prior fiscal year. Significant amounts of our packaging purchases are subject to contractual price adjustments throughout the year based on underlying commodity prices, including both resin and paper-based packaging. The impact of these higher costs was partially offset by increased selling prices.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selling, general and administrative expenses were 4% higher for the third quarter of fiscal year 2018 compared to the third quarter of fiscal year 2017. The discussion below describes the selling, general and administrative expenses allocated to the operating segments. The remaining unallocated corporate expenses in the third quarter of fiscal year 2018 included higher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 xml:space="preserve">related to the implementation of our new enterprise resource planning software and </w:t>
      </w:r>
      <w:r>
        <w:rPr>
          <w:rFonts w:ascii="Arial" w:cs="Arial" w:eastAsia="Arial" w:hAnsi="Arial"/>
          <w:sz w:val="18"/>
          <w:szCs w:val="18"/>
          <w:color w:val="222222"/>
        </w:rPr>
        <w:t>a higher</w:t>
      </w:r>
      <w:r>
        <w:rPr>
          <w:rFonts w:ascii="Arial" w:cs="Arial" w:eastAsia="Arial" w:hAnsi="Arial"/>
          <w:sz w:val="18"/>
          <w:szCs w:val="18"/>
          <w:color w:val="auto"/>
        </w:rPr>
        <w:t xml:space="preserve"> estimated annual incentive bonus accrual for the third quarter of fiscal year 2018 compared to the same period of fiscal year 2017. The bonus accruals were based on performance targets established for each fiscal year. Partially offsetting these higher costs was a lower pension expense, as discussed in Note 6 of the Notes to Condensed Consolidated Financial Statements, and reduced PBGC insurance premiums.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tax benefit of $290,000 was recorded for the third quarter of fiscal year 2018, compared to tax expense of $557,000 for the third quarter of fiscal year 2017. Excluding the $1,095,000 tax benefit adjustment to reflect the provisions of the 2017 Tax Act, the effective tax rate for the third quarter of fiscal year 2018 would have been 24%, compared to 15% for the same period of the prior year. We used an estimated annual effective tax rate in determining our quarterly provision for income taxes, which is based on expected annual taxable income and the assessment of various tax deductions, including depletion. The lower fiscal 2017 effective tax rate resulted from an estimated depletion deduction which was a greater percentage of pre-tax income. See Note 10 of the Notes to Condensed Consolidated Financial Statements for more information about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of the Business to Business Products Group for the third quarter of fiscal year 2018 were $24,784,000, an increase of $625,000, or 3%, from net sales of $24,159,000 for the third quarter of fiscal year 2017. Net sales of our animal health and nutrition products were approximately 16% higher than the third quarter of the prior year, driven primarily by sales in Latin America and a favorable product sales mix. Targeted marketing efforts in Latin America resulted in significantly higher sales to both new and existing distributors. Sales of animal health and nutrition products by our subsidiary in China were slightly higher and are discussed in “Foreign Operations” below. Net sales of fluids purification products were up approximately 3%, including higher sales to petroleum oil and biodiesel processors. Net sales of our traditional and engineered agricultural chemical granules were essentially flat. Sales of our co-packaged cat litter for the third quarter were down 12% compared to the third quarter of the prior year.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12% higher compared to the third quarter of fiscal year 2017 due primarily to increased salaries and consulting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third quarter of fiscal year 2018 was $7,556,000, a decrease of $254,000, or 3%, from operating income of $7,810,000 in the third quarter of fiscal year 2017. Increased freight, packaging and selling and administrative costs more than offset the higher sales and lower natural gas and manufacturing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third quarter of fiscal year 2018 were $40,063,000, a decrease of $523,000, or 1%, from net sales of $40,586,000 for the third quarter of fiscal year 2017. Total cat litter net sales were slightly lower compared to the third quarter of fiscal year 2017. Lower sales of branded litters were partially offset by higher sales of private label litter. Branded litter sales were negatively impacted by the loss of a customer, however growth in e-commerce sales lessened the overall branded litter decline. Sales of our private label lightweight scoopable litter continued to grow compared to the same quarter of the prior year, due primarily to new distribution and increased sales to current customers. Sales of private label coarse litter were even with the prior year.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industrial and automotive absorbent products were essentially flat compare to the third quarter of fiscal year 2017. Sales for both our subsidiaries in the United Kingdom and Canada were lower than the third quarter of the prior year. See “Foreign Operations” below for further discussion about the sales and types of products sold by our foreign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Retail and Wholesale Products Group were 11% lower compared to the third quarter of fiscal year 2017. The decrease was driven by approximately $490,000 lower advertising expense. We plan to continue promoting lightweight litter through the remainder of fiscal year 2018, however we expect advertising expense for the full year of fiscal year 2018 to be less than in fiscal year 2017.</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Retail and Wholesale Products Group's operating income for the third quarter of fiscal year 2018 was $2,223,000, an increase of $707,000, or 47%, compared to operating income of $1,516,000 for the third quarter of fiscal year 2017. The increase in operating income was driven by the lower selling, general and administrative expenses discussed above, as well as by lower natural gas and manufacturing costs. Higher freight and packaging costs moderated the increase in income. See “Consolidated Results” above for further discussion of manufacturing, freight and packaging costs.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third quarter of fiscal year 2018 were $2,774,000, a 3% decrease compared to net sales of $2,869,000 in the third quarter of fiscal year 2017. Sales were down for cat litter and industrial absorbent products sold by our subsidiary in Canada and for fluids purification products sold by our subsidiary in the United Kingdom. Partially offsetting these declines were slightly higher sales of animal health and nutrition products by our subsidiary in China. Our foreign subsidiaries' net sales represented approximately 4% of consolidated net sales during the third quarters of both fiscal years 2018 and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a net loss of $82,000 for the third quarter of fiscal year 2018, compared to a net loss of $339,000 for the third quarter of fiscal year 2017. The improved profitability was driven primarily by both a favorable product sales mix and positive changes in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business acquisitions. During the first nine months of fiscal year 2018, we principally used cash generated from operations to fund these requirements. In addition, during the third quarter of fiscal year 2018 we used cash from operations and from borrowing under our revolving credit agreement with BMO Harris Bank N.A. (“BMO Harris”) to make a voluntary contribution to our pension plan. This borrowing is described under “Other” below and the pension plan is discussed in Note 6 of the Notes to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(18,858)</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net income and the adjustment to net income for deferred income taxes reflect a $3,996,000 adjustment recorded under the provisions of the 2017 Tax Act. See Note 10 of the Notes to Condensed Consolidated Financial Statements for more information about income taxes.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2018 and 2017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$220,000 in the first nine months of fiscal year 2018 compared to an increase of $1,633,000 in the first nine months of fiscal year 2017. The change in accounts receivable balances reflected differences in the level and timing of sales and collections, as well as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$42,000 in the first nine months of fiscal year 2018 compared to an increase of $1,171,000 in the first nine months of fiscal year 2017. Higher prepaid income taxes and prepayments of annual insurance premiums in the first nine months of fiscal year 2018 were mostly offset by a decrease in prepaid advertising expense. Higher prepaid advertising and insurance prepayments contributed to the increase in the first nine months of fiscal year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payable decreased $888,000 in the first nine months of fiscal year 2018 compared to an increase of $1,848,000 in the first nine months of fiscal year 2017. Trade and freight payables varied in both periods due to the timing of payments, fluctuations in the cost of goods and services we purchased, production volume levels and vendor payment terms. Our previous estimated income taxes liability became a prepaid expense in the first nine months of fiscal year 2018 due to a tax-deductible voluntary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pension contribution. Higher estimated income taxes payable contributed to the accounts payable increase in the first nine months of fiscal year 2017.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$1,198,000 in the first nine months of fiscal year 2018 compared to an increase of $627,000 in the first nine months of fiscal year 2017. A reduction in accrued trade promotions and advertising due to the timing of marketing programs drove the decrease in the first nine months of fiscal year 2018. The increase in the first nine months of fiscal 2017 was due primarily to higher accrued plant expenses, which were partially offset by a decrease in the discretionary bonus accrual. Accrued plant expenses fluctuate due to timing of payments, changes in the cost of goods and services we purchased, production volume levels and vendor payment terms.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decreased $5,272,000 in the first nine months of fiscal year 2018 compared to an increase of $518,000 in the first nine months of fiscal year 2017. Deferred compensation in both years was impacted by new deferrals, earnings on deferred balances and payouts. The decrease in fiscal year 2018 was due to the payout of balances in accordance with plan provisions.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pension and postretirement benefits liability decreased $11,223,000 in the first nine months of fiscal year 2018 compared to an increase of $1,133,000 in the first nine months of fiscal year 2017. The decrease in fiscal year 2018 was due primarily to an $11,500,000 voluntary contribution in excess of the minimum amount required. See Note 6 of Notes to Condensed Consolidated Financial Statements for further information about our pension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investing activities was $608,000 in the first nine months of fiscal year 2018 compared to cash used in investing activities of $18,858,000 in the first nine months of fiscal year 2017. Cash used for capital expenditures was $10,533,000 and $10,418,000 in the first nine months of fiscal years 2018 and 2017, respectively. Capital expenditures in both periods included spending for an enterprise resource planning system implementation, as well as equipment additions and replacement at our manufacturing facilities.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proceeds of $9,375,000 from net dispositions of short-term investments in the first nine months of fiscal year 2018 were used in part to fund the voluntary contribution to our pension plan. Cash used for net purchases of short-term investments was $8,500,000 in the first nine months of fiscal year 2017. Purchases and dispositions of investment securities in both periods are impacted by variations in the timing of investment maturities, the operating cash needs of the Company and the availability of investment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cash proceeds of $1,747,000 were received in the first nine months of fiscal year 2018 from the closing of a life insurance policy on a former key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financing activities was $1,781,000 in the first nine months of fiscal year 2018 compared to cash used in financing activities of $7,261,000 in the first nine months of fiscal year 2017. Short term borrowing in the first nine months of fiscal year 2018 under our credit agreement with BMO Harris provided $6,000,000, as discussed further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$1,849,000 as of April 30, 2018 were higher than the April 30, 2017 balances of $1,454,000. See further discussion in “Foreign Operations” above.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April 30, 2018, the variable rates would have been 4.75% for the BMO Harris prime-based rate or 3.35%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April 30, 2018 and 2017 were were in compliance with the covenants.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borrowed $6,000,000 at a weighted average interest rate of 2.96% under the credit agreement with BMO Harris during the third quarter of fiscal year 2018. The amount borrowed is anticipated to be repaid in the fourth quarter of fiscal year 2018.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proceeds from the borrowing were used to make a voluntary contribution to our pension plan. There were no other borrowings during the first nine months of either fiscal years 2018 or 2017.</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April 30, 2018, we had remaining authority to repurchase 300,822 shares of Common Stock under a repurchase plan approved by our Board of Directors (the “Board”). In addition, on March 21, 2018, the Board authorized the repurchase of 300,000 shares of Class B Stock. There were no repurchases of either Common Stock or Class B Stock in the third quarter of fiscal year 2018. These repurchases may be made on the open market (pursuant to Rule 10b5-1 plans or otherwise) or in negotiated transactions. The timing and number of shares repurchased will be determined by our management.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plan to continue promoting our lightweight products, although we expect advertising expense in fiscal year 2018 to be less than in fiscal year 2017. We anticipate that our capital expenditures for the full fiscal year 2018 will be higher than in fiscal year 2017, including costs related to our enterprise resource planning software implementation. </w:t>
      </w:r>
      <w:r>
        <w:rPr>
          <w:rFonts w:ascii="Arial" w:cs="Arial" w:eastAsia="Arial" w:hAnsi="Arial"/>
          <w:sz w:val="18"/>
          <w:szCs w:val="18"/>
          <w:color w:val="222222"/>
        </w:rPr>
        <w:t>We do not</w:t>
      </w:r>
      <w:r>
        <w:rPr>
          <w:rFonts w:ascii="Arial" w:cs="Arial" w:eastAsia="Arial" w:hAnsi="Arial"/>
          <w:sz w:val="18"/>
          <w:szCs w:val="18"/>
          <w:color w:val="auto"/>
        </w:rPr>
        <w:t xml:space="preserve"> </w:t>
      </w:r>
      <w:r>
        <w:rPr>
          <w:rFonts w:ascii="Arial" w:cs="Arial" w:eastAsia="Arial" w:hAnsi="Arial"/>
          <w:sz w:val="18"/>
          <w:szCs w:val="18"/>
          <w:color w:val="222222"/>
        </w:rPr>
        <w:t>believe that these increased cash outflows will dramatically impact our cash position; however our cash requirements are subject to change as business conditions warrant and opportunities arise.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contractual obligations and commercial commitments (in thousands) as of April 30, 2018 for the time-frames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25,405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8,010</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$6,000,000 borrowed under our credit agreement with BMO Harris is anticipated to be repaid in the fourth quarter of fiscal 2018. This commitment is excluded from the table above due its short-term nature.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made total contributions to our defined benefit pension plan of $13,204,000 during the first nine months of fiscal year 2018, including an $11,500,000 voluntary contribution in the third quarter. We have no minimum pension funding requirements for the remainder of fiscal year 2018. We have not presented pension contribution obligations for future years in the table above because the funding requirement can vary from year to year based on various factors, including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purchased materials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exposed to foreign currency fluctuation risk, primarily the U.S. Dollar relative to the British Pound, Euro, Canadian Dollar and Chinese Yuan.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the first nine months of fiscal year 2018; however, historically the overall foreign currency fluctuation risk has not been material to our Consolidated Financial Statements. During the first nine months of fiscal year 2018, we did not enter into any hedge contracts to offset any adverse effect of changes in currency exchange rates.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As of April 30, 2018, we have not purchased any natural gas contracts for our planned kiln fuel needs for the remainder of fiscal year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2018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2,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supplement to the description of the litigation under Item 3, “Legal Proceedings,” in the Annual Report on Form 10-K for the fiscal year ended July 31,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Patent Office action discussed immediately below; the stay was lifted in March 2017, and fact discovery is now complete in the case, while claim construction activities are currently proceeding.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Nestlé filed a petition for Inter Partes Review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In December 2017, the Court declined the request for an immediate remand and deferred Nestlé's motion until the case is assigned to its hearing panel. Briefing is now complete, and oral argument before a panel of the Federal Circuit occurred on June 4, 2018.</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12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gridSpan w:val="5"/>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Statement re: Computation of Earnings per Share.</w:t>
              </w:r>
            </w:hyperlink>
          </w:p>
        </w:tc>
        <w:tc>
          <w:tcPr>
            <w:tcW w:w="334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Certifications pursuant to Rule 13a–14(a).</w:t>
              </w:r>
            </w:hyperlink>
          </w:p>
        </w:tc>
        <w:tc>
          <w:tcPr>
            <w:tcW w:w="390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Certifications pursuant to Section 1350 of the Sarbanes-Oxley Act of 2002</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3600" w:type="dxa"/>
            <w:vAlign w:val="bottom"/>
            <w:tcBorders>
              <w:top w:val="single" w:sz="8" w:color="0000FF"/>
            </w:tcBorders>
            <w:gridSpan w:val="3"/>
          </w:tcPr>
          <w:p>
            <w:pPr>
              <w:spacing w:after="0"/>
              <w:rPr>
                <w:sz w:val="24"/>
                <w:szCs w:val="24"/>
                <w:color w:val="auto"/>
              </w:rPr>
            </w:pPr>
          </w:p>
        </w:tc>
        <w:tc>
          <w:tcPr>
            <w:tcW w:w="156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5"/>
          </w:tcPr>
          <w:p>
            <w:pPr>
              <w:jc w:val="right"/>
              <w:ind w:right="760"/>
              <w:spacing w:after="0"/>
              <w:rPr>
                <w:sz w:val="20"/>
                <w:szCs w:val="20"/>
                <w:color w:val="auto"/>
              </w:rPr>
            </w:pPr>
            <w:r>
              <w:rPr>
                <w:rFonts w:ascii="Arial" w:cs="Arial" w:eastAsia="Arial" w:hAnsi="Arial"/>
                <w:sz w:val="18"/>
                <w:szCs w:val="18"/>
                <w:color w:val="auto"/>
              </w:rPr>
              <w:t>30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580" w:top="584" w:right="9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6"/>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Statement re: Computation of Earnings per Share.</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7"/>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7"/>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Certifications pursuant to Section 1350 of the Sarbanes-Oxley Act of 2002.</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8"/>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For the Nine Months Ended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3,585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(130)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2,102</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2,099</w:t>
            </w: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7,222</w:t>
            </w: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7,164</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7,217</w:t>
            </w: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0.53</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0.40</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0.48</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June 8, 2018</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8, 2018</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8,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8,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2018.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1,210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1,993</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15,076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2018.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31"/>
    </w:lvl>
  </w:abstractNum>
  <w:abstractNum w:abstractNumId="7">
    <w:nsid w:val="5BD062C2"/>
    <w:multiLevelType w:val="hybridMultilevel"/>
    <w:lvl w:ilvl="0">
      <w:lvlJc w:val="left"/>
      <w:lvlText w:val="%1"/>
      <w:numFmt w:val="decimal"/>
      <w:start w:val="95"/>
    </w:lvl>
  </w:abstractNum>
  <w:abstractNum w:abstractNumId="8">
    <w:nsid w:val="1220085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2020-01-15T15:07:34Z</dcterms:created>
  <dcterms:modified xsi:type="dcterms:W3CDTF">2020-01-15T15:07:34Z</dcterms:modified>
</cp:coreProperties>
</file>