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Arial" w:cs="Arial" w:eastAsia="Arial" w:hAnsi="Arial"/>
                <w:sz w:val="18"/>
                <w:szCs w:val="18"/>
                <w:color w:val="auto"/>
                <w:w w:val="90"/>
              </w:rPr>
              <w:t>December 7, 2018</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2018, Oil-Dri Corporation of America (the “Registrant”) issued a press release announcing its results of operations for its first quarter ended October 31, 2018.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December 7,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2108</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4"/>
          </w:tcPr>
          <w:p>
            <w:pPr>
              <w:ind w:left="346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6200" w:type="dxa"/>
            <w:vAlign w:val="bottom"/>
            <w:gridSpan w:val="3"/>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of the Registrant dated December 7, 2018</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First Quarter of Fiscal 2019 Results</w:t>
      </w:r>
    </w:p>
    <w:p>
      <w:pPr>
        <w:spacing w:after="0" w:line="266"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CHICAGO-(December 7, 2018)-Oil-Dri Corporation of America (NYSE: ODC), producer and marketer of sorbent mineral products, announced today its first quarter 2019 earnings.</w:t>
      </w:r>
    </w:p>
    <w:p>
      <w:pPr>
        <w:spacing w:after="0" w:line="36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First Quarter</w:t>
      </w:r>
    </w:p>
    <w:p>
      <w:pPr>
        <w:spacing w:after="0" w:line="130" w:lineRule="exact"/>
        <w:rPr>
          <w:sz w:val="20"/>
          <w:szCs w:val="20"/>
          <w:color w:val="auto"/>
        </w:rPr>
      </w:pPr>
    </w:p>
    <w:p>
      <w:pPr>
        <w:ind w:left="6980"/>
        <w:spacing w:after="0"/>
        <w:rPr>
          <w:sz w:val="20"/>
          <w:szCs w:val="20"/>
          <w:color w:val="auto"/>
        </w:rPr>
      </w:pPr>
      <w:r>
        <w:rPr>
          <w:rFonts w:ascii="Arial" w:cs="Arial" w:eastAsia="Arial" w:hAnsi="Arial"/>
          <w:sz w:val="14"/>
          <w:szCs w:val="14"/>
          <w:i w:val="1"/>
          <w:iCs w:val="1"/>
          <w:color w:val="auto"/>
        </w:rPr>
        <w:t>Ended October 31, 2018</w:t>
      </w:r>
    </w:p>
    <w:p>
      <w:pPr>
        <w:spacing w:after="0" w:line="337" w:lineRule="exact"/>
        <w:rPr>
          <w:sz w:val="20"/>
          <w:szCs w:val="20"/>
          <w:color w:val="auto"/>
        </w:rPr>
      </w:pPr>
    </w:p>
    <w:tbl>
      <w:tblPr>
        <w:tblLayout w:type="fixed"/>
        <w:tblInd w:w="1700" w:type="dxa"/>
        <w:tblCellMar>
          <w:top w:w="0" w:type="dxa"/>
          <w:left w:w="0" w:type="dxa"/>
          <w:bottom w:w="0" w:type="dxa"/>
          <w:right w:w="0" w:type="dxa"/>
        </w:tblCellMar>
      </w:tblPr>
      <w:tr>
        <w:trPr>
          <w:trHeight w:val="257"/>
        </w:trPr>
        <w:tc>
          <w:tcPr>
            <w:tcW w:w="3980" w:type="dxa"/>
            <w:vAlign w:val="bottom"/>
            <w:tcBorders>
              <w:right w:val="single" w:sz="8" w:color="auto"/>
            </w:tcBorders>
          </w:tcPr>
          <w:p>
            <w:pPr>
              <w:spacing w:after="0"/>
              <w:rPr>
                <w:sz w:val="22"/>
                <w:szCs w:val="22"/>
                <w:color w:val="auto"/>
              </w:rPr>
            </w:pPr>
          </w:p>
        </w:tc>
        <w:tc>
          <w:tcPr>
            <w:tcW w:w="178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F19</w:t>
            </w:r>
          </w:p>
        </w:tc>
        <w:tc>
          <w:tcPr>
            <w:tcW w:w="13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F18</w:t>
            </w:r>
          </w:p>
        </w:tc>
        <w:tc>
          <w:tcPr>
            <w:tcW w:w="9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7"/>
        </w:trPr>
        <w:tc>
          <w:tcPr>
            <w:tcW w:w="3980" w:type="dxa"/>
            <w:vAlign w:val="bottom"/>
            <w:tcBorders>
              <w:right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r>
      <w:tr>
        <w:trPr>
          <w:trHeight w:val="250"/>
        </w:trPr>
        <w:tc>
          <w:tcPr>
            <w:tcW w:w="398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78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$66,143,000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$66,646,000</w:t>
            </w:r>
          </w:p>
        </w:tc>
        <w:tc>
          <w:tcPr>
            <w:tcW w:w="9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(1)%</w:t>
            </w:r>
          </w:p>
        </w:tc>
      </w:tr>
      <w:tr>
        <w:trPr>
          <w:trHeight w:val="270"/>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$906,000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$3,050,000</w:t>
            </w:r>
          </w:p>
        </w:tc>
        <w:tc>
          <w:tcPr>
            <w:tcW w:w="9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5"/>
              </w:rPr>
              <w:t>(70)%</w:t>
            </w:r>
          </w:p>
        </w:tc>
      </w:tr>
      <w:tr>
        <w:trPr>
          <w:trHeight w:val="270"/>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9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5"/>
              </w:rPr>
              <w:t>(71)%</w:t>
            </w:r>
          </w:p>
        </w:tc>
      </w:tr>
      <w:tr>
        <w:trPr>
          <w:trHeight w:val="27"/>
        </w:trPr>
        <w:tc>
          <w:tcPr>
            <w:tcW w:w="3980" w:type="dxa"/>
            <w:vAlign w:val="bottom"/>
            <w:tcBorders>
              <w:right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r>
      <w:tr>
        <w:trPr>
          <w:trHeight w:val="250"/>
        </w:trPr>
        <w:tc>
          <w:tcPr>
            <w:tcW w:w="398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78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$25,326,000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$27,087,000</w:t>
            </w:r>
          </w:p>
        </w:tc>
        <w:tc>
          <w:tcPr>
            <w:tcW w:w="9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(7)%</w:t>
            </w:r>
          </w:p>
        </w:tc>
      </w:tr>
      <w:tr>
        <w:trPr>
          <w:trHeight w:val="270"/>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$7,032,000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$8,876,000</w:t>
            </w:r>
          </w:p>
        </w:tc>
        <w:tc>
          <w:tcPr>
            <w:tcW w:w="9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5"/>
              </w:rPr>
              <w:t>(21)%</w:t>
            </w:r>
          </w:p>
        </w:tc>
      </w:tr>
      <w:tr>
        <w:trPr>
          <w:trHeight w:val="27"/>
        </w:trPr>
        <w:tc>
          <w:tcPr>
            <w:tcW w:w="3980" w:type="dxa"/>
            <w:vAlign w:val="bottom"/>
            <w:tcBorders>
              <w:right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r>
      <w:tr>
        <w:trPr>
          <w:trHeight w:val="250"/>
        </w:trPr>
        <w:tc>
          <w:tcPr>
            <w:tcW w:w="398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78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$40,817,000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$39,559,000</w:t>
            </w:r>
          </w:p>
        </w:tc>
        <w:tc>
          <w:tcPr>
            <w:tcW w:w="9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2"/>
              </w:rPr>
              <w:t>3%</w:t>
            </w:r>
          </w:p>
        </w:tc>
      </w:tr>
      <w:tr>
        <w:trPr>
          <w:trHeight w:val="270"/>
        </w:trPr>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$9,000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$2,365,000</w:t>
            </w:r>
          </w:p>
        </w:tc>
        <w:tc>
          <w:tcPr>
            <w:tcW w:w="9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(100)%</w:t>
            </w:r>
          </w:p>
        </w:tc>
      </w:tr>
      <w:tr>
        <w:trPr>
          <w:trHeight w:val="27"/>
        </w:trPr>
        <w:tc>
          <w:tcPr>
            <w:tcW w:w="3980" w:type="dxa"/>
            <w:vAlign w:val="bottom"/>
            <w:tcBorders>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Daniel S. Jaffee stated, “I am not pleased with the financial results of fiscal 2019’s first quarter. Behind the many challenges faced in the quarter, I continue to see great promise in our value-added products. Our Business to Business and Consumer strategies are working and hold great promise for long term success.</w:t>
      </w:r>
    </w:p>
    <w:p>
      <w:pPr>
        <w:spacing w:after="0" w:line="18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In the quarter, we experienced higher costs of freight, packaging and non-fuel manufacturing costs. The cost of freight increased more than 2 million dollars, or greater than 20% compared to the first quarter of fiscal 2018. While portions of the freight increase were one-time, we expect the majority of the increase to continue for the remainder of the year and beyond. This increase is not specific to Oil-Dri, but widespread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261" w:right="239" w:bottom="1440" w:gutter="0" w:footer="0" w:header="0"/>
        </w:sectPr>
      </w:pPr>
    </w:p>
    <w:bookmarkStart w:id="5" w:name="page6"/>
    <w:bookmarkEnd w:id="5"/>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100"/>
        <w:spacing w:after="0" w:line="263" w:lineRule="auto"/>
        <w:rPr>
          <w:sz w:val="20"/>
          <w:szCs w:val="20"/>
          <w:color w:val="auto"/>
        </w:rPr>
      </w:pPr>
      <w:r>
        <w:rPr>
          <w:rFonts w:ascii="Arial" w:cs="Arial" w:eastAsia="Arial" w:hAnsi="Arial"/>
          <w:sz w:val="22"/>
          <w:szCs w:val="22"/>
          <w:color w:val="auto"/>
        </w:rPr>
        <w:t>In addition to the freight increase, net income was negatively impacted by increased advertising costs in support of our Cat’s Pride litter products and the mix of Business to Business products sold.</w:t>
      </w:r>
    </w:p>
    <w:p>
      <w:pPr>
        <w:spacing w:after="0" w:line="17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As expected, overall cash flow, sales and profitability were negatively impacted by the implementation of our new enterprise resource planning (ERP) system that went live during the quarter. In the period, compliance costs and fines related to order processing, shipping and customer communication were estimated to be $500,000, and costs associated with ERP project consultants were approximately $600,000.</w:t>
      </w:r>
    </w:p>
    <w:p>
      <w:pPr>
        <w:spacing w:after="0" w:line="188"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Net sales of our Business to Business products decreased in the period due to price competition, driven partially by currency exchange rates in Latin America and order timing. We continue to be excited about feedback from the field regarding our Amlan International products, Varium and NeoPrime, that offer natural alternatives to improving growth in global poultry and swine operations.</w:t>
      </w:r>
    </w:p>
    <w:p>
      <w:pPr>
        <w:spacing w:after="0" w:line="188"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In October, Cat’s Pride was proud to be the sponsor of a major network television integration, reaching over 36 million impressions. The sponsorship promoted brand awareness of the Cat’s Pride Fresh &amp; Light product line and our Litter for Good campaign, in which one pound of litter is donated to animal welfare organizations for every Fresh &amp; Light green jug purchased. Catspride.com website traffic increased 71% and social media traffic increased 90% during the integration. The sponsorship helped our Litter for Good program, generating growth in Cat’s Pride Club membership, shelter nominations to receive donated litter and shelter participation in the program. To date, our Cat’s Pride Club membership has grown by 19,000 since the launch of our Litter for Good program less than a year ago, and we have promised over 3.6 million pounds in litter donations.</w:t>
      </w:r>
    </w:p>
    <w:p>
      <w:pPr>
        <w:spacing w:after="0" w:line="192" w:lineRule="exact"/>
        <w:rPr>
          <w:sz w:val="20"/>
          <w:szCs w:val="20"/>
          <w:color w:val="auto"/>
        </w:rPr>
      </w:pPr>
    </w:p>
    <w:p>
      <w:pPr>
        <w:jc w:val="both"/>
        <w:ind w:right="180"/>
        <w:spacing w:after="0" w:line="253" w:lineRule="auto"/>
        <w:rPr>
          <w:sz w:val="20"/>
          <w:szCs w:val="20"/>
          <w:color w:val="auto"/>
        </w:rPr>
      </w:pPr>
      <w:r>
        <w:rPr>
          <w:rFonts w:ascii="Arial" w:cs="Arial" w:eastAsia="Arial" w:hAnsi="Arial"/>
          <w:sz w:val="22"/>
          <w:szCs w:val="22"/>
          <w:color w:val="auto"/>
        </w:rPr>
        <w:t>Net sales of consumer products were up approximately 5% compared to the first quarter of fiscal 2018, contributing to this was a 21% increase in net sales of private label lightweight litter. This growth is encouraging given the operational challenges that were faced during the quarter due to the ERP system implementation.</w:t>
      </w:r>
    </w:p>
    <w:p>
      <w:pPr>
        <w:spacing w:after="0" w:line="18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For more details on our financial results, please review the Form 10-Q that was filed today and join us for our earnings teleconference and 2018 Annual Meeting of Stockholders on Tuesday, December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Remote participation details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80"/>
          </w:cols>
          <w:pgMar w:left="240" w:top="1440" w:right="279" w:bottom="1440" w:gutter="0" w:footer="0" w:header="0"/>
        </w:sectPr>
      </w:pPr>
    </w:p>
    <w:bookmarkStart w:id="6" w:name="page7"/>
    <w:bookmarkEnd w:id="6"/>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w:t>
      </w:r>
    </w:p>
    <w:p>
      <w:pPr>
        <w:spacing w:after="0" w:line="2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The Company will host its first quarter fiscal 2019 teleconference and 2018 Annual Meeting of Stockholders on Tuesday, December 11, 2018.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will commence at 9:30 am Central Time. The event will be held on the sixth floor of The University of Chicago Booth School of Business, Gleacher Center, 450 Cityfront Drive, Chicago, Illinois 60611. Remote participation details are available on our website’s </w:t>
      </w:r>
      <w:r>
        <w:rPr>
          <w:rFonts w:ascii="Arial" w:cs="Arial" w:eastAsia="Arial" w:hAnsi="Arial"/>
          <w:sz w:val="17"/>
          <w:szCs w:val="17"/>
          <w:u w:val="single" w:color="auto"/>
          <w:color w:val="0000FF"/>
        </w:rPr>
        <w:t>Events</w:t>
      </w:r>
      <w:r>
        <w:rPr>
          <w:rFonts w:ascii="Arial" w:cs="Arial" w:eastAsia="Arial" w:hAnsi="Arial"/>
          <w:sz w:val="17"/>
          <w:szCs w:val="17"/>
          <w:color w:val="auto"/>
        </w:rPr>
        <w:t xml:space="preserve"> page.</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“Oil-Dri”, “Amlan”, “Cat’s Pride”, “Fresh &amp; Light”, “Varium”, and “NeoPrime” are registered trademarks of Oil-Dri Corporation of America. “Litter for Good” is a trademark of Oil-Dri Corporation of America.</w:t>
      </w:r>
    </w:p>
    <w:p>
      <w:pPr>
        <w:spacing w:after="0" w:line="283"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7" w:name="page8"/>
    <w:bookmarkEnd w:id="7"/>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(in thousands, except per share amounts)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First Quarter Ended October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66,143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66,646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Sales (1)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16,010</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18,975</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4,215</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Other Income (1)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5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7,243</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7,211</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20" w:firstLine="8"/>
        <w:spacing w:after="0" w:line="261" w:lineRule="auto"/>
        <w:tabs>
          <w:tab w:leader="none" w:pos="22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the non-service cost components of net periodic benefit cost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715, Improving the Presentation of Net Periodic Pension Cost and Net Periodic Postretirement Benefit Cost.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8" w:name="page9"/>
    <w:bookmarkEnd w:id="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9,019</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8,401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39,935</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32,054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8,200</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7,554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85,219</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88,901</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87,338</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84,251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24,394</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33,765</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196,951</w:t>
            </w:r>
          </w:p>
        </w:tc>
        <w:tc>
          <w:tcPr>
            <w:tcW w:w="3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206,917</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13,287</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7,828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17,691</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15,277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35,717</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26,416</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44,975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29,447</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51,060</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131,787</w:t>
            </w:r>
          </w:p>
        </w:tc>
        <w:tc>
          <w:tcPr>
            <w:tcW w:w="3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128,110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196,951</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206,917</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4,058</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3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9" w:name="page10"/>
    <w:bookmarkEnd w:id="9"/>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3,050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Receivable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7,290</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Dispositions of Investment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1"/>
                <w:szCs w:val="21"/>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74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12,757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9,095</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8,401</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2020-02-18T23:09:30Z</dcterms:created>
  <dcterms:modified xsi:type="dcterms:W3CDTF">2020-02-18T23:09:30Z</dcterms:modified>
</cp:coreProperties>
</file>