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0"/>
        <w:jc w:val="left"/>
        <w:rPr/>
      </w:pPr>
      <w:r>
        <w:rPr>
          <w:color w:val="000000"/>
        </w:rPr>
        <w:t> </w:t>
      </w:r>
      <w:r>
        <w:rPr>
          <w:rFonts w:ascii="Times New Roman;sans-serif" w:hAnsi="Times New Roman;sans-serif"/>
          <w:b/>
          <w:color w:val="000000"/>
          <w:sz w:val="24"/>
        </w:rPr>
        <w:t xml:space="preserve">For the fiscal year ended July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 </w:t>
      </w:r>
      <w:r>
        <w:rPr>
          <w:rFonts w:ascii="Times New Roman;sans-serif" w:hAnsi="Times New Roman;sans-serif"/>
          <w:b/>
          <w:color w:val="000000"/>
          <w:sz w:val="20"/>
        </w:rPr>
        <w:t>TRANSITION REPORT PURSUANT TO SECTION 13 OR 15 (d) OF THE SECURITIES EXCHANGE ACT OF 1934</w:t>
      </w:r>
    </w:p>
    <w:p>
      <w:pPr>
        <w:pStyle w:val="TextBody"/>
        <w:bidi w:val="0"/>
        <w:spacing w:lineRule="auto" w:line="288" w:before="0" w:after="0"/>
        <w:jc w:val="left"/>
        <w:rPr/>
      </w:pPr>
      <w:r>
        <w:rPr>
          <w:color w:val="000000"/>
        </w:rPr>
        <w:t> </w:t>
      </w:r>
      <w:r>
        <w:rPr>
          <w:rFonts w:ascii="Times New Roman;sans-serif" w:hAnsi="Times New Roman;sans-serif"/>
          <w:b/>
          <w:color w:val="000000"/>
          <w:sz w:val="24"/>
        </w:rPr>
        <w:t>For the Transition Period from _____ to 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001-12622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OIL-DRI CORPORATION OF AMERICA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u w:val="single"/>
        </w:rPr>
        <w:t>Delaware</w:t>
      </w:r>
      <w:r>
        <w:rPr>
          <w:color w:val="000000"/>
        </w:rPr>
        <w:t>                        </w:t>
      </w:r>
      <w:r>
        <w:rPr>
          <w:rFonts w:ascii="Times New Roman;sans-serif" w:hAnsi="Times New Roman;sans-serif"/>
          <w:b w:val="false"/>
          <w:color w:val="000000"/>
          <w:sz w:val="20"/>
          <w:u w:val="single"/>
        </w:rPr>
        <w:t>36-2048898</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            (I.R.S. Employer Identification No.)</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410 North Michigan Avenue, Suite 400                </w:t>
      </w:r>
      <w:r>
        <w:rPr>
          <w:rFonts w:ascii="Times New Roman;sans-serif" w:hAnsi="Times New Roman;sans-serif"/>
          <w:b w:val="false"/>
          <w:color w:val="000000"/>
          <w:sz w:val="20"/>
          <w:u w:val="single"/>
        </w:rPr>
        <w:t>60611-4213</w:t>
      </w:r>
      <w:r>
        <w:rPr>
          <w:color w:val="000000"/>
        </w:rPr>
        <w:t xml:space="preserve">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u w:val="single"/>
        </w:rPr>
        <w:t>Chicago, Illinois</w:t>
      </w:r>
      <w:r>
        <w:rPr>
          <w:color w:val="000000"/>
        </w:rPr>
        <w:t>                        </w:t>
      </w:r>
      <w:r>
        <w:rPr>
          <w:rFonts w:ascii="Times New Roman;sans-serif" w:hAnsi="Times New Roman;sans-serif"/>
          <w:b w:val="false"/>
          <w:color w:val="000000"/>
          <w:sz w:val="20"/>
        </w:rPr>
        <w:t>(Zip Code)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(312) 321-1515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64" w:type="dxa"/>
        <w:jc w:val="left"/>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$0.10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ODC</w:t>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0"/>
        <w:jc w:val="center"/>
        <w:rPr/>
      </w:pP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w:t>
      </w:r>
      <w:r>
        <w:rPr>
          <w:color w:val="000000"/>
        </w:rPr>
        <w:t xml:space="preserve"> </w:t>
      </w:r>
      <w:r>
        <w:rPr>
          <w:rFonts w:ascii="Times New Roman;sans-serif" w:hAnsi="Times New Roman;sans-serif"/>
          <w:b w:val="false"/>
          <w:color w:val="000000"/>
          <w:sz w:val="20"/>
        </w:rPr>
        <w:t>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434"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68"/>
        <w:gridCol w:w="168"/>
        <w:gridCol w:w="170"/>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bidi w:val="0"/>
        <w:spacing w:lineRule="auto" w:line="288" w:before="0" w:after="0"/>
        <w:jc w:val="center"/>
        <w:rPr/>
      </w:pP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Oil-Dri’s Common Stock owned by non-affiliates as of January 31, 2023 was $186,610,921.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of each class of Oil-Dri’s capital stock outstanding as of September 30,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 5,108,734 shares        Class B Stock – 2,170,415 shares        Class A Common Stock – 0 shares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Oil-Dri’s Proxy Statement for its 2023 Annual Meeting of Stockholders (“Proxy Statement”), which will be filed with the Securities and Exchange Commission (“SEC”) not later than November 28, 2023 (120 days after the end of Oil-Dri’s fiscal year ended July 31, 2023), are incorporated into Part III of this Annual Report on Form 10-K, as indicated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CONTENTS</w:t>
      </w:r>
    </w:p>
    <w:tbl>
      <w:tblPr>
        <w:tblW w:w="10205" w:type="dxa"/>
        <w:jc w:val="center"/>
        <w:tblInd w:w="0" w:type="dxa"/>
        <w:tblLayout w:type="fixed"/>
        <w:tblCellMar>
          <w:top w:w="28" w:type="dxa"/>
          <w:left w:w="28" w:type="dxa"/>
          <w:bottom w:w="28" w:type="dxa"/>
          <w:right w:w="28" w:type="dxa"/>
        </w:tblCellMar>
      </w:tblPr>
      <w:tblGrid>
        <w:gridCol w:w="158"/>
        <w:gridCol w:w="138"/>
        <w:gridCol w:w="140"/>
        <w:gridCol w:w="109"/>
        <w:gridCol w:w="109"/>
        <w:gridCol w:w="109"/>
        <w:gridCol w:w="2885"/>
        <w:gridCol w:w="2867"/>
        <w:gridCol w:w="2881"/>
        <w:gridCol w:w="109"/>
        <w:gridCol w:w="109"/>
        <w:gridCol w:w="109"/>
        <w:gridCol w:w="140"/>
        <w:gridCol w:w="140"/>
        <w:gridCol w:w="20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Item</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48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10205" w:type="dxa"/>
            <w:gridSpan w:val="15"/>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50de41a575c04efc83f8cf1b88af653a_10">
              <w:r>
                <w:rPr>
                  <w:rStyle w:val="InternetLink"/>
                  <w:rFonts w:ascii="Times New Roman;sans-serif" w:hAnsi="Times New Roman;sans-serif"/>
                  <w:b/>
                  <w:strike w:val="false"/>
                  <w:dstrike w:val="false"/>
                  <w:color w:val="0000FF"/>
                  <w:sz w:val="20"/>
                  <w:u w:val="none"/>
                  <w:effect w:val="none"/>
                </w:rPr>
                <w:t>PART I</w:t>
              </w:r>
            </w:hyperlink>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3">
              <w:r>
                <w:rPr>
                  <w:rStyle w:val="InternetLink"/>
                  <w:rFonts w:ascii="Times New Roman;sans-serif" w:hAnsi="Times New Roman;sans-serif"/>
                  <w:b w:val="false"/>
                  <w:strike w:val="false"/>
                  <w:dstrike w:val="false"/>
                  <w:color w:val="0000FF"/>
                  <w:sz w:val="20"/>
                  <w:u w:val="none"/>
                  <w:effect w:val="none"/>
                </w:rPr>
                <w:t>Business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3">
              <w:r>
                <w:rPr>
                  <w:rStyle w:val="InternetLink"/>
                  <w:rFonts w:ascii="Times New Roman;sans-serif" w:hAnsi="Times New Roman;sans-serif"/>
                  <w:b w:val="false"/>
                  <w:color w:val="0000FF"/>
                  <w:sz w:val="20"/>
                  <w:u w:val="single"/>
                </w:rPr>
                <w:t>5</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6">
              <w:r>
                <w:rPr>
                  <w:rStyle w:val="InternetLink"/>
                  <w:rFonts w:ascii="Times New Roman;sans-serif" w:hAnsi="Times New Roman;sans-serif"/>
                  <w:b w:val="false"/>
                  <w:strike w:val="false"/>
                  <w:dstrike w:val="false"/>
                  <w:color w:val="0000FF"/>
                  <w:sz w:val="20"/>
                  <w:u w:val="none"/>
                  <w:effect w:val="non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6">
              <w:r>
                <w:rPr>
                  <w:rStyle w:val="InternetLink"/>
                  <w:rFonts w:ascii="Times New Roman;sans-serif" w:hAnsi="Times New Roman;sans-serif"/>
                  <w:b w:val="false"/>
                  <w:color w:val="0000FF"/>
                  <w:sz w:val="20"/>
                  <w:u w:val="single"/>
                </w:rPr>
                <w:t>15</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9">
              <w:r>
                <w:rPr>
                  <w:rStyle w:val="InternetLink"/>
                  <w:rFonts w:ascii="Times New Roman;sans-serif" w:hAnsi="Times New Roman;sans-serif"/>
                  <w:b w:val="false"/>
                  <w:strike w:val="false"/>
                  <w:dstrike w:val="false"/>
                  <w:color w:val="0000FF"/>
                  <w:sz w:val="20"/>
                  <w:u w:val="none"/>
                  <w:effect w:val="none"/>
                </w:rPr>
                <w:t>Unresolved Staff Comments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9">
              <w:r>
                <w:rPr>
                  <w:rStyle w:val="InternetLink"/>
                  <w:rFonts w:ascii="Times New Roman;sans-serif" w:hAnsi="Times New Roman;sans-serif"/>
                  <w:b w:val="false"/>
                  <w:color w:val="0000FF"/>
                  <w:sz w:val="20"/>
                  <w:u w:val="single"/>
                </w:rPr>
                <w:t>27</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22">
              <w:r>
                <w:rPr>
                  <w:rStyle w:val="InternetLink"/>
                  <w:rFonts w:ascii="Times New Roman;sans-serif" w:hAnsi="Times New Roman;sans-serif"/>
                  <w:b w:val="false"/>
                  <w:strike w:val="false"/>
                  <w:dstrike w:val="false"/>
                  <w:color w:val="0000FF"/>
                  <w:sz w:val="20"/>
                  <w:u w:val="none"/>
                  <w:effect w:val="none"/>
                </w:rPr>
                <w:t>Properties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22">
              <w:r>
                <w:rPr>
                  <w:rStyle w:val="InternetLink"/>
                  <w:rFonts w:ascii="Times New Roman;sans-serif" w:hAnsi="Times New Roman;sans-serif"/>
                  <w:b w:val="false"/>
                  <w:color w:val="0000FF"/>
                  <w:sz w:val="20"/>
                  <w:u w:val="single"/>
                </w:rPr>
                <w:t>28</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25">
              <w:r>
                <w:rPr>
                  <w:rStyle w:val="InternetLink"/>
                  <w:rFonts w:ascii="Times New Roman;sans-serif" w:hAnsi="Times New Roman;sans-serif"/>
                  <w:b w:val="false"/>
                  <w:strike w:val="false"/>
                  <w:dstrike w:val="false"/>
                  <w:color w:val="0000FF"/>
                  <w:sz w:val="20"/>
                  <w:u w:val="none"/>
                  <w:effect w:val="non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25">
              <w:r>
                <w:rPr>
                  <w:rStyle w:val="InternetLink"/>
                  <w:rFonts w:ascii="Times New Roman;sans-serif" w:hAnsi="Times New Roman;sans-serif"/>
                  <w:b w:val="false"/>
                  <w:color w:val="0000FF"/>
                  <w:sz w:val="20"/>
                  <w:u w:val="single"/>
                </w:rPr>
                <w:t>32</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rPr>
            </w:pPr>
            <w:r>
              <w:rPr>
                <w:rFonts w:ascii="Times New Roman;sans-serif" w:hAnsi="Times New Roman;sans-serif"/>
                <w:b w:val="false"/>
                <w:color w:val="0000FF"/>
                <w:sz w:val="20"/>
              </w:rPr>
              <w:t>Mine Safety Disclosure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28">
              <w:r>
                <w:rPr>
                  <w:rStyle w:val="InternetLink"/>
                  <w:rFonts w:ascii="Times New Roman;sans-serif" w:hAnsi="Times New Roman;sans-serif"/>
                  <w:b w:val="false"/>
                  <w:color w:val="0000FF"/>
                  <w:sz w:val="20"/>
                  <w:u w:val="single"/>
                </w:rPr>
                <w:t>32</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0de41a575c04efc83f8cf1b88af653a_31">
              <w:r>
                <w:rPr>
                  <w:rStyle w:val="InternetLink"/>
                  <w:rFonts w:ascii="Times New Roman;sans-serif" w:hAnsi="Times New Roman;sans-serif"/>
                  <w:b/>
                  <w:strike w:val="false"/>
                  <w:dstrike w:val="false"/>
                  <w:color w:val="0000FF"/>
                  <w:sz w:val="20"/>
                  <w:u w:val="none"/>
                  <w:effect w:val="none"/>
                </w:rPr>
                <w:t>PART II</w:t>
              </w:r>
            </w:hyperlink>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34">
              <w:r>
                <w:rPr>
                  <w:rStyle w:val="InternetLink"/>
                  <w:rFonts w:ascii="Times New Roman;sans-serif" w:hAnsi="Times New Roman;sans-serif"/>
                  <w:b w:val="false"/>
                  <w:strike w:val="false"/>
                  <w:dstrike w:val="false"/>
                  <w:color w:val="0000FF"/>
                  <w:sz w:val="20"/>
                  <w:u w:val="none"/>
                  <w:effect w:val="none"/>
                </w:rPr>
                <w:t>Market for Registrant's Common Equity, Related Stockholder Matters and Issuer Purchases of Equity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34">
              <w:r>
                <w:rPr>
                  <w:rStyle w:val="InternetLink"/>
                  <w:rFonts w:ascii="Times New Roman;sans-serif" w:hAnsi="Times New Roman;sans-serif"/>
                  <w:b w:val="false"/>
                  <w:color w:val="0000FF"/>
                  <w:sz w:val="20"/>
                  <w:u w:val="single"/>
                </w:rPr>
                <w:t>33</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407">
              <w:r>
                <w:rPr>
                  <w:rStyle w:val="InternetLink"/>
                  <w:rFonts w:ascii="Times New Roman;sans-serif" w:hAnsi="Times New Roman;sans-serif"/>
                  <w:b w:val="false"/>
                  <w:color w:val="0000FF"/>
                  <w:sz w:val="20"/>
                  <w:u w:val="single"/>
                </w:rPr>
                <w:t>34</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43">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43">
              <w:r>
                <w:rPr>
                  <w:rStyle w:val="InternetLink"/>
                  <w:rFonts w:ascii="Times New Roman;sans-serif" w:hAnsi="Times New Roman;sans-serif"/>
                  <w:b w:val="false"/>
                  <w:color w:val="0000FF"/>
                  <w:sz w:val="20"/>
                  <w:u w:val="single"/>
                </w:rPr>
                <w:t>34</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r>
      <w:tr>
        <w:trPr/>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52">
              <w:r>
                <w:rPr>
                  <w:rStyle w:val="InternetLink"/>
                  <w:rFonts w:ascii="Times New Roman;sans-serif" w:hAnsi="Times New Roman;sans-serif"/>
                  <w:b w:val="false"/>
                  <w:strike w:val="false"/>
                  <w:dstrike w:val="false"/>
                  <w:color w:val="0000FF"/>
                  <w:sz w:val="20"/>
                  <w:u w:val="none"/>
                  <w:effect w:val="none"/>
                </w:rPr>
                <w:t>Financial Statements and Supplementary Data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52">
              <w:r>
                <w:rPr>
                  <w:rStyle w:val="InternetLink"/>
                  <w:rFonts w:ascii="Times New Roman;sans-serif" w:hAnsi="Times New Roman;sans-serif"/>
                  <w:b w:val="false"/>
                  <w:color w:val="0000FF"/>
                  <w:sz w:val="20"/>
                  <w:u w:val="single"/>
                </w:rPr>
                <w:t>42</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24">
              <w:r>
                <w:rPr>
                  <w:rStyle w:val="InternetLink"/>
                  <w:rFonts w:ascii="Times New Roman;sans-serif" w:hAnsi="Times New Roman;sans-serif"/>
                  <w:b w:val="false"/>
                  <w:strike w:val="false"/>
                  <w:dstrike w:val="false"/>
                  <w:color w:val="0000FF"/>
                  <w:sz w:val="20"/>
                  <w:u w:val="none"/>
                  <w:effect w:val="none"/>
                </w:rPr>
                <w:t>Management's Report on Internal Control Over Financial Reporting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24">
              <w:r>
                <w:rPr>
                  <w:rStyle w:val="InternetLink"/>
                  <w:rFonts w:ascii="Times New Roman;sans-serif" w:hAnsi="Times New Roman;sans-serif"/>
                  <w:b w:val="false"/>
                  <w:color w:val="0000FF"/>
                  <w:sz w:val="20"/>
                  <w:u w:val="single"/>
                </w:rPr>
                <w:t>71</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27">
              <w:r>
                <w:rPr>
                  <w:rStyle w:val="InternetLink"/>
                  <w:rFonts w:ascii="Times New Roman;sans-serif" w:hAnsi="Times New Roman;sans-serif"/>
                  <w:b w:val="false"/>
                  <w:strike w:val="false"/>
                  <w:dstrike w:val="false"/>
                  <w:color w:val="0000FF"/>
                  <w:sz w:val="20"/>
                  <w:u w:val="none"/>
                  <w:effect w:val="none"/>
                </w:rPr>
                <w:t>Report of Independent Registered Public Accounting Firm</w:t>
              </w:r>
            </w:hyperlink>
            <w:r>
              <w:rPr>
                <w:rFonts w:ascii="Times New Roman;sans-serif" w:hAnsi="Times New Roman;sans-serif"/>
                <w:b w:val="false"/>
                <w:color w:val="000000"/>
                <w:sz w:val="20"/>
              </w:rPr>
              <w:t>, PCAOB ID: 248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27">
              <w:r>
                <w:rPr>
                  <w:rStyle w:val="InternetLink"/>
                  <w:rFonts w:ascii="Times New Roman;sans-serif" w:hAnsi="Times New Roman;sans-serif"/>
                  <w:b w:val="false"/>
                  <w:color w:val="0000FF"/>
                  <w:sz w:val="20"/>
                  <w:u w:val="single"/>
                </w:rPr>
                <w:t>72</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30">
              <w:r>
                <w:rPr>
                  <w:rStyle w:val="InternetLink"/>
                  <w:rFonts w:ascii="Times New Roman;sans-serif" w:hAnsi="Times New Roman;sans-serif"/>
                  <w:b w:val="false"/>
                  <w:strike w:val="false"/>
                  <w:dstrike w:val="false"/>
                  <w:color w:val="0000FF"/>
                  <w:sz w:val="20"/>
                  <w:u w:val="none"/>
                  <w:effect w:val="none"/>
                </w:rPr>
                <w:t>Changes in and Disagreements with Accountants on Accounting and Financial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30">
              <w:r>
                <w:rPr>
                  <w:rStyle w:val="InternetLink"/>
                  <w:rFonts w:ascii="Times New Roman;sans-serif" w:hAnsi="Times New Roman;sans-serif"/>
                  <w:b w:val="false"/>
                  <w:color w:val="0000FF"/>
                  <w:sz w:val="20"/>
                  <w:u w:val="single"/>
                </w:rPr>
                <w:t>74</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33">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33">
              <w:r>
                <w:rPr>
                  <w:rStyle w:val="InternetLink"/>
                  <w:rFonts w:ascii="Times New Roman;sans-serif" w:hAnsi="Times New Roman;sans-serif"/>
                  <w:b w:val="false"/>
                  <w:color w:val="0000FF"/>
                  <w:sz w:val="20"/>
                  <w:u w:val="single"/>
                </w:rPr>
                <w:t>74</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36">
              <w:r>
                <w:rPr>
                  <w:rStyle w:val="InternetLink"/>
                  <w:rFonts w:ascii="Times New Roman;sans-serif" w:hAnsi="Times New Roman;sans-serif"/>
                  <w:b w:val="false"/>
                  <w:strike w:val="false"/>
                  <w:dstrike w:val="false"/>
                  <w:color w:val="0000FF"/>
                  <w:sz w:val="20"/>
                  <w:u w:val="none"/>
                  <w:effect w:val="non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36">
              <w:r>
                <w:rPr>
                  <w:rStyle w:val="InternetLink"/>
                  <w:rFonts w:ascii="Times New Roman;sans-serif" w:hAnsi="Times New Roman;sans-serif"/>
                  <w:b w:val="false"/>
                  <w:color w:val="0000FF"/>
                  <w:sz w:val="20"/>
                  <w:u w:val="single"/>
                </w:rPr>
                <w:t>74</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414">
              <w:r>
                <w:rPr>
                  <w:rStyle w:val="InternetLink"/>
                  <w:rFonts w:ascii="Times New Roman;sans-serif" w:hAnsi="Times New Roman;sans-serif"/>
                  <w:b w:val="false"/>
                  <w:strike w:val="false"/>
                  <w:dstrike w:val="false"/>
                  <w:color w:val="0000FF"/>
                  <w:sz w:val="20"/>
                  <w:u w:val="none"/>
                  <w:effect w:val="none"/>
                </w:rPr>
                <w:t>Disclosure Regarding Foreign Jurisdictions that Prevent Inspections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414">
              <w:r>
                <w:rPr>
                  <w:rStyle w:val="InternetLink"/>
                  <w:rFonts w:ascii="Times New Roman;sans-serif" w:hAnsi="Times New Roman;sans-serif"/>
                  <w:b w:val="false"/>
                  <w:color w:val="000080"/>
                  <w:sz w:val="16"/>
                  <w:u w:val="single"/>
                </w:rPr>
                <w:t>7</w:t>
              </w:r>
            </w:hyperlink>
            <w:hyperlink w:anchor="i50de41a575c04efc83f8cf1b88af653a_1414">
              <w:r>
                <w:rPr>
                  <w:rStyle w:val="InternetLink"/>
                  <w:rFonts w:ascii="Times New Roman;sans-serif" w:hAnsi="Times New Roman;sans-serif"/>
                  <w:b w:val="false"/>
                  <w:color w:val="000080"/>
                  <w:sz w:val="16"/>
                  <w:u w:val="single"/>
                </w:rPr>
                <w:t>6</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0de41a575c04efc83f8cf1b88af653a_139">
              <w:r>
                <w:rPr>
                  <w:rStyle w:val="InternetLink"/>
                  <w:rFonts w:ascii="Times New Roman;sans-serif" w:hAnsi="Times New Roman;sans-serif"/>
                  <w:b/>
                  <w:strike w:val="false"/>
                  <w:dstrike w:val="false"/>
                  <w:color w:val="0000FF"/>
                  <w:sz w:val="20"/>
                  <w:u w:val="none"/>
                  <w:effect w:val="none"/>
                </w:rPr>
                <w:t>PART III</w:t>
              </w:r>
            </w:hyperlink>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42">
              <w:r>
                <w:rPr>
                  <w:rStyle w:val="InternetLink"/>
                  <w:rFonts w:ascii="Times New Roman;sans-serif" w:hAnsi="Times New Roman;sans-serif"/>
                  <w:b w:val="false"/>
                  <w:strike w:val="false"/>
                  <w:dstrike w:val="false"/>
                  <w:color w:val="0000FF"/>
                  <w:sz w:val="20"/>
                  <w:u w:val="none"/>
                  <w:effect w:val="none"/>
                </w:rPr>
                <w:t>Directors, Executive Officers and Corporate Governance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42">
              <w:r>
                <w:rPr>
                  <w:rStyle w:val="InternetLink"/>
                  <w:rFonts w:ascii="Times New Roman;sans-serif" w:hAnsi="Times New Roman;sans-serif"/>
                  <w:b w:val="false"/>
                  <w:color w:val="0000FF"/>
                  <w:sz w:val="20"/>
                  <w:u w:val="single"/>
                </w:rPr>
                <w:t>76</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45">
              <w:r>
                <w:rPr>
                  <w:rStyle w:val="InternetLink"/>
                  <w:rFonts w:ascii="Times New Roman;sans-serif" w:hAnsi="Times New Roman;sans-serif"/>
                  <w:b w:val="false"/>
                  <w:strike w:val="false"/>
                  <w:dstrike w:val="false"/>
                  <w:color w:val="0000FF"/>
                  <w:sz w:val="20"/>
                  <w:u w:val="none"/>
                  <w:effect w:val="none"/>
                </w:rPr>
                <w:t>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45">
              <w:r>
                <w:rPr>
                  <w:rStyle w:val="InternetLink"/>
                  <w:rFonts w:ascii="Times New Roman;sans-serif" w:hAnsi="Times New Roman;sans-serif"/>
                  <w:b w:val="false"/>
                  <w:color w:val="0000FF"/>
                  <w:sz w:val="20"/>
                  <w:u w:val="single"/>
                </w:rPr>
                <w:t>76</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48">
              <w:r>
                <w:rPr>
                  <w:rStyle w:val="InternetLink"/>
                  <w:rFonts w:ascii="Times New Roman;sans-serif" w:hAnsi="Times New Roman;sans-serif"/>
                  <w:b w:val="false"/>
                  <w:strike w:val="false"/>
                  <w:dstrike w:val="false"/>
                  <w:color w:val="0000FF"/>
                  <w:sz w:val="20"/>
                  <w:u w:val="none"/>
                  <w:effect w:val="none"/>
                </w:rPr>
                <w:t>Security Ownership of Certain Beneficial Owners and Management and Related Stockholder Matters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48">
              <w:r>
                <w:rPr>
                  <w:rStyle w:val="InternetLink"/>
                  <w:rFonts w:ascii="Times New Roman;sans-serif" w:hAnsi="Times New Roman;sans-serif"/>
                  <w:b w:val="false"/>
                  <w:color w:val="0000FF"/>
                  <w:sz w:val="20"/>
                  <w:u w:val="single"/>
                </w:rPr>
                <w:t>76</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51">
              <w:r>
                <w:rPr>
                  <w:rStyle w:val="InternetLink"/>
                  <w:rFonts w:ascii="Times New Roman;sans-serif" w:hAnsi="Times New Roman;sans-serif"/>
                  <w:b w:val="false"/>
                  <w:strike w:val="false"/>
                  <w:dstrike w:val="false"/>
                  <w:color w:val="0000FF"/>
                  <w:sz w:val="20"/>
                  <w:u w:val="none"/>
                  <w:effect w:val="none"/>
                </w:rPr>
                <w:t>Certain Relationships and Related Transactions, and Director Independence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51">
              <w:r>
                <w:rPr>
                  <w:rStyle w:val="InternetLink"/>
                  <w:rFonts w:ascii="Times New Roman;sans-serif" w:hAnsi="Times New Roman;sans-serif"/>
                  <w:b w:val="false"/>
                  <w:color w:val="0000FF"/>
                  <w:sz w:val="20"/>
                  <w:u w:val="single"/>
                </w:rPr>
                <w:t>77</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54">
              <w:r>
                <w:rPr>
                  <w:rStyle w:val="InternetLink"/>
                  <w:rFonts w:ascii="Times New Roman;sans-serif" w:hAnsi="Times New Roman;sans-serif"/>
                  <w:b w:val="false"/>
                  <w:strike w:val="false"/>
                  <w:dstrike w:val="false"/>
                  <w:color w:val="0000FF"/>
                  <w:sz w:val="20"/>
                  <w:u w:val="none"/>
                  <w:effect w:val="none"/>
                </w:rPr>
                <w:t>Principal Accountant Fees and Services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54">
              <w:r>
                <w:rPr>
                  <w:rStyle w:val="InternetLink"/>
                  <w:rFonts w:ascii="Times New Roman;sans-serif" w:hAnsi="Times New Roman;sans-serif"/>
                  <w:b w:val="false"/>
                  <w:color w:val="0000FF"/>
                  <w:sz w:val="20"/>
                  <w:u w:val="single"/>
                </w:rPr>
                <w:t>77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34" w:after="283"/>
        <w:jc w:val="center"/>
        <w:rPr>
          <w:rFonts w:ascii="Times New Roman;sans-serif" w:hAnsi="Times New Roman;sans-serif"/>
          <w:b/>
          <w:color w:val="000000"/>
          <w:sz w:val="20"/>
        </w:rPr>
      </w:pPr>
      <w:r>
        <w:rPr>
          <w:rFonts w:ascii="Times New Roman;sans-serif" w:hAnsi="Times New Roman;sans-serif"/>
          <w:b/>
          <w:color w:val="000000"/>
          <w:sz w:val="20"/>
        </w:rPr>
        <w:t>CONTENTS (CONTINUED)</w:t>
      </w:r>
    </w:p>
    <w:tbl>
      <w:tblPr>
        <w:tblW w:w="5681"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1354"/>
        <w:gridCol w:w="1354"/>
        <w:gridCol w:w="1357"/>
        <w:gridCol w:w="109"/>
        <w:gridCol w:w="109"/>
        <w:gridCol w:w="109"/>
        <w:gridCol w:w="140"/>
        <w:gridCol w:w="140"/>
        <w:gridCol w:w="20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Item</w:t>
            </w:r>
          </w:p>
        </w:tc>
        <w:tc>
          <w:tcPr>
            <w:tcW w:w="32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5681" w:type="dxa"/>
            <w:gridSpan w:val="15"/>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50de41a575c04efc83f8cf1b88af653a_157">
              <w:r>
                <w:rPr>
                  <w:rStyle w:val="InternetLink"/>
                  <w:rFonts w:ascii="Times New Roman;sans-serif" w:hAnsi="Times New Roman;sans-serif"/>
                  <w:b/>
                  <w:strike w:val="false"/>
                  <w:dstrike w:val="false"/>
                  <w:color w:val="0000FF"/>
                  <w:sz w:val="20"/>
                  <w:u w:val="none"/>
                  <w:effect w:val="none"/>
                </w:rPr>
                <w:t>PART IV</w:t>
              </w:r>
            </w:hyperlink>
          </w:p>
        </w:tc>
      </w:tr>
      <w:tr>
        <w:trPr/>
        <w:tc>
          <w:tcPr>
            <w:tcW w:w="568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60">
              <w:r>
                <w:rPr>
                  <w:rStyle w:val="InternetLink"/>
                  <w:rFonts w:ascii="Times New Roman;sans-serif" w:hAnsi="Times New Roman;sans-serif"/>
                  <w:b w:val="false"/>
                  <w:strike w:val="false"/>
                  <w:dstrike w:val="false"/>
                  <w:color w:val="0000FF"/>
                  <w:sz w:val="20"/>
                  <w:u w:val="none"/>
                  <w:effect w:val="none"/>
                </w:rPr>
                <w:t>Exhibits and Financial Statement Schedule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60">
              <w:r>
                <w:rPr>
                  <w:rStyle w:val="InternetLink"/>
                  <w:rFonts w:ascii="Times New Roman;sans-serif" w:hAnsi="Times New Roman;sans-serif"/>
                  <w:b w:val="false"/>
                  <w:color w:val="0000FF"/>
                  <w:sz w:val="20"/>
                  <w:u w:val="single"/>
                </w:rPr>
                <w:t>78</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63">
              <w:r>
                <w:rPr>
                  <w:rStyle w:val="InternetLink"/>
                  <w:rFonts w:ascii="Times New Roman;sans-serif" w:hAnsi="Times New Roman;sans-serif"/>
                  <w:b w:val="false"/>
                  <w:strike w:val="false"/>
                  <w:dstrike w:val="false"/>
                  <w:color w:val="0000FF"/>
                  <w:sz w:val="20"/>
                  <w:u w:val="none"/>
                  <w:effect w:val="non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63">
              <w:r>
                <w:rPr>
                  <w:rStyle w:val="InternetLink"/>
                  <w:rFonts w:ascii="Times New Roman;sans-serif" w:hAnsi="Times New Roman;sans-serif"/>
                  <w:b w:val="false"/>
                  <w:color w:val="0000FF"/>
                  <w:sz w:val="20"/>
                  <w:u w:val="single"/>
                </w:rPr>
                <w:t>84</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de41a575c04efc83f8cf1b88af653a_166">
              <w:r>
                <w:rPr>
                  <w:rStyle w:val="InternetLink"/>
                  <w:rFonts w:ascii="Times New Roman;sans-serif" w:hAnsi="Times New Roman;sans-serif"/>
                  <w:b w:val="false"/>
                  <w:strike w:val="false"/>
                  <w:dstrike w:val="false"/>
                  <w:color w:val="0000FF"/>
                  <w:sz w:val="20"/>
                  <w:u w:val="none"/>
                  <w:effect w:val="none"/>
                </w:rPr>
                <w:t>Schedule II - Valuation and Qualifying Accounts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de41a575c04efc83f8cf1b88af653a_166">
              <w:r>
                <w:rPr>
                  <w:rStyle w:val="InternetLink"/>
                  <w:rFonts w:ascii="Times New Roman;sans-serif" w:hAnsi="Times New Roman;sans-serif"/>
                  <w:b w:val="false"/>
                  <w:color w:val="0000FF"/>
                  <w:sz w:val="20"/>
                  <w:u w:val="single"/>
                </w:rPr>
                <w:t>86</w:t>
              </w:r>
            </w:hyperlink>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“foresee,” “predict,” “possible,” “commit,” “design,” “strive,” and variations of such words and similar expressions are intended to identify such forward-looking statements, which are made pursuant to the safe harbor provisions of the Private Securities Litigation Reform Act of 1995.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TRADEMARK NOTICE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Agsorb, Ambio, Amlan, Calibrin, Cat’s Pride, ConditionAde, Flo-Fre, Fresh &amp; Light, Jonny Cat, KatKit, MD-09, Metal-X, Metal-Z, NeoPrime, Oil-Dri, Pel-Unite, Perform, Pro Mound, Pro's Choice Sports Field Products, Pure-Flo, Rapid Dry, Saular, Select, Sorbiam, Terra-Green, Ultra-Clear, Varium and Verge, as well as other registered or common law trade names, trademarks or service marks appearing in this Annual Report on Form 10-K are the property of Oil-Dri Corporation of America or of its subsidiaries. Fresh Step is a registered trademark of The Clorox Pet Products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 BUSINESS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O</w:t>
      </w:r>
      <w:r>
        <w:rPr>
          <w:rFonts w:ascii="Times New Roman;sans-serif" w:hAnsi="Times New Roman;sans-serif"/>
          <w:b/>
          <w:color w:val="000000"/>
          <w:sz w:val="16"/>
        </w:rPr>
        <w:t>VERVIEW</w:t>
      </w:r>
      <w:r>
        <w:rPr>
          <w:color w:val="000000"/>
        </w:rPr>
        <w:t xml:space="preserve"> </w:t>
      </w:r>
      <w:r>
        <w:rPr>
          <w:rFonts w:ascii="Times New Roman;sans-serif" w:hAnsi="Times New Roman;sans-serif"/>
          <w:b/>
          <w:color w:val="000000"/>
          <w:sz w:val="20"/>
        </w:rPr>
        <w:t>O</w:t>
      </w:r>
      <w:r>
        <w:rPr>
          <w:rFonts w:ascii="Times New Roman;sans-serif" w:hAnsi="Times New Roman;sans-serif"/>
          <w:b/>
          <w:color w:val="000000"/>
          <w:sz w:val="16"/>
        </w:rPr>
        <w:t>F</w:t>
      </w:r>
      <w:r>
        <w:rPr>
          <w:color w:val="000000"/>
        </w:rPr>
        <w:t xml:space="preserve"> </w:t>
      </w:r>
      <w:r>
        <w:rPr>
          <w:rFonts w:ascii="Times New Roman;sans-serif" w:hAnsi="Times New Roman;sans-serif"/>
          <w:b/>
          <w:color w:val="000000"/>
          <w:sz w:val="20"/>
        </w:rPr>
        <w:t>B</w:t>
      </w:r>
      <w:r>
        <w:rPr>
          <w:rFonts w:ascii="Times New Roman;sans-serif" w:hAnsi="Times New Roman;sans-serif"/>
          <w:b/>
          <w:color w:val="000000"/>
          <w:sz w:val="16"/>
        </w:rPr>
        <w:t>USINESS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indicated herein or as the context otherwise requires, references to “Oil-Dri,” the “Company,” “we,” “us” or “our” refer to Oil-Dri Corporation of America and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our “minerals,” or “Fuller's Earth.”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include Ultra-Clear, Pure-Flo, Supreme, Perform, Select, Metal-X and Metal-Z which act as purification mediums for edible and non-edible oils. We also sell nonclay-based products, such as our Oil-Dri synthetic sorbents used for automotive, industrial and marine cleanup as well as plastic cat litter box liners. Our principal products are described in more detail below.</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Oil-Dri Corporation of America was incorporated in 1969 in Delaware as the successor to an Illinois corporation incorporated in 1946 (which was the successor to a partnership that commenced business in 1941). For additional information on recent business developments, see “Management’s Discussion and Analysis of Financial Condition and Results of Operations,” in Part II, Item 7, incorporated herein by reference.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P</w:t>
      </w:r>
      <w:r>
        <w:rPr>
          <w:rFonts w:ascii="Times New Roman;sans-serif" w:hAnsi="Times New Roman;sans-serif"/>
          <w:b/>
          <w:color w:val="000000"/>
          <w:sz w:val="16"/>
        </w:rPr>
        <w:t>RINCIPAL</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RODUCTS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Agricultural and Horticultural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produce a wide range of granules and powders used to enhance agricultural and horticultural products. Our mineral-based absorbent products serve as carriers for biological and chemical active ingredients, drying agents, and growing media. Our brands include: Agsorb, an agricultural and horticultural carrier and drying agent; Verge, an engineered granule used as a carrier and drying agent; and Flo-Fre, a highly absorbent microgranule used as a flowability aid.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Agsorb and Verge carriers are used in products that are alternatives to liquid sprays. These products are sold for lawn and garden and row crop applications. The clay granules absorb active ingredients and are then delivered directly into, or on top of the ground, providing a more precise application than liquid sprays. Verge carriers are spherical, uniform-sized granules with very low dust. Agsorb drying agent is blended into fertilizer-pesticide blends applied to absorb moisture and improve flowability. Flo-Fre microgranules are used by grain processors and other large handlers of bulk products to soak up excess moisture, which prevents caking. These products are sold primarily in the United States by our technical sales force.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Animal Health and Nutrition Solutions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produce, or use contract processors to produce, Amlan brand name and private label products that support good health and productivity of species in livestock industries. For example, our products, including our Calibrin, Varium and NeoPrime products in our international markets, and Sorbiam, Ambio P and Ambio S products to customers in North America, provide a number of solutions for swine, poultry and dairy cattle livestock production. In addition, our MD-09 moisture manager product is a feed additive for the reduction of wet droppings in poultry and our Pel-Unite and Pel-Unite Plus products are specialized animal feed pellet binders.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animal health and nutrition products are sold both directly and through a network of distributors to livestock producers, feed mill operators, nutritionists and veterinarians in the United States, Latin America, Africa, Mexico, the Middle East and Asia. The sales force for our subsidiaries located in China, Mexico and Indonesia also sells these products, as further described in Foreign Operations below.</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Fluids Purification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produce an array of adsorbent products for bleaching, purification and filtration applications that are used around the world by edible oil processors, as well as by refiners of renewable diesel, jet fuel and other petroleum-based products. Bleaching clays are used by edible oil processors to adsorb soluble contaminants that promote oxidation problems. Our Pure-Flo and Perform bleaching clays remove impurities, such as trace metals, chlorophyll and color bodies, in various types of edible oils. Perform products provide increased activity for hard-to-bleach oils. Our Select adsorbents are used in a pre-treatment process to remove metals and trace soap in vegetable oil processing. Our Select adsorbents can also be used to pre-treat oil in the processing of biodiesel. Metal-X and Metal-Z are highly efficient adsorbents for the renewable diesel market.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Cat Litter Products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We produce two types of mineral-based cat litter products, scoopable and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high performance with the added convenience of being lighter to carry and pour.</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Branded products</w:t>
      </w:r>
      <w:r>
        <w:rPr>
          <w:rFonts w:ascii="Times New Roman;sans-serif" w:hAnsi="Times New Roman;sans-serif"/>
          <w:b w:val="false"/>
          <w:color w:val="000000"/>
          <w:sz w:val="20"/>
        </w:rPr>
        <w:t>. Our scoopable and non-clumping litters are sold under our Cat’s Pride and Jonny Cat brand names. Our Cat's Pride litters created the lightweight segment of the scoopable litter market. Late this fiscal year, we launched Cat’s Pride Antibacterial Clumping Litter which is the first and only Environmental Protection Agency (“EPA”) approved antibacterial cat litter in the United States. In addition, we offer our non-clumping litter in a pre-packaged, disposable tray under the Cat’s Pride KatKit brand. Moreover, we offer litter box liners under the Cat's Pride and Jonny Cat product lines. These products are sold through independent food brokers and by our sales force to major grocery, drug, dollar store, mass-merchandiser and pet outlets, as well as through online retailers.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Private label products.</w:t>
      </w:r>
      <w:r>
        <w:rPr>
          <w:color w:val="000000"/>
        </w:rPr>
        <w:t xml:space="preserve"> </w:t>
      </w:r>
      <w:r>
        <w:rPr>
          <w:rFonts w:ascii="Times New Roman;sans-serif" w:hAnsi="Times New Roman;sans-serif"/>
          <w:b w:val="false"/>
          <w:color w:val="000000"/>
          <w:sz w:val="20"/>
        </w:rPr>
        <w:t>We produce private label scoopable and non-clumping cat litters. Our lightweight scoopable litters lead our private label cat litter offerings.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Co-packaged products.</w:t>
      </w:r>
      <w:r>
        <w:rPr>
          <w:color w:val="000000"/>
        </w:rPr>
        <w:t xml:space="preserve"> </w:t>
      </w:r>
      <w:r>
        <w:rPr>
          <w:rFonts w:ascii="Times New Roman;sans-serif" w:hAnsi="Times New Roman;sans-serif"/>
          <w:b w:val="false"/>
          <w:color w:val="000000"/>
          <w:sz w:val="20"/>
        </w:rPr>
        <w:t>We have a long-term supply arrangement with A&amp;M Products Manufacturing Company, a subsidiary of The Clorox Company ("Clorox"), under which we manufacture branded non-clumping litters. Under this co-manufacturing relationship, the marketer controls all aspects of sales, marketing, and distribution, as well as the odor control formula, and we are responsible for manufacturing. Under the long-term supply agreement with Clorox we have the exclusive right to supply Clorox’s requirements for Fresh Step coarse cat litter up to certain levels.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Industrial and Automotive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and/or sell products made from clay, polypropylene and recycled materials that absorb oil, acid, paint, ink, water and other liquids. These products have industrial, automotive, marine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recycled products are sold in various forms, such as pads, rolls, socks, booms and spill kits.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Sports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both branded and private label sports products. Pro’s Choice Sports Field Products are used on baseball, softball, football, cricket,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infield. Sports products are used at all levels of play, including professional, college and high school and on municipal fields. These products are sold through distributors of sport turf materials as well as to sports field product users.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B</w:t>
      </w:r>
      <w:r>
        <w:rPr>
          <w:rFonts w:ascii="Times New Roman;sans-serif" w:hAnsi="Times New Roman;sans-serif"/>
          <w:b/>
          <w:color w:val="000000"/>
          <w:sz w:val="16"/>
        </w:rPr>
        <w:t>USINESS</w:t>
      </w:r>
      <w:r>
        <w:rPr>
          <w:color w:val="000000"/>
        </w:rPr>
        <w:t xml:space="preserve"> </w:t>
      </w:r>
      <w:r>
        <w:rPr>
          <w:rFonts w:ascii="Times New Roman;sans-serif" w:hAnsi="Times New Roman;sans-serif"/>
          <w:b/>
          <w:color w:val="000000"/>
          <w:sz w:val="20"/>
        </w:rPr>
        <w:t>S</w:t>
      </w:r>
      <w:r>
        <w:rPr>
          <w:rFonts w:ascii="Times New Roman;sans-serif" w:hAnsi="Times New Roman;sans-serif"/>
          <w:b/>
          <w:color w:val="000000"/>
          <w:sz w:val="16"/>
        </w:rPr>
        <w:t>EGMENTS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reportable operating segments for financial reporting derived from the different characteristics of our two major customer groups: the Retail and Wholesale Products Group and the Business to Business Products Group. The Retail and Wholesale Products Group customers include mass merchandisers, the farm and fleet channel, drugstore chains, pet specialty retail outlets, dollar stores, retail grocery stores, online retailers, co-packaged products customers, distributors of industrial cleanup and automotive products, environmental service companies and users of sports field products and sports turf materials. The Business to Business Products Group customers include processors and refiners of edible oils, renewable diesel, petroleum-based oils and biodiesel fuel; manufacturers of animal feed and agricultural chemicals; distributors of animal health and nutrition products. Certain financial information on both segments is contained in Note 2 of the Notes to the Consolidated Financial Statements and is incorporated herein by reference.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F</w:t>
      </w:r>
      <w:r>
        <w:rPr>
          <w:rFonts w:ascii="Times New Roman;sans-serif" w:hAnsi="Times New Roman;sans-serif"/>
          <w:b/>
          <w:color w:val="000000"/>
          <w:sz w:val="16"/>
        </w:rPr>
        <w:t>OREIGN</w:t>
      </w:r>
      <w:r>
        <w:rPr>
          <w:color w:val="000000"/>
        </w:rPr>
        <w:t xml:space="preserve"> </w:t>
      </w:r>
      <w:r>
        <w:rPr>
          <w:rFonts w:ascii="Times New Roman;sans-serif" w:hAnsi="Times New Roman;sans-serif"/>
          <w:b/>
          <w:color w:val="000000"/>
          <w:sz w:val="20"/>
        </w:rPr>
        <w:t>O</w:t>
      </w:r>
      <w:r>
        <w:rPr>
          <w:rFonts w:ascii="Times New Roman;sans-serif" w:hAnsi="Times New Roman;sans-serif"/>
          <w:b/>
          <w:color w:val="000000"/>
          <w:sz w:val="16"/>
        </w:rPr>
        <w:t>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operations are located in Canada, which is included in the Retail and Wholesale Products Group, and the United Kingdom, China, Switzerland, Mexico and Indonesia, which are included in the Business to Business Products Group.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and plastic containment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wholly-owned subsidiary, PT Amlan Perdagangan Internasional, located in Indonesia also distributes our animal health and nutrition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wholly-owned subsidiary, Oil-Dri SARL, is a Swiss company that performs various management, customer service and administrative functions for some of the international customers of our domestic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May 12, 2023 we acquired the remaining equity of Agromex Importaciones, S.A de C.V, which is now a wholly-owned subsidiary. Previously we owned 78.4% of the equity of this entity. This Mexican subsidiary sells our international animal health and nutrition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2 of the Notes to the Consolidated Financial Statements, which contains certain financial information about our foreign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C</w:t>
      </w:r>
      <w:r>
        <w:rPr>
          <w:rFonts w:ascii="Times New Roman;sans-serif" w:hAnsi="Times New Roman;sans-serif"/>
          <w:b/>
          <w:color w:val="000000"/>
          <w:sz w:val="16"/>
        </w:rPr>
        <w:t>USTOMERS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Sales to Wal-Mart Stores, Inc. (“Walmart”) and its affiliates accounted for approximately 19% and 16% of our total net sales for fiscal years 2023 and 2022, respectively. Walmart is a customer in our Retail and Wholesale Products Group. There are no customers in the Business to Business Products Group with sales equal to or greater than 10% of our total sales. The degree of margin contribution of our significant customers in the Business to Business Products Group varies, with certain customers having a greater effect on our operating results</w:t>
      </w:r>
      <w:r>
        <w:rPr>
          <w:rFonts w:ascii="Times New Roman;sans-serif" w:hAnsi="Times New Roman;sans-serif"/>
          <w:b w:val="false"/>
          <w:color w:val="000000"/>
          <w:sz w:val="16"/>
        </w:rPr>
        <w:t xml:space="preserve">. </w:t>
      </w:r>
      <w:r>
        <w:rPr>
          <w:rFonts w:ascii="Times New Roman;sans-serif" w:hAnsi="Times New Roman;sans-serif"/>
          <w:b w:val="false"/>
          <w:color w:val="000000"/>
          <w:sz w:val="20"/>
        </w:rPr>
        <w:t>The loss of any customer other than those described in this paragraph would not be expected to have a material adverse effect on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C</w:t>
      </w:r>
      <w:r>
        <w:rPr>
          <w:rFonts w:ascii="Times New Roman;sans-serif" w:hAnsi="Times New Roman;sans-serif"/>
          <w:b/>
          <w:color w:val="000000"/>
          <w:sz w:val="16"/>
        </w:rPr>
        <w:t>OMPETITION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six principal competitors in our Retail and Wholesale Products Group, one of which is also our customer. Two of the principal competitors relate to our Industrial and Sports products. The overall cat litter market has grown in recent years, with market share of both scoopable cat litter and coarse non-clumping litter increasing in fiscal year 2023. The overwhelming majority of all cat litter is mineral based, including both scoopable and coarse non-clumping litters. Cat litters based on alternative strata such as paper, various agricultural waste products and silica gels have niche positions. Scoopable products have a majority of the cat litter market share followed by coarse non-clumping litters.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competition to attract cat litter consumers across multi-outlet channels, including grocery, mass-merchandiser, dollar, pet and drug stores, as well as through online retailers. Competition for the scoopable litter market continues to be impacted by new product offerings and increased advertising and promotions by our competitors and by us. We provide our customers with product innovation, a nation-wide distribution network and strong customer service. Our exceptional sales and research and development teams, as well as vertical integration give us a further advantage over smaller and regional manufacturers.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six principal competitors in our Business to Business Products Group.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0"/>
        </w:rPr>
        <w:t>R</w:t>
      </w:r>
      <w:r>
        <w:rPr>
          <w:rFonts w:ascii="Times New Roman;sans-serif" w:hAnsi="Times New Roman;sans-serif"/>
          <w:b/>
          <w:color w:val="000000"/>
          <w:sz w:val="16"/>
        </w:rPr>
        <w:t>ESEARCH AND</w:t>
      </w:r>
      <w:r>
        <w:rPr>
          <w:color w:val="000000"/>
        </w:rPr>
        <w:t xml:space="preserve"> </w:t>
      </w:r>
      <w:r>
        <w:rPr>
          <w:rFonts w:ascii="Times New Roman;sans-serif" w:hAnsi="Times New Roman;sans-serif"/>
          <w:b/>
          <w:color w:val="000000"/>
          <w:sz w:val="20"/>
        </w:rPr>
        <w:t>D</w:t>
      </w:r>
      <w:r>
        <w:rPr>
          <w:rFonts w:ascii="Times New Roman;sans-serif" w:hAnsi="Times New Roman;sans-serif"/>
          <w:b/>
          <w:color w:val="000000"/>
          <w:sz w:val="16"/>
        </w:rPr>
        <w:t>EVELOPMENT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develop new products and applications and improve existing products at our research and development center in Vernon Hills, Illinois. The center includes a pilot plant that simulates the production processes of our customers and our manufacturing plants. In addition, our microbiology lab is within walking distance of our existing research and development center and is dedicated primarily to the development of our animal health products. Our staff (and various consultants they engage from time to time) have experience in disciplines such as biology, microbiology, chemistry, physics, mathematics, geological and earth science, material science, geochemistry, physical catalysis, animal nutrition, and the animal sciences. In the past several years, our research efforts have resulted in a number of new sorbent products and processes. The research and development center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B</w:t>
      </w:r>
      <w:r>
        <w:rPr>
          <w:rFonts w:ascii="Times New Roman;sans-serif" w:hAnsi="Times New Roman;sans-serif"/>
          <w:b/>
          <w:color w:val="000000"/>
          <w:sz w:val="16"/>
        </w:rPr>
        <w:t>ACKLOG</w:t>
      </w:r>
      <w:r>
        <w:rPr>
          <w:rFonts w:ascii="Times New Roman;sans-serif" w:hAnsi="Times New Roman;sans-serif"/>
          <w:b/>
          <w:color w:val="000000"/>
          <w:sz w:val="20"/>
        </w:rPr>
        <w:t>; S</w:t>
      </w:r>
      <w:r>
        <w:rPr>
          <w:rFonts w:ascii="Times New Roman;sans-serif" w:hAnsi="Times New Roman;sans-serif"/>
          <w:b/>
          <w:color w:val="000000"/>
          <w:sz w:val="16"/>
        </w:rPr>
        <w:t>EASONALITY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31, 2023 and 2022, the value of our backlog of orders were approximately $3.6 million and $6.6 million respectively. Certain customers place orders for a full year of orders with future requested ship dates. Accordingly, we define backlog as purchase orders that we have received from customers and that we have accepted, but that have not shipped by the customers’ requested ship dates. This value was determined by the number of tons on backlog order and the net selling prices. By increasing personnel, expanding production shifts, optimizing equipment, and utilizing alternative modes of transportation, we have been able to reduce our backlog over fiscal year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business, taken as a whole, to be moderately seasonal; however, business activities of certain customers (such as agricultural chemical manufacturers and edible oil producers) are subject to such seasonal factors as crop acreage planted, product formulation cycles and weather conditions.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w:t>
      </w:r>
      <w:r>
        <w:rPr>
          <w:rFonts w:ascii="Times New Roman;sans-serif" w:hAnsi="Times New Roman;sans-serif"/>
          <w:b/>
          <w:color w:val="000000"/>
          <w:sz w:val="16"/>
        </w:rPr>
        <w:t>FFECTS OF</w:t>
      </w:r>
      <w:r>
        <w:rPr>
          <w:color w:val="000000"/>
        </w:rPr>
        <w:t xml:space="preserve"> </w:t>
      </w:r>
      <w:r>
        <w:rPr>
          <w:rFonts w:ascii="Times New Roman;sans-serif" w:hAnsi="Times New Roman;sans-serif"/>
          <w:b/>
          <w:color w:val="000000"/>
          <w:sz w:val="20"/>
        </w:rPr>
        <w:t>I</w:t>
      </w:r>
      <w:r>
        <w:rPr>
          <w:rFonts w:ascii="Times New Roman;sans-serif" w:hAnsi="Times New Roman;sans-serif"/>
          <w:b/>
          <w:color w:val="000000"/>
          <w:sz w:val="16"/>
        </w:rPr>
        <w:t>NFLATION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for further discussion of these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w:t>
      </w:r>
      <w:r>
        <w:rPr>
          <w:rFonts w:ascii="Times New Roman;sans-serif" w:hAnsi="Times New Roman;sans-serif"/>
          <w:b/>
          <w:color w:val="000000"/>
          <w:sz w:val="16"/>
        </w:rPr>
        <w:t>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Patents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obtained or applied for patents for certain of our processes and products sold to customers in both the Retail and Wholesale Products Group and the Business to Business Products Group. U.S. patents are currently granted for a term of 20 years from the date the patent application is filed and durations of patents issued outside of the United States vary from country to country. Our patents, particularly our U.S. patents, are highly important to our business and we assert our patent rights and vigorously protect our patents from apparent infringement where appropriate, although no single patent is considered material to the business as a whole. The risks associated with our patents (and intellectual property, generally), are discussed in Item 1A "Risk Factors".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Reserves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mine our clay on leased or owned land near our manufacturing facilities in Mississippi, Georgia, Illinois and California; we also have reserves in Nevada and Tennessee. We estimate that our proven mineral reserves as of July 31, 2023 were approximately 92.1 million tons in aggregate and our probable reserves were approximately 138.5 million tons in aggregate, for a total of 230.6 million tons of mineral reserves. Based on our rate of consumption during fiscal year 2023, and without regard to any of our reserves in Nevada or Tennessee, we consider our proven and probable reserves adequate to supply our needs for over 40 years. Although we consider these reserves to be extremely valuable to our business, only a small portion of the reserves, those which were acquired in acquisitions, are reflected at cost on our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our policy to attempt to maintain a minimum of forty years of proven and probable reserves of each type of clay at each location. We have an ongoing program of exploration for additional reserves but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2023, we utilized these reserves to produce substantially all of the sorbent products that we sold.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Mining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continuously conducted mining operations in Ripley, Mississippi since 1963, in Ochlocknee, Georgia since 1968, in Blue Mountain, Mississippi since 1989, in Mounds, Illinois since 1998 and in Taft, California since 2002. Our clay is surface mined on a year-round basis, using large earth moving scrapers, bulldozers, or excavators and off-road trucks to strip off overburden (non-usable material atop desired clay). The desired clay is then loaded into dump trucks and transported to the processing facilities. The stripping, mining and hauling of our clay is performed in-house as well as by independent contractors. Our current operating mines range in distance from immediately adjacent to approximately 11 miles from the related processing plants. Processing facilities are generally accessed from the mining areas by private and public roads and in some instances by public highways. Each of our processing facilities maintains inventories of unprocessed clay of approximately one week of production requirements. All key permits have either been obtained by us, or approval is expected to be received in the normal course of business. See Item 2 “Properties” below for additional information regarding our mining properties and operations.</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schedule summarizes the net book value of land and other plant and equipment for each of our manufacturing facilities as of July 31, 2023 (in thousands). Of the land and mineral rights, $2.2 million relates to mineral rights. Mineral rights as of July 31, 2023 were $1.2 million, $0.8 million and $0.1 million for our properties in Illinois, California, and Georgia, respectively.</w:t>
      </w:r>
    </w:p>
    <w:p>
      <w:pPr>
        <w:pStyle w:val="TextBody"/>
        <w:bidi w:val="0"/>
        <w:spacing w:before="0" w:after="0"/>
        <w:jc w:val="left"/>
        <w:rPr/>
      </w:pPr>
      <w:r>
        <w:rPr/>
      </w:r>
    </w:p>
    <w:p>
      <w:pPr>
        <w:pStyle w:val="TextBody"/>
        <w:bidi w:val="0"/>
        <w:spacing w:before="0" w:after="0"/>
        <w:jc w:val="left"/>
        <w:rPr/>
      </w:pPr>
      <w:r>
        <w:rPr/>
      </w:r>
    </w:p>
    <w:tbl>
      <w:tblPr>
        <w:tblW w:w="6209" w:type="dxa"/>
        <w:jc w:val="center"/>
        <w:tblInd w:w="0" w:type="dxa"/>
        <w:tblLayout w:type="fixed"/>
        <w:tblCellMar>
          <w:top w:w="28" w:type="dxa"/>
          <w:left w:w="28" w:type="dxa"/>
          <w:bottom w:w="28" w:type="dxa"/>
          <w:right w:w="28" w:type="dxa"/>
        </w:tblCellMar>
      </w:tblPr>
      <w:tblGrid>
        <w:gridCol w:w="863"/>
        <w:gridCol w:w="759"/>
        <w:gridCol w:w="763"/>
        <w:gridCol w:w="109"/>
        <w:gridCol w:w="109"/>
        <w:gridCol w:w="109"/>
        <w:gridCol w:w="422"/>
        <w:gridCol w:w="1444"/>
        <w:gridCol w:w="218"/>
        <w:gridCol w:w="109"/>
        <w:gridCol w:w="109"/>
        <w:gridCol w:w="109"/>
        <w:gridCol w:w="211"/>
        <w:gridCol w:w="721"/>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Land &amp; Mineral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Plant and</w:t>
              <w:br/>
              <w:t>Equipment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Ochlocknee,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Ripley,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Mounds, 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Mountain, 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Taft,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Energy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used natural gas in the processing kilns to dry our clay products during fiscal year 2023. We monitor gas market trends and we may contract for a portion of our anticipated fuel needs using forward purchase contracts to mitigate the volatility of our kiln fuel prices. During fiscal year ended July 31, 2023, we purchased several forward fuel contracts to cover a portion of our fuel needs in Georgia and California.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H</w:t>
      </w:r>
      <w:r>
        <w:rPr>
          <w:rFonts w:ascii="Times New Roman;sans-serif" w:hAnsi="Times New Roman;sans-serif"/>
          <w:b/>
          <w:color w:val="000000"/>
          <w:sz w:val="16"/>
        </w:rPr>
        <w:t>UMAN CAPITAL MANAGEMENT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2023, we had approximately 884 employees, who we refer to as our teammates of which 121, 18, and 704 of our U.S. teammates work in our corporate functions, research and development and manufacturing, respectively. In addition, 41 of our teammates are employed by our foreign subsidiaries in corporate and manufacturing functions. We believe our corporate offices, research and development center and manufacturing facilities are currently adequately staffed but there is no guarantee that this will always be possible. Approximately 71 of our teammates in the U.S. and approximately 12 of our teammates in Canada are represented by labor unions, with whom we have entered into separate collective bargaining agreements. We consider our employee relations to be satisfactory.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Culture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Oil-Dri’s culture and values, along with its teammates, are our most valuable assets. We take pride in building a culture that emphasizes high moral and ethical values and conducts business with honesty, integrity and a passion for excellence. Our approach is centered on collaboration, communication, and transparency, and we believe in the value of an open and accessible corporate structure. We expect all our teammates to conduct business in an ethical and fair manner using our “WE CARE” values framework.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Oil-Dri's culture and the objectives that we focus on in managing our business are based on our “WE CARE” values. “WE CARE” is an acronym for remembering our core values, which is the moral standard that we endeavor to apply to our teammates, customers, vendors, and other stakeholders. We continuously work to reinforce these values through leading by example, training, and rewarding positive behaviors. We use “WE CARE” values as a moral compass to constantly strive for continuous improvement. These values are embedded into everything we do and are reflected in our Code of Ethics and Business Conduct, formal policies and procedures, annual training including training on workplace harassment, and a strong governance structure. Our "WE CARE" values are also the basis of our formal teammate recognition process.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drawing>
          <wp:inline distT="0" distB="0" distL="0" distR="0">
            <wp:extent cx="4762500" cy="26860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4762500" cy="2686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Code of Ethics and Business Conduct details how we act in accordance with these fundamental standards. The first “E” in "WE CARE" represents Ethics. Oil-Dri’s ethical culture is one of our greatest strengths and areas of emphasis by our Board of Directors and management team. Our CEO is asked to speak on this topic at local business schools, including the Kellogg School of Management at Northwestern, and Marquette University. Our CEO’s continued messaging to all Oil-Dri teammates about the importance of our ethical culture helps maintain a strong tone at the top for our entire organization.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codified our compliance and ethics requirements through the Code of Ethics and Business Conduct, the Human Rights Policy, and the Whistleblower Response Policy.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Compliance Committee meets quarterly and is comprised of members of Oil-Dri leadership as well as the owners of our three compliance functions: Trade, Regulatory, and Anti-Corruption. Our Trade compliance function works to make sure we are in alignment with all applicable export laws and regulations, and screens all new international customers, distributors and/or agents against the various restricted and denied party lists before they can do business with Oil-Dri. Our Regulatory compliance team ensures our product registrations meet the complex and multiple requirements of the various countries, as well as U.S. states, in which we do business. Our Anti-Corruption compliance team works with Human Resources to address potential risks related to compliance with anti-corruption regulations in various jurisdictions, including by ensuring that teammates attest to Oil-Dri’s Code of Ethics and Business Conduct, which was updated in fiscal year 2021, and that the Company’s Code of Ethics and Business Conduct provides appropriate tools and guidance to the Company’s teammates. These two groups also work together to make sure teammates understand the specific requirements around conflicts of interest, including any disclosures where relevant. As part of the focus on addressing potential risks and ensuring a global understanding of the various applicable policies and requirements, we have also translated our Code of Ethics and Business Conduct into Mandarin and Spanish. Our Board of Directors also annually attests to Oil-Dri’s Code of Ethics and Business Conduct. The Anti-Corruption team also conducts a thorough Third-Party Due Diligence process that includes the use of compliance software. Third parties are selected for this process based on a risk analysis that includes potential interaction with government officials as well as the Corruption Perception Index published by Transparency International (an international non-profit) of the countries in which they do business. In addition, distributor and agent agreements include a mandatory anti-corruption regulatory compliance section.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Oil-Dri has strong policies and procedures in place for anti-corruption and conflicts of interest. This includes training and attestation requirements where appropriate. Oil-Dri is committed to whistleblower protection and uses a third-party anonymous hotline available on our website, where teammates or third parties across the globe can reach out via phone or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 This training is given within the first few months of hire to new teammates with sales and/or leadership roles that interact with customers and/or teammates outside the U.S. Additionally, anti-corruption training is repeated annually at our Global Sales Meeting for all attending teammates; these are sales teams across the globe as well as all Oil-Dri leadership personnel.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individual hotline cases are investigated, the Company's Compliance Department works with Human Resources and any other teammates involved in the investigation to ensure confidentiality is maintained and whistleblowers are protected; our compliance training emphasizes that this is not only required by law, but clearly fits with our "WE CARE" values. All cases are investigated to conclusion, with follow up provided, where possible, on an anonymous basis back to the whistleblower through the anonymous third-party hotline.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Diversity, Equity and Inclusion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CARE" for all.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strength as a company comes from leveraging the uniqueness of all teammates and those in our communities. We strive to promote a diverse and inclusive workforce for all.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Oil-Dri’s success is enhanced by striving for a workforce that reflects the diversity of the communities and countries in which we live and work. We embrace all people, regardless of race, sex, gender identity, age, religion, nationality, physical ability or sexual orientation. Diverse perspectives are encouraged and needed in order to help our company achieve its vision and continue to grow. We are committed to cultivating and preserving a culture of inclusion. That is why we created a Diversity, Equity and Inclusion Committee to help us live up to our "WE CARE" core values.</w:t>
      </w:r>
      <w:r>
        <w:rPr>
          <w:color w:val="000000"/>
        </w:rPr>
        <w:t xml:space="preserve"> </w:t>
      </w:r>
      <w:r>
        <w:rPr>
          <w:rFonts w:ascii="Times New Roman;sans-serif" w:hAnsi="Times New Roman;sans-serif"/>
          <w:b w:val="false"/>
          <w:color w:val="000000"/>
          <w:sz w:val="20"/>
        </w:rPr>
        <w:t xml:space="preserve">This committee represents a diverse group of colleagues across locations, functions and communities who are the Company’s champions for our diversity, equity, and inclusion initiatives. The committee strives to bring awareness and understanding of human diversity as a corporate imperative by engaging teammates in pertinent conversation, training, and education. As the committee evolves, additional programs will be introduced.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success largely depends upon our continued ability to attract and retain highly skilled teammates. We have demonstrated a history of investing in our teammates by providing competitive salaries and bonuses at all levels of the Company, including a deferred compensation plan and executive deferred bonuses for our executives, and opportunities for equity ownership through our restricted stock program under our long-term incentive plan. We also provide access to training and development and an attractive employment package that promotes well-being, including health care, retirement plans, and paid time off. We support our employees’ desire to save for retirement by providing a 401(k) savings plan in which we contribute 100% of every employee dollar contributed, up to six percent (6%) of earnings and for which employees are fully vested after two (2) years of employment. The competitive compensation and benefit package have been key to the strong retention of our employees.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u w:val="single"/>
        </w:rPr>
        <w:t>Teammate Health and Wellness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success of our business is fundamentally connected to the well-being of our teammates. As such, the health and wellness of our teammates is a top priority. We offer robust and generous benefit programs to those who qualify, which include, but are not limited to, health, prescription drug, dental, life insurance and disability insurance. We also offer wellness programs to those who qualify, to help our teammates live healthy lives. Smoking cessation programs are offered to teammates at no cost. We also offer gym and weight loss reimbursement in order to encourage a healthy lifestyle. Our employee assistance program provides face-to-face, telephonic and online counseling services for a variety of potential needs that our teammates may have. Our commitment to the wellness of our teammates is further evidenced by our paid time off and sick days program, which are part of the work/life balance component of our "WE CARE" values framework.</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Workplace Flexibility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2023, Oil-Dri continued a hybrid work environment for non-manufacturing teammates with the option for some positions to be 100% remote. Oil-Dri offers a wide range of employment opportunities including full and part-time positions which support our Work/Life Balance values. By providing these flexible work options, among other initiatives, we are able to attract and retain diverse talent throughout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pPr>
      <w:r>
        <w:rPr>
          <w:rFonts w:ascii="Times New Roman;sans-serif" w:hAnsi="Times New Roman;sans-serif"/>
          <w:b w:val="false"/>
          <w:color w:val="000000"/>
          <w:sz w:val="20"/>
          <w:u w:val="single"/>
        </w:rPr>
        <w:t>Continuous Teammate Development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encourage our teammates to reach their potential with continuous learning and improvement. All teammates have access to our online training and development library for on-demand courses, webinars, books and podcasts. Teammates may attend conferences and programs and/or obtain certifications that relate to their positions at no cost. For teammates looking to further their education, we offer varying levels of tuition reimbursement programs after one year of employment. </w:t>
      </w:r>
      <w:r>
        <w:rPr>
          <w:rFonts w:ascii="Times New Roman;sans-serif" w:hAnsi="Times New Roman;sans-serif"/>
          <w:b w:val="false"/>
          <w:color w:val="000000"/>
          <w:sz w:val="20"/>
          <w:shd w:fill="FFFFFF" w:val="clear"/>
        </w:rPr>
        <w:t>This is designed to provide financial support to help teammates reach their educational goals, while also providing a way to support academic activities that directly relate to the organization’s identified knowledge, skills, and behaviors which support the mission, vision, and values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Teammate Engagement</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Oil-Dri maintains an open-door policy that encourages conversations between teammates at all levels. Communication goes both ways - ideas are shared and feedback is encouraged. We engage with teammates on a regular basis through newsletters, townhalls, video announcements, meetings, and new hire luncheons with our CEO. On occasion, anonymous online surveys are issued to solicit feedback on various work-related topics. We come together to celebrate work anniversaries, birthdays, retirements and other special occasions.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Safety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safety must be the first and foremost consideration in the decisions made by and on behalf of the Company. We believe safety is everyone’s responsibility - from senior management to frontline workers. As part of our company-wide safety policies, it is expected that all teammates identify safety risks and take action by implementing interim controls, ensuring that controls are maintained, and recommending permanent solutions. Additionally, as part of our annual budget and capital planning process, our businesses identify additional safety investments required for training, education, equipment, and processes. We are committed to operating in a manner that protects the health and safety of our workforce and our communities and ensures decisions are consistent with a long-term view of sustainability and stewardship.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corporate safety department, we implemented a safety auditing program for adherence to local, state and federal safety standards and regulations including those of the Mine Safety and Health Administration ("MSHA") and the Occupational Safety and Health Administration ("OSHA"). These audits are conducted annually for global operations by third-party consultants enforcing a rigorous assessment of regulatory standards, internal procedures and program performance. Audit assessments and inspections are scored and are currently indicating high levels of compliance in our operations. The auditing program confirms the Company’s commitment to best management practices and principles. We continually increase the rigor and level of scrutiny to drive continuous improvement in our operations.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G</w:t>
      </w:r>
      <w:r>
        <w:rPr>
          <w:rFonts w:ascii="Times New Roman;sans-serif" w:hAnsi="Times New Roman;sans-serif"/>
          <w:b/>
          <w:color w:val="000000"/>
          <w:sz w:val="16"/>
        </w:rPr>
        <w:t>OVERNMENT</w:t>
      </w:r>
      <w:r>
        <w:rPr>
          <w:color w:val="000000"/>
        </w:rPr>
        <w:t xml:space="preserve"> </w:t>
      </w:r>
      <w:r>
        <w:rPr>
          <w:rFonts w:ascii="Times New Roman;sans-serif" w:hAnsi="Times New Roman;sans-serif"/>
          <w:b/>
          <w:color w:val="000000"/>
          <w:sz w:val="16"/>
        </w:rPr>
        <w:t xml:space="preserve">AND </w:t>
      </w:r>
      <w:r>
        <w:rPr>
          <w:rFonts w:ascii="Times New Roman;sans-serif" w:hAnsi="Times New Roman;sans-serif"/>
          <w:b/>
          <w:color w:val="000000"/>
          <w:sz w:val="20"/>
        </w:rPr>
        <w:t>E</w:t>
      </w:r>
      <w:r>
        <w:rPr>
          <w:rFonts w:ascii="Times New Roman;sans-serif" w:hAnsi="Times New Roman;sans-serif"/>
          <w:b/>
          <w:color w:val="000000"/>
          <w:sz w:val="16"/>
        </w:rPr>
        <w:t>NVIRONMENTAL</w:t>
      </w:r>
      <w:r>
        <w:rPr>
          <w:color w:val="000000"/>
        </w:rPr>
        <w:t xml:space="preserve"> </w:t>
      </w:r>
      <w:r>
        <w:rPr>
          <w:rFonts w:ascii="Times New Roman;sans-serif" w:hAnsi="Times New Roman;sans-serif"/>
          <w:b/>
          <w:color w:val="000000"/>
          <w:sz w:val="20"/>
        </w:rPr>
        <w:t>R</w:t>
      </w:r>
      <w:r>
        <w:rPr>
          <w:rFonts w:ascii="Times New Roman;sans-serif" w:hAnsi="Times New Roman;sans-serif"/>
          <w:b/>
          <w:color w:val="000000"/>
          <w:sz w:val="16"/>
        </w:rPr>
        <w:t xml:space="preserve">EGULATION AND </w:t>
      </w:r>
      <w:r>
        <w:rPr>
          <w:rFonts w:ascii="Times New Roman;sans-serif" w:hAnsi="Times New Roman;sans-serif"/>
          <w:b/>
          <w:color w:val="000000"/>
          <w:sz w:val="20"/>
        </w:rPr>
        <w:t>C</w:t>
      </w:r>
      <w:r>
        <w:rPr>
          <w:rFonts w:ascii="Times New Roman;sans-serif" w:hAnsi="Times New Roman;sans-serif"/>
          <w:b/>
          <w:color w:val="000000"/>
          <w:sz w:val="16"/>
        </w:rPr>
        <w:t>OMPLIANCE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w:t>
      </w:r>
      <w:r>
        <w:rPr>
          <w:color w:val="008080"/>
        </w:rPr>
        <w:t xml:space="preserve"> </w:t>
      </w:r>
      <w:r>
        <w:rPr>
          <w:rFonts w:ascii="Times New Roman;sans-serif" w:hAnsi="Times New Roman;sans-serif"/>
          <w:b w:val="false"/>
          <w:color w:val="000000"/>
          <w:sz w:val="20"/>
        </w:rPr>
        <w:t xml:space="preserve">are subject to a variety of federal, state, local and foreign laws and regulatory requirements relating to the environment and to health and safety matters. In particular, our mining and manufacturing operations and facilities in Georgia, Mississippi, California and Illinois are required to comply with state surface mining and environmental protection statutes as well as the workplace safety requirements of the MSHA. These domestic locations and our Canadian operations are subject to various federal, state, provincial and local statutes, regulations, ordinances, building codes, and permitting and licensing requirements which govern the discharge, storage and disposal of materials, water and waste into the environment, maintenance of our locations or otherwise regulate our operations. In recent years, regulation and enforcement have grown increasingly stringent, a trend that we expect will continue. We endeavor to be in compliance at all times and in all material respects with all applicable environmental, health and safety controls and regulations. As a result, compliance with the various statutes, regulations, ordinances, codes, and other requirements have required continuing management efforts and the expenditures relating to such compliance have varied over the years; however, these expenditures have not had a material </w:t>
      </w:r>
      <w:r>
        <w:rPr>
          <w:rFonts w:ascii="Times New Roman;sans-serif" w:hAnsi="Times New Roman;sans-serif"/>
          <w:b w:val="false"/>
          <w:color w:val="000000"/>
          <w:sz w:val="20"/>
          <w:shd w:fill="FFFFFF" w:val="clear"/>
        </w:rPr>
        <w:t xml:space="preserve">adverse effect on our capital expenditures, earnings, or competitive position. </w:t>
      </w:r>
      <w:r>
        <w:rPr>
          <w:rFonts w:ascii="Times New Roman;sans-serif" w:hAnsi="Times New Roman;sans-serif"/>
          <w:b w:val="false"/>
          <w:color w:val="000000"/>
          <w:sz w:val="20"/>
        </w:rPr>
        <w:t>As part of our ongoing environmental compliance activities, we incur expenses in connection with reclaiming mining sites. Historically, reclamation expenses have not had a material effect on our cost of goods sold.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environmental, health and safety requirements related to our mining and manufacturing operations and facilities, there has been increased federal, state and international regulation with respect to the content, labeling, use, packaging, registration, trade compliance, advertising, and disposal of products that we sell. For example, in the United States, some of our operations, products, product claims, labeling and advertising are regulated by the Food and Drug Administration, the Consumer Product Safety Commission, the OSHA, the MSHA, the EPA and the Federal Trade Commission. Most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 We endeavor to be in compliance at all times and in all material respects with those regulations and to assist our customers in that compliance.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cannot assure that, despite all commercially reasonable efforts, we will always be in compliance in all material respects with all applicable environmental laws and requirements nor can we assure that from time to time enforcement of such requirements will not have a material adverse effect on our business. </w:t>
      </w:r>
      <w:r>
        <w:rPr>
          <w:rFonts w:ascii="Times New Roman;sans-serif" w:hAnsi="Times New Roman;sans-serif"/>
          <w:b w:val="false"/>
          <w:color w:val="000000"/>
          <w:sz w:val="20"/>
          <w:shd w:fill="FFFFFF" w:val="clear"/>
        </w:rPr>
        <w:t xml:space="preserve">The imposition of more stringent standards or requirements under such regulations could result in increased expenditures. Additionally, we could be required to alter our operations in order to comply with any new standards or requirements under environmental laws or regulations. </w:t>
      </w:r>
      <w:r>
        <w:rPr>
          <w:rFonts w:ascii="Times New Roman;sans-serif" w:hAnsi="Times New Roman;sans-serif"/>
          <w:b w:val="false"/>
          <w:color w:val="000000"/>
          <w:sz w:val="20"/>
        </w:rPr>
        <w:t>See Item 1A “Risk Factors - Risks Related to Regulatory Compliance” below for a discussion of the impact of government regulations on our business and other risks to our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w:t>
      </w:r>
      <w:r>
        <w:rPr>
          <w:rFonts w:ascii="Times New Roman;sans-serif" w:hAnsi="Times New Roman;sans-serif"/>
          <w:b/>
          <w:color w:val="000000"/>
          <w:sz w:val="16"/>
        </w:rPr>
        <w:t>VAILABLE</w:t>
      </w:r>
      <w:r>
        <w:rPr>
          <w:color w:val="000000"/>
        </w:rPr>
        <w:t xml:space="preserve"> </w:t>
      </w:r>
      <w:r>
        <w:rPr>
          <w:rFonts w:ascii="Times New Roman;sans-serif" w:hAnsi="Times New Roman;sans-serif"/>
          <w:b/>
          <w:color w:val="000000"/>
          <w:sz w:val="20"/>
        </w:rPr>
        <w:t>I</w:t>
      </w:r>
      <w:r>
        <w:rPr>
          <w:rFonts w:ascii="Times New Roman;sans-serif" w:hAnsi="Times New Roman;sans-serif"/>
          <w:b/>
          <w:color w:val="000000"/>
          <w:sz w:val="16"/>
        </w:rPr>
        <w:t>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as well as our Quarterly Reports on Form 10-Q, Current Reports on Form 8-K and any amendments to all of the foregoing reports, are made available free of charge on or through the “Investors”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“Investors” section of our website at www.oildri.com. The information on our website in not included as a part of, nor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The risks described below are not the only risks we face. Our business operations could also be affected by additional factors that are not presently known to us or that we currently consider to be immaterial in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and financial performance is meaningfully impacted by successful new product introductions.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 significant portion of our net sales comes from the sale of products in mature categories, some of which have had, at times, experienced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as well as other factors and events beyond our control may occur even after substantial effort and expense on our part. We may, at times, experience limitations on our ability to conduct plant tests with customers, which may impact our sales. Even in the case of a successful launch of a new product, the ultimate benefit we realize may be uncertain if the new product “cannibalizes” sales of our existing products beyond expected levels. See “</w:t>
      </w:r>
      <w:r>
        <w:rPr>
          <w:rFonts w:ascii="Times New Roman;sans-serif" w:hAnsi="Times New Roman;sans-serif"/>
          <w:b w:val="false"/>
          <w:i/>
          <w:color w:val="000000"/>
          <w:sz w:val="20"/>
        </w:rPr>
        <w:t>Government regulation imposes significant costs on us, and future regulatory changes (or related customer responses to regulatory changes) could increase those costs or limit our ability to produce and sell our products</w:t>
      </w:r>
      <w:r>
        <w:rPr>
          <w:color w:val="000000"/>
        </w:rPr>
        <w:t xml:space="preserve">” </w:t>
      </w:r>
      <w:r>
        <w:rPr>
          <w:rFonts w:ascii="Times New Roman;sans-serif" w:hAnsi="Times New Roman;sans-serif"/>
          <w:b w:val="false"/>
          <w:color w:val="000000"/>
          <w:sz w:val="20"/>
        </w:rPr>
        <w:t>for a discussion of additional risks associated with new product development and launches.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in our markets.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periodic results may be volatile.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The Company has experienced growth in recent periods, which may not be sustainable or indicative of future growth. Factors that may affect our quarterly operating results include:</w:t>
      </w:r>
    </w:p>
    <w:p>
      <w:pPr>
        <w:pStyle w:val="TextBody"/>
        <w:bidi w:val="0"/>
        <w:spacing w:before="0" w:after="0"/>
        <w:jc w:val="left"/>
        <w:rPr/>
      </w:pPr>
      <w:r>
        <w:rPr/>
      </w:r>
    </w:p>
    <w:p>
      <w:pPr>
        <w:pStyle w:val="TextBody"/>
        <w:bidi w:val="0"/>
        <w:spacing w:lineRule="auto" w:line="288" w:before="0" w:after="0"/>
        <w:ind w:left="0" w:right="0" w:hanging="180"/>
        <w:jc w:val="left"/>
        <w:rPr>
          <w:color w:val="000000"/>
        </w:rPr>
      </w:pPr>
      <w:r>
        <w:rPr>
          <w:color w:val="000000"/>
        </w:rPr>
        <w:t xml:space="preserve">• </w:t>
      </w:r>
      <w:r>
        <w:rPr>
          <w:rFonts w:ascii="Times New Roman;sans-serif" w:hAnsi="Times New Roman;sans-serif"/>
          <w:b w:val="false"/>
          <w:color w:val="000000"/>
          <w:sz w:val="20"/>
        </w:rPr>
        <w:t>fluctuating demand for our products and services, including as a result of changes in the level of pet ownership and spending on pets;</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size and timing of sales of our products and services;</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the mix of products with varying profitability sold in a given quarter;</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changes in our operating costs including raw materials, energy, transportation, packaging, overburden removal, trade spending and marketing, wages and other employee-related expenses such as health care costs, and other costs;</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our ability to anticipate and adapt to rapidly changing conditions;</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introduction of new products and services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our ability to successfully implement price increases and surcharges, particularly in a timely manner that corresponds with cost increases, as well as other changes in our pricing policies;</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variations in purchasing patterns by our customers, including due to weather conditions, inventory planning, or other factors outside of our control;</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the ability of major customers and other debtors to meet their obligations to us as they come due;</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our ability to successfully manage regulatory, intellectual property, tax and legal matters;</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litigation and regulatory judgments and charges, settlements, or other litigation and regulatory-related costs;</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the overall tax rate of our business, which may be affected by a number of factors, including the use of tax attributes, the financial results of our international subsidiaries and the timing, size and integration of acquisitions we may make from time to time;</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the occurrence of a widespread outbreak of an illness or any other communicable disease, any other public health crisis, natural disaster, force majeure event or other catastrophic or unforeseen events</w:t>
      </w:r>
      <w:r>
        <w:rPr>
          <w:rFonts w:ascii="Times New Roman;sans-serif" w:hAnsi="Times New Roman;sans-serif"/>
          <w:b w:val="false"/>
          <w:color w:val="0000FF"/>
          <w:sz w:val="24"/>
        </w:rPr>
        <w:t>;</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the incurrence of restructuring, impairment or other charges; and</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general economic conditions and specific economic conditions in our industry and the industries of our customers.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these factors slow or change, consumer demand for our products may not be sustained or may reverse, and our results could be adversely affected. Accordingly, we believe that quarter-to-quarter comparisons of our operating results are not necessarily meaningful. Investors should not rely on the results of one quarter as an indication of our future performance.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Uncertainties in economic conditions and their impact on consumer spending patterns could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has from time to time experienced challenging economic conditions and the global financial markets have recently undergone and may continue to experience significant volatility and disruption. Our business, financial condition and results of operations may be materially adversely affected by changes in consumer confidence, levels of unemployment, inflation, interest rates, tax rates and general uncertainty regarding the overall future economic environment. The keeping of pets and the purchase of pet-related products may constitute discretionary spending for some consumers and any material decline in the amount of consumer discretionary spending may reduce overall levels of pet ownership or spending on pets. As a result, a recession or slowdown in the economy may cause a decline in demand for our products. If economic conditions result in decreased spending on pets and have a negative impact on our retail customers and suppliers, our business, financial condition and results of operations may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 involve a number of risks, any of which could cause us not to realize the anticipated benefits.</w:t>
      </w:r>
    </w:p>
    <w:p>
      <w:pPr>
        <w:pStyle w:val="TextBody"/>
        <w:bidi w:val="0"/>
        <w:spacing w:before="0" w:after="0"/>
        <w:jc w:val="left"/>
        <w:rPr/>
      </w:pPr>
      <w:r>
        <w:rPr/>
      </w:r>
    </w:p>
    <w:p>
      <w:pPr>
        <w:pStyle w:val="TextBody"/>
        <w:bidi w:val="0"/>
        <w:spacing w:lineRule="auto" w:line="288" w:before="0" w:after="0"/>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20"/>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val="false"/>
          <w:color w:val="000000"/>
          <w:sz w:val="20"/>
        </w:rPr>
        <w:t>the potential loss of key customers, management and employees of an acquired business;</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val="false"/>
          <w:color w:val="000000"/>
          <w:sz w:val="20"/>
        </w:rPr>
        <w:t>the ability to achieve identified operating and financial synergies anticipated to result from an acquisition;</w:t>
      </w:r>
    </w:p>
    <w:p>
      <w:pPr>
        <w:pStyle w:val="TextBody"/>
        <w:bidi w:val="0"/>
        <w:spacing w:lineRule="auto" w:line="288" w:before="0" w:after="0"/>
        <w:ind w:left="0" w:right="0" w:hanging="180"/>
        <w:jc w:val="left"/>
        <w:rPr>
          <w:color w:val="000000"/>
        </w:rPr>
      </w:pPr>
      <w:r>
        <w:rPr>
          <w:color w:val="000000"/>
        </w:rPr>
        <w:t xml:space="preserve">• </w:t>
      </w:r>
      <w:r>
        <w:rPr>
          <w:rFonts w:ascii="Times New Roman;sans-serif" w:hAnsi="Times New Roman;sans-serif"/>
          <w:b w:val="false"/>
          <w:color w:val="000000"/>
          <w:sz w:val="20"/>
        </w:rPr>
        <w:t>problems that could arise from the integration of the acquired business, its management or other unanticipated problems or liabilities; and</w:t>
      </w:r>
    </w:p>
    <w:p>
      <w:pPr>
        <w:pStyle w:val="TextBody"/>
        <w:bidi w:val="0"/>
        <w:spacing w:lineRule="auto" w:line="288" w:before="0" w:after="0"/>
        <w:ind w:left="0" w:right="0" w:hanging="180"/>
        <w:jc w:val="left"/>
        <w:rPr>
          <w:color w:val="000000"/>
        </w:rPr>
      </w:pPr>
      <w:r>
        <w:rPr>
          <w:color w:val="000000"/>
        </w:rPr>
        <w:t xml:space="preserve">• </w:t>
      </w:r>
      <w:r>
        <w:rPr>
          <w:rFonts w:ascii="Times New Roman;sans-serif" w:hAnsi="Times New Roman;sans-serif"/>
          <w:b w:val="false"/>
          <w:color w:val="000000"/>
          <w:sz w:val="20"/>
        </w:rPr>
        <w:t>unanticipated changes in business, industry or general economic conditions that affect the assumptions underlying our rationale for pursuing the acquisition.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and there can be no assurances that we can obtain indebtedness or equity capital on terms acceptable to the Company. Increased borrowings 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a limited number of customers for a large portion of our net sales.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limited number of customers account for a large percentage of our net sales, as described in Item 1 “Business” above. The loss of, or a substantial decrease in the volume of, purchases by Walmart,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Price or trade concessions, or the failure to make them to retain customers, could adversely affect our sales and profitability.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products we sell are subject to significant price competition and the price may fluctuate for a variety of reasons. From time to time, we may need to reduce the prices for some of our products to respond to competitive and customer pressures and to maintain market share. These pressures are often exacerbated during an economic downturn. Additionally, we have, from time to time, experienced customer-driven price deductions on our products as a result of delayed shipments of products.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deductions,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Increases in energy, commodity, transportation, labor and other costs would increase our operating costs, and we may be unable to pass all these increases on to our customers in the form of higher prices and surcharges.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energy, commodity, transportation, labor and/or other costs increase disproportionately to our net sales, our earnings could be significantly reduced. Increases in our operating costs may reduce our profitability if we are unable to pass all the increases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volatility in the price and availability of natural gas, as well as other sources of energy. Such volatility could be intensified by geopolitical tensions, including war and terrorism, as well as other disruptions and market reactions to such events. During the fiscal year ended July 31, 2023, we purchased several forward fuel contracts to cover a portion of our fuel needs in Georgia and California and from time to time, we may use additional forward purchase contracts or financial instruments to moderate the volatility of a portion of our energy costs. The success or failure of any such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depends on a number of factors, including our ability to anticipate and manage volatility in energy prices, the general demand for fuel by the manufacturing sector, seasonality and the weather patterns throughout the United States and the world.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prices of other commodities such as paper, plastic resins, synthetic rubber, lumber, and steel significantly influence the costs of packaging, replacement parts and equipment we use in the manufacture of our products and the maintenance of our facilities. Prices of other non-commodity materials purchased also influence our costs of goods sold.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competitive labor markets, changes in the availability of our workers, and labor shortages in our supply chain, could result in increased costs, such as increased wage rates to attract and retain employees, and could negatively affect our ability to efficiently operate our facilities and overall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Fluctuations in the availability of transportation options within the United States and internationally, including trucking and ocean freight, could increase costs. These could be exacerbated by volatile oil and gas markets as well as other global factors which could impact both the availability and cost of transportation. Additionally, issues in transportation could result in delayed customer shipments and increased customer deductions for late shipments, ultimately impacting our profitability.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experience increased costs in any of these areas, we may increase our prices, pass the increases along to customers, or otherwise take actions to offset the impact. However, competitive pressures and other factors may also limit our ability to quickly raise prices in response to increased costs. Accordingly, we may not be able to timely offset increased costs fully or at all, and there can be no assurances that increasing prices will fully mitigate the impact of these increases, which could adversely impact our results.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could be negatively affected by supply, capacity, labor, information technology, logistics and other disruptions or the costs incurred to avoid these disruptions.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Supply, capacity, information technology and logistics disruptions (which may be caused by a variety of factors, including public health crises such as outbreaks of diseases or illnesses,</w:t>
      </w:r>
      <w:r>
        <w:rPr>
          <w:color w:val="000000"/>
        </w:rPr>
        <w:t xml:space="preserve"> </w:t>
      </w:r>
      <w:r>
        <w:rPr>
          <w:rFonts w:ascii="Times New Roman;sans-serif" w:hAnsi="Times New Roman;sans-serif"/>
          <w:b w:val="false"/>
          <w:color w:val="000000"/>
          <w:sz w:val="20"/>
        </w:rPr>
        <w:t>weather conditions, governmental controls, tariffs, national emergencies, natural or man-made disasters, other force majeure events, abrupt political change or other political, civil or social unrest or instability, mass or other physical violence (or threats thereof), including</w:t>
      </w:r>
      <w:r>
        <w:rPr>
          <w:color w:val="000000"/>
        </w:rPr>
        <w:t xml:space="preserve"> </w:t>
      </w:r>
      <w:r>
        <w:rPr>
          <w:rFonts w:ascii="Times New Roman;sans-serif" w:hAnsi="Times New Roman;sans-serif"/>
          <w:b w:val="false"/>
          <w:color w:val="000000"/>
          <w:sz w:val="20"/>
        </w:rPr>
        <w:t>terrorist activity and armed conflict, or other similar events) or our failure to mitigate such disruptions could adversely affect our ability to manufacture, package or transport our products or require additional resources to maintain or restore our supply chain. Some of our products require raw materials and/or packaging that are provided by a limited number of suppliers or are demanded by other industries or are simply not available at times. Problems or delays experienced by these suppliers as a result of labor shortages or other events could lead to shortages in our production capacity, which could impact our ability to meet customer demand. In addition, as we grow or experience increased customer demand, our existing suppliers may not be able to meet our increasing demand, and we may need to find additional suppliers. We may not be able to secure suppliers who provide materials at, or services to, the specification, quantity and quality levels that we demand (or at all) or be able to negotiate acceptable fees and terms of services with any such suppliers. Additionally, such disruptions have resulted in challenges in addressing our backlogs and further backlog could develop in the event of continued disruptions. Disruptions arising from the foregoing or other events could adversely impact our results.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Further, some of our products are manufactured on equipment at or near its capacity thus limiting our ability to sell additional volumes of such products until more capacity is obtained. As with all manufacturing facilities, equipment and infrastructure age and become subject to increasing maintenance and repair costs which may be significant. We have experienced increased costs and shortages in repair parts. Our ability to procure components to repair equipment essential for our manufacturing processes could be negatively impacted by various restrictions or disruptions in supply chains. See “</w:t>
      </w:r>
      <w:r>
        <w:rPr>
          <w:rFonts w:ascii="Times New Roman;sans-serif" w:hAnsi="Times New Roman;sans-serif"/>
          <w:b w:val="false"/>
          <w:i/>
          <w:color w:val="000000"/>
          <w:sz w:val="20"/>
        </w:rPr>
        <w:t>Increases in energy, commodity, transportation, labor and other costs would increase our operating costs, and we may be unable to pass all these increases on to our customers in the form of higher prices and surcharges</w:t>
      </w:r>
      <w:r>
        <w:rPr>
          <w:color w:val="000000"/>
        </w:rPr>
        <w:t xml:space="preserve">” </w:t>
      </w:r>
      <w:r>
        <w:rPr>
          <w:rFonts w:ascii="Times New Roman;sans-serif" w:hAnsi="Times New Roman;sans-serif"/>
          <w:b w:val="false"/>
          <w:color w:val="000000"/>
          <w:sz w:val="20"/>
        </w:rPr>
        <w:t>for additional risks related to increased transportation costs and logistics disruptions.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on our mining operations for a majority of our supply of sorbent minerals.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power outages, equipment failures and other unexpected maintenance problems, variations in the amount of rock and soil overlying our reserves, variations in geological conditions, fires and other accidents, fluctuations in the price or availability of supplies, landowner disputes, permit requirements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impacted by the clay quality in our mines. Although we use drilling and surveying to assess the expected composition of our clay, we cannot always predict with certainty the clay quality. Poor quality or unexpected differences in our clay composition could increase our processing costs, reduce production, or impact product performance.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acquiring adequate additional reserves in the future.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by others to be used either for mining or other uses,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pStyle w:val="TextBody"/>
        <w:bidi w:val="0"/>
        <w:spacing w:before="0" w:after="0"/>
        <w:jc w:val="left"/>
        <w:rPr/>
      </w:pPr>
      <w:r>
        <w:rPr/>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Accordingly, we have taken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Similarly, we have asserted that products sold by our competitors infringe patents owned or licensed by us.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The loss of any key member of our senior management team may impede the implementation of our business plans in a timely manner.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current team members.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Risks Related to Regulatory Compliance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health and safety matters create potential compliance and other liability risks.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along with management focus and efforts, in complying with environmental, health and safety laws and regulations. In recent years, there has been an increase in regulation and enforcement of environmental, health and safety matters, a trend that we expect will continue. Substantial penalties and other costs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site modification (such as the modification to address capacity issues at our sole landfill located in Ochlocknee, Georgia), and liens, the issuance of injunctions to limit or cease operations, the suspension or revocation of permits and other enforcement measures that could have the effect of limiting our operations or otherwise requiring a change to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Government regulation imposes significant costs on us, and future regulatory changes (or related customer responses to regulatory changes) could increase those costs or limit our ability to produce and sell our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OSHA, the MSHA, the EPA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permits and registrations could delay or prevent us from meeting product demand, introducing new products, building new facilities or acquiring new businesses and could adversely affect operating results.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we will be able to obtain or renew required governmental permits and registrations in the future.</w:t>
      </w:r>
      <w:r>
        <w:rPr>
          <w:color w:val="000000"/>
        </w:rPr>
        <w:t xml:space="preserve"> </w:t>
      </w:r>
      <w:r>
        <w:rPr>
          <w:rFonts w:ascii="Times New Roman;sans-serif" w:hAnsi="Times New Roman;sans-serif"/>
          <w:b w:val="false"/>
          <w:color w:val="000000"/>
          <w:sz w:val="20"/>
        </w:rPr>
        <w:t>Further, there can be no assurance that current or future governmental regulation or other rule-making (including proposals regarding increased disclosure on climate-related matters) will not have a material adverse effect on our business. Our efforts to comply with new requirements and regulations could result in increased general and administrative expenses and a diversion of substantial management time and attention from revenue-generating activities to compliance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risks to our domestic and international sales and business operations due to political, regulatory, economic and other conditions.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Unstable economic, political, regulatory and other conditions could adversely affect demand for our products or disrupt our operations in the United States and in international markets.</w:t>
      </w:r>
      <w:r>
        <w:rPr>
          <w:color w:val="000000"/>
        </w:rPr>
        <w:t xml:space="preserve"> </w:t>
      </w:r>
      <w:r>
        <w:rPr>
          <w:rFonts w:ascii="Times New Roman;sans-serif" w:hAnsi="Times New Roman;sans-serif"/>
          <w:b w:val="false"/>
          <w:color w:val="000000"/>
          <w:sz w:val="20"/>
        </w:rPr>
        <w:t>The international nature of our operations subjects the Company to numerous risks, including political, civil and/or instability (including acts of terrorism, civil or social unrest, labor unrest, violence in connection with political or social events, and outbreaks of war and pandemics or other disease outbreaks).</w:t>
      </w:r>
      <w:r>
        <w:rPr>
          <w:color w:val="000000"/>
        </w:rPr>
        <w:t xml:space="preserve"> </w:t>
      </w:r>
      <w:r>
        <w:rPr>
          <w:rFonts w:ascii="Times New Roman;sans-serif" w:hAnsi="Times New Roman;sans-serif"/>
          <w:b w:val="false"/>
          <w:color w:val="000000"/>
          <w:sz w:val="20"/>
        </w:rPr>
        <w:t>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U.S. politics and government have introduced greater uncertainty with respect to tax policies, trade relations, tariffs and government regulations affecting trade between the U.S. and other countries. For instance domestic sales may be impacted by changes in government issued incentives, such as tax rebates and credits, for renewable diesel producers. In addition to considerations around U.S. politics and government, geopolitical concerns may also impact our business; for instance, international conflicts could increase the cost of raw and packaging materials and commodities (including the prices of oil and natural gas), supply chain and logistics challenges and foreign currency volatility, and it is not possible to predict the broader or longer-term consequences of such conflicts. These developments, as well as the risks outlined above, could have a material adverse effect on the Company’s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our international sales and operations are subject to various economic-related risks.</w:t>
      </w:r>
      <w:r>
        <w:rPr>
          <w:color w:val="000000"/>
        </w:rPr>
        <w:t xml:space="preserve"> </w:t>
      </w:r>
      <w:r>
        <w:rPr>
          <w:rFonts w:ascii="Times New Roman;sans-serif" w:hAnsi="Times New Roman;sans-serif"/>
          <w:b w:val="false"/>
          <w:color w:val="000000"/>
          <w:sz w:val="20"/>
        </w:rPr>
        <w:t xml:space="preserve">Our international sales and operations are, among other factors, subject to currency exchange fluctuations, fund transfer and trade restrictions and import/export duties. In some cases, we may have difficulty enforcing agreements and collecting accounts receivable through a foreign country’s legal system. Further, an increase in inflation rates could affect the Company’s profitability and cash flows, due to higher employment costs, higher operating costs, higher financing costs, and/or higher supplier prices. Inflation may also adversely affect foreign exchange rates. The Company may be unable to pass along such higher costs to its customers. In addition, inflation may adversely affect customers’ operations.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incur adverse safety events or product liability claims that may be costly, create adverse publicity and may add further governmental regulation.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and other resources that would otherwise be engaged in managing our business and our reputation could suffer, any of which could harm our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 long-lived, and other intangible assets recorded as a result of our acquisitions could become impaired.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review goodwill, long-lived assets, including property, plant and equipment and identifiable amortizing intangible assets, for impairment whenever changes in circumstances or events may indicate that the carrying amounts are not recoverable. Factors which may cause an impairment of long-lived assets include lower share trading prices and the adverse impact of rising costs and additional expenses to mitigate supply chain disruptions, among other factors. In fiscal year 2022, we recorded a $5.6 million loss of goodwill related to the impairment of goodwill at our Retail and Wholesale Products Group reporting unit. We assess all existing goodwill at least annually for impairment on a reporting unit basis. The techniques used in our qualitative assessment and goodwill impairment tests incorporate a number of estimates and assumptions that are subject to change. Although we believe these estimates and assumptions are reasonable and reflect market conditions forecasted at the assessment date, any changes to these assumptions and estimates due to market conditions or otherwise may lead to an outcome where impairment charges would be required in future periods.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subjected to increased taxes or fluctuating tax rates, which could adversely affect our results of operations and/or cash flows.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corporation operating in various jurisdictions around the world, we are subject to income and other taxes based upon the jurisdictions in which we operate and where our sales and profits are determined to be earned and taxed. Federal, state, and foreign statutory tax rates and taxing regimes have been subject to significant change and continue to evolve. Further, significant uncertainties exist with respect to the application of the various taxes to the businesses in which we engage, often requiring that we make judgments in determining our tax liabilities and worldwide provision for income taxes.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interpretation of current tax laws and their applicability to our business, as well as any changes to existing laws, can significantly impact our effective tax rate. In particular, the U.S. as well as jurisdictions around the world are considering or have enacted changes in relevant tax regulations and interpretations. Changes in income tax laws and regulations, or their interpretation, could result in higher or lower income tax rates assessed or changes in the taxability of certain revenues or the deductibility of certain expenses, thereby affecting our income tax expense and profitability.</w:t>
      </w:r>
      <w:r>
        <w:rPr>
          <w:color w:val="000000"/>
        </w:rPr>
        <w:t xml:space="preserve"> </w:t>
      </w:r>
      <w:r>
        <w:rPr>
          <w:rFonts w:ascii="Times New Roman;sans-serif" w:hAnsi="Times New Roman;sans-serif"/>
          <w:b w:val="false"/>
          <w:color w:val="000000"/>
          <w:sz w:val="20"/>
        </w:rPr>
        <w:t>In the U.S., various proposals, if enacted, could raise the U.S. corporate tax rate and increase the tax on non-U.S. income. Such unfavorable tax legislation could create the potential for added volatility in our quarterly provision for income taxes and could have a significant adverse impact on our future income tax provision and tax rate. Further, a number of factors may cause our effective tax rate to fluctuate, including: changes in tax rates in various jurisdictions, unanticipated changes in the amount of profit in jurisdictions in which the statutory tax rates may be higher or lower than the U.S. tax rate, changes in the valuation of our deferred tax assets and liabilities, adjustments to income taxes upon finalization of various tax returns, increases in expenses not deductible for tax purposes, and changes in available tax credits or our ability to utilize foreign tax credits. We could experience an effective tax rate significantly different from that of prior periods or current expectations, which could have an adverse effect on our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potential reviews, examinations, and audits by the Internal Revenue Service and other taxing authorities with respect to taxes within and outside of the U.S. Although we believe our tax estimates are reasonable, unfavorable resolution of any tax audits and controversies could cause our tax liabilities to increase (including interest and penalties) and may have a significant adverse impact on our provision for income taxes and tax rate. Our effective tax rate is also influenced by the geography, timing, nature, and magnitude of transactions, such as acquisitions and divestitures, restructuring activities, and impairment charges.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left"/>
        <w:rPr/>
      </w:pPr>
      <w:r>
        <w:rPr/>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that our share repurchases will enhance long-term shareholder value.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previously authorized a share repurchase program. Under these authorizations, the Company has authority to repurchase both shares of our Common Stock and our Class B Stock. The Company has undertaken repurchases of Common Stock on the open market (including pursuant to a 10b5-1 plan) and is also authorized to undertake repurchases in private, negotiated transactions. The Company has no obligations to repurchase any specific dollar amount or to acquire any specific number of shares. The timing, number and manner of share repurchases is determined by management and may depend upon a number of factors, including the trading price, market conditions, and the Company’s liquidity needs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its spending. Further, the Company’s share repurchases may be limited, suspended or discontinued at any time without prior notice (subject to the terms and conditions of the repurchase plan(s) in place at such time). The existence of a share repurchase program could cause our stock price to be higher than it would be in the absence of such a program and could potentially reduce the market liquidity for our stock or otherwise affect stock price and/or volatility. Additionally, our share repurchase program could diminish our cash reserves, which may impact our ability to otherwise deploy such cash. There can be no assurance that these share repurchases will enhance shareholder value.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principal stockholders have the ability to control matters requiring a stockholder vote and could delay, deter or prevent a change in control of our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Chief Executive Officer and Chairman of the Board of Directors)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the New York Stock Exchange (“NYSE”) rules and, as a result, qualify for, and intend to rely on, exemptions from certain corporate governance requirements.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that a majority of the board of directors consists of independent directors;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that we have a nominating and governance committee comprised entirely of independent directors with a written charter addressing the committee’s purpose and responsibilities;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that we have a compensation committee comprised entirely of independent directors with a written charter addressing the committee’s purpose and responsibilities.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relied on these exemptions (although we are not currently relying on the first exemption listed above), and we intend to continue to rely on them in the future, as applicable. As a result, you may not have the same benefits and information available to stockholders of NYSE-listed companies that are subject to all of the NYSE corporate governance requirements.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 price for our Common Stock may be volatile.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fluctuate substantially in the future in response to a number of factors, including the following:</w:t>
      </w:r>
    </w:p>
    <w:p>
      <w:pPr>
        <w:pStyle w:val="TextBody"/>
        <w:bidi w:val="0"/>
        <w:spacing w:before="0" w:after="0"/>
        <w:jc w:val="left"/>
        <w:rPr/>
      </w:pPr>
      <w:r>
        <w:rPr/>
      </w:r>
    </w:p>
    <w:p>
      <w:pPr>
        <w:pStyle w:val="TextBody"/>
        <w:bidi w:val="0"/>
        <w:spacing w:lineRule="auto" w:line="276" w:before="0" w:after="0"/>
        <w:ind w:left="0" w:right="0" w:hanging="180"/>
        <w:jc w:val="left"/>
        <w:rPr/>
      </w:pPr>
      <w:r>
        <w:rPr>
          <w:color w:val="000000"/>
        </w:rPr>
        <w:t>•</w:t>
      </w:r>
      <w:r>
        <w:rPr>
          <w:rFonts w:ascii="Times New Roman;sans-serif" w:hAnsi="Times New Roman;sans-serif"/>
          <w:b w:val="false"/>
          <w:color w:val="000000"/>
          <w:sz w:val="20"/>
        </w:rPr>
        <w:t>fluctuations in our quarterly operating results or the operating results of our competitors;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changes in general conditions in the economy, the financial markets, or the industries in which we operate;</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announcements of significant acquisitions, strategic alliances or joint ventures by us, our customers, suppliers or competitors;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sales of our Common Stock by the Company, our officers or directors or unaffiliated third party investors;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introduction of new products or services;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increases in the price of energy sources and other raw materials; and</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other developments affecting us, our industries, customers or competitors.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may experience extreme price and volume fluctuations that have a significant effect on the market prices of securities issued by many companies, including the Company, for reasons unrelated to their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If we experience significant fluctuations in our stock price, we may be exposed to securities class action lawsuits, which could negatively affect our business. There can be no assurance that the price of our Common Stock will increase in the future or be maintained at its recent levels.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our Common Stock could depress its market price.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response to recent public focus on dual class capital structures, certain stock index providers are implementing limitations on the inclusion of dual class share structures in their indices. If these restrictions increase, they may impact who buys and holds our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dividends on our Common Stock may be restricted or eliminated.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are declared at the discretion of our Board of Directors,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There can be no assurance that we will continue to pay dividends. The amount and timing of any future dividends may vary, and the payment of any dividend does not assure that we will pay dividends in the future.</w:t>
      </w:r>
    </w:p>
    <w:p>
      <w:pPr>
        <w:pStyle w:val="TextBody"/>
        <w:bidi w:val="0"/>
        <w:spacing w:before="0" w:after="0"/>
        <w:jc w:val="left"/>
        <w:rPr/>
      </w:pPr>
      <w:r>
        <w:rPr/>
      </w:r>
    </w:p>
    <w:p>
      <w:pPr>
        <w:pStyle w:val="TextBody"/>
        <w:bidi w:val="0"/>
        <w:spacing w:lineRule="auto" w:line="288" w:before="0" w:after="0"/>
        <w:ind w:left="0" w:right="0" w:firstLine="630"/>
        <w:jc w:val="center"/>
        <w:rPr/>
      </w:pPr>
      <w:r>
        <w:rPr>
          <w:rFonts w:ascii="Times New Roman;sans-serif" w:hAnsi="Times New Roman;sans-serif"/>
          <w:b/>
          <w:color w:val="000000"/>
          <w:sz w:val="20"/>
        </w:rPr>
        <w:t>General Risk Factors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Technology failures or cyber security breaches or other unauthorized access to our information technology systems or sensitive or proprietary information could have an adverse effect on the Company's business and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rely on information technology systems to process, transmit, store, and protect electronic information. For example, a significant portion of the communications between the Company's personnel, customers, suppliers and vendors depends on information technology and we rely on access to such information systems for our operations. Additionally, we rely on third-party service vendors to execute certain business processes and maintain certain information technology systems and infrastructure. We cannot guarantee that the security measures in place will prevent disruptions, failures, computer viruses or other malicious codes, malware or ransomware incidents, unauthorized access attempts, theft of intellectual property, trade secrets, or other corporate assets, denial of service attacks, phishing, hacking</w:t>
      </w:r>
      <w:r>
        <w:rPr>
          <w:color w:val="000000"/>
        </w:rPr>
        <w:t xml:space="preserve"> </w:t>
      </w:r>
      <w:r>
        <w:rPr>
          <w:rFonts w:ascii="Times New Roman;sans-serif" w:hAnsi="Times New Roman;sans-serif"/>
          <w:b w:val="false"/>
          <w:color w:val="000000"/>
          <w:sz w:val="20"/>
        </w:rPr>
        <w:t xml:space="preserve">by common hackers, criminal groups or nation-state organizations or social activist (“hacktivist”) organizations, and other cyber-attacks or other privacy or security breaches in the information technology, phone systems or other systems (whether due to third-party action, bugs or vulnerabilities, physical break-ins, employee error, malfeasance or otherwise) of the Company, our customers or third parties, which could adversely affect our communications and business operations. Further, events such as natural disasters, fires, power outages, systems failures, telecommunications failures, employee error or malfeasance or other catastrophic events could similarly cause interruptions, disruptions or shutdowns, or exacerbate the risk of the failures described above. These risks may be increased as more employees work from home. We may not have the resources or technical sophistication to anticipate, prevent or detect rapidly-evolving types of cyber-attacks and other security risks. Attacks may be targeted at us, our customers, suppliers or vendors, or others who have entrusted us with information. To date, the Company has not experienced any material impact to the business or operations resulting from information or cybersecurity attacks; however, because of the frequently changing attack techniques, along with the increased volume, persistence and sophistication of the attacks, there is the potential for the Company to be adversely impacted. Because such techniques change frequently or may be designed to remain dormant until a predetermined event and often are not recognized until launched against a target, we may be unable to anticipate these techniques or implement sufficient control measures to defend against these techniques. Once a security incident is identified, we may be unable to remediate or otherwise respond to such an incident in a timely manner. While the Company has policies and procedures in place, including system monitoring and data back-up processes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cybersecurity attacks or otherwise, could damage our brands or reputation, subject the Company to legal claims and proceedings or remedial actions, create risks of violations of data privacy laws and regulations,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brands and reputation. There can be no assurance that the costs, potential monetary damages, and operational consequences of responding to cyber incidents and implementing remediation measures would be covered by any insurance that we may carry from time to time.</w:t>
      </w:r>
      <w:r>
        <w:rPr>
          <w:color w:val="000000"/>
        </w:rPr>
        <w:t xml:space="preserve"> </w:t>
      </w:r>
      <w:r>
        <w:rPr>
          <w:rFonts w:ascii="Times New Roman;sans-serif" w:hAnsi="Times New Roman;sans-serif"/>
          <w:b w:val="false"/>
          <w:color w:val="000000"/>
          <w:sz w:val="20"/>
        </w:rPr>
        <w:t>We cannot predict the degree of any impact that increased monitoring, assessing, or reporting of cybersecurity matters would have on operations, financial conditions and results.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our global operations, we, from time to time, transmit data across national borders to conduct our business and, consequently, are subject to a variety of laws and regulations regarding privacy, data protection, and data security, including those related to the collection, processing, storage, handling, use, disclosure, transfer, and security of personal data, including the European Union General Data Protection Regulation, Canadian Personal Information Protection and Electronic Documents Act, Quebec Private Sector Act, Personal Information Protection Law in China and similar regulations in states within the United States and in countries around the world. Our efforts to comply with privacy and data protection laws may impose significant costs and challenges that are likely to increase over time.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 including sales, earnings and cash flow. Further development and maintenance of the ERP system will continue to require investment of human and financial resources, which may cause increased costs and other difficulties.</w:t>
      </w:r>
      <w:r>
        <w:rPr>
          <w:color w:val="000000"/>
        </w:rPr>
        <w:t xml:space="preserve"> </w:t>
      </w:r>
      <w:r>
        <w:rPr>
          <w:rFonts w:ascii="Times New Roman;sans-serif" w:hAnsi="Times New Roman;sans-serif"/>
          <w:b w:val="false"/>
          <w:color w:val="000000"/>
          <w:sz w:val="20"/>
        </w:rPr>
        <w:t>In addition, 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Technology failures or cyber security breaches or other unauthorized access to information technology systems of our customers, suppliers or vendors could have an adverse effect on the Company's business and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direct electronic interfaces with some of our key customers, suppliers and vendors. Cyber security breaches or technology failures at our customers could result in changes to timing and volume of orders. Additionally cyber security breaches or technology failures at our suppliers or vendors could impact the timing or availability of key materials that could negatively impact our ability to deliver products. We work closely with our key customers, suppliers and vendors to manage and mitigate the impact of any known threats once identified.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a widespread threat to public health.</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Public health crises may create significant uncertainty on our business and could negatively affect our costs, customer orders, and collection of accounts receivable, which may be material. In addition, a public health crisis could result in the deterioration of worldwide economic conditions and impact the proper functioning of financial and capital markets, foreign currency exchange rates, and commodity and energy prices, as well as demand for our products.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widespread public health threats, such as pandemics, countries and local governments may again implement quarantine or similar orders that restrict workforce and/or require closures of “non-essential” businesses along with restrictions on travel. Such restrictions could create significant volatility, uncertainty, and economic disruption to our business. There can be no assurances that we will not have to close facilities or experience other disruption in the future due to concerns over the health and well-being of our employees, or as a result of government directives. While historically widespread threats to public health had limited disruption and impact to our third party business partners, suppliers, service providers, and customers, no assurances can be made that future threats to public health will not have a more significant impact on our operations or results.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various legal and regulatory proceedings, including litigation in the ordinary course of business, which may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the ordinary course of business, we are subject to various legal and regulatory proceedings, which may include but are not limited to those involving antitrust, tax, trade, environmental, intellectual property, data privacy and other matters, including general commercial litigation. Such claims and litigation are frequently expensive and time consuming (and could divert management’s attention and resources) to resolve and may result in substantial liability to us, which liability and related costs and expenses may not be recoverable through insurance or any other forms of reimbursement and could also result in higher insurance costs.</w:t>
      </w:r>
      <w:r>
        <w:rPr>
          <w:color w:val="000000"/>
        </w:rPr>
        <w:t xml:space="preserve"> </w:t>
      </w:r>
      <w:r>
        <w:rPr>
          <w:rFonts w:ascii="Times New Roman;sans-serif" w:hAnsi="Times New Roman;sans-serif"/>
          <w:b w:val="false"/>
          <w:color w:val="000000"/>
          <w:sz w:val="20"/>
        </w:rPr>
        <w:t>Additionally, the outcome of legal and regulatory proceedings may differ from our expectations because the outcomes of these proceedings are often difficult to predict reliably. Various factors and developments can lead to changes in our estimates of liabilities. A future adverse ruling, settlement or unfavorable development could result in charges that could have a material adverse effect on our results of operations in any particular period.</w:t>
      </w:r>
    </w:p>
    <w:p>
      <w:pPr>
        <w:pStyle w:val="TextBody"/>
        <w:bidi w:val="0"/>
        <w:spacing w:before="0" w:after="0"/>
        <w:jc w:val="left"/>
        <w:rPr/>
      </w:pPr>
      <w:r>
        <w:rPr/>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maintain effective internal control over financial reporting could have a material adverse effect on our business, operating results and stock price.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2023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 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pStyle w:val="TextBody"/>
        <w:bidi w:val="0"/>
        <w:spacing w:before="0" w:after="0"/>
        <w:jc w:val="left"/>
        <w:rPr/>
      </w:pPr>
      <w:r>
        <w:rPr/>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maintain a level of corporate social responsibility could damage our reputation and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 Further, we may be subject to rulemaking regarding corporate social responsibility and/or disclosure, as public awareness and focus on social and environmental issues has led to legislative and regulatory efforts to impose increase regulations and require further disclosure.</w:t>
      </w:r>
      <w:r>
        <w:rPr>
          <w:color w:val="000000"/>
        </w:rPr>
        <w:t xml:space="preserve"> </w:t>
      </w:r>
      <w:r>
        <w:rPr>
          <w:rFonts w:ascii="Times New Roman;sans-serif" w:hAnsi="Times New Roman;sans-serif"/>
          <w:b w:val="false"/>
          <w:color w:val="000000"/>
          <w:sz w:val="20"/>
        </w:rPr>
        <w:t>As a result, we may become subject to new or more stringent regulations, legislation or other governmental requirements, customer requirements or industry standards and/or an increased demand to meet voluntary criteria related to such matters. Increased regulations, customer requirements or industry standards including around climate change concerns, could subject us to additional costs and restrictions and require us to make certain changes to our manufacturing practices and/or product designs, which could negatively impact our business, results of operations, financial condition and competitive position.</w:t>
      </w:r>
    </w:p>
    <w:p>
      <w:pPr>
        <w:pStyle w:val="TextBody"/>
        <w:bidi w:val="0"/>
        <w:spacing w:before="0" w:after="0"/>
        <w:ind w:left="0" w:right="0" w:firstLine="720"/>
        <w:jc w:val="both"/>
        <w:rPr/>
      </w:pPr>
      <w:r>
        <w:rPr/>
      </w:r>
    </w:p>
    <w:p>
      <w:pPr>
        <w:pStyle w:val="TextBody"/>
        <w:bidi w:val="0"/>
        <w:spacing w:lineRule="auto" w:line="24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labor disputes and an inability to renew collective bargaining agreements at acceptable terms.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 portion of our teammates in the U.S. and Canada</w:t>
      </w:r>
      <w:r>
        <w:rPr>
          <w:color w:val="000000"/>
        </w:rPr>
        <w:t xml:space="preserve"> </w:t>
      </w:r>
      <w:r>
        <w:rPr>
          <w:rFonts w:ascii="Times New Roman;sans-serif" w:hAnsi="Times New Roman;sans-serif"/>
          <w:b w:val="false"/>
          <w:color w:val="000000"/>
          <w:sz w:val="20"/>
        </w:rPr>
        <w:t xml:space="preserve">are represented by labor unions, with whom we have entered into separate collective bargaining agreements. We may experience labor disputes in the future, including protests and strikes, which could disrupt our business operations, increase wage rates and other costs of labor and have an adverse effect on our business and results of operation. We may also be unable to renegotiate collective bargaining agreements at acceptable terms or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 unable to maintain a satisfactory working relationship with our employees in the future. We may also be adversely affected by strikes and other labor disputes by the employees of our suppliers, customers, and other parties.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 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 PROPERTIES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16"/>
        </w:rPr>
      </w:pPr>
      <w:r>
        <w:rPr>
          <w:rFonts w:ascii="Times New Roman;sans-serif" w:hAnsi="Times New Roman;sans-serif"/>
          <w:b/>
          <w:color w:val="000000"/>
          <w:sz w:val="16"/>
        </w:rPr>
        <w:t>CLAY RESOURCES AND RESERVES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2018, the SEC adopted new rules updating the disclosure requirements for companies with mining operations. The new mining disclosure rules rescind Industry Guide 7 and codify the SEC’s mining property disclosure requirements in new subpart 1300 of Regulation S-K. These rules became applicable to our disclosures on August 1, 2021. Regulation S-K 1300 requires the disclosure of mineral resources. However, we have no mineral resource estimates as all mineral accumulations of economic interest and with reasonable prospects for eventual economic extraction are either currently on production or subject to an economically viable future development plan and are classified as mineral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in this Form 10-K, the terms “mineral resource,” “mineral reserve,” “proven mineral reserve” and “probable mineral reserve” are defined and used in accordance with subpart 1300 of Regulation S-K. Under subpart 1300 of Regulation S-K, mineral resources may not be classified as “mineral reserves” unless the determination has been made by a qualified person (as defined under subpart 1300 of Regulation S-K) that the mineral resources can be the basis of an economically viable project.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provides an overview of our mining properties, operations, and reserves. Our real property holdings and tons produced for each of the three fiscal years ended July 31, are as follows:</w:t>
      </w:r>
    </w:p>
    <w:p>
      <w:pPr>
        <w:pStyle w:val="TextBody"/>
        <w:bidi w:val="0"/>
        <w:spacing w:before="0" w:after="0"/>
        <w:jc w:val="left"/>
        <w:rPr/>
      </w:pPr>
      <w:r>
        <w:rPr/>
      </w:r>
    </w:p>
    <w:tbl>
      <w:tblPr>
        <w:tblW w:w="9019" w:type="dxa"/>
        <w:jc w:val="center"/>
        <w:tblInd w:w="0" w:type="dxa"/>
        <w:tblLayout w:type="fixed"/>
        <w:tblCellMar>
          <w:top w:w="28" w:type="dxa"/>
          <w:left w:w="28" w:type="dxa"/>
          <w:bottom w:w="28" w:type="dxa"/>
          <w:right w:w="28" w:type="dxa"/>
        </w:tblCellMar>
      </w:tblPr>
      <w:tblGrid>
        <w:gridCol w:w="379"/>
        <w:gridCol w:w="334"/>
        <w:gridCol w:w="338"/>
        <w:gridCol w:w="109"/>
        <w:gridCol w:w="109"/>
        <w:gridCol w:w="109"/>
        <w:gridCol w:w="311"/>
        <w:gridCol w:w="305"/>
        <w:gridCol w:w="246"/>
        <w:gridCol w:w="109"/>
        <w:gridCol w:w="109"/>
        <w:gridCol w:w="109"/>
        <w:gridCol w:w="308"/>
        <w:gridCol w:w="308"/>
        <w:gridCol w:w="236"/>
        <w:gridCol w:w="109"/>
        <w:gridCol w:w="109"/>
        <w:gridCol w:w="109"/>
        <w:gridCol w:w="355"/>
        <w:gridCol w:w="355"/>
        <w:gridCol w:w="356"/>
        <w:gridCol w:w="109"/>
        <w:gridCol w:w="109"/>
        <w:gridCol w:w="109"/>
        <w:gridCol w:w="360"/>
        <w:gridCol w:w="361"/>
        <w:gridCol w:w="191"/>
        <w:gridCol w:w="109"/>
        <w:gridCol w:w="109"/>
        <w:gridCol w:w="109"/>
        <w:gridCol w:w="232"/>
        <w:gridCol w:w="234"/>
        <w:gridCol w:w="176"/>
        <w:gridCol w:w="109"/>
        <w:gridCol w:w="109"/>
        <w:gridCol w:w="109"/>
        <w:gridCol w:w="232"/>
        <w:gridCol w:w="234"/>
        <w:gridCol w:w="176"/>
        <w:gridCol w:w="109"/>
        <w:gridCol w:w="109"/>
        <w:gridCol w:w="109"/>
        <w:gridCol w:w="232"/>
        <w:gridCol w:w="234"/>
        <w:gridCol w:w="237"/>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Real Property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Tons Produced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Land</w:t>
              <w:br/>
              <w:t xml:space="preserve">Owned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Land</w:t>
              <w:b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Land</w:t>
              <w:br/>
              <w:t>Unpatented</w:t>
              <w:br/>
              <w:t>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 of tons)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7,683 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exception of our research and development center in Illinois, all properties contain clay mineral reserves or are used in the processing of our clay. We mine sorbent minerals primarily consisting of calcium bentonite, attapulgite and diatomaceous shale which we refer to in the aggregate as “clay,” “minerals,” or “Fuller’s Earth.” We use certified professional geologists and mineral specialists who prepared the estimated reserves of these minerals in the table above. See also Item 1 “Business” above for further information about our reserves. Apart from certain mines in Georgia and Illinois, all mines in Mississippi, Georgia, California and Illinois are currently in active production and collectively produced approximately 807 thousand and 832 thousand tons of finished product in fiscal years 2023, and 2022, respectively. Certain of our mines in Georgia are currently in development. Parcels of such land are also sites of manufacturing facilities operated by us. In addition, we own approximately one acre of land in Laval, Quebec, Canada, which is the site of the processing, packaging and distribution facility for our Canadian subsidiary. While we have reserves in Nevada and Tennessee, we are not actively mining these properties.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color w:val="000000"/>
          <w:sz w:val="20"/>
        </w:rPr>
        <w:t>M</w:t>
      </w:r>
      <w:r>
        <w:rPr>
          <w:rFonts w:ascii="Times New Roman;sans-serif" w:hAnsi="Times New Roman;sans-serif"/>
          <w:b/>
          <w:color w:val="000000"/>
          <w:sz w:val="16"/>
        </w:rPr>
        <w:t>INING</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ROPERTIES</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mining operations are conducted on both owned and leased land.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2122.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number of mines concentrated near our production facilities in California, Georgia, Illinois and Mississippi, although we have proven reserves in other states. Based upon the quantitative and qualitative factors applicable, we do not consider any of our mines to be individually material to our business or financial condition. As a result, we are only required to disclose summary information related to our mineral reserves. Our mineral reserves as of July 31, 2023, have been prepared and certified by Fred Heivilin, our Qualified Person (QP) who is contracted by us as a consultant and who is a certified professional geologist. Our summary of proven and probable reserves as of July 31, 2023, is as follows:</w:t>
      </w:r>
    </w:p>
    <w:p>
      <w:pPr>
        <w:pStyle w:val="TextBody"/>
        <w:bidi w:val="0"/>
        <w:spacing w:before="0" w:after="0"/>
        <w:ind w:left="0" w:right="0" w:firstLine="720"/>
        <w:jc w:val="left"/>
        <w:rPr/>
      </w:pPr>
      <w:r>
        <w:rPr/>
      </w:r>
    </w:p>
    <w:tbl>
      <w:tblPr>
        <w:tblW w:w="4453" w:type="dxa"/>
        <w:jc w:val="center"/>
        <w:tblInd w:w="0" w:type="dxa"/>
        <w:tblLayout w:type="fixed"/>
        <w:tblCellMar>
          <w:top w:w="28" w:type="dxa"/>
          <w:left w:w="28" w:type="dxa"/>
          <w:bottom w:w="28" w:type="dxa"/>
          <w:right w:w="28" w:type="dxa"/>
        </w:tblCellMar>
      </w:tblPr>
      <w:tblGrid>
        <w:gridCol w:w="379"/>
        <w:gridCol w:w="334"/>
        <w:gridCol w:w="338"/>
        <w:gridCol w:w="320"/>
        <w:gridCol w:w="320"/>
        <w:gridCol w:w="321"/>
        <w:gridCol w:w="109"/>
        <w:gridCol w:w="109"/>
        <w:gridCol w:w="109"/>
        <w:gridCol w:w="320"/>
        <w:gridCol w:w="320"/>
        <w:gridCol w:w="321"/>
        <w:gridCol w:w="109"/>
        <w:gridCol w:w="109"/>
        <w:gridCol w:w="109"/>
        <w:gridCol w:w="240"/>
        <w:gridCol w:w="240"/>
        <w:gridCol w:w="346"/>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Mineral Reserves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Proven</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Probable</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(thousands of tons)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14,587</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47,106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3,873</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132,756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26,292</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230,614</w:t>
            </w:r>
          </w:p>
        </w:tc>
      </w:tr>
    </w:tbl>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rate of consumption during fiscal year 2023, and without regard to any of our reserves in Nevada and Tennessee, where we do not actively mine, we consider our proven and probable reserves adequate to supply our needs for over 40 years. Although we consider these reserves to be extremely valuable to our business, only a small portion of the reserves, those which were acquired in acquisitions, are reflected at cost on our balance sheet.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It</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our</w:t>
      </w:r>
      <w:r>
        <w:rPr>
          <w:color w:val="000000"/>
        </w:rPr>
        <w:t xml:space="preserve"> </w:t>
      </w:r>
      <w:r>
        <w:rPr>
          <w:rFonts w:ascii="Times New Roman;sans-serif" w:hAnsi="Times New Roman;sans-serif"/>
          <w:b w:val="false"/>
          <w:color w:val="000000"/>
          <w:sz w:val="20"/>
        </w:rPr>
        <w:t>policy</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attempt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maintain</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minimum</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forty</w:t>
      </w:r>
      <w:r>
        <w:rPr>
          <w:color w:val="000000"/>
        </w:rPr>
        <w:t xml:space="preserve"> </w:t>
      </w:r>
      <w:r>
        <w:rPr>
          <w:rFonts w:ascii="Times New Roman;sans-serif" w:hAnsi="Times New Roman;sans-serif"/>
          <w:b w:val="false"/>
          <w:color w:val="000000"/>
          <w:sz w:val="20"/>
        </w:rPr>
        <w:t>years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proven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probable</w:t>
      </w:r>
      <w:r>
        <w:rPr>
          <w:color w:val="000000"/>
        </w:rPr>
        <w:t xml:space="preserve"> </w:t>
      </w:r>
      <w:r>
        <w:rPr>
          <w:rFonts w:ascii="Times New Roman;sans-serif" w:hAnsi="Times New Roman;sans-serif"/>
          <w:b w:val="false"/>
          <w:color w:val="000000"/>
          <w:sz w:val="20"/>
        </w:rPr>
        <w:t>reserves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each</w:t>
      </w:r>
      <w:r>
        <w:rPr>
          <w:color w:val="000000"/>
        </w:rPr>
        <w:t xml:space="preserve"> </w:t>
      </w:r>
      <w:r>
        <w:rPr>
          <w:rFonts w:ascii="Times New Roman;sans-serif" w:hAnsi="Times New Roman;sans-serif"/>
          <w:b w:val="false"/>
          <w:color w:val="000000"/>
          <w:sz w:val="20"/>
        </w:rPr>
        <w:t>type</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clay</w:t>
      </w:r>
      <w:r>
        <w:rPr>
          <w:color w:val="000000"/>
        </w:rPr>
        <w:t xml:space="preserve"> </w:t>
      </w:r>
      <w:r>
        <w:rPr>
          <w:rFonts w:ascii="Times New Roman;sans-serif" w:hAnsi="Times New Roman;sans-serif"/>
          <w:b w:val="false"/>
          <w:color w:val="000000"/>
          <w:sz w:val="20"/>
        </w:rPr>
        <w:t>at each location. We have an ongoing program of exploration for additional reserves but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2023, we utilized these reserves to produce substantially all of the sorbent products that we sold.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Proven reserves means the economically mineable part of a measured resource and can only result from conversion of a measured mineral resource. Further, 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internal controls for reviewing and documenting the information supporting the mineral reserve estimates and ensuring the validity of the estimates. Information that is utilized to compile mineral reserves is prepared and certified by our QP and is subject to internal review. Refer to Item 1A “Risk Factors” for discussion of risks associated with our estimates of mineral reserves.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M</w:t>
      </w:r>
      <w:r>
        <w:rPr>
          <w:rFonts w:ascii="Times New Roman;sans-serif" w:hAnsi="Times New Roman;sans-serif"/>
          <w:b/>
          <w:color w:val="000000"/>
          <w:sz w:val="16"/>
        </w:rPr>
        <w:t>INING AND</w:t>
      </w:r>
      <w:r>
        <w:rPr>
          <w:color w:val="000000"/>
        </w:rPr>
        <w:t xml:space="preserve"> </w:t>
      </w:r>
      <w:r>
        <w:rPr>
          <w:rFonts w:ascii="Times New Roman;sans-serif" w:hAnsi="Times New Roman;sans-serif"/>
          <w:b/>
          <w:color w:val="000000"/>
          <w:sz w:val="20"/>
        </w:rPr>
        <w:t>M</w:t>
      </w:r>
      <w:r>
        <w:rPr>
          <w:rFonts w:ascii="Times New Roman;sans-serif" w:hAnsi="Times New Roman;sans-serif"/>
          <w:b/>
          <w:color w:val="000000"/>
          <w:sz w:val="16"/>
        </w:rPr>
        <w:t>ANUFACTURING</w:t>
      </w:r>
      <w:r>
        <w:rPr>
          <w:color w:val="000000"/>
        </w:rPr>
        <w:t xml:space="preserve"> </w:t>
      </w:r>
      <w:r>
        <w:rPr>
          <w:rFonts w:ascii="Times New Roman;sans-serif" w:hAnsi="Times New Roman;sans-serif"/>
          <w:b/>
          <w:color w:val="000000"/>
          <w:sz w:val="20"/>
        </w:rPr>
        <w:t>M</w:t>
      </w:r>
      <w:r>
        <w:rPr>
          <w:rFonts w:ascii="Times New Roman;sans-serif" w:hAnsi="Times New Roman;sans-serif"/>
          <w:b/>
          <w:color w:val="000000"/>
          <w:sz w:val="16"/>
        </w:rPr>
        <w:t>ETHODS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Mining and Hauling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11 miles.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our California mines, the clay is excavated and hauled to a hopper. An initial crushing and screening operation is performed at the mine site before the trucks are loaded for delivery to the processing plant.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Processing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processing of our clay varies depending on the level of moisture desired in the clay after the drying process. The moisture level is referred to as regular volatile moisture (“RVM”) or low volatile moisture (“LVM”).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LVM Clay: RVM clay is fed from storage tanks into the LVM kiln where the moisture content is further reduced. The clay then proceeds to a screening circuit which separates the clay into the desired particle sizes.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Packaging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Once the clay has been dried to the desired level it will be sized and packaged. Our products have various package sizes and types ranging from bags, boxes, pails, and jugs of cat litter to railcars of agricultural products. We also package some of our products into bulk (approximately one ton) bags or into bulk trucks. The size and delivery configuration of our finished products is determined by customer requirements.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F</w:t>
      </w:r>
      <w:r>
        <w:rPr>
          <w:rFonts w:ascii="Times New Roman;sans-serif" w:hAnsi="Times New Roman;sans-serif"/>
          <w:b/>
          <w:color w:val="000000"/>
          <w:sz w:val="16"/>
        </w:rPr>
        <w:t>ACILITIES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clay manufacturing and non-clay production facilities on property owned or leased by us as shown on the map below:</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Plant Site Locations</w:t>
      </w:r>
    </w:p>
    <w:p>
      <w:pPr>
        <w:pStyle w:val="TextBody"/>
        <w:bidi w:val="0"/>
        <w:spacing w:before="0" w:after="0"/>
        <w:jc w:val="center"/>
        <w:rPr/>
      </w:pPr>
      <w:r>
        <w:rPr/>
        <w:drawing>
          <wp:inline distT="0" distB="0" distL="0" distR="0">
            <wp:extent cx="4210050" cy="3505200"/>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4210050" cy="3505200"/>
                    </a:xfrm>
                    <a:prstGeom prst="rect">
                      <a:avLst/>
                    </a:prstGeom>
                  </pic:spPr>
                </pic:pic>
              </a:graphicData>
            </a:graphic>
          </wp:inline>
        </w:drawing>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0"/>
        <w:gridCol w:w="728"/>
        <w:gridCol w:w="736"/>
        <w:gridCol w:w="486"/>
        <w:gridCol w:w="478"/>
        <w:gridCol w:w="480"/>
        <w:gridCol w:w="1889"/>
        <w:gridCol w:w="1889"/>
        <w:gridCol w:w="2679"/>
      </w:tblGrid>
      <w:tr>
        <w:trPr/>
        <w:tc>
          <w:tcPr>
            <w:tcW w:w="84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Owned/Leased</w:t>
            </w:r>
          </w:p>
        </w:tc>
        <w:tc>
          <w:tcPr>
            <w:tcW w:w="6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Function</w:t>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7"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Mountain, Mississippi</w:t>
            </w:r>
          </w:p>
        </w:tc>
        <w:tc>
          <w:tcPr>
            <w:tcW w:w="1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64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packaging</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Coppet, Switzerland</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office</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Jakarta, Indonesia</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Jalisco, Mexico</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and office</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Laval, Quebec, Canada</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Non-clay manufacturing and clay and non-clay packaging, sales</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Mounds, Illinois</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packaging</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Ochlocknee, Georgia</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packaging</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Ripley, Mississippi</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packaging</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Shenzhen, China</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office, customer service</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Taft, California</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packaging</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Vernon Hills, Illinois</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Owned &amp; Leased</w:t>
            </w:r>
          </w:p>
        </w:tc>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Wisbech, United Kingdom</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Non-clay manufacturing and clay and non-clay packaging, sales, customer service</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mortgages on the real property we own. The leases for the locations listed above expire as follows: Shenzhen, China in 2024; Vernon Hills, Illinois in 2026; Wisbech, United Kingdom in 2032 and Chicago, Illinois in 2033. The leases for the Coppet, Switzerland; Jakarta, Indonesia; and Jalisco, Mexico offices are on a year-to-year basis. We consider that our properties are generally in good condition, well maintained and suitable and adequate to carry on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For a discussion of contingencies related to legal proceedings, see Note 11 of the Notes to the Consolidated Financial Statements, which is hereby incorporated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 MINE SAFETY DISCLOSURE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 MARKET FOR REGISTRANT’S COMMON EQUITY, RELATED STOCKHOLDER MATTERS AND 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2023 were 719 and 24, respectively, as reported by our transfer agent. In the last three years, we have not sold any securities which were not registered under the Securities Act of 1933, as amended (the “Securities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Our Board of Directors determines the timing and amount of any dividends. Our Board of Directors may change its dividend practice at 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and our Amended Note Agreement with Prudential requires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Issuer Repurchase of Equity Securities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During the three months ended July 31, 2023, we did not sell any securities which were not registered under the Securities Act. The following chart summarizes our Common Stock purchases during this period.</w:t>
      </w:r>
    </w:p>
    <w:tbl>
      <w:tblPr>
        <w:tblW w:w="10205" w:type="dxa"/>
        <w:jc w:val="left"/>
        <w:tblInd w:w="0" w:type="dxa"/>
        <w:tblLayout w:type="fixed"/>
        <w:tblCellMar>
          <w:top w:w="28" w:type="dxa"/>
          <w:left w:w="28" w:type="dxa"/>
          <w:bottom w:w="28" w:type="dxa"/>
          <w:right w:w="28" w:type="dxa"/>
        </w:tblCellMar>
      </w:tblPr>
      <w:tblGrid>
        <w:gridCol w:w="496"/>
        <w:gridCol w:w="435"/>
        <w:gridCol w:w="437"/>
        <w:gridCol w:w="121"/>
        <w:gridCol w:w="121"/>
        <w:gridCol w:w="121"/>
        <w:gridCol w:w="497"/>
        <w:gridCol w:w="497"/>
        <w:gridCol w:w="499"/>
        <w:gridCol w:w="121"/>
        <w:gridCol w:w="121"/>
        <w:gridCol w:w="121"/>
        <w:gridCol w:w="399"/>
        <w:gridCol w:w="399"/>
        <w:gridCol w:w="400"/>
        <w:gridCol w:w="121"/>
        <w:gridCol w:w="121"/>
        <w:gridCol w:w="121"/>
        <w:gridCol w:w="782"/>
        <w:gridCol w:w="782"/>
        <w:gridCol w:w="784"/>
        <w:gridCol w:w="121"/>
        <w:gridCol w:w="121"/>
        <w:gridCol w:w="121"/>
        <w:gridCol w:w="684"/>
        <w:gridCol w:w="684"/>
        <w:gridCol w:w="978"/>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ISSUER PURCHASES OF EQUITY SECURITIES </w:t>
            </w:r>
            <w:r>
              <w:rPr>
                <w:rFonts w:ascii="Times New Roman;sans-serif" w:hAnsi="Times New Roman;sans-serif"/>
                <w:b/>
                <w:color w:val="000000"/>
                <w:sz w:val="13"/>
              </w:rPr>
              <w:t>1,2</w:t>
            </w:r>
          </w:p>
        </w:tc>
      </w:tr>
      <w:tr>
        <w:trPr/>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w:t>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July 31, 2023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Maximum Number of Shares that may yet be Purchased Under Plans or Programs</w:t>
            </w:r>
            <w:r>
              <w:rPr>
                <w:rFonts w:ascii="Times New Roman;sans-serif" w:hAnsi="Times New Roman;sans-serif"/>
                <w:b/>
                <w:color w:val="000000"/>
                <w:sz w:val="13"/>
              </w:rPr>
              <w:t>4</w:t>
            </w:r>
          </w:p>
        </w:tc>
      </w:tr>
      <w:tr>
        <w:trPr/>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to May 31, 2023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$40.34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428,775</w:t>
            </w:r>
          </w:p>
        </w:tc>
      </w:tr>
      <w:tr>
        <w:trP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to June 30, 2023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17,044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16,531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411,731</w:t>
            </w:r>
          </w:p>
        </w:tc>
      </w:tr>
      <w:tr>
        <w:trPr/>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to July 31, 2023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$59.14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411,471</w:t>
            </w:r>
          </w:p>
        </w:tc>
      </w:tr>
    </w:tbl>
    <w:p>
      <w:pPr>
        <w:pStyle w:val="TextBody"/>
        <w:bidi w:val="0"/>
        <w:spacing w:before="100" w:after="283"/>
        <w:jc w:val="both"/>
        <w:rPr/>
      </w:pPr>
      <w:r>
        <w:rPr/>
      </w:r>
    </w:p>
    <w:p>
      <w:pPr>
        <w:pStyle w:val="TextBody"/>
        <w:bidi w:val="0"/>
        <w:spacing w:lineRule="auto" w:line="288" w:before="1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July 31, 2023, and the authorized Class B Stock is not included in the table above. No shares of our Class A Common Stock are currently outstanding. Descriptions of our Common Stock, Class B Stock and Class A Common Stock are contained in Exhibit 4.1 of this Annual Report on Form 10-K for the fiscal year ended July 31,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The figures in the table reflect transactions according to the settlement dates. For purposes of our consolidated financial statements included in this Form 10-K, the impact of these repurchases is recorded according to the settlement dates.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1,031 shares of Common Stock were surrendered by employees to pay taxes related to restricted stock awards.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Our Board of Directors authorized the repurchase of 250,000 shares on June 14, 2012 and an additional 750,000 shares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and number of shares repurchased will be determined by our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O</w:t>
      </w:r>
      <w:r>
        <w:rPr>
          <w:rFonts w:ascii="Times New Roman;sans-serif" w:hAnsi="Times New Roman;sans-serif"/>
          <w:b/>
          <w:color w:val="000000"/>
          <w:sz w:val="16"/>
        </w:rPr>
        <w:t>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18"/>
          <w:u w:val="single"/>
        </w:rPr>
      </w:pPr>
      <w:r>
        <w:rPr>
          <w:rFonts w:ascii="Times New Roman;sans-serif" w:hAnsi="Times New Roman;sans-serif"/>
          <w:b/>
          <w:color w:val="000000"/>
          <w:sz w:val="18"/>
          <w:u w:val="single"/>
        </w:rPr>
        <w:t>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O</w:t>
      </w:r>
      <w:r>
        <w:rPr>
          <w:rFonts w:ascii="Times New Roman;sans-serif" w:hAnsi="Times New Roman;sans-serif"/>
          <w:b/>
          <w:color w:val="000000"/>
          <w:sz w:val="16"/>
        </w:rPr>
        <w:t>VERVIEW</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Oil-Dri experienced a record breaking year with consolidated net sales and net income reaching an all-time high. Record revenues were achieved across all areas of our business. Within the Retail &amp; Wholesale Products Group, pricing actions to improve profitability drove the majority of the sales increase. Within the Business to Business Products Group, revenue growth was driven by higher prices coupled with increased volumes. Consolidated income from operations in fiscal year 2023 increased $36.2 million when compared to fiscal year 2022 .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Despite increasing expenses and significant one off events recognized during the current fiscal year, consolidated net income for fiscal year 2023 was $29.6 million, or $4.13 per diluted common share, a 421% increase compared to $5.7 million, or $0.81 per diluted common share in fiscal year 2022. One-time events included a $2.5 million reserve for anticipated modification costs that we expect to incur to address the capacity issues at our sole landfill located in Ochlocknee, Georgia, as well as a charge of $4.7 million in connection with the termination of the Company's pension plan. Refer to Notes 8 and 11 of the Consolidated Financial Statements for additional details.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Balance Sheets as of July 31, 2023, and our Consolidated Statements of Cash Flows for the fiscal year 2023 show an increase in total cash and cash equivalents from fiscal year-end 2022. The increase is driven mostly by improved net income and increases in accrued expenses and payables, offset by capital expenditures, increases in accounts receivable and inventories, payment of dividends and stock repurchases. Refer to the "Liquidity and Capital Resources" section below.</w:t>
      </w:r>
    </w:p>
    <w:p>
      <w:pPr>
        <w:pStyle w:val="TextBody"/>
        <w:bidi w:val="0"/>
        <w:spacing w:before="0" w:after="0"/>
        <w:ind w:left="0" w:right="0" w:firstLine="720"/>
        <w:jc w:val="both"/>
        <w:rPr/>
      </w:pPr>
      <w:r>
        <w:rPr/>
      </w:r>
    </w:p>
    <w:p>
      <w:pPr>
        <w:pStyle w:val="TextBody"/>
        <w:bidi w:val="0"/>
        <w:spacing w:lineRule="auto" w:line="288" w:before="0" w:after="160"/>
        <w:jc w:val="both"/>
        <w:rPr/>
      </w:pPr>
      <w:r>
        <w:rPr>
          <w:rFonts w:ascii="Times New Roman;sans-serif" w:hAnsi="Times New Roman;sans-serif"/>
          <w:b/>
          <w:color w:val="000000"/>
          <w:sz w:val="20"/>
        </w:rPr>
        <w:t>R</w:t>
      </w:r>
      <w:r>
        <w:rPr>
          <w:rFonts w:ascii="Times New Roman;sans-serif" w:hAnsi="Times New Roman;sans-serif"/>
          <w:b/>
          <w:color w:val="000000"/>
          <w:sz w:val="16"/>
        </w:rPr>
        <w:t>ESULTS</w:t>
      </w:r>
      <w:r>
        <w:rPr>
          <w:color w:val="000000"/>
        </w:rPr>
        <w:t xml:space="preserve"> </w:t>
      </w:r>
      <w:r>
        <w:rPr>
          <w:rFonts w:ascii="Times New Roman;sans-serif" w:hAnsi="Times New Roman;sans-serif"/>
          <w:b/>
          <w:color w:val="000000"/>
          <w:sz w:val="20"/>
        </w:rPr>
        <w:t>O</w:t>
      </w:r>
      <w:r>
        <w:rPr>
          <w:rFonts w:ascii="Times New Roman;sans-serif" w:hAnsi="Times New Roman;sans-serif"/>
          <w:b/>
          <w:color w:val="000000"/>
          <w:sz w:val="16"/>
        </w:rPr>
        <w:t>F</w:t>
      </w:r>
      <w:r>
        <w:rPr>
          <w:color w:val="000000"/>
        </w:rPr>
        <w:t xml:space="preserve"> </w:t>
      </w:r>
      <w:r>
        <w:rPr>
          <w:rFonts w:ascii="Times New Roman;sans-serif" w:hAnsi="Times New Roman;sans-serif"/>
          <w:b/>
          <w:color w:val="000000"/>
          <w:sz w:val="20"/>
        </w:rPr>
        <w:t>O</w:t>
      </w:r>
      <w:r>
        <w:rPr>
          <w:rFonts w:ascii="Times New Roman;sans-serif" w:hAnsi="Times New Roman;sans-serif"/>
          <w:b/>
          <w:color w:val="000000"/>
          <w:sz w:val="16"/>
        </w:rPr>
        <w:t>PERATIONS</w:t>
      </w:r>
    </w:p>
    <w:p>
      <w:pPr>
        <w:pStyle w:val="TextBody"/>
        <w:bidi w:val="0"/>
        <w:spacing w:lineRule="auto" w:line="288" w:before="0" w:after="0"/>
        <w:jc w:val="both"/>
        <w:rPr/>
      </w:pPr>
      <w:r>
        <w:rPr>
          <w:rFonts w:ascii="Times New Roman;sans-serif" w:hAnsi="Times New Roman;sans-serif"/>
          <w:b/>
          <w:color w:val="000000"/>
          <w:sz w:val="20"/>
        </w:rPr>
        <w:t>F</w:t>
      </w:r>
      <w:r>
        <w:rPr>
          <w:rFonts w:ascii="Times New Roman;sans-serif" w:hAnsi="Times New Roman;sans-serif"/>
          <w:b/>
          <w:color w:val="000000"/>
          <w:sz w:val="16"/>
        </w:rPr>
        <w:t>ISCAL</w:t>
      </w:r>
      <w:r>
        <w:rPr>
          <w:color w:val="000000"/>
        </w:rPr>
        <w:t xml:space="preserve"> </w:t>
      </w:r>
      <w:r>
        <w:rPr>
          <w:rFonts w:ascii="Times New Roman;sans-serif" w:hAnsi="Times New Roman;sans-serif"/>
          <w:b/>
          <w:color w:val="000000"/>
          <w:sz w:val="20"/>
        </w:rPr>
        <w:t>Y</w:t>
      </w:r>
      <w:r>
        <w:rPr>
          <w:rFonts w:ascii="Times New Roman;sans-serif" w:hAnsi="Times New Roman;sans-serif"/>
          <w:b/>
          <w:color w:val="000000"/>
          <w:sz w:val="16"/>
        </w:rPr>
        <w:t xml:space="preserve">EAR </w:t>
      </w:r>
      <w:r>
        <w:rPr>
          <w:rFonts w:ascii="Times New Roman;sans-serif" w:hAnsi="Times New Roman;sans-serif"/>
          <w:b/>
          <w:color w:val="000000"/>
          <w:sz w:val="20"/>
        </w:rPr>
        <w:t>2023 C</w:t>
      </w:r>
      <w:r>
        <w:rPr>
          <w:rFonts w:ascii="Times New Roman;sans-serif" w:hAnsi="Times New Roman;sans-serif"/>
          <w:b/>
          <w:color w:val="000000"/>
          <w:sz w:val="16"/>
        </w:rPr>
        <w:t>OMPARED</w:t>
      </w:r>
      <w:r>
        <w:rPr>
          <w:color w:val="000000"/>
        </w:rPr>
        <w:t xml:space="preserve"> </w:t>
      </w:r>
      <w:r>
        <w:rPr>
          <w:rFonts w:ascii="Times New Roman;sans-serif" w:hAnsi="Times New Roman;sans-serif"/>
          <w:b/>
          <w:color w:val="000000"/>
          <w:sz w:val="20"/>
        </w:rPr>
        <w:t>T</w:t>
      </w:r>
      <w:r>
        <w:rPr>
          <w:rFonts w:ascii="Times New Roman;sans-serif" w:hAnsi="Times New Roman;sans-serif"/>
          <w:b/>
          <w:color w:val="000000"/>
          <w:sz w:val="16"/>
        </w:rPr>
        <w:t>O</w:t>
      </w:r>
      <w:r>
        <w:rPr>
          <w:color w:val="000000"/>
        </w:rPr>
        <w:t xml:space="preserve"> </w:t>
      </w:r>
      <w:r>
        <w:rPr>
          <w:rFonts w:ascii="Times New Roman;sans-serif" w:hAnsi="Times New Roman;sans-serif"/>
          <w:b/>
          <w:color w:val="000000"/>
          <w:sz w:val="20"/>
        </w:rPr>
        <w:t>F</w:t>
      </w:r>
      <w:r>
        <w:rPr>
          <w:rFonts w:ascii="Times New Roman;sans-serif" w:hAnsi="Times New Roman;sans-serif"/>
          <w:b/>
          <w:color w:val="000000"/>
          <w:sz w:val="16"/>
        </w:rPr>
        <w:t>ISCAL</w:t>
      </w:r>
      <w:r>
        <w:rPr>
          <w:color w:val="000000"/>
        </w:rPr>
        <w:t xml:space="preserve"> </w:t>
      </w:r>
      <w:r>
        <w:rPr>
          <w:rFonts w:ascii="Times New Roman;sans-serif" w:hAnsi="Times New Roman;sans-serif"/>
          <w:b/>
          <w:color w:val="000000"/>
          <w:sz w:val="20"/>
        </w:rPr>
        <w:t>Y</w:t>
      </w:r>
      <w:r>
        <w:rPr>
          <w:rFonts w:ascii="Times New Roman;sans-serif" w:hAnsi="Times New Roman;sans-serif"/>
          <w:b/>
          <w:color w:val="000000"/>
          <w:sz w:val="16"/>
        </w:rPr>
        <w:t xml:space="preserve">EAR </w:t>
      </w:r>
      <w:r>
        <w:rPr>
          <w:rFonts w:ascii="Times New Roman;sans-serif" w:hAnsi="Times New Roman;sans-serif"/>
          <w:b/>
          <w:color w:val="000000"/>
          <w:sz w:val="20"/>
        </w:rPr>
        <w:t>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sales in fiscal year 2023 reached an all-time high of $413.0 million, an 18% increase from net sales of $348.6 million in fiscal year 2022. Net sales increased for both our Retail and Wholesale and Business to Business Products Groups, primarily due to price increases implemented across both product groups and to a lesser extent due to volume growth in our Business to Business Products Group. </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2023, we increased personnel, expanded production shifts, optimized equipment, and utilized alternative modes of transportation in order to reduce the backlog. We successfully decreased the backlog by 45% from July 31, 2022, and are back to historical levels. We will continue to implement strategies to further reduce labor, manufacturing and freight constraints in order to meet the increase in customer demand.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in fiscal year 2023 was $103.2 million, an increase of $40.7 million, or 65%, from gross profit of $62.5 million in the prior fiscal year. Our gross margin (defined as gross profit as a percentage of net sales) in fiscal year 2023 increased to 25% from 18% in fiscal year 2022. Our domestic cost of goods sold per ton increased 11%, driven primarily by per ton increases in non-fuel manufacturing and freight, offset by lower per ton packaging costs, while per ton natural gas costs remained flat from prior year. Non-fuel manufacturing costs per ton increased 15% during fiscal year 2023 compared to fiscal year 2022, mainly due to higher per ton costs of labor, repairs, and replacement of assets as we continue to reinvest in our facilities. Domestic freight costs per ton increased approximately 4% in fiscal year 2023 compared to fiscal year 2022. This excludes the impact of a significant customer in our cat litter business that altered shipping terms in January 2023 from collect to delivered which further increased our overall freight cost. Ocean freight costs have also contributed to the increase due to a combination of export fees and the mix of products and geographic locations of our customers throughout the year. Despite fluctuations throughout the year, natural gas remained relatively flat for fiscal year 2023 compared to fiscal year 2022 due to natural gas prices. Packaging costs per ton decreased by approximately 6% in fiscal year 2023 compared to fiscal year 2022 due to lower commodity costs, particularly as it relates to resin and pallet costs. Many of our contracts for packaging purchases are subject to periodic price adjustments, which trail changes in underlying commodity prices.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 ("SG&amp;A") were 19% higher in fiscal year 2023 compared to fiscal year 2022. Unallocated corporate expenses increased by $5.9 million, or 23%, driven by higher bonus accrual due to improved results compared to the Company’s performance target under the annual incentive plan, and outside consulting services, offset by a reduction in research and development expenses now allocated to the operating segments. The discussion of the segments' operating incomes below describes the changes in SG&amp;A expenses that were allocated to the operating segments.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expenses, net were $6.4 million for fiscal year 2023 compared to other income, net of $0.9 million in fiscal year 2022. This was mostly due to the $4.7 million loss on pension termination and the $2.5 million reserve recorded for anticipated landfill capacity modification costs, offset by other miscellaneous and interest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Tax expense for fiscal year 2023 was $5.2 million with an effective tax rate of 15.0% compared to $0.1 million with an effective tax rate of 1.7% in fiscal year 2022. The increase in tax expense was driven by higher taxable income. See Note 5 of the Notes to the Consolidated Financial Statements for additional information about our income taxes.</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 GROUP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the Business to Business Products Group for fiscal year 2023 were $142.4 million, an increase of $29.0 million, or 26%, from net sales of $113.4 million in fiscal year 2022. Net sales increased in all product categories - fluids purification products; agricultural and horticultural products; and animal health products. This growth was primarily driven by price increases and to a lesser extent higher demand. Net sales of fluids purification products increased approximately $15.6 million or 25% in fiscal year 2023 compared with the prior year. The increase in net sales was driven by a combination of price increases across all regions and continued demand for our products used in the filtration of edible oil, renewable diesel, and jet fuel. Net sales increased in all regions with most of the increase driven by sales in North America, the region including Europe, Middle East, and Africa ("EMEA") and Latin America when compared to fiscal year 2022. Net sales of our agricultural and horticultural chemical carrier products increased approximately $9.9 million, or 32%, for fiscal year 2023 compared to fiscal year 2022. This is a result of strategic pricing actions implemented throughout the year to offset growing costs and continued strong demand from several large customers. Net sales of our animal health and nutrition products increased $3.6 million, or 17%, during fiscal year 2023 compared to the fiscal year 2022. We saw growth in net sales in all regions except our subsidiaries in China and Indonesia, with the greatest impact coming from North America and Latin America regions. North American sales rose due to a new product line, increased distribution to new and existing customers and a strategic focus on that market. Latin American sales were boosted by the European Union's ("EU") regulations requiring antibiotic-free foreign protein imports, as a large percentage of meat is exported from Latin America to the EU. Asia (excluding China) year-to-date net sales increased due to price. See “Foreign Operations” below for a discussion of net sales for our foreign operations that sell our animal health and nutrition products.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for the Business to Business Products Group increased approximately $0.7 million, or 5% for fiscal year 2023 compared to the prior fiscal year. The majority of the increase relates to microbiology lab expenses that are now allocated to the animal health business (a change from when existing costs were previously included in unallocated corporate expenses) and an increase in compensation related expenses.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to Business Products Group’s operating income for fiscal year 2023 was $36.6 million, an increase of $12.2 million, or 50%, from operating income of $24.3 million for fiscal year 2022. The increase in operating income was mostly driven by higher net sales across all business within this segment as discussed above.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 GROUP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the Retail and Wholesale Products Group for fiscal year 2023 were $270.6 million, an increase of $35.4 million, or 15%, from net sales of $235.2 million in fiscal year 2022 driven by increases of our cat litter and industrial &amp; sports products. Total cat litter net sales increased $30.1 million, or 15%, compared to the prior fiscal year driven mostly by increased pricing. Domestic cat litter net sales were $196.4 million, an increase of $27.1 million from fiscal year 2022 due primarily to increased prices. This was supplemented by increases in organic volume growth of our branded and private label lightweight scoop and private label coarse litter which was offset by a decrease in both volume and net sales of private label heavy weight litter. Net sales of co-packaged products increased by approximately $0.9 million compared to fiscal year 2022. This increase was driven by pricing offset by a reduction in volume as our customer discontinued export sales to one of their foreign markets and softer domestic sales volumes. Net sales of cat litter by our subsidiary in Canada increased period over period, as discussed in "Foreign Operations" below. Net sales of our global industrial and sports products increased by approximately $5.4 million, or 14%, compared to fiscal year 2022, primarily driven by price increases implemented to rebuild margins.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SG&amp;A expenses for the Retail and Wholesale Products Group were $3.4 million, or 26%, higher during fiscal year 2023 compared to fiscal year 2022 due primarily to higher advertising costs which ramped up in the fourth quarter. We expect advertising spend in fiscal year 2024 to be higher than fiscal year 2023 and spread more evenly throughout the year than fiscal year 2023.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Retail and Wholesale Products Group’s segment operating income for fiscal year 2023 was $36.1 million, an increase of $29.9 million or 478%, from operating income of $6.3 million in fiscal year 2022. This was driven primarily by the increase in gross margins due to price increases partially offset by higher cost of goods sold, and the goodwill impairment recognized in the third quarter of fiscal year 2022.</w:t>
      </w:r>
    </w:p>
    <w:p>
      <w:pPr>
        <w:pStyle w:val="TextBody"/>
        <w:bidi w:val="0"/>
        <w:spacing w:before="0" w:after="0"/>
        <w:ind w:left="0" w:right="0" w:firstLine="72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FOREIGN SUBSIDIARIES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operations include our subsidiary in Canada, which is included in the Retail and Wholesale Products Group, and our subsidiaries in the United Kingdom, China, Mexico and Indonesia, which are included in the Business to Business Products Group. Net sales by our foreign subsidiaries during fiscal year 2023 were $22.1 million, an increase of $2.2 million, or 11%, from net sales of $19.9 million during fiscal year 2022. All of our foreign operations, with the exception of our subsidiaries in China and Indonesia, experienced an increase in net sales during fiscal year 2023 compared to fiscal year 2022. Total net sales of our subsidiary in Canada during fiscal year 2023 increased by $2.1 million, or 18%, compared to fiscal year 2022 driven by increased private label cat litter net sales. The increase in cat litter sales was driven by a combination of price increases instituted in response to rising costs and volume growth. Industrial sales in Canada remained flat year over year. Net sales of our subsidiary in the United Kingdom in fiscal year 2023 increased by $0.3 million, or 14%, compared to net sales in fiscal year 2022. The increase is driven primarily by price increases which offset the impact of softer sale volumes. Net sales of our subsidiary in Mexico increased during fiscal year 2023 compared to fiscal year 2022 by $0.5 million, or 24%, due to growing demand for our animal health products. Net sales of our subsidiary in China decreased $0.6 million, or 19%, during fiscal year 2023 compared to fiscal year 2022 primarily due to the process of transitioning the sale of our products to a master distributor. Net sales by our foreign subsidiaries represented 5% of our consolidated net sales in fiscal years 2023 and 6% in fiscal year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2023, our foreign subsidiaries reported a net income of $1.1 million, compared to a net loss of $0.8 million in fiscal year 2022. The net income in fiscal year 2023 was driven by price and volume increases in Canada, UK, and Mexico and the reduction of cost of goods sold in China and Indonesia.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Identifiable assets of our foreign subsidiaries as of July 31, 2023, were $14.6 million compared to $13.0 million as of July 31, 2022. </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L</w:t>
      </w:r>
      <w:r>
        <w:rPr>
          <w:rFonts w:ascii="Times New Roman;sans-serif" w:hAnsi="Times New Roman;sans-serif"/>
          <w:b/>
          <w:color w:val="000000"/>
          <w:sz w:val="16"/>
        </w:rPr>
        <w:t>IQUIDITY AND</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APITAL</w:t>
      </w:r>
      <w:r>
        <w:rPr>
          <w:color w:val="000000"/>
        </w:rPr>
        <w:t xml:space="preserve"> </w:t>
      </w:r>
      <w:r>
        <w:rPr>
          <w:rFonts w:ascii="Times New Roman;sans-serif" w:hAnsi="Times New Roman;sans-serif"/>
          <w:b/>
          <w:color w:val="000000"/>
          <w:sz w:val="20"/>
        </w:rPr>
        <w:t>R</w:t>
      </w:r>
      <w:r>
        <w:rPr>
          <w:rFonts w:ascii="Times New Roman;sans-serif" w:hAnsi="Times New Roman;sans-serif"/>
          <w:b/>
          <w:color w:val="000000"/>
          <w:sz w:val="16"/>
        </w:rPr>
        <w:t>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short and long-term capital requirements include: funding working capital needs; purchasing and upgrading equipment, facilities, information systems, and real estate; supporting new product development; spending on marketing and advertising costs; investing in infrastructure; repurchasing stock; paying dividends; and, from time to time, business acquisitions. During fiscal year 2023, we principally funded these short and long-term capital requirements using cash from current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totaled $31.8 million and $16.3 million as of July 31, 2023 and 2022, respectively.</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We currently anticipate cash flows from operations and our available sources of liquidity will be sufficient to meet our cash requirements. In addition, we are actively monitoring the timing and collection of our accounts receivable. Given the current inflationary environment and impacts of supply chain disruption on our business, we continuously assess our liquidity needs and to actively manage our spending.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elements of our Consolidated Statements of Cash Flows for the fiscal year (in thousands):</w:t>
      </w:r>
    </w:p>
    <w:tbl>
      <w:tblPr>
        <w:tblW w:w="8068" w:type="dxa"/>
        <w:jc w:val="center"/>
        <w:tblInd w:w="0" w:type="dxa"/>
        <w:tblLayout w:type="fixed"/>
        <w:tblCellMar>
          <w:top w:w="28" w:type="dxa"/>
          <w:left w:w="28" w:type="dxa"/>
          <w:bottom w:w="28" w:type="dxa"/>
          <w:right w:w="28" w:type="dxa"/>
        </w:tblCellMar>
      </w:tblPr>
      <w:tblGrid>
        <w:gridCol w:w="1840"/>
        <w:gridCol w:w="1620"/>
        <w:gridCol w:w="1624"/>
        <w:gridCol w:w="109"/>
        <w:gridCol w:w="109"/>
        <w:gridCol w:w="109"/>
        <w:gridCol w:w="211"/>
        <w:gridCol w:w="736"/>
        <w:gridCol w:w="109"/>
        <w:gridCol w:w="109"/>
        <w:gridCol w:w="109"/>
        <w:gridCol w:w="109"/>
        <w:gridCol w:w="211"/>
        <w:gridCol w:w="691"/>
        <w:gridCol w:w="109"/>
        <w:gridCol w:w="109"/>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49,764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In addition to net income, as adjusted for depreciation and amortization and other non-cash operating activities, the primary sources and uses of operating cash flows for fiscal years 2023 and 2022 were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receivables, less allowance for doubtful accounts and cash discounts, were $7.9 million higher at fiscal year-end 2023 compared to fiscal year-end 2022. The increase is primarily due to the increase in net sales compared to the prior period. In addition, variation in accounts receivable balances reflects differences in the level and timing of collections as well as the payment terms provided to various customers.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were $2.2 million higher at fiscal year-end 2023 compared to fiscal year-end 2022. The increase is primarily due to rising costs and building inventory levels to meet demand. During fiscal year 2023 we have managed inventory balances primarily focusing on building finished goods inventory offset by decreases in packaging and other through strategic supply chain management. See Note 1 of the Notes to the Consolidated Financial Statements for further information regarding our inventory.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were $1.1 million lower at fiscal year-end 2023 compared to fiscal year-end 2022 driven primarily by a reduction in prepaid tax expense.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Accounts payable were $3.2 million higher at fiscal year-end 2023 compared to fiscal year-end 2022. The increase is due to higher trade payables mainly due to increases in costs of goods and freight as well as fluctuations in timing. Changes in trade accounts payable in all periods are subject to normal fluctuations in the timing of payments, the cost of goods and services we purchased, production volume levels and vendor payment terms.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were $6.5 million higher at fiscal year-end 2023 compared to fiscal year-end 2022. The increase in accrued expenses during the fiscal year 2023 was driven by the $2.5 million reserve added for the Georgia landfill modification, higher compensation-related expenses, higher advertising expense accruals, and income tax payable.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Pension and other postretirement liabilities, net of the adjustment recorded in stockholders' equity, were $1.1 million lower at fiscal year-end 2023 compared to fiscal year-end 2022 due primarily to pension income and actuarial revaluation of the pension and postretirement liabilities prior to the termination of the pension. See Note 8 of the Notes to the Consolidated Financial Statements for more information regarding our postretirement benefit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$24.6 million in fiscal year 2023. Cash used in investing activities primarily related to capital expenditures to expand our plant equipment and improve our facilities in order to support increased demand for our products.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provided by financing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was $9.5 million in fiscal year 2023, which was predominantly used for dividend payments, stock repurchases and debt repayments.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cash and investment balances held by our foreign subsidiaries as of July 31, 2023 and 2022 were $5.2 million and $3.3 million, respectively. See further discussion in the “Foreign Operations” section above.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31, 2023, we had remaining authority to repurchase 411,471 shares of Common Stock and 273,100 shares of Class B Stock under a repurchase plan approved by our Board of Directors. Repurchases may be made on the open market (pursuant to Rule 10b5-1 plans or otherwise) or in negotiated transactions. The timing and number of shares repurchased will be determined by our management pursuant to the repurchase plan approved by our Board of Directors. In fiscal years 2022 and 2023, we made repurchases of stock as further discussed in Item 5, Market for Registrant's Common Equity, Related Stockholders Matters and Issuer 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flow from operations, availability under our revolving credit facility, current cash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 As of July 31, 2023 and 2022, we were in compliance with all debt covenants.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O</w:t>
      </w:r>
      <w:r>
        <w:rPr>
          <w:rFonts w:ascii="Times New Roman;sans-serif" w:hAnsi="Times New Roman;sans-serif"/>
          <w:b/>
          <w:color w:val="000000"/>
          <w:sz w:val="16"/>
        </w:rPr>
        <w:t>FF</w:t>
      </w:r>
      <w:r>
        <w:rPr>
          <w:color w:val="000000"/>
        </w:rPr>
        <w:t xml:space="preserve"> </w:t>
      </w:r>
      <w:r>
        <w:rPr>
          <w:rFonts w:ascii="Times New Roman;sans-serif" w:hAnsi="Times New Roman;sans-serif"/>
          <w:b/>
          <w:color w:val="000000"/>
          <w:sz w:val="20"/>
        </w:rPr>
        <w:t>B</w:t>
      </w:r>
      <w:r>
        <w:rPr>
          <w:rFonts w:ascii="Times New Roman;sans-serif" w:hAnsi="Times New Roman;sans-serif"/>
          <w:b/>
          <w:color w:val="000000"/>
          <w:sz w:val="16"/>
        </w:rPr>
        <w:t>ALANCE</w:t>
      </w:r>
      <w:r>
        <w:rPr>
          <w:color w:val="000000"/>
        </w:rPr>
        <w:t xml:space="preserve"> </w:t>
      </w:r>
      <w:r>
        <w:rPr>
          <w:rFonts w:ascii="Times New Roman;sans-serif" w:hAnsi="Times New Roman;sans-serif"/>
          <w:b/>
          <w:color w:val="000000"/>
          <w:sz w:val="20"/>
        </w:rPr>
        <w:t>S</w:t>
      </w:r>
      <w:r>
        <w:rPr>
          <w:rFonts w:ascii="Times New Roman;sans-serif" w:hAnsi="Times New Roman;sans-serif"/>
          <w:b/>
          <w:color w:val="000000"/>
          <w:sz w:val="16"/>
        </w:rPr>
        <w:t>HEET</w:t>
      </w:r>
      <w:r>
        <w:rPr>
          <w:color w:val="000000"/>
        </w:rPr>
        <w:t xml:space="preserve"> </w:t>
      </w:r>
      <w:r>
        <w:rPr>
          <w:rFonts w:ascii="Times New Roman;sans-serif" w:hAnsi="Times New Roman;sans-serif"/>
          <w:b/>
          <w:color w:val="000000"/>
          <w:sz w:val="20"/>
        </w:rPr>
        <w:t>A</w:t>
      </w:r>
      <w:r>
        <w:rPr>
          <w:rFonts w:ascii="Times New Roman;sans-serif" w:hAnsi="Times New Roman;sans-serif"/>
          <w:b/>
          <w:color w:val="000000"/>
          <w:sz w:val="16"/>
        </w:rPr>
        <w:t>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unconsolidated special purpose entities. As of July 31, 2023,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rPr>
        <w:t>C</w:t>
      </w:r>
      <w:r>
        <w:rPr>
          <w:rFonts w:ascii="Times New Roman;sans-serif" w:hAnsi="Times New Roman;sans-serif"/>
          <w:b/>
          <w:color w:val="000000"/>
          <w:sz w:val="16"/>
        </w:rPr>
        <w:t>RITICAL</w:t>
      </w:r>
      <w:r>
        <w:rPr>
          <w:color w:val="000000"/>
        </w:rPr>
        <w:t xml:space="preserve"> </w:t>
      </w:r>
      <w:r>
        <w:rPr>
          <w:rFonts w:ascii="Times New Roman;sans-serif" w:hAnsi="Times New Roman;sans-serif"/>
          <w:b/>
          <w:color w:val="000000"/>
          <w:sz w:val="20"/>
        </w:rPr>
        <w:t>A</w:t>
      </w:r>
      <w:r>
        <w:rPr>
          <w:rFonts w:ascii="Times New Roman;sans-serif" w:hAnsi="Times New Roman;sans-serif"/>
          <w:b/>
          <w:color w:val="000000"/>
          <w:sz w:val="16"/>
        </w:rPr>
        <w:t>CCOUNTING</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OLICIES AND</w:t>
      </w:r>
      <w:r>
        <w:rPr>
          <w:color w:val="000000"/>
        </w:rPr>
        <w:t xml:space="preserve"> </w:t>
      </w:r>
      <w:r>
        <w:rPr>
          <w:rFonts w:ascii="Times New Roman;sans-serif" w:hAnsi="Times New Roman;sans-serif"/>
          <w:b/>
          <w:color w:val="000000"/>
          <w:sz w:val="20"/>
        </w:rPr>
        <w:t>E</w:t>
      </w:r>
      <w:r>
        <w:rPr>
          <w:rFonts w:ascii="Times New Roman;sans-serif" w:hAnsi="Times New Roman;sans-serif"/>
          <w:b/>
          <w:color w:val="000000"/>
          <w:sz w:val="16"/>
        </w:rPr>
        <w:t>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U.S. GAAP requires management to make estimates and assumptions that affect the reported amounts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Our effective tax rate on earnings was based on income, statutory tax rates and tax planning opportunities available to us in various jurisdictions in which we operate. Significant judgment was required in determining our effective tax rate and in evaluating our tax positions.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determine our current and deferred taxes in accordance with Accounting Standards Codification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valuation allowances of $1.7 million and $1.8 million for the amount of the deferred tax benefit related to our foreign net operating loss carryforwards as of July 31, 2023 and 2022, respectively, because we believe it is unlikely we will realize the benefit of these tax attributes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2023 or 2022. See Note 5 of the Notes to the Consolidated Financial Statements for further discussion.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Trade Promotions.</w:t>
      </w:r>
      <w:r>
        <w:rPr>
          <w:color w:val="000000"/>
        </w:rPr>
        <w:t xml:space="preserve"> </w:t>
      </w:r>
      <w:r>
        <w:rPr>
          <w:rFonts w:ascii="Times New Roman;sans-serif" w:hAnsi="Times New Roman;sans-serif"/>
          <w:b w:val="false"/>
          <w:color w:val="000000"/>
          <w:sz w:val="20"/>
        </w:rPr>
        <w:t>We routinely commit to one-time or ongoing trade promotion programs in our Retail and Wholesale Products Group. 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$2.3 million and $1.2 million for trade promotions as of July 31,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Pension and Postretirement Benefit Costs.</w:t>
      </w:r>
      <w:r>
        <w:rPr>
          <w:color w:val="000000"/>
        </w:rPr>
        <w:t xml:space="preserve"> </w:t>
      </w:r>
      <w:r>
        <w:rPr>
          <w:rFonts w:ascii="Times New Roman;sans-serif" w:hAnsi="Times New Roman;sans-serif"/>
          <w:b w:val="false"/>
          <w:color w:val="000000"/>
          <w:sz w:val="20"/>
        </w:rPr>
        <w:t>We calculate our pension and postretirement health benefit obligations and the related effects on results 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2023 and 2022 was the FTSE Pension Discount Curve (formerly called the Citi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8 of the Notes to the Consolidated Financial Statements 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further described in Note 8 of the Notes to the Consolidated Financial Statements, we terminated the pension plan in fiscal year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Trade Receivables.</w:t>
      </w:r>
      <w:r>
        <w:rPr>
          <w:color w:val="000000"/>
        </w:rPr>
        <w:t xml:space="preserve"> </w:t>
      </w:r>
      <w:r>
        <w:rPr>
          <w:rFonts w:ascii="Times New Roman;sans-serif" w:hAnsi="Times New Roman;sans-serif"/>
          <w:b w:val="false"/>
          <w:color w:val="000000"/>
          <w:sz w:val="20"/>
        </w:rPr>
        <w:t>We recognize trade receivables when control of finished products are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credit losses and cash discounts of $1.1 million and $0.9 million as of July 31,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Revenue Recognition.</w:t>
      </w:r>
      <w:r>
        <w:rPr>
          <w:color w:val="000000"/>
        </w:rPr>
        <w:t xml:space="preserve"> </w:t>
      </w:r>
      <w:r>
        <w:rPr>
          <w:rFonts w:ascii="Times New Roman;sans-serif" w:hAnsi="Times New Roman;sans-serif"/>
          <w:b w:val="false"/>
          <w:color w:val="000000"/>
          <w:sz w:val="20"/>
        </w:rPr>
        <w:t>We recognize revenue when performance obligations under the terms of the contracts with customers are satisfied. Our 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ans-serif" w:hAnsi="Times New Roman;sans-serif"/>
          <w:b/>
          <w:color w:val="000000"/>
          <w:sz w:val="20"/>
        </w:rPr>
        <w:t>Inventories.</w:t>
      </w:r>
      <w:r>
        <w:rPr>
          <w:color w:val="000000"/>
        </w:rPr>
        <w:t xml:space="preserve"> </w:t>
      </w:r>
      <w:r>
        <w:rPr>
          <w:rFonts w:ascii="Times New Roman;sans-serif" w:hAnsi="Times New Roman;sans-serif"/>
          <w:b w:val="false"/>
          <w:color w:val="000000"/>
          <w:sz w:val="20"/>
        </w:rPr>
        <w:t>We value inventories at the lower of cost (first-in, first-out) or net realizable value. Inventory costs include the cost of raw materials, packaging supplies, labor and other overhead costs. We perform a detailed review of our inventory to determine if 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 was $0.8 million as of both July 31, 2023 and 2022.</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Reclamation.</w:t>
      </w:r>
      <w:r>
        <w:rPr>
          <w:color w:val="000000"/>
        </w:rPr>
        <w:t xml:space="preserve"> </w:t>
      </w:r>
      <w:r>
        <w:rPr>
          <w:rFonts w:ascii="Times New Roman;sans-serif" w:hAnsi="Times New Roman;sans-serif"/>
          <w:b w:val="false"/>
          <w:color w:val="000000"/>
          <w:sz w:val="20"/>
        </w:rPr>
        <w:t xml:space="preserve">During the normal course of our mining process we remove overburden and perform on-going reclamation activities. As overburden is 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Times New Roman;sans-serif" w:hAnsi="Times New Roman;sans-serif"/>
          <w:b w:val="false"/>
          <w:i/>
          <w:color w:val="000000"/>
          <w:sz w:val="20"/>
        </w:rPr>
        <w:t>Asset Retirement and Environmental Obligations</w:t>
      </w:r>
      <w:r>
        <w:rPr>
          <w:rFonts w:ascii="Times New Roman;sans-serif" w:hAnsi="Times New Roman;sans-serif"/>
          <w:b w:val="false"/>
          <w:color w:val="000000"/>
          <w:sz w:val="20"/>
        </w:rPr>
        <w:t>. As of July 31, 2023 and 2022, we have recorded an estimated net reclamation asset of $2.2 million and $1.8 million, respectively, and a corresponding estimated reclamation liability of $4.5 million as of July 31, 2023 and $3.8 million as of July 31, 2022. These values represent the discounted present value of the estimated future mining reclamation and landfill closure and monitoring costs at the production plants. The reclamation assets are depreciated over the estimated useful lives of the various mines. The reclamation liabilities are increased based on a yearly accretion charge over the estimated useful lives of the mines.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Impairment of goodwill, trademarks and other intangible assets.</w:t>
      </w:r>
      <w:r>
        <w:rPr>
          <w:color w:val="000000"/>
        </w:rPr>
        <w:t xml:space="preserve"> </w:t>
      </w:r>
      <w:r>
        <w:rPr>
          <w:rFonts w:ascii="Times New Roman;sans-serif" w:hAnsi="Times New Roman;sans-serif"/>
          <w:b w:val="false"/>
          <w:color w:val="000000"/>
          <w:sz w:val="20"/>
        </w:rPr>
        <w:t xml:space="preserve">We review carrying values of goodwill, trademarks and other indefinite-lived intangible assets periodically for possible impairment in accordance ASC 350, </w:t>
      </w:r>
      <w:r>
        <w:rPr>
          <w:rFonts w:ascii="Times New Roman;sans-serif" w:hAnsi="Times New Roman;sans-serif"/>
          <w:b w:val="false"/>
          <w:i/>
          <w:color w:val="000000"/>
          <w:sz w:val="20"/>
        </w:rPr>
        <w:t>Intangibles – Goodwill and Other.</w:t>
      </w:r>
      <w:r>
        <w:rPr>
          <w:color w:val="000000"/>
        </w:rPr>
        <w:t xml:space="preserve"> </w:t>
      </w:r>
      <w:r>
        <w:rPr>
          <w:rFonts w:ascii="Times New Roman;sans-serif" w:hAnsi="Times New Roman;sans-serif"/>
          <w:b w:val="false"/>
          <w:color w:val="000000"/>
          <w:sz w:val="20"/>
        </w:rPr>
        <w:t>Our impairment review requires significant judgment with respect to factors such as volume, revenue and expenses. Impairment occurs when the carrying value exceeds the fair value. Our impairment analysis is performed in the third quarter of the fiscal year and may be re-performed during the year when indicators such as unexpected adverse economic factors, unanticipated technological changes, competitive activities and acts by governments and courts indicate that an asset may become impaired. No such triggering events or impairment of goodwill was identified in fiscal year 2023 however this could change in the future, as outlined under Item 1A "Risk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N</w:t>
      </w:r>
      <w:r>
        <w:rPr>
          <w:rFonts w:ascii="Times New Roman;sans-serif" w:hAnsi="Times New Roman;sans-serif"/>
          <w:b/>
          <w:color w:val="000000"/>
          <w:sz w:val="16"/>
        </w:rPr>
        <w:t>EW</w:t>
      </w:r>
      <w:r>
        <w:rPr>
          <w:color w:val="000000"/>
        </w:rPr>
        <w:t xml:space="preserve"> </w:t>
      </w:r>
      <w:r>
        <w:rPr>
          <w:rFonts w:ascii="Times New Roman;sans-serif" w:hAnsi="Times New Roman;sans-serif"/>
          <w:b/>
          <w:color w:val="000000"/>
          <w:sz w:val="20"/>
        </w:rPr>
        <w:t>A</w:t>
      </w:r>
      <w:r>
        <w:rPr>
          <w:rFonts w:ascii="Times New Roman;sans-serif" w:hAnsi="Times New Roman;sans-serif"/>
          <w:b/>
          <w:color w:val="000000"/>
          <w:sz w:val="16"/>
        </w:rPr>
        <w:t>CCOUNTING</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guidance under ASC 848, Reference Rate Reform.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On August 30, 2022, we amended our debt agreements to replace the LIBOR-based reference rate with an adjusted term Secured Overnight Financing Rate (SOFR), ASC 848 will allow us to account for the modification as a continuation of the existing contract without additional analysis.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A summary of all recently adopted and issued accounting standards is contained in Note 1 of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 FINANCIAL STATEMENTS AND SUPPLEMENTARY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left"/>
        <w:rPr>
          <w:color w:val="000000"/>
        </w:rPr>
      </w:pPr>
      <w:r>
        <w:rPr>
          <w:color w:val="000000"/>
        </w:rPr>
        <w:t> </w:t>
      </w:r>
    </w:p>
    <w:tbl>
      <w:tblPr>
        <w:tblW w:w="7806" w:type="dxa"/>
        <w:jc w:val="left"/>
        <w:tblInd w:w="0" w:type="dxa"/>
        <w:tblLayout w:type="fixed"/>
        <w:tblCellMar>
          <w:top w:w="28" w:type="dxa"/>
          <w:left w:w="28" w:type="dxa"/>
          <w:bottom w:w="28" w:type="dxa"/>
          <w:right w:w="28" w:type="dxa"/>
        </w:tblCellMar>
      </w:tblPr>
      <w:tblGrid>
        <w:gridCol w:w="1736"/>
        <w:gridCol w:w="1528"/>
        <w:gridCol w:w="1536"/>
        <w:gridCol w:w="109"/>
        <w:gridCol w:w="109"/>
        <w:gridCol w:w="109"/>
        <w:gridCol w:w="211"/>
        <w:gridCol w:w="841"/>
        <w:gridCol w:w="109"/>
        <w:gridCol w:w="109"/>
        <w:gridCol w:w="109"/>
        <w:gridCol w:w="109"/>
        <w:gridCol w:w="211"/>
        <w:gridCol w:w="826"/>
        <w:gridCol w:w="154"/>
      </w:tblGrid>
      <w:tr>
        <w:trPr/>
        <w:tc>
          <w:tcPr>
            <w:tcW w:w="173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of $1,087 and $922</w:t>
            </w:r>
          </w:p>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in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59,287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136,507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40,940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depreciable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261,818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depreciable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78,819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mineral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parts,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120,872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Trademarks and patents, net of accumulated amortization </w:t>
            </w:r>
          </w:p>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of $578 and $524 in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list, net of accumulated amortization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of $7,763 and $7,608 in 2023 and 2022,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286,235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66"/>
        <w:gridCol w:w="2259"/>
        <w:gridCol w:w="2263"/>
        <w:gridCol w:w="109"/>
        <w:gridCol w:w="109"/>
        <w:gridCol w:w="109"/>
        <w:gridCol w:w="211"/>
        <w:gridCol w:w="841"/>
        <w:gridCol w:w="109"/>
        <w:gridCol w:w="109"/>
        <w:gridCol w:w="109"/>
        <w:gridCol w:w="109"/>
        <w:gridCol w:w="211"/>
        <w:gridCol w:w="826"/>
        <w:gridCol w:w="109"/>
        <w:gridCol w:w="156"/>
      </w:tblGrid>
      <w:tr>
        <w:trPr/>
        <w:tc>
          <w:tcPr>
            <w:tcW w:w="2566"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36,868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58,768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 of unamortized debt issuance costs of $173 and $202 in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109,159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$.10 per share, issued 8,750,223 shares in 2023 and 8,686,768 shares in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 convertible, par value $.10 per share, issued 2,397,056 shares in 2023 and 2,397,056 shares in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200,796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(3,658,989 Common and 351,641 Class B shares in 2023 and 3,609,938 Common and 351,641 Class B shares in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177,076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286,235</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left"/>
        <w:rPr>
          <w:color w:val="000000"/>
        </w:rPr>
      </w:pPr>
      <w:r>
        <w:rPr>
          <w:color w:val="000000"/>
        </w:rPr>
        <w:t> </w:t>
      </w:r>
    </w:p>
    <w:tbl>
      <w:tblPr>
        <w:tblW w:w="8206" w:type="dxa"/>
        <w:jc w:val="left"/>
        <w:tblInd w:w="0" w:type="dxa"/>
        <w:tblLayout w:type="fixed"/>
        <w:tblCellMar>
          <w:top w:w="28" w:type="dxa"/>
          <w:left w:w="28" w:type="dxa"/>
          <w:bottom w:w="28" w:type="dxa"/>
          <w:right w:w="28" w:type="dxa"/>
        </w:tblCellMar>
      </w:tblPr>
      <w:tblGrid>
        <w:gridCol w:w="1502"/>
        <w:gridCol w:w="1324"/>
        <w:gridCol w:w="1329"/>
        <w:gridCol w:w="109"/>
        <w:gridCol w:w="109"/>
        <w:gridCol w:w="109"/>
        <w:gridCol w:w="277"/>
        <w:gridCol w:w="1106"/>
        <w:gridCol w:w="143"/>
        <w:gridCol w:w="143"/>
        <w:gridCol w:w="143"/>
        <w:gridCol w:w="143"/>
        <w:gridCol w:w="277"/>
        <w:gridCol w:w="1086"/>
        <w:gridCol w:w="143"/>
        <w:gridCol w:w="109"/>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413,021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(309,794)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(286,074)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103,227</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(62,187)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on 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41,040</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pension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(4,652)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(6,362)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34,678</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(5,195)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29,483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Oil-Dri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29,551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Class 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w:t>
            </w:r>
            <w:r>
              <w:rPr>
                <w:color w:val="000000"/>
              </w:rPr>
              <w:t>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Class 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Class 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1,959</w:t>
            </w:r>
            <w:r>
              <w:rPr>
                <w:color w:val="000000"/>
              </w:rPr>
              <w:t>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Basic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6,784</w:t>
            </w:r>
            <w:r>
              <w:rPr>
                <w:color w:val="000000"/>
              </w:rPr>
              <w:t>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Basic Class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1,959</w:t>
            </w:r>
            <w:r>
              <w:rPr>
                <w:color w:val="000000"/>
              </w:rPr>
              <w:t> </w:t>
            </w:r>
          </w:p>
        </w:tc>
        <w:tc>
          <w:tcPr>
            <w:tcW w:w="1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before="0" w:after="0"/>
        <w:jc w:val="center"/>
        <w:rPr/>
      </w:pPr>
      <w:r>
        <w:rPr/>
      </w:r>
    </w:p>
    <w:tbl>
      <w:tblPr>
        <w:tblW w:w="6853" w:type="dxa"/>
        <w:jc w:val="center"/>
        <w:tblInd w:w="0" w:type="dxa"/>
        <w:tblLayout w:type="fixed"/>
        <w:tblCellMar>
          <w:top w:w="28" w:type="dxa"/>
          <w:left w:w="28" w:type="dxa"/>
          <w:bottom w:w="28" w:type="dxa"/>
          <w:right w:w="28" w:type="dxa"/>
        </w:tblCellMar>
      </w:tblPr>
      <w:tblGrid>
        <w:gridCol w:w="1429"/>
        <w:gridCol w:w="1256"/>
        <w:gridCol w:w="1259"/>
        <w:gridCol w:w="109"/>
        <w:gridCol w:w="109"/>
        <w:gridCol w:w="109"/>
        <w:gridCol w:w="211"/>
        <w:gridCol w:w="736"/>
        <w:gridCol w:w="109"/>
        <w:gridCol w:w="109"/>
        <w:gridCol w:w="109"/>
        <w:gridCol w:w="109"/>
        <w:gridCol w:w="211"/>
        <w:gridCol w:w="616"/>
        <w:gridCol w:w="109"/>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Oil-Dri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tbl>
      <w:tblPr>
        <w:tblW w:w="13958" w:type="dxa"/>
        <w:jc w:val="left"/>
        <w:tblInd w:w="0" w:type="dxa"/>
        <w:tblLayout w:type="fixed"/>
        <w:tblCellMar>
          <w:top w:w="28" w:type="dxa"/>
          <w:left w:w="28" w:type="dxa"/>
          <w:bottom w:w="28" w:type="dxa"/>
          <w:right w:w="28" w:type="dxa"/>
        </w:tblCellMar>
      </w:tblPr>
      <w:tblGrid>
        <w:gridCol w:w="640"/>
        <w:gridCol w:w="295"/>
        <w:gridCol w:w="236"/>
        <w:gridCol w:w="488"/>
        <w:gridCol w:w="488"/>
        <w:gridCol w:w="308"/>
        <w:gridCol w:w="109"/>
        <w:gridCol w:w="109"/>
        <w:gridCol w:w="109"/>
        <w:gridCol w:w="443"/>
        <w:gridCol w:w="443"/>
        <w:gridCol w:w="256"/>
        <w:gridCol w:w="109"/>
        <w:gridCol w:w="109"/>
        <w:gridCol w:w="109"/>
        <w:gridCol w:w="196"/>
        <w:gridCol w:w="571"/>
        <w:gridCol w:w="109"/>
        <w:gridCol w:w="109"/>
        <w:gridCol w:w="109"/>
        <w:gridCol w:w="109"/>
        <w:gridCol w:w="196"/>
        <w:gridCol w:w="661"/>
        <w:gridCol w:w="109"/>
        <w:gridCol w:w="109"/>
        <w:gridCol w:w="109"/>
        <w:gridCol w:w="109"/>
        <w:gridCol w:w="196"/>
        <w:gridCol w:w="751"/>
        <w:gridCol w:w="109"/>
        <w:gridCol w:w="109"/>
        <w:gridCol w:w="109"/>
        <w:gridCol w:w="109"/>
        <w:gridCol w:w="109"/>
        <w:gridCol w:w="109"/>
        <w:gridCol w:w="196"/>
        <w:gridCol w:w="661"/>
        <w:gridCol w:w="109"/>
        <w:gridCol w:w="109"/>
        <w:gridCol w:w="109"/>
        <w:gridCol w:w="109"/>
        <w:gridCol w:w="272"/>
        <w:gridCol w:w="792"/>
        <w:gridCol w:w="152"/>
        <w:gridCol w:w="109"/>
        <w:gridCol w:w="109"/>
        <w:gridCol w:w="109"/>
        <w:gridCol w:w="345"/>
        <w:gridCol w:w="768"/>
        <w:gridCol w:w="193"/>
        <w:gridCol w:w="109"/>
        <w:gridCol w:w="109"/>
        <w:gridCol w:w="109"/>
        <w:gridCol w:w="203"/>
        <w:gridCol w:w="778"/>
        <w:gridCol w:w="160"/>
      </w:tblGrid>
      <w:tr>
        <w:trPr/>
        <w:tc>
          <w:tcPr>
            <w:tcW w:w="6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46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&amp; Class B</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&amp; Class B</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31, 2021</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10,958,367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(3,539,193)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48,271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180,443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(66,154)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(4,117)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159,232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treasury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(379,586)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stock under long-term incentive plans</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31, 2022</w:t>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11,083,824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(3,961,579)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178,754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(79,428)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(2,183)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150,349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stock under long-term incentive plans</w:t>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restricted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31, 2023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11,147,279</w:t>
            </w:r>
            <w:r>
              <w:rPr>
                <w:color w:val="000000"/>
              </w:rPr>
              <w: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(4,010,630)</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55,624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200,796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(81,207)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748</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177,076</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734" w:type="dxa"/>
        <w:jc w:val="center"/>
        <w:tblInd w:w="0" w:type="dxa"/>
        <w:tblLayout w:type="fixed"/>
        <w:tblCellMar>
          <w:top w:w="28" w:type="dxa"/>
          <w:left w:w="28" w:type="dxa"/>
          <w:bottom w:w="28" w:type="dxa"/>
          <w:right w:w="28" w:type="dxa"/>
        </w:tblCellMar>
      </w:tblPr>
      <w:tblGrid>
        <w:gridCol w:w="2434"/>
        <w:gridCol w:w="2137"/>
        <w:gridCol w:w="2149"/>
        <w:gridCol w:w="109"/>
        <w:gridCol w:w="109"/>
        <w:gridCol w:w="109"/>
        <w:gridCol w:w="211"/>
        <w:gridCol w:w="736"/>
        <w:gridCol w:w="109"/>
        <w:gridCol w:w="109"/>
        <w:gridCol w:w="109"/>
        <w:gridCol w:w="109"/>
        <w:gridCol w:w="211"/>
        <w:gridCol w:w="721"/>
        <w:gridCol w:w="109"/>
        <w:gridCol w:w="109"/>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Year-Ended 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Non-cash 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pension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bad debts and cash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impairment of patent applications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impairment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Accretion for asset retirement obligation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on the disposals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and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49,764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sale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equity in Agromex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Proceeds from issuance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Principal payments on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bidi w:val="0"/>
        <w:spacing w:before="0" w:after="0"/>
        <w:jc w:val="center"/>
        <w:rPr/>
      </w:pPr>
      <w:r>
        <w:rPr/>
      </w:r>
    </w:p>
    <w:p>
      <w:pPr>
        <w:pStyle w:val="TextBody"/>
        <w:bidi w:val="0"/>
        <w:spacing w:before="0" w:after="0"/>
        <w:jc w:val="center"/>
        <w:rPr/>
      </w:pPr>
      <w:r>
        <w:rPr/>
      </w:r>
    </w:p>
    <w:tbl>
      <w:tblPr>
        <w:tblW w:w="6800" w:type="dxa"/>
        <w:jc w:val="center"/>
        <w:tblInd w:w="0" w:type="dxa"/>
        <w:tblLayout w:type="fixed"/>
        <w:tblCellMar>
          <w:top w:w="28" w:type="dxa"/>
          <w:left w:w="28" w:type="dxa"/>
          <w:bottom w:w="28" w:type="dxa"/>
          <w:right w:w="28" w:type="dxa"/>
        </w:tblCellMar>
      </w:tblPr>
      <w:tblGrid>
        <w:gridCol w:w="1526"/>
        <w:gridCol w:w="1341"/>
        <w:gridCol w:w="1347"/>
        <w:gridCol w:w="109"/>
        <w:gridCol w:w="109"/>
        <w:gridCol w:w="109"/>
        <w:gridCol w:w="211"/>
        <w:gridCol w:w="631"/>
        <w:gridCol w:w="109"/>
        <w:gridCol w:w="109"/>
        <w:gridCol w:w="109"/>
        <w:gridCol w:w="109"/>
        <w:gridCol w:w="211"/>
        <w:gridCol w:w="61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Year-Ended July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payments (refunds)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accrued, but not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and accrued, but not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N</w:t>
      </w:r>
      <w:r>
        <w:rPr>
          <w:rFonts w:ascii="Times New Roman;sans-serif" w:hAnsi="Times New Roman;sans-serif"/>
          <w:b/>
          <w:color w:val="000000"/>
          <w:sz w:val="16"/>
        </w:rPr>
        <w:t>ATURE</w:t>
      </w:r>
      <w:r>
        <w:rPr>
          <w:color w:val="000000"/>
        </w:rPr>
        <w:t xml:space="preserve"> </w:t>
      </w:r>
      <w:r>
        <w:rPr>
          <w:rFonts w:ascii="Times New Roman;sans-serif" w:hAnsi="Times New Roman;sans-serif"/>
          <w:b/>
          <w:color w:val="000000"/>
          <w:sz w:val="16"/>
        </w:rPr>
        <w:t>OF</w:t>
      </w:r>
      <w:r>
        <w:rPr>
          <w:color w:val="000000"/>
        </w:rPr>
        <w:t xml:space="preserve"> </w:t>
      </w:r>
      <w:r>
        <w:rPr>
          <w:rFonts w:ascii="Times New Roman;sans-serif" w:hAnsi="Times New Roman;sans-serif"/>
          <w:b/>
          <w:color w:val="000000"/>
          <w:sz w:val="20"/>
        </w:rPr>
        <w:t>O</w:t>
      </w:r>
      <w:r>
        <w:rPr>
          <w:rFonts w:ascii="Times New Roman;sans-serif" w:hAnsi="Times New Roman;sans-serif"/>
          <w:b/>
          <w:color w:val="000000"/>
          <w:sz w:val="16"/>
        </w:rPr>
        <w:t>PERATIONS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pre-treatment of renewable diesel, and for purification of petroleum-based oils. We also sell synthetic sorbents, which are used for industrial cleanup.</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P</w:t>
      </w:r>
      <w:r>
        <w:rPr>
          <w:rFonts w:ascii="Times New Roman;sans-serif" w:hAnsi="Times New Roman;sans-serif"/>
          <w:b/>
          <w:color w:val="000000"/>
          <w:sz w:val="16"/>
        </w:rPr>
        <w:t>RINCIPLES OF</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Oil-Dri Corporation of America and its subsidiaries. All significant intercompany balances and transactions have been eliminated from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ans-serif" w:hAnsi="Times New Roman;sans-serif"/>
          <w:b/>
          <w:color w:val="000000"/>
          <w:sz w:val="20"/>
        </w:rPr>
        <w:t>R</w:t>
      </w:r>
      <w:r>
        <w:rPr>
          <w:rFonts w:ascii="Times New Roman;sans-serif" w:hAnsi="Times New Roman;sans-serif"/>
          <w:b/>
          <w:color w:val="000000"/>
          <w:sz w:val="16"/>
        </w:rPr>
        <w:t>ECLASSIFICATION</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Certain amounts in the prior period financial statements have been reclassified to conform to the presentation of the current period financial statements. These immaterial reclassifications had no effect on the previously reported net income or net cash flows.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M</w:t>
      </w:r>
      <w:r>
        <w:rPr>
          <w:rFonts w:ascii="Times New Roman;sans-serif" w:hAnsi="Times New Roman;sans-serif"/>
          <w:b/>
          <w:color w:val="000000"/>
          <w:sz w:val="16"/>
        </w:rPr>
        <w:t>ANAGEMENT</w:t>
      </w:r>
      <w:r>
        <w:rPr>
          <w:color w:val="000000"/>
        </w:rPr>
        <w:t xml:space="preserve"> </w:t>
      </w:r>
      <w:r>
        <w:rPr>
          <w:rFonts w:ascii="Times New Roman;sans-serif" w:hAnsi="Times New Roman;sans-serif"/>
          <w:b/>
          <w:color w:val="000000"/>
          <w:sz w:val="20"/>
        </w:rPr>
        <w:t>U</w:t>
      </w:r>
      <w:r>
        <w:rPr>
          <w:rFonts w:ascii="Times New Roman;sans-serif" w:hAnsi="Times New Roman;sans-serif"/>
          <w:b/>
          <w:color w:val="000000"/>
          <w:sz w:val="16"/>
        </w:rPr>
        <w:t>SE OF</w:t>
      </w:r>
      <w:r>
        <w:rPr>
          <w:color w:val="000000"/>
        </w:rPr>
        <w:t xml:space="preserve"> </w:t>
      </w:r>
      <w:r>
        <w:rPr>
          <w:rFonts w:ascii="Times New Roman;sans-serif" w:hAnsi="Times New Roman;sans-serif"/>
          <w:b/>
          <w:color w:val="000000"/>
          <w:sz w:val="20"/>
        </w:rPr>
        <w:t>E</w:t>
      </w:r>
      <w:r>
        <w:rPr>
          <w:rFonts w:ascii="Times New Roman;sans-serif" w:hAnsi="Times New Roman;sans-serif"/>
          <w:b/>
          <w:color w:val="000000"/>
          <w:sz w:val="16"/>
        </w:rPr>
        <w:t>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liabilities, and disclosure of contingent assets and liabilities as of the date of the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0"/>
        </w:rPr>
        <w:t>C</w:t>
      </w:r>
      <w:r>
        <w:rPr>
          <w:rFonts w:ascii="Times New Roman;sans-serif" w:hAnsi="Times New Roman;sans-serif"/>
          <w:b/>
          <w:color w:val="000000"/>
          <w:sz w:val="16"/>
        </w:rPr>
        <w:t>ASH AND</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ASH</w:t>
      </w:r>
      <w:r>
        <w:rPr>
          <w:color w:val="000000"/>
        </w:rPr>
        <w:t xml:space="preserve"> </w:t>
      </w:r>
      <w:r>
        <w:rPr>
          <w:rFonts w:ascii="Times New Roman;sans-serif" w:hAnsi="Times New Roman;sans-serif"/>
          <w:b/>
          <w:color w:val="000000"/>
          <w:sz w:val="20"/>
        </w:rPr>
        <w:t>E</w:t>
      </w:r>
      <w:r>
        <w:rPr>
          <w:rFonts w:ascii="Times New Roman;sans-serif" w:hAnsi="Times New Roman;sans-serif"/>
          <w:b/>
          <w:color w:val="000000"/>
          <w:sz w:val="16"/>
        </w:rPr>
        <w:t>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are highly liquid investments with maturities of three months or less.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rPr>
        <w:t>T</w:t>
      </w:r>
      <w:r>
        <w:rPr>
          <w:rFonts w:ascii="Times New Roman;sans-serif" w:hAnsi="Times New Roman;sans-serif"/>
          <w:b/>
          <w:color w:val="000000"/>
          <w:sz w:val="16"/>
        </w:rPr>
        <w:t>RADE</w:t>
      </w:r>
      <w:r>
        <w:rPr>
          <w:color w:val="000000"/>
        </w:rPr>
        <w:t xml:space="preserve"> </w:t>
      </w:r>
      <w:r>
        <w:rPr>
          <w:rFonts w:ascii="Times New Roman;sans-serif" w:hAnsi="Times New Roman;sans-serif"/>
          <w:b/>
          <w:color w:val="000000"/>
          <w:sz w:val="20"/>
        </w:rPr>
        <w:t>R</w:t>
      </w:r>
      <w:r>
        <w:rPr>
          <w:rFonts w:ascii="Times New Roman;sans-serif" w:hAnsi="Times New Roman;sans-serif"/>
          <w:b/>
          <w:color w:val="000000"/>
          <w:sz w:val="16"/>
        </w:rPr>
        <w:t>ECEIVABLES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trade receivables when control of finished products are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w:t>
      </w:r>
      <w:r>
        <w:rPr>
          <w:rFonts w:ascii="Times New Roman;sans-serif" w:hAnsi="Times New Roman;sans-serif"/>
          <w:b/>
          <w:color w:val="000000"/>
          <w:sz w:val="16"/>
        </w:rPr>
        <w:t>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inventories was as follows as of July 31 (in thousands):</w:t>
      </w:r>
    </w:p>
    <w:tbl>
      <w:tblPr>
        <w:tblW w:w="4175"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211"/>
        <w:gridCol w:w="736"/>
        <w:gridCol w:w="109"/>
        <w:gridCol w:w="109"/>
        <w:gridCol w:w="109"/>
        <w:gridCol w:w="109"/>
        <w:gridCol w:w="211"/>
        <w:gridCol w:w="736"/>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21,943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Spare parts,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42,612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40,466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We recorded inventory obsolescence reserves of approximately $0.8 million as of both July 31, 2023 and July 31, 2022, respectively. The other category of inventories includes a variety of items including clay, additives, fragrances and other supplies. Spare parts in inventory is recorded net of a valuation reserve based on aging. The spare parts reserve was $2.9 million as of July 31, 2023, and $2.7 million as of July 31,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w:t>
      </w:r>
      <w:r>
        <w:rPr>
          <w:rFonts w:ascii="Times New Roman;sans-serif" w:hAnsi="Times New Roman;sans-serif"/>
          <w:b/>
          <w:color w:val="000000"/>
          <w:sz w:val="16"/>
        </w:rPr>
        <w:t>RANSLATION OF</w:t>
      </w:r>
      <w:r>
        <w:rPr>
          <w:color w:val="000000"/>
        </w:rPr>
        <w:t xml:space="preserve"> </w:t>
      </w:r>
      <w:r>
        <w:rPr>
          <w:rFonts w:ascii="Times New Roman;sans-serif" w:hAnsi="Times New Roman;sans-serif"/>
          <w:b/>
          <w:color w:val="000000"/>
          <w:sz w:val="20"/>
        </w:rPr>
        <w:t>F</w:t>
      </w:r>
      <w:r>
        <w:rPr>
          <w:rFonts w:ascii="Times New Roman;sans-serif" w:hAnsi="Times New Roman;sans-serif"/>
          <w:b/>
          <w:color w:val="000000"/>
          <w:sz w:val="16"/>
        </w:rPr>
        <w:t>OREIGN</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URRENCIES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rPr>
        <w:t>I</w:t>
      </w:r>
      <w:r>
        <w:rPr>
          <w:rFonts w:ascii="Times New Roman;sans-serif" w:hAnsi="Times New Roman;sans-serif"/>
          <w:b/>
          <w:color w:val="000000"/>
          <w:sz w:val="16"/>
        </w:rPr>
        <w:t>NTANGIBLES AND</w:t>
      </w:r>
      <w:r>
        <w:rPr>
          <w:color w:val="000000"/>
        </w:rPr>
        <w:t xml:space="preserve"> </w:t>
      </w:r>
      <w:r>
        <w:rPr>
          <w:rFonts w:ascii="Times New Roman;sans-serif" w:hAnsi="Times New Roman;sans-serif"/>
          <w:b/>
          <w:color w:val="000000"/>
          <w:sz w:val="20"/>
        </w:rPr>
        <w:t>G</w:t>
      </w:r>
      <w:r>
        <w:rPr>
          <w:rFonts w:ascii="Times New Roman;sans-serif" w:hAnsi="Times New Roman;sans-serif"/>
          <w:b/>
          <w:color w:val="000000"/>
          <w:sz w:val="16"/>
        </w:rPr>
        <w:t>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amortize most of our intangibles on a straight-line basis over periods ranging from 10 to 20 years. Our customer list intangible asset is amortized at an accelerated amortization rate in the earlier years to reflect the expected pattern of decline in the related benefits over time. Intangible amortization was $0.3 million in fiscal year 2023 and $0.5 million in fiscal year 2022. Some intangible assets were determined to have indefinite lives and are not amortized, specifically one acquired trademark recorded at $0.4 million.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estimated intangible amortization expense for the next five fiscal years is as follows (in thousands):</w:t>
      </w:r>
    </w:p>
    <w:tbl>
      <w:tblPr>
        <w:tblW w:w="1372" w:type="dxa"/>
        <w:jc w:val="center"/>
        <w:tblInd w:w="0" w:type="dxa"/>
        <w:tblLayout w:type="fixed"/>
        <w:tblCellMar>
          <w:top w:w="28" w:type="dxa"/>
          <w:left w:w="28" w:type="dxa"/>
          <w:bottom w:w="28" w:type="dxa"/>
          <w:right w:w="28" w:type="dxa"/>
        </w:tblCellMar>
      </w:tblPr>
      <w:tblGrid>
        <w:gridCol w:w="196"/>
        <w:gridCol w:w="172"/>
        <w:gridCol w:w="173"/>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remaining weighted average amortization period of our intangibles subject to amortization is as follows (in years):</w:t>
      </w:r>
    </w:p>
    <w:tbl>
      <w:tblPr>
        <w:tblW w:w="7228" w:type="dxa"/>
        <w:jc w:val="center"/>
        <w:tblInd w:w="0" w:type="dxa"/>
        <w:tblLayout w:type="fixed"/>
        <w:tblCellMar>
          <w:top w:w="28" w:type="dxa"/>
          <w:left w:w="28" w:type="dxa"/>
          <w:bottom w:w="28" w:type="dxa"/>
          <w:right w:w="28" w:type="dxa"/>
        </w:tblCellMar>
      </w:tblPr>
      <w:tblGrid>
        <w:gridCol w:w="1396"/>
        <w:gridCol w:w="1232"/>
        <w:gridCol w:w="1241"/>
        <w:gridCol w:w="982"/>
        <w:gridCol w:w="982"/>
        <w:gridCol w:w="1395"/>
      </w:tblGrid>
      <w:tr>
        <w:trPr/>
        <w:tc>
          <w:tcPr>
            <w:tcW w:w="139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Amortization Period</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w:t>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review indefinite-lived intangibles and goodwill to assess for impairment. Our review entails a qualitative analysis of triggering events and if identified a further analysis is performed based on cash flow considerations and other approaches that require significant judgment with respect to volume, revenue, expenses and allocations. Impairment occurs when the carrying value exceeds the fair value. In fiscal year 2023, all of our goodwill was attributed only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to Business operating segment. We performed our annual impairment assessment and identified no triggering events that would indicate the need for impairment of the goodwill.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2022, we determined, as a result of lower share prices and the continued adverse impacts of rising costs and additional expenses to prevent supply chain disruptions, that we had a triggering event that necessitated a goodwill impairment test. As a result, it was determined that the carrying value of our Retail and Wholesale Products Group reporting unit was higher than its fair value and recognized a goodwill impairment of $5.6 million, which left no remaining goodwill in the Retail and Wholesale Products Group reporting unit. No impairment was recognized for the Business to Business operating segment in fiscal year 2022.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0"/>
        </w:rPr>
        <w:t>O</w:t>
      </w:r>
      <w:r>
        <w:rPr>
          <w:rFonts w:ascii="Times New Roman;sans-serif" w:hAnsi="Times New Roman;sans-serif"/>
          <w:b/>
          <w:color w:val="000000"/>
          <w:sz w:val="16"/>
        </w:rPr>
        <w:t>VERBURDEN</w:t>
      </w:r>
      <w:r>
        <w:rPr>
          <w:color w:val="000000"/>
        </w:rPr>
        <w:t xml:space="preserve"> </w:t>
      </w:r>
      <w:r>
        <w:rPr>
          <w:rFonts w:ascii="Times New Roman;sans-serif" w:hAnsi="Times New Roman;sans-serif"/>
          <w:b/>
          <w:color w:val="000000"/>
          <w:sz w:val="20"/>
        </w:rPr>
        <w:t>R</w:t>
      </w:r>
      <w:r>
        <w:rPr>
          <w:rFonts w:ascii="Times New Roman;sans-serif" w:hAnsi="Times New Roman;sans-serif"/>
          <w:b/>
          <w:color w:val="000000"/>
          <w:sz w:val="16"/>
        </w:rPr>
        <w:t>EMOVAL AND</w:t>
      </w:r>
      <w:r>
        <w:rPr>
          <w:color w:val="000000"/>
        </w:rPr>
        <w:t xml:space="preserve"> </w:t>
      </w:r>
      <w:r>
        <w:rPr>
          <w:rFonts w:ascii="Times New Roman;sans-serif" w:hAnsi="Times New Roman;sans-serif"/>
          <w:b/>
          <w:color w:val="000000"/>
          <w:sz w:val="20"/>
        </w:rPr>
        <w:t>M</w:t>
      </w:r>
      <w:r>
        <w:rPr>
          <w:rFonts w:ascii="Times New Roman;sans-serif" w:hAnsi="Times New Roman;sans-serif"/>
          <w:b/>
          <w:color w:val="000000"/>
          <w:sz w:val="16"/>
        </w:rPr>
        <w:t>INING</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surface mine sorbent minerals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incurred during production are treated as a variable inventory production cost and are included in cost of goods sold in the period they are incurred. Stripping costs included in cost of goods sold were approximately $4.0 million and $2.7 million for fiscal years 2023 and 2022, respectively. Pre-production overburden removal costs associated with opening a new mine during the development phase are deferred. Total pre-production costs, including the overburden removal costs, that were capitalized in fiscal years 2023 and 2022 were $0.1 million and $1.3 million respectively. The decrease was due to a new mine going into production in fiscal year 2023. Capitalized development costs are amortized when the sorbent material is removed from the mine and used to produce product for sale. At the end of fiscal year 2023, the amount of development costs that are being amortized is $4.3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it is our policy to capitalize the purchase cost of land and mineral rights, including associated legal fees, survey fees and real estate fees. The costs of obtaining mineral rights, including legal fees and drilling expenses, are also capitalized. As of both fiscal years ending July 31, 2023 and July 31, 2022 we had $13.6 million of land and $2.2 million of gross mineral rights included in land and mineral rights on the Consolidated Balance Sheets. Any prepaid royalties that may be offset against future royalties due upon extraction of the mineral are also capitalized. Prepaid royalties included in current prepaid expenses and in non-current other assets on the Consolidated Balance Sheets were approximately $2.0 million for both fiscal years ending July 31, 2023 and July 31,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w:t>
      </w:r>
      <w:r>
        <w:rPr>
          <w:rFonts w:ascii="Times New Roman;sans-serif" w:hAnsi="Times New Roman;sans-serif"/>
          <w:b/>
          <w:color w:val="000000"/>
          <w:sz w:val="16"/>
        </w:rPr>
        <w:t>ECLAMATION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an annual basis we evaluate our potential reclamation liability in accordance with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The reclamation assets are depreciated over the estimated useful lives of the various mines. The reclamation liabilities are increased based on a yearly accretion charge over the estimated useful lives of the mines.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31, 2023 and 2022, we have recorded an estimated net reclamation asset of $2.2 million and $1.8 million, respectively, and a corresponding estimated reclamation liability of $4.5 million as of July 31, 2023 and $3.8 million as of July 31, 2022. These values represent the discounted present value of the estimated future mining reclamation and landfill closure costs at the production plants. Additional mining activity in fiscal year 2023 and disturbance of land accounts for a majority of the increase in the reclamation asset and liability. </w:t>
      </w:r>
    </w:p>
    <w:p>
      <w:pPr>
        <w:pStyle w:val="TextBody"/>
        <w:bidi w:val="0"/>
        <w:spacing w:before="0" w:after="0"/>
        <w:ind w:left="0" w:right="0" w:firstLine="720"/>
        <w:jc w:val="both"/>
        <w:rPr/>
      </w:pPr>
      <w:r>
        <w:rPr/>
      </w:r>
    </w:p>
    <w:p>
      <w:pPr>
        <w:pStyle w:val="TextBody"/>
        <w:bidi w:val="0"/>
        <w:spacing w:lineRule="auto" w:line="288" w:before="0" w:after="0"/>
        <w:jc w:val="left"/>
        <w:rPr/>
      </w:pPr>
      <w:r>
        <w:rPr>
          <w:color w:val="000000"/>
        </w:rPr>
        <w:t> </w:t>
      </w:r>
      <w:r>
        <w:rPr>
          <w:rFonts w:ascii="Times New Roman;sans-serif" w:hAnsi="Times New Roman;sans-serif"/>
          <w:b/>
          <w:color w:val="000000"/>
          <w:sz w:val="20"/>
        </w:rPr>
        <w:t>P</w:t>
      </w:r>
      <w:r>
        <w:rPr>
          <w:rFonts w:ascii="Times New Roman;sans-serif" w:hAnsi="Times New Roman;sans-serif"/>
          <w:b/>
          <w:color w:val="000000"/>
          <w:sz w:val="16"/>
        </w:rPr>
        <w:t>ROPERTY</w:t>
      </w:r>
      <w:r>
        <w:rPr>
          <w:rFonts w:ascii="Times New Roman;sans-serif" w:hAnsi="Times New Roman;sans-serif"/>
          <w:b/>
          <w:color w:val="000000"/>
          <w:sz w:val="20"/>
        </w:rPr>
        <w:t>,</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LANT AND</w:t>
      </w:r>
      <w:r>
        <w:rPr>
          <w:color w:val="000000"/>
        </w:rPr>
        <w:t xml:space="preserve"> </w:t>
      </w:r>
      <w:r>
        <w:rPr>
          <w:rFonts w:ascii="Times New Roman;sans-serif" w:hAnsi="Times New Roman;sans-serif"/>
          <w:b/>
          <w:color w:val="000000"/>
          <w:sz w:val="20"/>
        </w:rPr>
        <w:t>E</w:t>
      </w:r>
      <w:r>
        <w:rPr>
          <w:rFonts w:ascii="Times New Roman;sans-serif" w:hAnsi="Times New Roman;sans-serif"/>
          <w:b/>
          <w:color w:val="000000"/>
          <w:sz w:val="16"/>
        </w:rPr>
        <w:t>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generally depreciated using the straight-line method over their estimated useful lives which are listed below. Depreciation expense was $15.3 million and $13.0 million in fiscal years 2023 and 2022,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There was no capitalized interest in fiscal years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326" w:type="dxa"/>
        <w:jc w:val="center"/>
        <w:tblInd w:w="0" w:type="dxa"/>
        <w:tblLayout w:type="fixed"/>
        <w:tblCellMar>
          <w:top w:w="28" w:type="dxa"/>
          <w:left w:w="28" w:type="dxa"/>
          <w:bottom w:w="28" w:type="dxa"/>
          <w:right w:w="28" w:type="dxa"/>
        </w:tblCellMar>
      </w:tblPr>
      <w:tblGrid>
        <w:gridCol w:w="1195"/>
        <w:gridCol w:w="1050"/>
        <w:gridCol w:w="1055"/>
        <w:gridCol w:w="109"/>
        <w:gridCol w:w="109"/>
        <w:gridCol w:w="109"/>
        <w:gridCol w:w="109"/>
        <w:gridCol w:w="109"/>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In fiscal year 2023, we recognized $0.9 million in impairment losses for fixed assets no longer in use. The impairment is included in cost of goods sold on the Consolidated Statement of Operations. There was no impairment recognized in fiscal year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parts are long-lived spare parts that are recorded net of a valuation reserve based on aging. The capital parts reserve was $2.0 million as of July 31, 2023, and $1.8 million as of July 31, 2022. </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6"/>
        </w:rPr>
      </w:pPr>
      <w:r>
        <w:rPr>
          <w:rFonts w:ascii="Times New Roman;sans-serif" w:hAnsi="Times New Roman;sans-serif"/>
          <w:b/>
          <w:color w:val="000000"/>
          <w:sz w:val="16"/>
        </w:rPr>
        <w:t>OTHER CURRENT AND NONCURRENT LIABILITIES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Other liabilities include the accruals for general expenses not yet paid, cash collected not yet vouchered, legal reserves, and reclamation liability accrual. Current liabilities are due to be paid within the next 12 months. Included in current liabilities within Accrued Expenses on the Consolidated Balance Sheet is $2.5 million for the Georgia landfill modification reserve which began in the third quarter of fiscal year 2023. Refer to Note 11 for further details.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w:t>
      </w:r>
      <w:r>
        <w:rPr>
          <w:rFonts w:ascii="Times New Roman;sans-serif" w:hAnsi="Times New Roman;sans-serif"/>
          <w:b/>
          <w:color w:val="000000"/>
          <w:sz w:val="16"/>
        </w:rPr>
        <w:t>RADE</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ROMOTIONS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A</w:t>
      </w:r>
      <w:r>
        <w:rPr>
          <w:rFonts w:ascii="Times New Roman;sans-serif" w:hAnsi="Times New Roman;sans-serif"/>
          <w:b/>
          <w:color w:val="000000"/>
          <w:sz w:val="16"/>
        </w:rPr>
        <w:t>DVERTISING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$7.4 million and $4.0 million in fiscal years 2023 and 2022,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w:t>
      </w:r>
      <w:r>
        <w:rPr>
          <w:rFonts w:ascii="Times New Roman;sans-serif" w:hAnsi="Times New Roman;sans-serif"/>
          <w:b/>
          <w:color w:val="000000"/>
          <w:sz w:val="16"/>
        </w:rPr>
        <w:t>AIR</w:t>
      </w:r>
      <w:r>
        <w:rPr>
          <w:color w:val="000000"/>
        </w:rPr>
        <w:t xml:space="preserve"> </w:t>
      </w:r>
      <w:r>
        <w:rPr>
          <w:rFonts w:ascii="Times New Roman;sans-serif" w:hAnsi="Times New Roman;sans-serif"/>
          <w:b/>
          <w:color w:val="000000"/>
          <w:sz w:val="20"/>
        </w:rPr>
        <w:t>V</w:t>
      </w:r>
      <w:r>
        <w:rPr>
          <w:rFonts w:ascii="Times New Roman;sans-serif" w:hAnsi="Times New Roman;sans-serif"/>
          <w:b/>
          <w:color w:val="000000"/>
          <w:sz w:val="16"/>
        </w:rPr>
        <w:t>ALUE OF</w:t>
      </w:r>
      <w:r>
        <w:rPr>
          <w:color w:val="000000"/>
        </w:rPr>
        <w:t xml:space="preserve"> </w:t>
      </w:r>
      <w:r>
        <w:rPr>
          <w:rFonts w:ascii="Times New Roman;sans-serif" w:hAnsi="Times New Roman;sans-serif"/>
          <w:b/>
          <w:color w:val="000000"/>
          <w:sz w:val="20"/>
        </w:rPr>
        <w:t>F</w:t>
      </w:r>
      <w:r>
        <w:rPr>
          <w:rFonts w:ascii="Times New Roman;sans-serif" w:hAnsi="Times New Roman;sans-serif"/>
          <w:b/>
          <w:color w:val="000000"/>
          <w:sz w:val="16"/>
        </w:rPr>
        <w:t>INANCIAL</w:t>
      </w:r>
      <w:r>
        <w:rPr>
          <w:color w:val="000000"/>
        </w:rPr>
        <w:t xml:space="preserve"> </w:t>
      </w:r>
      <w:r>
        <w:rPr>
          <w:rFonts w:ascii="Times New Roman;sans-serif" w:hAnsi="Times New Roman;sans-serif"/>
          <w:b/>
          <w:color w:val="000000"/>
          <w:sz w:val="20"/>
        </w:rPr>
        <w:t>I</w:t>
      </w:r>
      <w:r>
        <w:rPr>
          <w:rFonts w:ascii="Times New Roman;sans-serif" w:hAnsi="Times New Roman;sans-serif"/>
          <w:b/>
          <w:color w:val="000000"/>
          <w:sz w:val="16"/>
        </w:rPr>
        <w:t>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Non-derivative financial instruments included in the Consolidated Balance Sheets are cash and cash equivalents and notes payable. These instruments, except for notes payable, were carried at amounts approximating fair value as of July 31, 2023 and 2022. See Note 4 of the Notes to the Consolidated Financial Statements for additional information regarding the fair value of our financial instruments, including notes payable.</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R</w:t>
      </w:r>
      <w:r>
        <w:rPr>
          <w:rFonts w:ascii="Times New Roman;sans-serif" w:hAnsi="Times New Roman;sans-serif"/>
          <w:b/>
          <w:color w:val="000000"/>
          <w:sz w:val="16"/>
        </w:rPr>
        <w:t>EVENUE</w:t>
      </w:r>
      <w:r>
        <w:rPr>
          <w:color w:val="000000"/>
        </w:rPr>
        <w:t xml:space="preserve"> </w:t>
      </w:r>
      <w:r>
        <w:rPr>
          <w:rFonts w:ascii="Times New Roman;sans-serif" w:hAnsi="Times New Roman;sans-serif"/>
          <w:b/>
          <w:color w:val="000000"/>
          <w:sz w:val="20"/>
        </w:rPr>
        <w:t>R</w:t>
      </w:r>
      <w:r>
        <w:rPr>
          <w:rFonts w:ascii="Times New Roman;sans-serif" w:hAnsi="Times New Roman;sans-serif"/>
          <w:b/>
          <w:color w:val="000000"/>
          <w:sz w:val="16"/>
        </w:rPr>
        <w:t>ECOGNITION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when performance obligations under the terms of the contracts with customers are satisfied. Our 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$0.5 million as of July 31, 2022. There is no liability for advance payments as of July 31, 2023. This liability is reported in Other Accrued Expenses on the Consolidated Balance Sheets. Revenue recognized during fiscal year 2023 that was included in the liability for advance payments at the beginning of the year was $0.5 million.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color w:val="000000"/>
          <w:sz w:val="20"/>
        </w:rPr>
        <w:t>C</w:t>
      </w:r>
      <w:r>
        <w:rPr>
          <w:rFonts w:ascii="Times New Roman;sans-serif" w:hAnsi="Times New Roman;sans-serif"/>
          <w:b/>
          <w:color w:val="000000"/>
          <w:sz w:val="16"/>
        </w:rPr>
        <w:t>OST OF GOODS SOLD</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 Natural gas forward contracts are accounted for as normal purchases.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rPr>
        <w:t>S</w:t>
      </w:r>
      <w:r>
        <w:rPr>
          <w:rFonts w:ascii="Times New Roman;sans-serif" w:hAnsi="Times New Roman;sans-serif"/>
          <w:b/>
          <w:color w:val="000000"/>
          <w:sz w:val="16"/>
        </w:rPr>
        <w:t>HIPPING AND</w:t>
      </w:r>
      <w:r>
        <w:rPr>
          <w:color w:val="000000"/>
        </w:rPr>
        <w:t xml:space="preserve"> </w:t>
      </w:r>
      <w:r>
        <w:rPr>
          <w:rFonts w:ascii="Times New Roman;sans-serif" w:hAnsi="Times New Roman;sans-serif"/>
          <w:b/>
          <w:color w:val="000000"/>
          <w:sz w:val="20"/>
        </w:rPr>
        <w:t>H</w:t>
      </w:r>
      <w:r>
        <w:rPr>
          <w:rFonts w:ascii="Times New Roman;sans-serif" w:hAnsi="Times New Roman;sans-serif"/>
          <w:b/>
          <w:color w:val="000000"/>
          <w:sz w:val="16"/>
        </w:rPr>
        <w:t>ANDLING</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Shipping and handling costs are included in cost of goods sold and were approximately $57.4 million and $48.5 million for fiscal years 2023 and 2022, respectively. The increase is primarily related to a key customer switching from pick up to delivered. </w:t>
      </w:r>
    </w:p>
    <w:p>
      <w:pPr>
        <w:pStyle w:val="TextBody"/>
        <w:bidi w:val="0"/>
        <w:spacing w:before="0" w:after="0"/>
        <w:ind w:left="0" w:right="0" w:firstLine="720"/>
        <w:jc w:val="both"/>
        <w:rPr/>
      </w:pPr>
      <w:r>
        <w:rPr/>
      </w:r>
    </w:p>
    <w:p>
      <w:pPr>
        <w:pStyle w:val="TextBody"/>
        <w:bidi w:val="0"/>
        <w:spacing w:lineRule="auto" w:line="288" w:before="0" w:after="0"/>
        <w:jc w:val="left"/>
        <w:rPr/>
      </w:pPr>
      <w:r>
        <w:rPr>
          <w:color w:val="000000"/>
        </w:rPr>
        <w:t> </w:t>
      </w:r>
      <w:r>
        <w:rPr>
          <w:rFonts w:ascii="Times New Roman;sans-serif" w:hAnsi="Times New Roman;sans-serif"/>
          <w:b/>
          <w:color w:val="000000"/>
          <w:sz w:val="20"/>
        </w:rPr>
        <w:t>S</w:t>
      </w:r>
      <w:r>
        <w:rPr>
          <w:rFonts w:ascii="Times New Roman;sans-serif" w:hAnsi="Times New Roman;sans-serif"/>
          <w:b/>
          <w:color w:val="000000"/>
          <w:sz w:val="16"/>
        </w:rPr>
        <w:t>ELLING</w:t>
      </w:r>
      <w:r>
        <w:rPr>
          <w:rFonts w:ascii="Times New Roman;sans-serif" w:hAnsi="Times New Roman;sans-serif"/>
          <w:b/>
          <w:color w:val="000000"/>
          <w:sz w:val="20"/>
        </w:rPr>
        <w:t>,</w:t>
      </w:r>
      <w:r>
        <w:rPr>
          <w:color w:val="000000"/>
        </w:rPr>
        <w:t xml:space="preserve"> </w:t>
      </w:r>
      <w:r>
        <w:rPr>
          <w:rFonts w:ascii="Times New Roman;sans-serif" w:hAnsi="Times New Roman;sans-serif"/>
          <w:b/>
          <w:color w:val="000000"/>
          <w:sz w:val="20"/>
        </w:rPr>
        <w:t>G</w:t>
      </w:r>
      <w:r>
        <w:rPr>
          <w:rFonts w:ascii="Times New Roman;sans-serif" w:hAnsi="Times New Roman;sans-serif"/>
          <w:b/>
          <w:color w:val="000000"/>
          <w:sz w:val="16"/>
        </w:rPr>
        <w:t>ENERAL AND</w:t>
      </w:r>
      <w:r>
        <w:rPr>
          <w:color w:val="000000"/>
        </w:rPr>
        <w:t xml:space="preserve"> </w:t>
      </w:r>
      <w:r>
        <w:rPr>
          <w:rFonts w:ascii="Times New Roman;sans-serif" w:hAnsi="Times New Roman;sans-serif"/>
          <w:b/>
          <w:color w:val="000000"/>
          <w:sz w:val="20"/>
        </w:rPr>
        <w:t>A</w:t>
      </w:r>
      <w:r>
        <w:rPr>
          <w:rFonts w:ascii="Times New Roman;sans-serif" w:hAnsi="Times New Roman;sans-serif"/>
          <w:b/>
          <w:color w:val="000000"/>
          <w:sz w:val="16"/>
        </w:rPr>
        <w:t>DMINISTRATIVE</w:t>
      </w:r>
      <w:r>
        <w:rPr>
          <w:color w:val="000000"/>
        </w:rPr>
        <w:t xml:space="preserve"> </w:t>
      </w:r>
      <w:r>
        <w:rPr>
          <w:rFonts w:ascii="Times New Roman;sans-serif" w:hAnsi="Times New Roman;sans-serif"/>
          <w:b/>
          <w:color w:val="000000"/>
          <w:sz w:val="20"/>
        </w:rPr>
        <w:t>E</w:t>
      </w:r>
      <w:r>
        <w:rPr>
          <w:rFonts w:ascii="Times New Roman;sans-serif" w:hAnsi="Times New Roman;sans-serif"/>
          <w:b/>
          <w:color w:val="000000"/>
          <w:sz w:val="16"/>
        </w:rPr>
        <w:t>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R</w:t>
      </w:r>
      <w:r>
        <w:rPr>
          <w:rFonts w:ascii="Times New Roman;sans-serif" w:hAnsi="Times New Roman;sans-serif"/>
          <w:b/>
          <w:color w:val="000000"/>
          <w:sz w:val="16"/>
        </w:rPr>
        <w:t>ESEARCH AND</w:t>
      </w:r>
      <w:r>
        <w:rPr>
          <w:color w:val="000000"/>
        </w:rPr>
        <w:t xml:space="preserve"> </w:t>
      </w:r>
      <w:r>
        <w:rPr>
          <w:rFonts w:ascii="Times New Roman;sans-serif" w:hAnsi="Times New Roman;sans-serif"/>
          <w:b/>
          <w:color w:val="000000"/>
          <w:sz w:val="20"/>
        </w:rPr>
        <w:t>D</w:t>
      </w:r>
      <w:r>
        <w:rPr>
          <w:rFonts w:ascii="Times New Roman;sans-serif" w:hAnsi="Times New Roman;sans-serif"/>
          <w:b/>
          <w:color w:val="000000"/>
          <w:sz w:val="16"/>
        </w:rPr>
        <w:t>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of approximately $1.2 million and $2.1 million were charged to expense as incurred for fiscal years 2023 and 2022, respectively, and are recorded in selling, general and administrative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rPr>
        <w:t>P</w:t>
      </w:r>
      <w:r>
        <w:rPr>
          <w:rFonts w:ascii="Times New Roman;sans-serif" w:hAnsi="Times New Roman;sans-serif"/>
          <w:b/>
          <w:color w:val="000000"/>
          <w:sz w:val="16"/>
        </w:rPr>
        <w:t>ENSION AND</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OSTRETIREMENT</w:t>
      </w:r>
      <w:r>
        <w:rPr>
          <w:color w:val="000000"/>
        </w:rPr>
        <w:t xml:space="preserve"> </w:t>
      </w:r>
      <w:r>
        <w:rPr>
          <w:rFonts w:ascii="Times New Roman;sans-serif" w:hAnsi="Times New Roman;sans-serif"/>
          <w:b/>
          <w:color w:val="000000"/>
          <w:sz w:val="20"/>
        </w:rPr>
        <w:t>B</w:t>
      </w:r>
      <w:r>
        <w:rPr>
          <w:rFonts w:ascii="Times New Roman;sans-serif" w:hAnsi="Times New Roman;sans-serif"/>
          <w:b/>
          <w:color w:val="000000"/>
          <w:sz w:val="16"/>
        </w:rPr>
        <w:t>ENEFIT</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historically provided a defined benefit pension plan for eligible salaried and hourly employees and we made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Times New Roman;sans-serif" w:hAnsi="Times New Roman;sans-serif"/>
          <w:b w:val="false"/>
          <w:i/>
          <w:color w:val="000000"/>
          <w:sz w:val="20"/>
        </w:rPr>
        <w:t>Compensation – Retirement Benefits</w:t>
      </w:r>
      <w:r>
        <w:rPr>
          <w:rFonts w:ascii="Times New Roman;sans-serif" w:hAnsi="Times New Roman;sans-serif"/>
          <w:b w:val="false"/>
          <w:color w:val="000000"/>
          <w:sz w:val="20"/>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In fiscal year 2023 we terminated the pension plan. See Note 8 of the Notes to the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w:t>
      </w:r>
      <w:r>
        <w:rPr>
          <w:rFonts w:ascii="Times New Roman;sans-serif" w:hAnsi="Times New Roman;sans-serif"/>
          <w:b/>
          <w:color w:val="000000"/>
          <w:sz w:val="16"/>
        </w:rPr>
        <w:t>TOCK</w:t>
      </w:r>
      <w:r>
        <w:rPr>
          <w:rFonts w:ascii="Times New Roman;sans-serif" w:hAnsi="Times New Roman;sans-serif"/>
          <w:b/>
          <w:color w:val="000000"/>
          <w:sz w:val="20"/>
        </w:rPr>
        <w:t>-B</w:t>
      </w:r>
      <w:r>
        <w:rPr>
          <w:rFonts w:ascii="Times New Roman;sans-serif" w:hAnsi="Times New Roman;sans-serif"/>
          <w:b/>
          <w:color w:val="000000"/>
          <w:sz w:val="16"/>
        </w:rPr>
        <w:t>ASED</w:t>
      </w:r>
      <w:r>
        <w:rPr>
          <w:color w:val="000000"/>
        </w:rPr>
        <w:t xml:space="preserve"> </w:t>
      </w:r>
      <w:r>
        <w:rPr>
          <w:rFonts w:ascii="Times New Roman;sans-serif" w:hAnsi="Times New Roman;sans-serif"/>
          <w:b/>
          <w:color w:val="000000"/>
          <w:sz w:val="20"/>
        </w:rPr>
        <w:t>C</w:t>
      </w:r>
      <w:r>
        <w:rPr>
          <w:rFonts w:ascii="Times New Roman;sans-serif" w:hAnsi="Times New Roman;sans-serif"/>
          <w:b/>
          <w:color w:val="000000"/>
          <w:sz w:val="16"/>
        </w:rPr>
        <w:t>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account for stock options and restricted stock issued under our long-term incentive plans in accordance with ASC 718,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The fair value of stock-based compensation is determined at the grant date. The related compensation expense is recognized over the appropriate vesting period. Forfeitures are recognized as they occur. See Note 7 of the Notes to the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w:t>
      </w:r>
      <w:r>
        <w:rPr>
          <w:rFonts w:ascii="Times New Roman;sans-serif" w:hAnsi="Times New Roman;sans-serif"/>
          <w:b/>
          <w:color w:val="000000"/>
          <w:sz w:val="16"/>
        </w:rPr>
        <w:t>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existing valuation allowances, we provide for uncertain tax positions, if necessary, when such tax positions do not meet the recognition thresholds or measurement standards prescribed by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Amounts for uncertain tax positions are adjusted when new information becomes available or when positions are effectively settled. We recognize interest and penalties accrued related to uncertain tax positions in income tax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5 of the Notes to the Consolidated Financial Statements for additional information about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6"/>
        </w:rPr>
      </w:pPr>
      <w:r>
        <w:rPr>
          <w:rFonts w:ascii="Times New Roman;sans-serif" w:hAnsi="Times New Roman;sans-serif"/>
          <w:b/>
          <w:color w:val="000000"/>
          <w:sz w:val="16"/>
        </w:rPr>
        <w:t>EARNINGS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the two-class method to report our earnings per share ("EPS"). The two-class method is an earnings allocation formula that determines earnings per share for each class of common stock according to dividends declared and participation rights in undistributed earnings. Common Stock is entitled to cash dividends equal to at least 133.33% on a per share basis of the cash dividend paid on Class B Stock. In computing earnings per share, the Company has allocated dividends declared to Common and Class B shares based on amounts actually declared for each class of stock and 33.33% more of the undistributed earnings have been allocated to Common Stock than to the Class B shares on a per share basis. Common Stock is entitled to one vote per share and Class B Stock is entitled to ten votes per share. Common Stock have no conversion rights. Class B Stock is convertible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share. Diluted EPS, for each class of common stock, is computed by dividing net earnings by the weighted-average number of common shares and potential common shares outstanding during the period. Dilution for common stock takes into consideration the effect of both unvested restricted shares and convertible Class B shares, if the effect is dilutive. Dilution for Class B takes into consideration the effect of unvested restricted shares, if the effect is dilutive. Below is a reconciliation of the calculation of basic and diluted EPS. </w:t>
      </w:r>
    </w:p>
    <w:tbl>
      <w:tblPr>
        <w:tblW w:w="8562" w:type="dxa"/>
        <w:jc w:val="left"/>
        <w:tblInd w:w="0" w:type="dxa"/>
        <w:tblLayout w:type="fixed"/>
        <w:tblCellMar>
          <w:top w:w="28" w:type="dxa"/>
          <w:left w:w="28" w:type="dxa"/>
          <w:bottom w:w="28" w:type="dxa"/>
          <w:right w:w="28" w:type="dxa"/>
        </w:tblCellMar>
      </w:tblPr>
      <w:tblGrid>
        <w:gridCol w:w="1753"/>
        <w:gridCol w:w="1538"/>
        <w:gridCol w:w="1554"/>
        <w:gridCol w:w="211"/>
        <w:gridCol w:w="721"/>
        <w:gridCol w:w="109"/>
        <w:gridCol w:w="109"/>
        <w:gridCol w:w="109"/>
        <w:gridCol w:w="109"/>
        <w:gridCol w:w="211"/>
        <w:gridCol w:w="721"/>
        <w:gridCol w:w="109"/>
        <w:gridCol w:w="109"/>
        <w:gridCol w:w="109"/>
        <w:gridCol w:w="109"/>
        <w:gridCol w:w="211"/>
        <w:gridCol w:w="616"/>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July 31, 2023</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for per share data)</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and undistributed earnings on restricted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available to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dilution - Net Income </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assuming dilution (Numerator)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dilution - Shares </w:t>
            </w:r>
            <w:r>
              <w:rPr>
                <w:rFonts w:ascii="Times New Roman;sans-serif" w:hAnsi="Times New Roman;sans-serif"/>
                <w:b w:val="false"/>
                <w:color w:val="000000"/>
                <w:sz w:val="13"/>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assuming dilution (Denominator)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impact of unvested restricted stock was anti-dilutive therefore not included in the calculation of diluted EPS</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N</w:t>
      </w:r>
      <w:r>
        <w:rPr>
          <w:rFonts w:ascii="Times New Roman;sans-serif" w:hAnsi="Times New Roman;sans-serif"/>
          <w:b/>
          <w:color w:val="000000"/>
          <w:sz w:val="16"/>
        </w:rPr>
        <w:t>EW</w:t>
      </w:r>
      <w:r>
        <w:rPr>
          <w:color w:val="000000"/>
        </w:rPr>
        <w:t xml:space="preserve"> </w:t>
      </w:r>
      <w:r>
        <w:rPr>
          <w:rFonts w:ascii="Times New Roman;sans-serif" w:hAnsi="Times New Roman;sans-serif"/>
          <w:b/>
          <w:color w:val="000000"/>
          <w:sz w:val="20"/>
        </w:rPr>
        <w:t>A</w:t>
      </w:r>
      <w:r>
        <w:rPr>
          <w:rFonts w:ascii="Times New Roman;sans-serif" w:hAnsi="Times New Roman;sans-serif"/>
          <w:b/>
          <w:color w:val="000000"/>
          <w:sz w:val="16"/>
        </w:rPr>
        <w:t>CCOUNTING</w:t>
      </w:r>
      <w:r>
        <w:rPr>
          <w:color w:val="000000"/>
        </w:rPr>
        <w:t xml:space="preserve"> </w:t>
      </w:r>
      <w:r>
        <w:rPr>
          <w:rFonts w:ascii="Times New Roman;sans-serif" w:hAnsi="Times New Roman;sans-serif"/>
          <w:b/>
          <w:color w:val="000000"/>
          <w:sz w:val="20"/>
        </w:rPr>
        <w:t>P</w:t>
      </w:r>
      <w:r>
        <w:rPr>
          <w:rFonts w:ascii="Times New Roman;sans-serif" w:hAnsi="Times New Roman;sans-serif"/>
          <w:b/>
          <w:color w:val="000000"/>
          <w:sz w:val="16"/>
        </w:rPr>
        <w:t>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guidance under ASC 848, Reference Rate Reform.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On August 30, 2022 we amended our debt agreements to replace the LIBOR-based reference rate with an adjusted term Secured Overnight Financing Rate (SOFR), ASC 848 will allow us to account for the modification as a continuation of the existing contract without additional analysis.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accounting pronouncements issued but not yet adopted by us which are expected to have a material impact on our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OPERATING SEGMENTS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a result of a change in management organization during fiscal year 2022 and as part of our routine assessments of our segments, our wholly owned subsidiary located in the United Kingdom is now included in our Business to Business Products Group and our co-packaged coarse cat litter is now included in the Retail and Wholesale Products Group. Prior year net sales and operating income have also been reclassified to reflect these changes.</w:t>
      </w:r>
      <w:r>
        <w:rPr>
          <w:color w:val="000000"/>
        </w:rPr>
        <w:t xml:space="preserve"> </w:t>
      </w:r>
      <w:r>
        <w:rPr>
          <w:rFonts w:ascii="Times New Roman;sans-serif" w:hAnsi="Times New Roman;sans-serif"/>
          <w:b w:val="false"/>
          <w:color w:val="000000"/>
          <w:sz w:val="20"/>
        </w:rPr>
        <w:t>The organization change was intended to better serve our customers and the segment information presented reflects the information regularly reviewed by our chief operating decision maker.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our principal products by segment are as follows (in thousands):</w:t>
      </w:r>
    </w:p>
    <w:tbl>
      <w:tblPr>
        <w:tblW w:w="10163" w:type="dxa"/>
        <w:jc w:val="center"/>
        <w:tblInd w:w="0" w:type="dxa"/>
        <w:tblLayout w:type="fixed"/>
        <w:tblCellMar>
          <w:top w:w="28" w:type="dxa"/>
          <w:left w:w="28" w:type="dxa"/>
          <w:bottom w:w="28" w:type="dxa"/>
          <w:right w:w="28" w:type="dxa"/>
        </w:tblCellMar>
      </w:tblPr>
      <w:tblGrid>
        <w:gridCol w:w="1190"/>
        <w:gridCol w:w="1047"/>
        <w:gridCol w:w="1062"/>
        <w:gridCol w:w="256"/>
        <w:gridCol w:w="1020"/>
        <w:gridCol w:w="132"/>
        <w:gridCol w:w="132"/>
        <w:gridCol w:w="132"/>
        <w:gridCol w:w="132"/>
        <w:gridCol w:w="256"/>
        <w:gridCol w:w="1002"/>
        <w:gridCol w:w="132"/>
        <w:gridCol w:w="109"/>
        <w:gridCol w:w="109"/>
        <w:gridCol w:w="109"/>
        <w:gridCol w:w="263"/>
        <w:gridCol w:w="1050"/>
        <w:gridCol w:w="136"/>
        <w:gridCol w:w="136"/>
        <w:gridCol w:w="136"/>
        <w:gridCol w:w="136"/>
        <w:gridCol w:w="263"/>
        <w:gridCol w:w="1031"/>
        <w:gridCol w:w="192"/>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Retail and Wholesale Products Group</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July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 Litter</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226,335</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196,278 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Sports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44,291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and Horticultural</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40,275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Bleaching Clay and Fluids Purification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77,643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Animal Health and Nutrition</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24,477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142,395</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270,626</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235,210 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sales and operating income for each segment are provided below. The accounting policies of the segments are the same as those described in the Note 1 of the 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We have refined the basis of allocation for certain of our assets as of April 30, 2023, and we have restated the allocation of assets as of July 31, 2022 presented below to enhance comparability. The asset allocation is estimated and is not a measure used by our chief operating decision maker about allocating resources to the operating segments or in assessing their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expenses line in the table below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 </w:t>
      </w:r>
    </w:p>
    <w:p>
      <w:pPr>
        <w:pStyle w:val="TextBody"/>
        <w:bidi w:val="0"/>
        <w:spacing w:before="0" w:after="0"/>
        <w:ind w:left="0" w:right="0" w:firstLine="720"/>
        <w:jc w:val="both"/>
        <w:rPr/>
      </w:pPr>
      <w:r>
        <w:rPr/>
      </w:r>
    </w:p>
    <w:tbl>
      <w:tblPr>
        <w:tblW w:w="5273" w:type="dxa"/>
        <w:jc w:val="left"/>
        <w:tblInd w:w="0" w:type="dxa"/>
        <w:tblLayout w:type="fixed"/>
        <w:tblCellMar>
          <w:top w:w="28" w:type="dxa"/>
          <w:left w:w="28" w:type="dxa"/>
          <w:bottom w:w="28" w:type="dxa"/>
          <w:right w:w="28" w:type="dxa"/>
        </w:tblCellMar>
      </w:tblPr>
      <w:tblGrid>
        <w:gridCol w:w="163"/>
        <w:gridCol w:w="143"/>
        <w:gridCol w:w="143"/>
        <w:gridCol w:w="143"/>
        <w:gridCol w:w="143"/>
        <w:gridCol w:w="143"/>
        <w:gridCol w:w="143"/>
        <w:gridCol w:w="143"/>
        <w:gridCol w:w="143"/>
        <w:gridCol w:w="143"/>
        <w:gridCol w:w="143"/>
        <w:gridCol w:w="143"/>
        <w:gridCol w:w="143"/>
        <w:gridCol w:w="143"/>
        <w:gridCol w:w="143"/>
        <w:gridCol w:w="143"/>
        <w:gridCol w:w="143"/>
        <w:gridCol w:w="143"/>
        <w:gridCol w:w="211"/>
        <w:gridCol w:w="841"/>
        <w:gridCol w:w="109"/>
        <w:gridCol w:w="109"/>
        <w:gridCol w:w="109"/>
        <w:gridCol w:w="109"/>
        <w:gridCol w:w="211"/>
        <w:gridCol w:w="826"/>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July 31,</w:t>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59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Unallocated assets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65,463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286,235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8584" w:type="dxa"/>
        <w:jc w:val="left"/>
        <w:tblInd w:w="0" w:type="dxa"/>
        <w:tblLayout w:type="fixed"/>
        <w:tblCellMar>
          <w:top w:w="28" w:type="dxa"/>
          <w:left w:w="28" w:type="dxa"/>
          <w:bottom w:w="28" w:type="dxa"/>
          <w:right w:w="28" w:type="dxa"/>
        </w:tblCellMar>
      </w:tblPr>
      <w:tblGrid>
        <w:gridCol w:w="943"/>
        <w:gridCol w:w="831"/>
        <w:gridCol w:w="835"/>
        <w:gridCol w:w="109"/>
        <w:gridCol w:w="109"/>
        <w:gridCol w:w="109"/>
        <w:gridCol w:w="211"/>
        <w:gridCol w:w="841"/>
        <w:gridCol w:w="109"/>
        <w:gridCol w:w="109"/>
        <w:gridCol w:w="109"/>
        <w:gridCol w:w="109"/>
        <w:gridCol w:w="211"/>
        <w:gridCol w:w="826"/>
        <w:gridCol w:w="109"/>
        <w:gridCol w:w="109"/>
        <w:gridCol w:w="109"/>
        <w:gridCol w:w="109"/>
        <w:gridCol w:w="211"/>
        <w:gridCol w:w="736"/>
        <w:gridCol w:w="109"/>
        <w:gridCol w:w="109"/>
        <w:gridCol w:w="109"/>
        <w:gridCol w:w="109"/>
        <w:gridCol w:w="211"/>
        <w:gridCol w:w="721"/>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July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Income</w:t>
            </w:r>
          </w:p>
        </w:tc>
        <w:tc>
          <w:tcPr>
            <w:tcW w:w="263" w:type="dxa"/>
            <w:gridSpan w:val="2"/>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413,021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7" w:type="dxa"/>
            <w:gridSpan w:val="11"/>
            <w:tcBorders/>
          </w:tcPr>
          <w:p>
            <w:pPr>
              <w:pStyle w:val="TableContents"/>
              <w:bidi w:val="0"/>
              <w:spacing w:before="0" w:after="283"/>
              <w:jc w:val="left"/>
              <w:rPr>
                <w:sz w:val="4"/>
                <w:szCs w:val="4"/>
              </w:rPr>
            </w:pPr>
            <w:r>
              <w:rPr>
                <w:sz w:val="4"/>
                <w:szCs w:val="4"/>
              </w:rPr>
            </w:r>
          </w:p>
        </w:tc>
      </w:tr>
      <w:tr>
        <w:trPr/>
        <w:tc>
          <w:tcPr>
            <w:tcW w:w="589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Noncontrolling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Oil-Dri</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by fiscal year of financial information by geographic region (in thousands):</w:t>
      </w:r>
    </w:p>
    <w:tbl>
      <w:tblPr>
        <w:tblW w:w="6846" w:type="dxa"/>
        <w:jc w:val="left"/>
        <w:tblInd w:w="0" w:type="dxa"/>
        <w:tblLayout w:type="fixed"/>
        <w:tblCellMar>
          <w:top w:w="28" w:type="dxa"/>
          <w:left w:w="28" w:type="dxa"/>
          <w:bottom w:w="28" w:type="dxa"/>
          <w:right w:w="28" w:type="dxa"/>
        </w:tblCellMar>
      </w:tblPr>
      <w:tblGrid>
        <w:gridCol w:w="1391"/>
        <w:gridCol w:w="1221"/>
        <w:gridCol w:w="1228"/>
        <w:gridCol w:w="109"/>
        <w:gridCol w:w="109"/>
        <w:gridCol w:w="109"/>
        <w:gridCol w:w="211"/>
        <w:gridCol w:w="841"/>
        <w:gridCol w:w="109"/>
        <w:gridCol w:w="109"/>
        <w:gridCol w:w="109"/>
        <w:gridCol w:w="109"/>
        <w:gridCol w:w="211"/>
        <w:gridCol w:w="82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Sales to unaffiliated customers 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Domestic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390,963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Sales or transfers between geographic areas: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Domestic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Domestic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 attributable to Oil-Dri: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Domestic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Identifiable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Domestic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Foreign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Included within identifiable assets for our foreign subsidiaries is cash held at foreign banks of $5.2 million and $3.3 million as of July 31, 2023 and July 31, 2022, respectively.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to Walmart, our largest customer, are included in our Retail and Wholesale Products Group. The percentage of consolidated net sales and net accounts receivable attributed to Walmart are shown in the table below:</w:t>
      </w:r>
    </w:p>
    <w:tbl>
      <w:tblPr>
        <w:tblW w:w="4870" w:type="dxa"/>
        <w:jc w:val="center"/>
        <w:tblInd w:w="0" w:type="dxa"/>
        <w:tblLayout w:type="fixed"/>
        <w:tblCellMar>
          <w:top w:w="28" w:type="dxa"/>
          <w:left w:w="28" w:type="dxa"/>
          <w:bottom w:w="28" w:type="dxa"/>
          <w:right w:w="28" w:type="dxa"/>
        </w:tblCellMar>
      </w:tblPr>
      <w:tblGrid>
        <w:gridCol w:w="1130"/>
        <w:gridCol w:w="992"/>
        <w:gridCol w:w="997"/>
        <w:gridCol w:w="109"/>
        <w:gridCol w:w="109"/>
        <w:gridCol w:w="109"/>
        <w:gridCol w:w="175"/>
        <w:gridCol w:w="175"/>
        <w:gridCol w:w="176"/>
        <w:gridCol w:w="109"/>
        <w:gridCol w:w="109"/>
        <w:gridCol w:w="109"/>
        <w:gridCol w:w="167"/>
        <w:gridCol w:w="167"/>
        <w:gridCol w:w="237"/>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years ended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accounts receivable as of 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customers with sales equal to or greater than 10% of our total sales.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notes payable is as follows as of July 31 (in thousands):</w:t>
      </w:r>
    </w:p>
    <w:tbl>
      <w:tblPr>
        <w:tblW w:w="10205" w:type="dxa"/>
        <w:jc w:val="left"/>
        <w:tblInd w:w="0" w:type="dxa"/>
        <w:tblLayout w:type="fixed"/>
        <w:tblCellMar>
          <w:top w:w="28" w:type="dxa"/>
          <w:left w:w="28" w:type="dxa"/>
          <w:bottom w:w="28" w:type="dxa"/>
          <w:right w:w="28" w:type="dxa"/>
        </w:tblCellMar>
      </w:tblPr>
      <w:tblGrid>
        <w:gridCol w:w="2682"/>
        <w:gridCol w:w="2357"/>
        <w:gridCol w:w="2369"/>
        <w:gridCol w:w="109"/>
        <w:gridCol w:w="109"/>
        <w:gridCol w:w="109"/>
        <w:gridCol w:w="211"/>
        <w:gridCol w:w="736"/>
        <w:gridCol w:w="109"/>
        <w:gridCol w:w="109"/>
        <w:gridCol w:w="109"/>
        <w:gridCol w:w="109"/>
        <w:gridCol w:w="211"/>
        <w:gridCol w:w="721"/>
        <w:gridCol w:w="155"/>
      </w:tblGrid>
      <w:tr>
        <w:trPr/>
        <w:tc>
          <w:tcPr>
            <w:tcW w:w="268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and Restated Note Purchase and Private Shelf Agreement. Annual principal installments on May 15: $1,000 in each fiscal year 2021 through 2030. Interest is payable semi-annually at an annual rate of 3.95% [Series 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Note Purchase and Private Shelf Agreement. Annual principal installments on Dec 15: $5,000 in each fiscal year 2028 through 2032. Interest is payable semi-annually at an annual rate of 3.25% [Series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an Amended and Restated Note Purchase and Private Shelf Agreement (as amended, the "Note Agreement") with PGIM, Inc. ("Prudential") and certain existing noteholders and purchasers affiliated with Prudential named therein. Pursuant to the Note Agreement on May 15, 2021 we issued $10 million in aggregate principal amount of our 3.95% Series B Senior Notes due May 15, 2030, of which $7 million aggregate principal amount remained outstanding as of July 31, 2023. On December 16, 2021, under the Note Agreement we issued an additional $25 million in aggregate principal amount of our 3.25% Series C Senior Notes due December 16, 2031, all of which remained outstanding as of July 31, 2023. The Amended Note Agreement also provides us with the ability to request, from time to time, that Prudential affiliate(s) purchase, at Prudential’s discretion and on an uncommitted basis, additional senior unsecured notes of Oil-Dri (the “Shelf Notes,” and collectively with the Series A Notes, Series B Notes, and Series C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2022, we entered into Amendment No. 3 (the "Third Amendment") to the Note Agreement. The Third Amendment modified the existing fixed charge coverage financial covenant and replaced the existing consolidated debt financial covenant with a maximum debt to earnings ratio and effected certain changes consistent with the Sixth Amendment to the Credit Agreement (defined below), including modifying the method for calculating consolidated EBITDA and the excess leverage fee.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the Company entered into Amendment No. 4 (the “Fourth Amendment”) to the Note Agreement. The Fourth Amendment extended the time frame for issuing and selling Shelf Notes to September 21,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by fiscal year of future principal maturities of notes payable as of July 31, 2023 (in thousands):</w:t>
      </w:r>
    </w:p>
    <w:tbl>
      <w:tblPr>
        <w:tblW w:w="1522" w:type="dxa"/>
        <w:jc w:val="center"/>
        <w:tblInd w:w="0" w:type="dxa"/>
        <w:tblLayout w:type="fixed"/>
        <w:tblCellMar>
          <w:top w:w="28" w:type="dxa"/>
          <w:left w:w="28" w:type="dxa"/>
          <w:bottom w:w="28" w:type="dxa"/>
          <w:right w:w="28" w:type="dxa"/>
        </w:tblCellMar>
      </w:tblPr>
      <w:tblGrid>
        <w:gridCol w:w="196"/>
        <w:gridCol w:w="172"/>
        <w:gridCol w:w="173"/>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the Credit Agreement, dated as of January 27, 2006 (as previously amended, the "Credit Agreement"), among us, BMO Harris Bank N.A (“BMO”), and certain of our domestic subsidiaries. The agreement provides for a $45 million unsecured revolving credit facility, including a maximum of $10 million for letters of credit.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Credit Agreement contains restrictive covenants that, among other things and under various conditions, limit our ability to incur additional indebtedness or to dispose of assets. On August 30, 2022, we entered into the Sixth Amendment to the Credit Agreement (the "Sixth Amendment").</w:t>
      </w:r>
      <w:r>
        <w:rPr>
          <w:color w:val="000000"/>
        </w:rPr>
        <w:t xml:space="preserve"> </w:t>
      </w:r>
      <w:r>
        <w:rPr>
          <w:rFonts w:ascii="Times New Roman;sans-serif" w:hAnsi="Times New Roman;sans-serif"/>
          <w:b w:val="false"/>
          <w:color w:val="000000"/>
          <w:sz w:val="20"/>
        </w:rPr>
        <w:t>The Sixth Amendment extended the facility termination date to August 30, 2027; replaced the LIBOR-based reference rate with an adjusted term Secured Overnight Financing Rate ("SOFR"); revised the method for calculating consolidated EBITDA and consolidated debt for purposes of the Credit Agreement; modified certain restrictive covenants, including increasing the unsecured indebtedness basket from $50 million to $75 million; and revised the existing financial covenants by replacing the consolidated debt covenant with a covenant to maintain a maximum debt to earnings ratio, lowering the minimum fixed charge coverage ratio level and revising the method for calculating the fixed charge coverage ratio. As of July 31, 2023, and 2022, we were in compliance with the covenants. There were no borrowings during either fiscal year 2023 or 2022. However, we had $1.0 million of letters of credit outstanding as of July 31, 2023, and 2022 under this agreement.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states that we may select a variable interest rate based on either the BMO Harris prime rate or an adjusted SOFR-based rate, plus a margin that varies depending on our debt to earnings ratio, or a fixed rate as agreed between us and BMO Harris. As of July 31, 2023, the variable rates would have been 8.50% for the BMO Harris prime-based rate or 5.37% for the adjusted SOFR-based rate.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Quoted market prices in active markets for identical assets or liabilities.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Observable market-based inputs for similar assets or liabilities or valuation models whose inputs are observable, directly or indirectly.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are classified as Level 1 of the fair value hierarchy because they are valued using quoted market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prices in active markets. These cash instruments are primarily money market funds and are included in cash and cash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equivalents on the Consolidated Balance Sheets. We had $15.4 million cash equivalents as of July 31, 2023 and had no cash equivalents as of July 31, 2022.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Balances of accounts receivable and accounts payable approximated their fair values at July 31, 2023 and July 31, 2022 due to the short maturity and nature of those balances.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are reported at the face amount of future maturities. The estimated fair value of notes payable, including current maturities, was approximately $29.7 million as of July 31, 2023 and $31.8 million as of July 31, 2022. The fair value was estimated using the exit price notion of fair value and is classified as Level 2. The decrease in fair value is attributable to the principal and interest payments. See Note 3 of the Notes to the Consolidated Financial Statements for further information about such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INCOME TAXES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provision for income tax expense by fiscal year consists of the following (in thousands):</w:t>
      </w:r>
    </w:p>
    <w:tbl>
      <w:tblPr>
        <w:tblW w:w="5203" w:type="dxa"/>
        <w:jc w:val="center"/>
        <w:tblInd w:w="0" w:type="dxa"/>
        <w:tblLayout w:type="fixed"/>
        <w:tblCellMar>
          <w:top w:w="28" w:type="dxa"/>
          <w:left w:w="28" w:type="dxa"/>
          <w:bottom w:w="28" w:type="dxa"/>
          <w:right w:w="28" w:type="dxa"/>
        </w:tblCellMar>
      </w:tblPr>
      <w:tblGrid>
        <w:gridCol w:w="866"/>
        <w:gridCol w:w="760"/>
        <w:gridCol w:w="773"/>
        <w:gridCol w:w="109"/>
        <w:gridCol w:w="109"/>
        <w:gridCol w:w="109"/>
        <w:gridCol w:w="211"/>
        <w:gridCol w:w="631"/>
        <w:gridCol w:w="109"/>
        <w:gridCol w:w="109"/>
        <w:gridCol w:w="109"/>
        <w:gridCol w:w="109"/>
        <w:gridCol w:w="211"/>
        <w:gridCol w:w="616"/>
        <w:gridCol w:w="109"/>
        <w:gridCol w:w="109"/>
        <w:gridCol w:w="154"/>
      </w:tblGrid>
      <w:tr>
        <w:trPr/>
        <w:tc>
          <w:tcPr>
            <w:tcW w:w="86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Principal reasons for variations between the statutory federal rate and the effective rates by fiscal year were as follows:</w:t>
      </w:r>
    </w:p>
    <w:tbl>
      <w:tblPr>
        <w:tblW w:w="6960" w:type="dxa"/>
        <w:jc w:val="center"/>
        <w:tblInd w:w="0" w:type="dxa"/>
        <w:tblLayout w:type="fixed"/>
        <w:tblCellMar>
          <w:top w:w="28" w:type="dxa"/>
          <w:left w:w="28" w:type="dxa"/>
          <w:bottom w:w="28" w:type="dxa"/>
          <w:right w:w="28" w:type="dxa"/>
        </w:tblCellMar>
      </w:tblPr>
      <w:tblGrid>
        <w:gridCol w:w="1569"/>
        <w:gridCol w:w="1376"/>
        <w:gridCol w:w="1389"/>
        <w:gridCol w:w="109"/>
        <w:gridCol w:w="109"/>
        <w:gridCol w:w="109"/>
        <w:gridCol w:w="263"/>
        <w:gridCol w:w="263"/>
        <w:gridCol w:w="306"/>
        <w:gridCol w:w="109"/>
        <w:gridCol w:w="109"/>
        <w:gridCol w:w="109"/>
        <w:gridCol w:w="291"/>
        <w:gridCol w:w="294"/>
        <w:gridCol w:w="292"/>
        <w:gridCol w:w="109"/>
        <w:gridCol w:w="154"/>
      </w:tblGrid>
      <w:tr>
        <w:trPr/>
        <w:tc>
          <w:tcPr>
            <w:tcW w:w="15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deductions allowed for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 of federal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w:t>
            </w:r>
            <w:r>
              <w:rPr>
                <w:color w:val="000000"/>
              </w:rPr>
              <w:t>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both"/>
        <w:rPr/>
      </w:pPr>
      <w:r>
        <w:rPr/>
      </w:r>
    </w:p>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effective tax rate for the year ended July 31, 2023 and July 31, 2022 were 15.0% and 1.7%, respectively, based on income before taxes. The fiscal 2023 effective tax rate was lower than the statutory rate primarily due to favorable depletion deduction and a benefit from an anticipated federal tax return amendment. The fiscal 2023 effective tax rate was negatively impacted primarily due to nondeductible excess officers compensation. The fiscal 2022 effective tax rate benefited due to a favorable depletion deduction as well as federal tax return amendments. The fiscal 2022 effective tax rate was also negatively impacted primarily due to a nondeductible goodwill impairment as well as nondeductible officers compensation. </w:t>
      </w:r>
    </w:p>
    <w:p>
      <w:pPr>
        <w:pStyle w:val="TextBody"/>
        <w:bidi w:val="0"/>
        <w:spacing w:before="100" w:after="283"/>
        <w:ind w:left="0" w:right="0" w:firstLine="72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Consolidated Balance Sheets included the following tax effects of cumulative temporary differences as of July 31 (in thousands):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8177" w:type="dxa"/>
        <w:jc w:val="center"/>
        <w:tblInd w:w="0" w:type="dxa"/>
        <w:tblLayout w:type="fixed"/>
        <w:tblCellMar>
          <w:top w:w="28" w:type="dxa"/>
          <w:left w:w="28" w:type="dxa"/>
          <w:bottom w:w="28" w:type="dxa"/>
          <w:right w:w="28" w:type="dxa"/>
        </w:tblCellMar>
      </w:tblPr>
      <w:tblGrid>
        <w:gridCol w:w="1004"/>
        <w:gridCol w:w="882"/>
        <w:gridCol w:w="889"/>
        <w:gridCol w:w="109"/>
        <w:gridCol w:w="109"/>
        <w:gridCol w:w="109"/>
        <w:gridCol w:w="211"/>
        <w:gridCol w:w="736"/>
        <w:gridCol w:w="109"/>
        <w:gridCol w:w="109"/>
        <w:gridCol w:w="109"/>
        <w:gridCol w:w="109"/>
        <w:gridCol w:w="216"/>
        <w:gridCol w:w="647"/>
        <w:gridCol w:w="113"/>
        <w:gridCol w:w="109"/>
        <w:gridCol w:w="109"/>
        <w:gridCol w:w="109"/>
        <w:gridCol w:w="211"/>
        <w:gridCol w:w="721"/>
        <w:gridCol w:w="109"/>
        <w:gridCol w:w="109"/>
        <w:gridCol w:w="109"/>
        <w:gridCol w:w="109"/>
        <w:gridCol w:w="219"/>
        <w:gridCol w:w="641"/>
        <w:gridCol w:w="161"/>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4,338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2,412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7,285</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Deferred tax assets for post retirement benefits were affected by the termination of our pension plan. See Note 8 of the Notes to the Consolidated Financial Statements for further information about postretirement benefits. Deferred tax assets and liabilities related to lease decreased as leases are expiring. Deferred tax assets for accrued expenses reflected a higher accrual for the annual discretionary bonus.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valuation allowance of $1.7 million and $1.8 million as of July 31, 2023 and July 31, 2022, respectively, for the amount of the deferred tax benefit related to our foreign net operating loss carryforwards since we believe it is unlikely we will realize the benefit of these tax attributes in the future. As of July 31, 2023, we have total net operating loss carryforwards from state jurisdictions of approximately $3.4 million. The carryforward expiration dates vary by state. No valuation allowance has been established for these carryforwards since we expect our future profitability will allow us to fully realize these tax benefits.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exception of our foreign subsidiary in Canada, none of our foreign subsidiaries have generated any untaxed foreign income, therefore we have not provided for any related income taxes for these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no liabilities for unrecognized tax benefits based on tax positions related to the current and prior fiscal years as of July 31, 2023 and 2022; correspondingly, no related interest and penalties were recognized as income tax expense and there were no accruals for such items in either of these fiscal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income tax as well as income tax in multiple state and foreign jurisdictions. We are currently being audited by the Internal Revenue Service ("IRS") for Fiscal Year 2020. The federal tax returns for fiscal years 2019-2021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 open state and local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audits in which no material issues have been preliminarily identified. There are no material open or unsettled foreign income tax audits. We believe our accrual for tax liabilities is adequate for all open audit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ACCUMULATED OTHER COMPREHENSIVE (LOSS) INCOME</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the changes in accumulated other comprehensive income by component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12"/>
        <w:gridCol w:w="885"/>
        <w:gridCol w:w="808"/>
        <w:gridCol w:w="109"/>
        <w:gridCol w:w="109"/>
        <w:gridCol w:w="463"/>
        <w:gridCol w:w="1386"/>
        <w:gridCol w:w="240"/>
        <w:gridCol w:w="109"/>
        <w:gridCol w:w="109"/>
        <w:gridCol w:w="109"/>
        <w:gridCol w:w="453"/>
        <w:gridCol w:w="1036"/>
        <w:gridCol w:w="236"/>
        <w:gridCol w:w="109"/>
        <w:gridCol w:w="109"/>
        <w:gridCol w:w="109"/>
        <w:gridCol w:w="530"/>
        <w:gridCol w:w="1587"/>
        <w:gridCol w:w="397"/>
      </w:tblGrid>
      <w:tr>
        <w:trPr/>
        <w:tc>
          <w:tcPr>
            <w:tcW w:w="1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and Postretirement 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Accumulated Other Comprehensive (Loss) Income</w:t>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4"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Curtailment/Settlement on Pension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1,012</w:t>
            </w:r>
            <w:r>
              <w:rPr>
                <w:color w:val="000000"/>
              </w:rPr>
              <w:t>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(264)</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748</w:t>
            </w:r>
            <w:r>
              <w:rPr>
                <w:color w:val="000000"/>
              </w:rPr>
              <w:t>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Amounts are net of taxes of $0.4 million and $0.7 million in fiscal years 2023 and 2022, respectively, and are included in Other Comprehensive Loss.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Amount is net of taxes of $0.5 million in fiscal year 2023. Amount is included in the components of net periodic benefit cost for the pension and postretirement health plans.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of the Notes to the Consolidated Financial Statements for further information about pension and postretirement health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STOCK-BASED COMPENSATION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July 31, 2023, there were 241,540 shares available for future grants under this plan.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6"/>
        </w:rPr>
        <w:t>RESTRICTED</w:t>
      </w:r>
      <w:r>
        <w:rPr>
          <w:color w:val="000000"/>
        </w:rPr>
        <w:t xml:space="preserve"> </w:t>
      </w:r>
      <w:r>
        <w:rPr>
          <w:rFonts w:ascii="Times New Roman;sans-serif" w:hAnsi="Times New Roman;sans-serif"/>
          <w:b/>
          <w:color w:val="000000"/>
          <w:sz w:val="20"/>
        </w:rPr>
        <w:t>S</w:t>
      </w:r>
      <w:r>
        <w:rPr>
          <w:rFonts w:ascii="Times New Roman;sans-serif" w:hAnsi="Times New Roman;sans-serif"/>
          <w:b/>
          <w:color w:val="000000"/>
          <w:sz w:val="16"/>
        </w:rPr>
        <w:t>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non-vested restricted stock as of July 31, 2023 was issued under the 2006 Plan with vesting periods generally from two to five years. The fair value of restricted stock was determined by the closing market price of our Common Stock on the date of grant multiplied by the number of shares granted. Fair value of shares vested is $2.6 million and $2.5 million in fiscal year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 summary of restricted stock transactions under the plans is shown below.</w:t>
      </w:r>
    </w:p>
    <w:tbl>
      <w:tblPr>
        <w:tblW w:w="10205" w:type="dxa"/>
        <w:jc w:val="left"/>
        <w:tblInd w:w="0" w:type="dxa"/>
        <w:tblLayout w:type="fixed"/>
        <w:tblCellMar>
          <w:top w:w="28" w:type="dxa"/>
          <w:left w:w="28" w:type="dxa"/>
          <w:bottom w:w="28" w:type="dxa"/>
          <w:right w:w="28" w:type="dxa"/>
        </w:tblCellMar>
      </w:tblPr>
      <w:tblGrid>
        <w:gridCol w:w="1629"/>
        <w:gridCol w:w="1431"/>
        <w:gridCol w:w="1435"/>
        <w:gridCol w:w="414"/>
        <w:gridCol w:w="414"/>
        <w:gridCol w:w="416"/>
        <w:gridCol w:w="109"/>
        <w:gridCol w:w="109"/>
        <w:gridCol w:w="109"/>
        <w:gridCol w:w="231"/>
        <w:gridCol w:w="691"/>
        <w:gridCol w:w="119"/>
        <w:gridCol w:w="109"/>
        <w:gridCol w:w="109"/>
        <w:gridCol w:w="109"/>
        <w:gridCol w:w="375"/>
        <w:gridCol w:w="375"/>
        <w:gridCol w:w="376"/>
        <w:gridCol w:w="109"/>
        <w:gridCol w:w="109"/>
        <w:gridCol w:w="109"/>
        <w:gridCol w:w="277"/>
        <w:gridCol w:w="831"/>
        <w:gridCol w:w="210"/>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Unamortized</w:t>
              <w:br/>
              <w:t>Expense</w:t>
              <w:br/>
              <w:t>(in thousands)</w:t>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July 31, 2021</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July 31, 2022</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8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4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Forfeited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outstanding at July 31, 2023</w:t>
            </w:r>
          </w:p>
        </w:tc>
        <w:tc>
          <w:tcPr>
            <w:tcW w:w="82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w:t>
            </w:r>
            <w:r>
              <w:rPr>
                <w:color w:val="000000"/>
              </w:rPr>
              <w:t> </w:t>
            </w:r>
          </w:p>
        </w:tc>
        <w:tc>
          <w:tcPr>
            <w:tcW w:w="4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5,129</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Stock-based compensation for restricted stock of $2.4 million and $2.1 million, net of related tax effect, was recognized in fiscal years 2023 and 2022, respectively. The total restricted stock compensation related tax benefit was $0.8 million and $0.7 million in fiscal years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PENSION AND OTHER POSTRETIREMENT BENEFITS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The Oil-Dri Corporation of America Pension Plan ("Pension Plan") was a defined benefit pension plan for eligible salaried and hourly employees. Pension benefits were based on a formula of years of credited service and levels of compensation or stated amounts for each year of credited service. On January 9, 2020, Oil-Dri amended the Pension Plan to freeze participation, all future benefit accruals and accrual of benefit service, including consideration of compensation increases, effective March 1, 2020. Consequently, the Pension Plan was closed to new participants and existing participants no longer earned additional benefits on or after March 1, 2020. On September 20, 2022, the Company's Board of Directors approved a resolution to terminate the Company's defined benefit pension plan.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br/>
        <w:t>    On April 20, 2023, Oil-Dri settled $14 million of the pension obligation through the purchase of an annuity. The remaining $16 million of the pension obligation was settled on April 28, 2023, via lump-sum payments. All pension assets were remeasured immediately before settlement resulting in a net surplus amount of $3.6 million and net unrealized loss of $1.9 million included in accumulated other comprehensive income. Upon settlement of the pension obligations Oil-Dri recognized through net income all unrealized losses resulting in a $1.9 million reduction to net income included in "Loss on pension termination" within "Other Income (Expense), 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the Executive Committee of the Company's Board of Directors approved the distribution of the surplus to a qualified defined contribution retirement fund. A portion of the surplus to be distributed to pension participants was irrevocably distributed to the 401(k) plan on April 28, 2023, which resulted in an additional $2.8 million charge to net income included in "Loss on pension termination" within "Other Income (Expense), Net". The remaining $0.8 million to be held by the 401(k) plan to cover qualified future plan expenses was recognized as a prepaid asset.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401(k) savings plan is maintained under which we match a portion of employee contributions. This plan is available to essentially all domestic employees following a specific number of days of employment. Our contributions to this plan, and to similar plans maintained by our foreign subsidiaries, were $3.2 million and $2.9 million for fiscal years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Obligations and Funded Status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of changes in the plans’ benefit obligations, asset fair values and funded status by fiscal year (in thousands):</w:t>
      </w:r>
    </w:p>
    <w:tbl>
      <w:tblPr>
        <w:tblW w:w="10205" w:type="dxa"/>
        <w:jc w:val="left"/>
        <w:tblInd w:w="0" w:type="dxa"/>
        <w:tblLayout w:type="fixed"/>
        <w:tblCellMar>
          <w:top w:w="28" w:type="dxa"/>
          <w:left w:w="28" w:type="dxa"/>
          <w:bottom w:w="28" w:type="dxa"/>
          <w:right w:w="28" w:type="dxa"/>
        </w:tblCellMar>
      </w:tblPr>
      <w:tblGrid>
        <w:gridCol w:w="1622"/>
        <w:gridCol w:w="1400"/>
        <w:gridCol w:w="1409"/>
        <w:gridCol w:w="109"/>
        <w:gridCol w:w="109"/>
        <w:gridCol w:w="109"/>
        <w:gridCol w:w="211"/>
        <w:gridCol w:w="736"/>
        <w:gridCol w:w="109"/>
        <w:gridCol w:w="109"/>
        <w:gridCol w:w="109"/>
        <w:gridCol w:w="109"/>
        <w:gridCol w:w="211"/>
        <w:gridCol w:w="721"/>
        <w:gridCol w:w="109"/>
        <w:gridCol w:w="109"/>
        <w:gridCol w:w="109"/>
        <w:gridCol w:w="109"/>
        <w:gridCol w:w="238"/>
        <w:gridCol w:w="775"/>
        <w:gridCol w:w="123"/>
        <w:gridCol w:w="123"/>
        <w:gridCol w:w="123"/>
        <w:gridCol w:w="123"/>
        <w:gridCol w:w="238"/>
        <w:gridCol w:w="775"/>
        <w:gridCol w:w="178"/>
      </w:tblGrid>
      <w:tr>
        <w:trPr/>
        <w:tc>
          <w:tcPr>
            <w:tcW w:w="162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Health Benefits</w:t>
            </w:r>
          </w:p>
        </w:tc>
      </w:tr>
      <w:tr>
        <w:trPr/>
        <w:tc>
          <w:tcPr>
            <w:tcW w:w="44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Change in benefit obligation</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Actuarial gain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1,853</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Surplus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Funded status, recorded in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(1,853)</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1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“Cash Flows” below for further information about employer contributions and benefits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accumulated benefit obligation for the Pension Plan as of July 31, 2023. The accumulated benefit obligation for the Pension Plan was $33.7 million as of July 31,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amounts recognized in the Consolidated Balance Sheets as of July 31 (in thousands):</w:t>
      </w:r>
    </w:p>
    <w:tbl>
      <w:tblPr>
        <w:tblW w:w="9432" w:type="dxa"/>
        <w:jc w:val="left"/>
        <w:tblInd w:w="0" w:type="dxa"/>
        <w:tblLayout w:type="fixed"/>
        <w:tblCellMar>
          <w:top w:w="28" w:type="dxa"/>
          <w:left w:w="28" w:type="dxa"/>
          <w:bottom w:w="28" w:type="dxa"/>
          <w:right w:w="28" w:type="dxa"/>
        </w:tblCellMar>
      </w:tblPr>
      <w:tblGrid>
        <w:gridCol w:w="1565"/>
        <w:gridCol w:w="1374"/>
        <w:gridCol w:w="1381"/>
        <w:gridCol w:w="109"/>
        <w:gridCol w:w="109"/>
        <w:gridCol w:w="109"/>
        <w:gridCol w:w="211"/>
        <w:gridCol w:w="481"/>
        <w:gridCol w:w="109"/>
        <w:gridCol w:w="109"/>
        <w:gridCol w:w="109"/>
        <w:gridCol w:w="109"/>
        <w:gridCol w:w="211"/>
        <w:gridCol w:w="616"/>
        <w:gridCol w:w="109"/>
        <w:gridCol w:w="109"/>
        <w:gridCol w:w="109"/>
        <w:gridCol w:w="109"/>
        <w:gridCol w:w="211"/>
        <w:gridCol w:w="691"/>
        <w:gridCol w:w="109"/>
        <w:gridCol w:w="109"/>
        <w:gridCol w:w="109"/>
        <w:gridCol w:w="109"/>
        <w:gridCol w:w="211"/>
        <w:gridCol w:w="69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Health</w:t>
              <w:br/>
              <w:t>Benefits</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Benefit Costs and Amortizations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the net periodic pension and postretirement health benefit costs by fiscal year (in thousands):</w:t>
      </w:r>
    </w:p>
    <w:tbl>
      <w:tblPr>
        <w:tblW w:w="9452" w:type="dxa"/>
        <w:jc w:val="left"/>
        <w:tblInd w:w="0" w:type="dxa"/>
        <w:tblLayout w:type="fixed"/>
        <w:tblCellMar>
          <w:top w:w="28" w:type="dxa"/>
          <w:left w:w="28" w:type="dxa"/>
          <w:bottom w:w="28" w:type="dxa"/>
          <w:right w:w="28" w:type="dxa"/>
        </w:tblCellMar>
      </w:tblPr>
      <w:tblGrid>
        <w:gridCol w:w="1058"/>
        <w:gridCol w:w="929"/>
        <w:gridCol w:w="937"/>
        <w:gridCol w:w="109"/>
        <w:gridCol w:w="109"/>
        <w:gridCol w:w="109"/>
        <w:gridCol w:w="211"/>
        <w:gridCol w:w="631"/>
        <w:gridCol w:w="109"/>
        <w:gridCol w:w="109"/>
        <w:gridCol w:w="109"/>
        <w:gridCol w:w="109"/>
        <w:gridCol w:w="211"/>
        <w:gridCol w:w="691"/>
        <w:gridCol w:w="109"/>
        <w:gridCol w:w="109"/>
        <w:gridCol w:w="109"/>
        <w:gridCol w:w="109"/>
        <w:gridCol w:w="109"/>
        <w:gridCol w:w="109"/>
        <w:gridCol w:w="362"/>
        <w:gridCol w:w="645"/>
        <w:gridCol w:w="187"/>
        <w:gridCol w:w="187"/>
        <w:gridCol w:w="187"/>
        <w:gridCol w:w="187"/>
        <w:gridCol w:w="362"/>
        <w:gridCol w:w="800"/>
        <w:gridCol w:w="187"/>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Postretirement Health Benefit Cost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actuarial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(income)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 is recorded in Other, net within Other Income (Expense) in the Consolidated Statements of Operations. As the pension plan was frozen, there was no service cost recorded in fiscal years 2022 or 2023.</w:t>
      </w:r>
    </w:p>
    <w:p>
      <w:pPr>
        <w:pStyle w:val="TextBody"/>
        <w:bidi w:val="0"/>
        <w:spacing w:before="10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amounts, net of tax, that are recognized in other comprehensive income by fiscal year (in thousands):</w:t>
      </w:r>
    </w:p>
    <w:tbl>
      <w:tblPr>
        <w:tblW w:w="10050" w:type="dxa"/>
        <w:jc w:val="center"/>
        <w:tblInd w:w="0" w:type="dxa"/>
        <w:tblLayout w:type="fixed"/>
        <w:tblCellMar>
          <w:top w:w="28" w:type="dxa"/>
          <w:left w:w="28" w:type="dxa"/>
          <w:bottom w:w="28" w:type="dxa"/>
          <w:right w:w="28" w:type="dxa"/>
        </w:tblCellMar>
      </w:tblPr>
      <w:tblGrid>
        <w:gridCol w:w="1537"/>
        <w:gridCol w:w="1353"/>
        <w:gridCol w:w="1355"/>
        <w:gridCol w:w="109"/>
        <w:gridCol w:w="109"/>
        <w:gridCol w:w="109"/>
        <w:gridCol w:w="211"/>
        <w:gridCol w:w="691"/>
        <w:gridCol w:w="109"/>
        <w:gridCol w:w="109"/>
        <w:gridCol w:w="109"/>
        <w:gridCol w:w="109"/>
        <w:gridCol w:w="211"/>
        <w:gridCol w:w="691"/>
        <w:gridCol w:w="109"/>
        <w:gridCol w:w="109"/>
        <w:gridCol w:w="109"/>
        <w:gridCol w:w="109"/>
        <w:gridCol w:w="282"/>
        <w:gridCol w:w="724"/>
        <w:gridCol w:w="146"/>
        <w:gridCol w:w="146"/>
        <w:gridCol w:w="146"/>
        <w:gridCol w:w="146"/>
        <w:gridCol w:w="282"/>
        <w:gridCol w:w="724"/>
        <w:gridCol w:w="206"/>
      </w:tblGrid>
      <w:tr>
        <w:trPr/>
        <w:tc>
          <w:tcPr>
            <w:tcW w:w="153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Postretirement Health Benefits</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recognized in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the Pension Plan based upon actuarially determined contributions that take into account the amount deductible for income tax purposes, the normal cost and the minimum contribution required and the maximum contribution allowed under applicable regulations. We made no contributions in fiscal years 2022 or 2023. The Pension Plan was terminated in fiscal year 2023 and there will be no more contributions to the Pension Plan. The postretirement health plan is an unfunded plan. Our policy is to pay health insurance premiums and claims from our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estimated future benefit payments by fiscal year (in thousands):</w:t>
      </w:r>
    </w:p>
    <w:tbl>
      <w:tblPr>
        <w:tblW w:w="2785" w:type="dxa"/>
        <w:jc w:val="center"/>
        <w:tblInd w:w="0" w:type="dxa"/>
        <w:tblLayout w:type="fixed"/>
        <w:tblCellMar>
          <w:top w:w="28" w:type="dxa"/>
          <w:left w:w="28" w:type="dxa"/>
          <w:bottom w:w="28" w:type="dxa"/>
          <w:right w:w="28" w:type="dxa"/>
        </w:tblCellMar>
      </w:tblPr>
      <w:tblGrid>
        <w:gridCol w:w="368"/>
        <w:gridCol w:w="324"/>
        <w:gridCol w:w="327"/>
        <w:gridCol w:w="109"/>
        <w:gridCol w:w="109"/>
        <w:gridCol w:w="109"/>
        <w:gridCol w:w="365"/>
        <w:gridCol w:w="807"/>
        <w:gridCol w:w="267"/>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w:t>
              <w:br/>
              <w:t>Health Benefits</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tbl>
      <w:tblPr>
        <w:tblW w:w="10205" w:type="dxa"/>
        <w:jc w:val="left"/>
        <w:tblInd w:w="0" w:type="dxa"/>
        <w:tblLayout w:type="fixed"/>
        <w:tblCellMar>
          <w:top w:w="28" w:type="dxa"/>
          <w:left w:w="28" w:type="dxa"/>
          <w:bottom w:w="28" w:type="dxa"/>
          <w:right w:w="28" w:type="dxa"/>
        </w:tblCellMar>
      </w:tblPr>
      <w:tblGrid>
        <w:gridCol w:w="1937"/>
        <w:gridCol w:w="1666"/>
        <w:gridCol w:w="1679"/>
        <w:gridCol w:w="109"/>
        <w:gridCol w:w="109"/>
        <w:gridCol w:w="109"/>
        <w:gridCol w:w="178"/>
        <w:gridCol w:w="178"/>
        <w:gridCol w:w="180"/>
        <w:gridCol w:w="159"/>
        <w:gridCol w:w="159"/>
        <w:gridCol w:w="159"/>
        <w:gridCol w:w="205"/>
        <w:gridCol w:w="205"/>
        <w:gridCol w:w="207"/>
        <w:gridCol w:w="109"/>
        <w:gridCol w:w="109"/>
        <w:gridCol w:w="109"/>
        <w:gridCol w:w="283"/>
        <w:gridCol w:w="276"/>
        <w:gridCol w:w="276"/>
        <w:gridCol w:w="276"/>
        <w:gridCol w:w="276"/>
        <w:gridCol w:w="276"/>
        <w:gridCol w:w="281"/>
        <w:gridCol w:w="276"/>
        <w:gridCol w:w="419"/>
      </w:tblGrid>
      <w:tr>
        <w:trPr/>
        <w:tc>
          <w:tcPr>
            <w:tcW w:w="193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Health Benefits</w:t>
            </w:r>
          </w:p>
        </w:tc>
      </w:tr>
      <w:tr>
        <w:trPr/>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net periodic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3.82%</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year-end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4.90%</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3.82%</w:t>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 for net periodic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 for year-end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expected rate of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was based on the FTSE Pension Discount Curve to determine for the Pension Plan and the postretirement health plan, the single equivalent rate that would yield the same present value as the specific plan’s expected 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2023, the medical cost trend assumption used for the postretirement health benefit cost was 8.2%. The graded trend rate is expected to decrease to an ultimate rate of 4.9% in fiscal year 2044.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Pension Plan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objective for the Pension Plan assets was to optimize long-term return at a moderate level of risk in order to secure the benefit obligations to participants at a reasonable cost. To reach this goal, our investment structure included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measured and monitored the plan’s asset investment performance and the allocation of assets through quarterly investment portfolio reviews. Investment performance was measured by absolute returns, returns relative to benchmark indices and any other appropriate basis of comparison. The Pension Plan was terminated in fiscal year 2023 and there are no targeted allocation percentages of plan assets for 2024. The actual allocation percentages of plan assets as of July 31, 2023:</w:t>
      </w:r>
    </w:p>
    <w:tbl>
      <w:tblPr>
        <w:tblW w:w="4178" w:type="dxa"/>
        <w:jc w:val="center"/>
        <w:tblInd w:w="0" w:type="dxa"/>
        <w:tblLayout w:type="fixed"/>
        <w:tblCellMar>
          <w:top w:w="28" w:type="dxa"/>
          <w:left w:w="28" w:type="dxa"/>
          <w:bottom w:w="28" w:type="dxa"/>
          <w:right w:w="28" w:type="dxa"/>
        </w:tblCellMar>
      </w:tblPr>
      <w:tblGrid>
        <w:gridCol w:w="857"/>
        <w:gridCol w:w="754"/>
        <w:gridCol w:w="758"/>
        <w:gridCol w:w="109"/>
        <w:gridCol w:w="109"/>
        <w:gridCol w:w="109"/>
        <w:gridCol w:w="194"/>
        <w:gridCol w:w="194"/>
        <w:gridCol w:w="196"/>
        <w:gridCol w:w="109"/>
        <w:gridCol w:w="109"/>
        <w:gridCol w:w="109"/>
        <w:gridCol w:w="167"/>
        <w:gridCol w:w="167"/>
        <w:gridCol w:w="237"/>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accrued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The following table sets forth by level, within the fair value hierarchy, the Pension Plan's assets carried at fair value (in thousands):</w:t>
      </w:r>
    </w:p>
    <w:tbl>
      <w:tblPr>
        <w:tblW w:w="8510" w:type="dxa"/>
        <w:jc w:val="left"/>
        <w:tblInd w:w="0" w:type="dxa"/>
        <w:tblLayout w:type="fixed"/>
        <w:tblCellMar>
          <w:top w:w="28" w:type="dxa"/>
          <w:left w:w="28" w:type="dxa"/>
          <w:bottom w:w="28" w:type="dxa"/>
          <w:right w:w="28" w:type="dxa"/>
        </w:tblCellMar>
      </w:tblPr>
      <w:tblGrid>
        <w:gridCol w:w="1457"/>
        <w:gridCol w:w="1283"/>
        <w:gridCol w:w="1294"/>
        <w:gridCol w:w="109"/>
        <w:gridCol w:w="109"/>
        <w:gridCol w:w="109"/>
        <w:gridCol w:w="211"/>
        <w:gridCol w:w="721"/>
        <w:gridCol w:w="109"/>
        <w:gridCol w:w="109"/>
        <w:gridCol w:w="109"/>
        <w:gridCol w:w="109"/>
        <w:gridCol w:w="225"/>
        <w:gridCol w:w="769"/>
        <w:gridCol w:w="116"/>
        <w:gridCol w:w="109"/>
        <w:gridCol w:w="109"/>
        <w:gridCol w:w="109"/>
        <w:gridCol w:w="219"/>
        <w:gridCol w:w="748"/>
        <w:gridCol w:w="114"/>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At July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Observable</w:t>
              <w:br/>
              <w:t>Inputs</w:t>
              <w:b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Cash and cash equivalents</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Equity securities</w:t>
            </w:r>
            <w:r>
              <w:rPr>
                <w:rFonts w:ascii="Times New Roman;sans-serif" w:hAnsi="Times New Roman;sans-serif"/>
                <w:b w:val="false"/>
                <w:color w:val="000000"/>
                <w:sz w:val="13"/>
              </w:rPr>
              <w:t>(b)</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Equity securities - international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Developed market</w:t>
            </w:r>
            <w:r>
              <w:rPr>
                <w:rFonts w:ascii="Times New Roman;sans-serif" w:hAnsi="Times New Roman;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Emerging markets</w:t>
            </w:r>
            <w:r>
              <w:rPr>
                <w:rFonts w:ascii="Times New Roman;sans-serif" w:hAnsi="Times New Roman;sans-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Commodities</w:t>
            </w:r>
            <w:r>
              <w:rPr>
                <w:rFonts w:ascii="Times New Roman;sans-serif" w:hAnsi="Times New Roman;sans-serif"/>
                <w:b w:val="false"/>
                <w:color w:val="000000"/>
                <w:sz w:val="13"/>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20"/>
              </w:rPr>
              <w:t>Debt securities(f)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Government sponsored entities</w:t>
            </w:r>
            <w:r>
              <w:rPr>
                <w:rFonts w:ascii="Times New Roman;sans-serif" w:hAnsi="Times New Roman;sans-serif"/>
                <w:b w:val="false"/>
                <w:color w:val="000000"/>
                <w:sz w:val="13"/>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ans-serif" w:hAnsi="Times New Roman;sans-serif"/>
                <w:b w:val="false"/>
                <w:color w:val="000000"/>
                <w:sz w:val="20"/>
              </w:rPr>
              <w:t>Multi-strategy bond fund</w:t>
            </w:r>
            <w:r>
              <w:rPr>
                <w:rFonts w:ascii="Times New Roman;sans-serif" w:hAnsi="Times New Roman;sans-serif"/>
                <w:b w:val="false"/>
                <w:color w:val="000000"/>
                <w:sz w:val="13"/>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Money market fund</w:t>
            </w:r>
            <w:r>
              <w:rPr>
                <w:rFonts w:ascii="Times New Roman;sans-serif" w:hAnsi="Times New Roman;sans-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Other</w:t>
            </w:r>
            <w:r>
              <w:rPr>
                <w:rFonts w:ascii="Times New Roman;sans-serif" w:hAnsi="Times New Roman;sans-serif"/>
                <w:b w:val="false"/>
                <w:color w:val="000000"/>
                <w:sz w:val="13"/>
              </w:rPr>
              <w:t>(j)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(a)Cash and cash equivalents consists of highly liquid investments which are traded in active markets.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(b)This class represents equities traded on regulated exchanges, as well as funds that invest in a portfolio of such stocks.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(c)These mutual funds seek long-term capital growth by investing no less than 80% of their assets in stocks of non- U.S. companies that are primarily in developed markets, but also may invest in emerging and less developed markets.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(d)These mutual funds seek to track the performance of a benchmark index that measures the investment return of stock issued by companies located in emerging market countries.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(e)These investments seek attractive total return by investing primarily in a diversified portfolio of commodity futures contracts and fixed income investments.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(f)This class includes bonds and loans of U.S. and non-U.S. corporate issuers from diverse industries and bonds of domestic and foreign municipalities.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(g)This class represents a beneficial ownership interest in a pool of single-family residential mortgage loans. These investments are generally not backed by the full faith and credit of the United States government, except for securities valued at $114,000 in our portfolio as of July 31, 2022.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(h)This class invests at least 80% of its net assets in bonds and other fixed income instruments issued by governmental or private-sector entities. More than 30% of its net assets are invested in asset-backed and mortgage-backed securities. The fund may invest up to 20% of its net assets in securities below investment grade.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(j)This class includes funds that use a number of other strategies, including arbitrage, to obtain long-term positive returns. The portfolio of instruments may include equities, debt securities, real estate properties, warrants, options, swaps, future contracts, forwards or other types of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DEFERRED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Oil-Dri's deferred compensation plans permit directors and certain management employees to defer portions of their compensation and to earn interest on the deferred amounts. Participants have deferred $0.6 million and $0.7 million into these plans in fiscal years 2023 and 2022, respectively. We recorded $0.2 million of interest expense associated with these plans in both fiscal years 2023 and 2022. Payments to participants were $0.9 million and $0.4 million in fiscal years 2023 and 2022, respectively, and the total liability recorded for deferred compensation was $4.6 million and $4.8 million as of July 31, 2023 and 2022,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Oil-Dri Corporation of America Annual Incentive Plan provides certain executives with the opportunity to receive a deferred executive bonus award if certain financial goals are met. Deferred executive bonus awards of $1.4 million were awarded for fiscal year 2023 and $0.7 million executive bonus was awarded for fiscal year 2022 as financial targets under the provisions of the plan were achieved. These awards will vest and accrue interest over a 3-year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deferred compensation plans are unfunded. We fund these benefits when payments are made, and the timing and amount of the payments are determined according to the plans' provisions and, for certain plans, according to individual employee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ACCRUED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is as follows (in thousands):</w:t>
      </w:r>
    </w:p>
    <w:tbl>
      <w:tblPr>
        <w:tblW w:w="7296" w:type="dxa"/>
        <w:jc w:val="left"/>
        <w:tblInd w:w="0" w:type="dxa"/>
        <w:tblLayout w:type="fixed"/>
        <w:tblCellMar>
          <w:top w:w="28" w:type="dxa"/>
          <w:left w:w="28" w:type="dxa"/>
          <w:bottom w:w="28" w:type="dxa"/>
          <w:right w:w="28" w:type="dxa"/>
        </w:tblCellMar>
      </w:tblPr>
      <w:tblGrid>
        <w:gridCol w:w="1627"/>
        <w:gridCol w:w="1432"/>
        <w:gridCol w:w="1441"/>
        <w:gridCol w:w="109"/>
        <w:gridCol w:w="109"/>
        <w:gridCol w:w="109"/>
        <w:gridCol w:w="211"/>
        <w:gridCol w:w="736"/>
        <w:gridCol w:w="109"/>
        <w:gridCol w:w="109"/>
        <w:gridCol w:w="109"/>
        <w:gridCol w:w="109"/>
        <w:gridCol w:w="211"/>
        <w:gridCol w:w="721"/>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Commissions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 Landfill Modification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promotions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36,868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OTHER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determined a reasonable estimate of this liability within a range, with no amount within that range being a better estimate than any other amount, and therefore recorded that estimate in Other within Accrued Expenses. In the fourth quarter of fiscal year 2023, we have updated our estimate to reflect the latest developments in this matter.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fiscal year 2023, we recorded a reserve of $2.5 million for anticipated modification costs that we expect to incur to address capacity issues at our sole landfill located in Ochlocknee, Georgia. Reserves are recorded when it is probable that a liability has been incurred and the amount of the liability can be reasonably estimated. The amount of the reserve represents management’s best estimate of the costs for the modification with respect to this matter. There have been no changes to the reserve estimate throughout the rest of fiscal year 2023.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LEASES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Consolidated Financial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We have no material finance leases, and variable costs for operating leases are immaterial. Operating lease costs are included in Cost of Goods Sold or SG&amp;A expenses based on the nature of the lease. The following table summarizes total lease costs for our operating leases (in thousands):</w:t>
      </w:r>
    </w:p>
    <w:tbl>
      <w:tblPr>
        <w:tblW w:w="6025" w:type="dxa"/>
        <w:jc w:val="center"/>
        <w:tblInd w:w="0" w:type="dxa"/>
        <w:tblLayout w:type="fixed"/>
        <w:tblCellMar>
          <w:top w:w="28" w:type="dxa"/>
          <w:left w:w="28" w:type="dxa"/>
          <w:bottom w:w="28" w:type="dxa"/>
          <w:right w:w="28" w:type="dxa"/>
        </w:tblCellMar>
      </w:tblPr>
      <w:tblGrid>
        <w:gridCol w:w="950"/>
        <w:gridCol w:w="834"/>
        <w:gridCol w:w="840"/>
        <w:gridCol w:w="320"/>
        <w:gridCol w:w="934"/>
        <w:gridCol w:w="165"/>
        <w:gridCol w:w="165"/>
        <w:gridCol w:w="165"/>
        <w:gridCol w:w="165"/>
        <w:gridCol w:w="320"/>
        <w:gridCol w:w="934"/>
        <w:gridCol w:w="233"/>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Twelve Months Ended July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w:t>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cost</w:t>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9593" w:type="dxa"/>
        <w:jc w:val="center"/>
        <w:tblInd w:w="0" w:type="dxa"/>
        <w:tblLayout w:type="fixed"/>
        <w:tblCellMar>
          <w:top w:w="28" w:type="dxa"/>
          <w:left w:w="28" w:type="dxa"/>
          <w:bottom w:w="28" w:type="dxa"/>
          <w:right w:w="28" w:type="dxa"/>
        </w:tblCellMar>
      </w:tblPr>
      <w:tblGrid>
        <w:gridCol w:w="2245"/>
        <w:gridCol w:w="1971"/>
        <w:gridCol w:w="1978"/>
        <w:gridCol w:w="361"/>
        <w:gridCol w:w="361"/>
        <w:gridCol w:w="361"/>
        <w:gridCol w:w="361"/>
        <w:gridCol w:w="361"/>
        <w:gridCol w:w="361"/>
        <w:gridCol w:w="361"/>
        <w:gridCol w:w="361"/>
        <w:gridCol w:w="511"/>
      </w:tblGrid>
      <w:tr>
        <w:trPr/>
        <w:tc>
          <w:tcPr>
            <w:tcW w:w="224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Twelve Months Ended July 31,</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separately presented on the unaudited Consolidated Balance Sheet, excluding leases with an initial term of twelve months or less. Other supplemental balance sheet information related to leases was as follows:</w:t>
      </w:r>
    </w:p>
    <w:tbl>
      <w:tblPr>
        <w:tblW w:w="8439" w:type="dxa"/>
        <w:jc w:val="center"/>
        <w:tblInd w:w="0" w:type="dxa"/>
        <w:tblLayout w:type="fixed"/>
        <w:tblCellMar>
          <w:top w:w="28" w:type="dxa"/>
          <w:left w:w="28" w:type="dxa"/>
          <w:bottom w:w="28" w:type="dxa"/>
          <w:right w:w="28" w:type="dxa"/>
        </w:tblCellMar>
      </w:tblPr>
      <w:tblGrid>
        <w:gridCol w:w="1826"/>
        <w:gridCol w:w="1604"/>
        <w:gridCol w:w="1610"/>
        <w:gridCol w:w="361"/>
        <w:gridCol w:w="361"/>
        <w:gridCol w:w="361"/>
        <w:gridCol w:w="361"/>
        <w:gridCol w:w="361"/>
        <w:gridCol w:w="361"/>
        <w:gridCol w:w="361"/>
        <w:gridCol w:w="361"/>
        <w:gridCol w:w="511"/>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Twelve Months Ended July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 operating leases</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 years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 years</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 - operating leases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4.03%</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3.91%</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scheduled minimum future lease payments due within twelve months for operating leases with terms longer than one year for which cash flows are fixed and determinable as of July 31, 2023 (in thousands):</w:t>
      </w:r>
    </w:p>
    <w:tbl>
      <w:tblPr>
        <w:tblW w:w="3115" w:type="dxa"/>
        <w:jc w:val="center"/>
        <w:tblInd w:w="0" w:type="dxa"/>
        <w:tblLayout w:type="fixed"/>
        <w:tblCellMar>
          <w:top w:w="28" w:type="dxa"/>
          <w:left w:w="28" w:type="dxa"/>
          <w:bottom w:w="28" w:type="dxa"/>
          <w:right w:w="28" w:type="dxa"/>
        </w:tblCellMar>
      </w:tblPr>
      <w:tblGrid>
        <w:gridCol w:w="689"/>
        <w:gridCol w:w="604"/>
        <w:gridCol w:w="612"/>
        <w:gridCol w:w="211"/>
        <w:gridCol w:w="736"/>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obligation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SUBSEQUENT EVENTS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the Company entered into Amendment No. 4 (the “Fourth Amendment”) to the Note Agreement with Prudential. The Fourth Amendment extended the time frame for issuing and selling Shelf Notes to September 21, 2026.</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RELATED PARTIES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One member of our Board of Directors retired from the role of President and Chief Executive Officer of a customer of ours on September 28, 2019 and is currently party to a post-employment consulting agreement with the customer. Total net sales to that customer, including sales to subsidiaries of that customer, were $0.2 million and $0.3 million for fiscal years 2023 and 2022, respectively. There was $10,768 of outstanding accounts receivable due from that customer, and its subsidiaries, as of July 31, 2023 and $5,608 outstanding accounts receivable as of July 31, 2022.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One member of our Board of Directors is currently the President and Chief Executive Officer of a vendor of ours. Total payments to this vendor for fees and cost reimbursements were $0.2 million and $0.7 million for fiscal years 2023 and 2022, respectively. There were no outstanding amounts due to that vendor as of July 31, 2023 or July 31,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framework) issued by the Committee Sponsoring Organizations of the Treadway Commission (COSO). Based on our assessment, our management concluded that our internal control over financial reporting was effective as of July 31,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Our internal controls over financial reporting as of July 31, 2023 have been audited by Grant Thornton LLP, an independent registered public accounting firm, as stated in their report which appears on the next page of this Annual Report on Form 10-K.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6764" w:type="dxa"/>
        <w:jc w:val="left"/>
        <w:tblInd w:w="0" w:type="dxa"/>
        <w:tblLayout w:type="fixed"/>
        <w:tblCellMar>
          <w:top w:w="28" w:type="dxa"/>
          <w:left w:w="28" w:type="dxa"/>
          <w:bottom w:w="28" w:type="dxa"/>
          <w:right w:w="28" w:type="dxa"/>
        </w:tblCellMar>
      </w:tblPr>
      <w:tblGrid>
        <w:gridCol w:w="2163"/>
        <w:gridCol w:w="1901"/>
        <w:gridCol w:w="2700"/>
      </w:tblGrid>
      <w:tr>
        <w:trPr/>
        <w:tc>
          <w:tcPr>
            <w:tcW w:w="2163"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of Directors and Shareholders</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and Shareholders</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 xml:space="preserve">We have audited the accompanying consolidated balance sheets of Oil-Dri Corporation of America (a Delaware corporation) and subsidiaries (the “Company”) as of July 31, 2023 and 2022, and the related consolidated statements of operations, comprehensive income, stockholders’ equity, and cash flows for each of the two years in the period ended July 31, 2023, and the related notes and financial statement schedule included under Item 15(a) (collectively referred to as the “financial statements”). We also have audited the Company’s internal control over financial reporting as of July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 xml:space="preserve">In our opinion, the financial statements referred to above present fairly, in all material respects, the financial position of the Company as of July 31, 2023 and 2022, and the results of its operations and its cash flows for each of the two years in the period ended July 31, 2023 in conformity with accounting principles generally accepted in the United States of America. Also in our opinion, the Company maintained, in all material respects, effective internal control over financial reporting as of July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COSO.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7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37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October 12, 2023 </w:t>
      </w:r>
    </w:p>
    <w:p>
      <w:pPr>
        <w:pStyle w:val="TextBody"/>
        <w:bidi w:val="0"/>
        <w:spacing w:before="0" w:after="28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 CHANGES IN AND DISAGREEMENTS WITH ACCOUNTANTS ON ACCOUNTING AND FINANCIAL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Management’s Report on Internal Control Over Financial Reporting is set forth in Part II, Item 8 of this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There were no changes in our internal control over financial reporting (as defined in Rule 13a-15(f) under the Exchange Act) that occurred during the fiscal year ended July 31, 2023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2023, the Company entered into the Sixth Amendment (the “Amendment”) to the Memorandum of Agreement #1450 “Fresh Step”® dated as of March 12, 2001 between A&amp;M Products Manufacturing Company, a subsidiary of The Clorox Company, and Oil-Dri Corporation of America (as amended by the First Amendment, dated December 13, 2002, the Second Amendment, dated October 15, 2007, the Third Amendment, dated May 27, 2016, the Fourth Amendment, dated December 4, 2020, and the Fifth Amendment, dated April 10, 2023, the “Memorandum Agreement”). The Amendment extends the initial term of the Memorandum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2023, the Company entered into the Seventh Amendment (the “Seventh Amendment”) to the Memorandum of Agreement, as amended by the Sixth Amendment. The Seventh Amendment further extends the initial term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Memorandum Agreement. The foregoing is a brief description of the material terms of the Sixth Amendment and the Seventh Amendment and does not purport to be a complete description of the rights and obligations of the parties thereunder. The foregoing description is qualified in its entirety by reference to the Sixth Amendment and the Seventh Amendment, which are filed as Exhibits 10.40 and 10.41 to this Annual Report on Form 10-K,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9C - DISCLOSURE REGARDING FOREIGN JURISDICTIONS THAT PREVENT INSPECTIONS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 DIRECTORS, EXECUTIVE OFFICERS AND CORPORATE GOVERNANCE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(except as set forth below) will be included in Oil-Dri’s Proxy Statement for its 2023 annual meeting of stockholders under the captions “PROPOSALS - 1. Election of Directors,” “Executive Officers,” “CORPORATE GOVERNANCE MATTERS - Director Nominations,” “Board of Directors Committee Membership and Meetings,” (including the “Audit Committee” section thereunder) and “Corporate Governance Matters” and is incorporated herein by this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(as defined by the NYSE rules) and its compensation committee does not have a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 EXECUTIVE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The information required by this Item will be included in Oil-Dri</w:t>
      </w:r>
      <w:r>
        <w:rPr>
          <w:color w:val="000000"/>
        </w:rPr>
        <w:t>’</w:t>
      </w:r>
      <w:r>
        <w:rPr>
          <w:rFonts w:ascii="Times New Roman;sans-serif" w:hAnsi="Times New Roman;sans-serif"/>
          <w:b w:val="false"/>
          <w:color w:val="000000"/>
          <w:sz w:val="20"/>
        </w:rPr>
        <w:t>s Proxy Statement for its 2023 annual meeting of stockholders under the captions “Executive Compensation,” “CORPORATE GOVERNANCE MATTERS – Director Compensation,” and “Board of Directors Committee Membership and Meetings,” (including the “Compensation Committee” thereunder)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 SECURITY OWNERSHIP OF CERTAIN BENEFICIAL OWNERS AND MANAGEMENT AND RELATED STOCKHOLDER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Except as set forth herein,</w:t>
      </w:r>
      <w:r>
        <w:rPr>
          <w:color w:val="000000"/>
        </w:rPr>
        <w:t xml:space="preserve"> </w:t>
      </w:r>
      <w:r>
        <w:rPr>
          <w:rFonts w:ascii="Times New Roman;sans-serif" w:hAnsi="Times New Roman;sans-serif"/>
          <w:b w:val="false"/>
          <w:color w:val="000000"/>
          <w:sz w:val="24"/>
        </w:rPr>
        <w:t>t</w:t>
      </w:r>
      <w:r>
        <w:rPr>
          <w:rFonts w:ascii="Times New Roman;sans-serif" w:hAnsi="Times New Roman;sans-serif"/>
          <w:b w:val="false"/>
          <w:color w:val="000000"/>
          <w:sz w:val="20"/>
        </w:rPr>
        <w:t>he information required by this Item will be included in Oil-Dri’s Proxy Statement for its 2023 annual meeting of stockholders under the captions “Principal Stockholders” and “Security Ownership of Management” and is incorporated herein by reference.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0"/>
        </w:rPr>
        <w:t xml:space="preserve">Equity Compensation Plan Information. </w:t>
      </w:r>
      <w:r>
        <w:rPr>
          <w:rFonts w:ascii="Times New Roman;sans-serif" w:hAnsi="Times New Roman;sans-serif"/>
          <w:b w:val="false"/>
          <w:color w:val="000000"/>
          <w:sz w:val="20"/>
        </w:rPr>
        <w:t>The following table presents information about compensation plans under which our equity securities are authorized for issuance. There are no outstanding stock options as of July 31, 2023. See Note 7 of the Notes to the Consolidated Financial Statements for further information about these stock-based compensation plans.</w:t>
      </w:r>
    </w:p>
    <w:tbl>
      <w:tblPr>
        <w:tblW w:w="10205" w:type="dxa"/>
        <w:jc w:val="center"/>
        <w:tblInd w:w="0" w:type="dxa"/>
        <w:tblLayout w:type="fixed"/>
        <w:tblCellMar>
          <w:top w:w="28" w:type="dxa"/>
          <w:left w:w="28" w:type="dxa"/>
          <w:bottom w:w="28" w:type="dxa"/>
          <w:right w:w="28" w:type="dxa"/>
        </w:tblCellMar>
      </w:tblPr>
      <w:tblGrid>
        <w:gridCol w:w="686"/>
        <w:gridCol w:w="602"/>
        <w:gridCol w:w="605"/>
        <w:gridCol w:w="135"/>
        <w:gridCol w:w="135"/>
        <w:gridCol w:w="135"/>
        <w:gridCol w:w="662"/>
        <w:gridCol w:w="662"/>
        <w:gridCol w:w="664"/>
        <w:gridCol w:w="135"/>
        <w:gridCol w:w="135"/>
        <w:gridCol w:w="135"/>
        <w:gridCol w:w="655"/>
        <w:gridCol w:w="655"/>
        <w:gridCol w:w="656"/>
        <w:gridCol w:w="135"/>
        <w:gridCol w:w="135"/>
        <w:gridCol w:w="135"/>
        <w:gridCol w:w="918"/>
        <w:gridCol w:w="918"/>
        <w:gridCol w:w="1307"/>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Equity Compensation Plan Information As Of July 31, 2023 </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Plan Category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(in thousands)</w:t>
              <w:br/>
              <w:t>(a)</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w:t>
              <w:br/>
              <w:t>(b)</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further issuance under equity compensation plans (excluding securities reflected in column (a)) (in thousands)</w:t>
              <w:br/>
              <w:t>(c)</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stockholders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The information required by this Item will be included in Oil-Dri’s Proxy Statement for its 2023 annual meeting of stockholders under the captions “CORPORATE GOVERNANCE MATTERS –</w:t>
      </w:r>
      <w:r>
        <w:rPr>
          <w:color w:val="008080"/>
        </w:rPr>
        <w:t xml:space="preserve"> </w:t>
      </w:r>
      <w:r>
        <w:rPr>
          <w:rFonts w:ascii="Times New Roman;sans-serif" w:hAnsi="Times New Roman;sans-serif"/>
          <w:b w:val="false"/>
          <w:color w:val="000000"/>
          <w:sz w:val="20"/>
        </w:rPr>
        <w:t>Certain Relationships and Related Party Transactions” and “Director Independence”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 PRINCIPAL ACCOUNTANT FEES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The information required by this Item will be included in Oil-Dri’s Proxy Statement for its 2023 annual meeting of stockholders under the caption “Other Matters Relating to the Independent Auditor - Auditor Fees”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 EXHIBITS AND FINANCIAL STATEMENT SCHEDULE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9"/>
        <w:gridCol w:w="148"/>
        <w:gridCol w:w="148"/>
        <w:gridCol w:w="109"/>
        <w:gridCol w:w="109"/>
        <w:gridCol w:w="109"/>
        <w:gridCol w:w="2816"/>
        <w:gridCol w:w="2722"/>
        <w:gridCol w:w="3875"/>
      </w:tblGrid>
      <w:tr>
        <w:trPr/>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are contained herein.</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July 31, 2023 and July 31, 2022.</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fiscal years ended July 31, 2023 and July 31, 2022.</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for the fiscal years ended July 31, 2023 and July 31, 2022.</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for the fiscal years ended July 31, 2023 and July 31, 2022.</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fiscal years ended July 31, 2023 and July 31, 2022.</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Consolidated Financial Statements.</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 schedule is contained herein:</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to Financial Statements, as follows:</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 years ended July 31, 2023 and July 31, 2022.</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because they are inapplicable, not required under the instructions or the information is included in the consolidated financial statements or notes thereto.</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exhibits to this Report:</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498"/>
        <w:gridCol w:w="1425"/>
        <w:gridCol w:w="1439"/>
        <w:gridCol w:w="109"/>
        <w:gridCol w:w="109"/>
        <w:gridCol w:w="109"/>
        <w:gridCol w:w="1413"/>
        <w:gridCol w:w="1256"/>
        <w:gridCol w:w="178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 Document Reference</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Incorporation of Oil-Dri, as amended.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Incorporated by reference to Exhibit 4.1 to Oil-Dri’s Registration Statement on Form S-8 (Registration No. 333-57625), filed on June 24, 1998.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By-Laws of Oil-Dri Corporation of America, as Amended and Restated on December 12, 2017.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Incorporated by reference to Exhibit 3 to Oil-Dri’s (file No. 001-12622) Quarterly Report on Form 10-Q filed on March 9, 2018.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of 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4107312023.htm">
              <w:r>
                <w:rPr>
                  <w:rStyle w:val="InternetLink"/>
                  <w:rFonts w:ascii="Times New Roman;sans-serif" w:hAnsi="Times New Roman;sans-serif"/>
                  <w:b w:val="false"/>
                  <w:color w:val="0000FF"/>
                  <w:sz w:val="20"/>
                  <w:u w:val="single"/>
                </w:rPr>
                <w:t>Filed herewith</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Memorandum of Agreement #1450 “Fresh Step“</w:t>
            </w:r>
            <w:r>
              <w:rPr>
                <w:rFonts w:ascii="Calibri;sans-serif" w:hAnsi="Calibri;sans-serif"/>
                <w:b w:val="false"/>
                <w:color w:val="000000"/>
                <w:sz w:val="22"/>
              </w:rPr>
              <w:t xml:space="preserve">® </w:t>
            </w:r>
            <w:r>
              <w:rPr>
                <w:rFonts w:ascii="Times New Roman;sans-serif" w:hAnsi="Times New Roman;sans-serif"/>
                <w:b w:val="false"/>
                <w:color w:val="000000"/>
                <w:sz w:val="20"/>
              </w:rPr>
              <w:t>dated as of March 12, 2001 between A&amp;M Products Manufacturing Company and Oil-Dri.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Incorporated by reference to Exhibit 10.1 to Oil-Dri’s (File No. 001-12622) Quarterly Report on Form 10-Q for the quarter ended October 31, 2020.</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930"/>
        <w:gridCol w:w="1930"/>
        <w:gridCol w:w="1949"/>
        <w:gridCol w:w="109"/>
        <w:gridCol w:w="109"/>
        <w:gridCol w:w="109"/>
        <w:gridCol w:w="994"/>
        <w:gridCol w:w="831"/>
        <w:gridCol w:w="118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 Document Reference</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First Amendment, dated as of December 13, 2002, to Memorandum of Agreement #1450 “Fresh Step”</w:t>
            </w:r>
            <w:r>
              <w:rPr>
                <w:rFonts w:ascii="Calibri;sans-serif" w:hAnsi="Calibri;sans-serif"/>
                <w:b w:val="false"/>
                <w:color w:val="000000"/>
                <w:sz w:val="22"/>
              </w:rPr>
              <w:t xml:space="preserve">® </w:t>
            </w:r>
            <w:r>
              <w:rPr>
                <w:rFonts w:ascii="Times New Roman;sans-serif" w:hAnsi="Times New Roman;sans-serif"/>
                <w:b w:val="false"/>
                <w:color w:val="000000"/>
                <w:sz w:val="20"/>
              </w:rPr>
              <w:t>dated as of March 12, 2001.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Incorporated by reference to Exhibit 10.2 to Oil-Dri’s (File No. 001-12622) Annual Report on Form 10-K for the fiscal year ended July 31, 2007.</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Second Amendment, dated as of October 15, 2007, to Memorandum of Agreement #1450 “Fresh Step”</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dated as of March 12, 2001.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Incorporated by reference to Exhibit 10.2 to Oil-Dri’s (File No. 001-12622) Quarterly Report on Form 10-Q for the quarter ended October 31, 2020.</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Third Amendment, dated as of May 27, 2016, to Memorandum of Agreement #1450 “Fresh Step”</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dated as of March 12, 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Incorporated by reference to Exhibit 10.3 to Oil-Dri’s (File No. 001-12622) Quarterly Report on Form 10-Q for the quarter ended October 31, 2020.</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Exclusive Supply Agreement dated May 19, 1999 between Church &amp; Dwight Co., Inc. and Oil-Dri.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Incorporated by reference to Exhibit 10.5 to Oil-Dri’s (File No. 001-12622) Quarterly Report on Form 10-Q for the quarter ended October 31, 2020.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Agreement, dated January 27, 2006 among the Company, certain subsidiaries of the Company and Harris 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Incorporated by reference to Exhibit 10.1 to Oil-Dri’s (File No. 001-12622) Current Report on Form 8-K filed on February 1,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dated as of December 19, 2008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Incorporated by reference to Exhibit 10.1 to Oil-Dri’s (File No. 001-12622) Quarterly Report on Form 10-Q for the quarter ended January 31, 2009.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Amendment, dated as of December 21, 2011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Incorporated by reference to Exhibit 10 to Oil-Dri’s (File No. 001-12622) Current Report on Form 8-K filed on December 28, 2011.</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Amendment, dated as of June 21, 2012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Incorporated by reference to Exhibit 10.12 to Oil-Dri’s (File No. 001-12622) Annual Report on Form 10-K for the fiscal year ended July 31, 2012.</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Fourth Amendment, dated as of December 4, 2014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Incorporated by reference to Exhibit 10.1 to Oil-Dri’s (File No. 001-12622) Quarterly Report on Form 10-Q for the quarter ended October 31, 2014.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Fifth Amendment, dated as of January 31, 2019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Incorporated by reference to Exhibit 10.1 to Oil-Dri’s (File No. 001-12622) Current Report on Form 8-K filed on January 31, 2019.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Annex A to the Fifth Amendment to Credit Agreement dated as of January 27,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Incorporated by reference to Exhibit 10.2 to Oil-Dri’s (File No. 001-12622) Current Report on Form 8-K filed on January 31, 2019.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Incorporated by reference to Exhibit 10.1 to Oil-Dri’s (File No. 001-12622) Current Report on Form 8-K filed on November 16, 2010.</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746"/>
        <w:gridCol w:w="1599"/>
        <w:gridCol w:w="1616"/>
        <w:gridCol w:w="109"/>
        <w:gridCol w:w="109"/>
        <w:gridCol w:w="109"/>
        <w:gridCol w:w="1231"/>
        <w:gridCol w:w="1083"/>
        <w:gridCol w:w="154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 Document Reference</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4"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Note Purchase and Private Shelf Agreement, dated as of May 15, 2020, among Oil-Dri Corporation of America, PGIM, Inc. and existing noteholders and purchasers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Incorporated by reference to Exhibit 10.1 to Oil-Dri's (file No. 001-12622) Current Report on Form 8-K filed on May 21, 2020.</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 Deferred Compensation Plan, as amended and restated effective April 1, 2003.*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Incorporated by reference to Exhibit (10)(j)(1) to Oil-Dri’s (File No. 001-12622) Quarterly Report on Form 10-Q for the quarter ended April 30, 2003.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effective as of January 1, 2007, to Oil-Dri Corporation of America Deferred Compensation Plan, as amended and restated effective April 1, 2003.*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Incorporated by reference to Exhibit 10.1 to Oil-Dri’s (File No. 001-12622) Quarterly Report on Form 10-Q for the quarter ended January 31, 2008.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Amendment, effective as of January 1, 2008, to Oil-Dri Corporation of America Deferred Compensation Plan, as amended and restated effective April 1, 2003.*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Incorporated by reference to Exhibit 10.2 to Oil-Dri’s (File No. 001-12622) Quarterly Report on Form 10-Q for the quarter ended January 31, 2008.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 Annual Incentive Plan (as amended and restated effective January 1, 2008).*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Incorporated by reference to Exhibit 10.4 to Oil-Dri’s (File No. 001-12622) Quarterly Report on Form 10-Q for the quarter ended January 31, 2008.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 2005 Deferred Compensation Plan (as amended and restated effective January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Incorporated by reference to Exhibit 10.3 to Oil-Dri’s (File No. 001-12622) Quarterly Report on Form 10-Q for the quarter ended January 31, 2008.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effective July 1, 2020, to the Oil-Dri Corporation of America 2005 Deferred Compensation Plan (as amended and restated effective January 1,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Times New Roman;sans-serif" w:hAnsi="Times New Roman;sans-serif"/>
                  <w:b w:val="false"/>
                  <w:color w:val="0000FF"/>
                  <w:sz w:val="20"/>
                  <w:u w:val="single"/>
                </w:rPr>
                <w:t xml:space="preserve">Incorporated by reference to Exhibit 10.24 to Oil Dri's </w:t>
              </w:r>
            </w:hyperlink>
            <w:hyperlink r:id="rId26">
              <w:r>
                <w:rPr>
                  <w:rStyle w:val="InternetLink"/>
                  <w:rFonts w:ascii="Times New Roman;sans-serif" w:hAnsi="Times New Roman;sans-serif"/>
                  <w:b w:val="false"/>
                  <w:color w:val="0000FF"/>
                  <w:sz w:val="24"/>
                  <w:u w:val="single"/>
                </w:rPr>
                <w:t>(</w:t>
              </w:r>
            </w:hyperlink>
            <w:hyperlink r:id="rId27">
              <w:r>
                <w:rPr>
                  <w:rStyle w:val="InternetLink"/>
                  <w:rFonts w:ascii="Times New Roman;sans-serif" w:hAnsi="Times New Roman;sans-serif"/>
                  <w:b w:val="false"/>
                  <w:color w:val="0000FF"/>
                  <w:sz w:val="20"/>
                  <w:u w:val="single"/>
                </w:rPr>
                <w:t>File No. 001-12622) Annual Report on Form 10-K for the fiscal year ended July 31, 2020.</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 2006 Long Term Incentive Plan (as amended and restated effective July 28, 2006)*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FF0000"/>
              </w:rPr>
            </w:pPr>
            <w:r>
              <w:rPr>
                <w:color w:val="FF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Incorporated by reference to Appendix A to Oil-Dri’s (File No. 001-12622) Definitive Proxy Statement on Schedule 14A filed on November 3,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FF0000"/>
              </w:rPr>
            </w:pPr>
            <w:r>
              <w:rPr>
                <w:color w:val="FF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effective as of January 1, 2008, to Oil-Dri Corporation of America 2006 Long Term Incentive Plan (as amended and restated effective July 28, 2006)*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Incorporated by reference to Exhibit 10.5 to Oil-Dri’s (File No. 001-12622) Quarterly Report on Form 10-Q for the quarter ended January 31, 2008.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Second Amendment, effective as of October 15, 2015, to Oil-Dri Corporation of America 2006 Long Term Incentive Plan (as previously amended and restated effective July 28,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"http://www.sec.gov/Archives/edgar/data/74046/000007404615000050/odcproxy07312015.htm" \l "s249522831a274fd3a1b004bb0d87f4df"</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Incorporated by reference to Appendix A to Oil-Dri’s (File No. 001-12622) Definitive Proxy Statement on Schedule 14A filed on October 28, 2015.</w:t>
            </w:r>
            <w:r>
              <w:rPr>
                <w:rStyle w:val="InternetLink"/>
                <w:sz w:val="20"/>
                <w:u w:val="single"/>
                <w:b w:val="false"/>
                <w:rFonts w:ascii="Times New Roman;sans-serif" w:hAnsi="Times New Roman;sans-serif"/>
                <w:color w:val="0000FF"/>
              </w:rPr>
              <w:fldChar w:fldCharType="end"/>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Oil-Dri Corporation of America 2006 Long Term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Incorporated by reference to Appendix A of Oil-Dri's (File No. 001-12622) Definitive Proxy Statement on Schedule 14A filed on October 30, 2019</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476"/>
        <w:gridCol w:w="1476"/>
        <w:gridCol w:w="1493"/>
        <w:gridCol w:w="109"/>
        <w:gridCol w:w="109"/>
        <w:gridCol w:w="109"/>
        <w:gridCol w:w="1370"/>
        <w:gridCol w:w="1239"/>
        <w:gridCol w:w="176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 Document Reference</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0"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Oil-Dri Corporation of America 2006 Long Term Incentive Plan Employee Stock Option Agreement for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Incorporated by reference to Exhibit 10.2 to Oil-Dri’s (file No. 001-12622) Current Report on Form 8-K filed on December 11,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Oil-Dri Corporation of America 2006 Long Term Incentive Plan Employee Stock Option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Incorporated by reference to Exhibit 10.3 to Oil-Dri’s (file No. 001-12622) Current Report on Form 8-K filed on December 11,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Oil-Dri Corporation of America 2006 Long Term Incentive Plan Employee Stock Option Agreement for Class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Incorporated by reference to Exhibit 10.4 to Oil-Dri’s (file No. 001-12622) Current Report on Form 8-K filed on December 11,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Oil-Dri Corporation of America 2006 Long Term Incentive Plan Director Stock Option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Incorporated by reference to Exhibit 10.5 to Oil-Dri’s (file No. 001-12622) Current Report on Form 8-K filed on December 11,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Oil-Dri Corporation of America 2006 Long Term Incentive Plan Restricted Stock Agreement for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Incorporated by reference to Exhibit 10.6 to Oil-Dri’s (file No. 001-12622) Current Report on Form 8-K filed on December 11,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Oil-Dri Corporation of America 2006 Long Term Incentive Plan Restricted Stock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Incorporated by reference to Exhibit 10.7 to Oil-Dri’s (file No. 001-12622) Current Report on Form 8-K filed on December 11, 2006.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1721"/>
        <w:gridCol w:w="1567"/>
        <w:gridCol w:w="1571"/>
        <w:gridCol w:w="109"/>
        <w:gridCol w:w="109"/>
        <w:gridCol w:w="109"/>
        <w:gridCol w:w="1134"/>
        <w:gridCol w:w="1134"/>
        <w:gridCol w:w="1136"/>
        <w:gridCol w:w="109"/>
        <w:gridCol w:w="109"/>
        <w:gridCol w:w="109"/>
        <w:gridCol w:w="109"/>
        <w:gridCol w:w="109"/>
        <w:gridCol w:w="157"/>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Oil-Dri Corporation of America 2006 Long Term Incentive Plan Restricted Stock Agreement for Class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Incorporated by reference to Exhibit 10.8 to Oil-Dri’s (file No. 001-12622) Current Report on Form 8-K filed on December 11, 2006.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2018 Restricted Stock Agreement for Class B Stock under the Oil-Dri Corporation of America 2006 Long Term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Incorporated by reference to Exhibit 10.29 to Oil-Dri's (file No. 001-12622) Annual Report on Form 10-K for the fiscal year ended July 31, 2018</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Fourth Amendment, dated as of December 4, 2020, to Memorandum of Agreement #1450 “Fresh Step”® dated as of March 12, 2001.†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 xml:space="preserve">Incorporated by reference to Exhibit 10.4 to Oil-Dri’s (file No. 001-12622) Quarterly Report on Form 10-Q for the quarter ended October 31, 2020.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dated December 16, 2021 to the Amended and Restated Note Purchase and Private Shelf Agreement among Oil-Dri Corporation of America, PGIM, Inc. and existing noteholders and purchasers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Incorporated by reference to Exhibit 10.1 to Oil-Dri's (file No. 001-12622) Current Report on Form 8-K filed on December 17,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BMO - Modification to BMO Harris Bank N.A. Credit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Incorporated by reference to Exhibit 10.1 to Oil-Dri’s (file No. 001-12622) Quarterly Report on Form 10-Q for the quarter ended April 30,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Amended and Restated Note Purchase and Private Shelf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Incorporated by reference to Exhibit 10.2 to Oil-Dri’s (file No. 001-12622) Quarterly Report on Form 10-Q for the quarter ended April 30,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3"/>
        <w:gridCol w:w="240"/>
        <w:gridCol w:w="242"/>
        <w:gridCol w:w="109"/>
        <w:gridCol w:w="109"/>
        <w:gridCol w:w="109"/>
        <w:gridCol w:w="1394"/>
        <w:gridCol w:w="1153"/>
        <w:gridCol w:w="1166"/>
        <w:gridCol w:w="109"/>
        <w:gridCol w:w="109"/>
        <w:gridCol w:w="109"/>
        <w:gridCol w:w="1772"/>
        <w:gridCol w:w="1302"/>
        <w:gridCol w:w="1305"/>
        <w:gridCol w:w="109"/>
        <w:gridCol w:w="109"/>
        <w:gridCol w:w="109"/>
        <w:gridCol w:w="109"/>
        <w:gridCol w:w="109"/>
        <w:gridCol w:w="159"/>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 Document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Credit Agreement dated as of August 30, 2022, between Oil-Dri Corporation of America and BMO Harris Bank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left"/>
              <w:rPr/>
            </w:pPr>
            <w:hyperlink r:id="rId43">
              <w:r>
                <w:rPr>
                  <w:rStyle w:val="InternetLink"/>
                  <w:rFonts w:ascii="Times New Roman;sans-serif" w:hAnsi="Times New Roman;sans-serif"/>
                  <w:b w:val="false"/>
                  <w:color w:val="0000FF"/>
                  <w:sz w:val="20"/>
                  <w:u w:val="single"/>
                </w:rPr>
                <w:t>Incorporated by reference to Exhibit 10.1 to Oil-Dri's (file No. 001-12622) Current Report on Form 8-K filed on September 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3 to Amended and Restated Note Purchase and Private Shelf Agreement, dated August 30, 2022, among Oil-Dri Corporation of America, PGIM, Inc. and existing noteholders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4">
              <w:r>
                <w:rPr>
                  <w:rStyle w:val="InternetLink"/>
                  <w:rFonts w:ascii="Times New Roman;sans-serif" w:hAnsi="Times New Roman;sans-serif"/>
                  <w:b w:val="false"/>
                  <w:color w:val="0000FF"/>
                  <w:sz w:val="20"/>
                  <w:u w:val="single"/>
                </w:rPr>
                <w:t>Incorporated by reference to Exhibit 10.2 to Oil-Dri's (file No. 001-12622) Current Report on Form 8-K filed on September 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dated as of April 10, 2023, to Memorandum of Agreement #1450 “Fresh Step”® dated as of March 12, 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 xml:space="preserve">Incorporated by reference to Exhibit 10.1 to Oil-Dri's (file No. 001-12611) Quarterly Report on Form 10-Q for the quarter ended April 30, 2023.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dated as of June 29, 2023, to Memorandum of Agreement #1450 “Fresh Step”® dated as of March 12, 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0odcamproductsma.htm">
              <w:r>
                <w:rPr>
                  <w:rStyle w:val="InternetLink"/>
                  <w:rFonts w:ascii="Times New Roman;sans-serif" w:hAnsi="Times New Roman;sans-serif"/>
                  <w:b w:val="false"/>
                  <w:color w:val="0000FF"/>
                  <w:sz w:val="20"/>
                  <w:u w:val="single"/>
                </w:rPr>
                <w:t>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Amendment, dated as of September 21, 2023, to Memorandum of Agreement #1450 “Fresh Step”® dated as of March 12, 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1odcamproductsma.htm">
              <w:r>
                <w:rPr>
                  <w:rStyle w:val="InternetLink"/>
                  <w:rFonts w:ascii="Times New Roman;sans-serif" w:hAnsi="Times New Roman;sans-serif"/>
                  <w:b w:val="false"/>
                  <w:color w:val="0000FF"/>
                  <w:sz w:val="20"/>
                  <w:u w:val="single"/>
                </w:rPr>
                <w:t>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Code of Ethics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at Oil-Dri’s website at www.oildri.com or in print upon request to Investor Relations, Oil-Dri Corporation of America, 410 North Michigan Avenue, Suite 400, Chicago, IL 60611-4213, telephone (312) 321-1515 or e-mail to info@oildri.com.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Oil-Dri Corporation of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21107312023.htm">
              <w:r>
                <w:rPr>
                  <w:rStyle w:val="InternetLink"/>
                  <w:rFonts w:ascii="Times New Roman;sans-serif" w:hAnsi="Times New Roman;sans-serif"/>
                  <w:b w:val="false"/>
                  <w:color w:val="0000FF"/>
                  <w:sz w:val="20"/>
                  <w:u w:val="single"/>
                </w:rPr>
                <w:t>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23107312023.htm">
              <w:r>
                <w:rPr>
                  <w:rStyle w:val="InternetLink"/>
                  <w:rFonts w:ascii="Times New Roman;sans-serif" w:hAnsi="Times New Roman;sans-serif"/>
                  <w:b w:val="false"/>
                  <w:color w:val="0000FF"/>
                  <w:sz w:val="20"/>
                  <w:u w:val="single"/>
                </w:rPr>
                <w:t>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Certifications pursuant to Rule 13a – 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1107312023.htm">
              <w:r>
                <w:rPr>
                  <w:rStyle w:val="InternetLink"/>
                  <w:rFonts w:ascii="Times New Roman;sans-serif" w:hAnsi="Times New Roman;sans-serif"/>
                  <w:b w:val="false"/>
                  <w:color w:val="0000FF"/>
                  <w:sz w:val="20"/>
                  <w:u w:val="single"/>
                </w:rPr>
                <w:t>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Certifications pursuant to Section 1350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2107312023.htm">
              <w:r>
                <w:rPr>
                  <w:rStyle w:val="InternetLink"/>
                  <w:rFonts w:ascii="Times New Roman;sans-serif" w:hAnsi="Times New Roman;sans-serif"/>
                  <w:b w:val="false"/>
                  <w:color w:val="0000FF"/>
                  <w:sz w:val="20"/>
                  <w:u w:val="single"/>
                </w:rPr>
                <w:t>Furnished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Mine Safety Disclosure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9507312023.htm">
              <w:r>
                <w:rPr>
                  <w:rStyle w:val="InternetLink"/>
                  <w:rFonts w:ascii="Times New Roman;sans-serif" w:hAnsi="Times New Roman;sans-serif"/>
                  <w:b w:val="false"/>
                  <w:color w:val="0000FF"/>
                  <w:sz w:val="20"/>
                  <w:u w:val="single"/>
                </w:rPr>
                <w:t>Filed herewith.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4"/>
        <w:gridCol w:w="250"/>
        <w:gridCol w:w="252"/>
        <w:gridCol w:w="109"/>
        <w:gridCol w:w="109"/>
        <w:gridCol w:w="109"/>
        <w:gridCol w:w="1970"/>
        <w:gridCol w:w="1933"/>
        <w:gridCol w:w="1940"/>
        <w:gridCol w:w="143"/>
        <w:gridCol w:w="143"/>
        <w:gridCol w:w="143"/>
        <w:gridCol w:w="705"/>
        <w:gridCol w:w="705"/>
        <w:gridCol w:w="707"/>
        <w:gridCol w:w="109"/>
        <w:gridCol w:w="109"/>
        <w:gridCol w:w="109"/>
        <w:gridCol w:w="109"/>
        <w:gridCol w:w="109"/>
        <w:gridCol w:w="158"/>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 Document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have been redacted pursuant to Item 601(b)(10) of Regulation S-K. A copy of the omitted portions will be furnished supplementally to the Securities and Exchange Commission upon request.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Oil-Dri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412"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734"/>
        <w:gridCol w:w="734"/>
        <w:gridCol w:w="734"/>
        <w:gridCol w:w="514"/>
        <w:gridCol w:w="514"/>
        <w:gridCol w:w="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S. Jaffee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S. Jaffee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Director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October 12,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Oil-Dri and in the capacities and on the dates indicated:</w:t>
      </w:r>
    </w:p>
    <w:p>
      <w:pPr>
        <w:pStyle w:val="TextBody"/>
        <w:bidi w:val="0"/>
        <w:spacing w:before="0" w:after="0"/>
        <w:ind w:left="0" w:right="0" w:firstLine="225"/>
        <w:jc w:val="both"/>
        <w:rPr/>
      </w:pPr>
      <w:r>
        <w:rPr/>
      </w:r>
    </w:p>
    <w:tbl>
      <w:tblPr>
        <w:tblW w:w="5111" w:type="dxa"/>
        <w:jc w:val="center"/>
        <w:tblInd w:w="0" w:type="dxa"/>
        <w:tblLayout w:type="fixed"/>
        <w:tblCellMar>
          <w:top w:w="28" w:type="dxa"/>
          <w:left w:w="28" w:type="dxa"/>
          <w:bottom w:w="28" w:type="dxa"/>
          <w:right w:w="28" w:type="dxa"/>
        </w:tblCellMar>
      </w:tblPr>
      <w:tblGrid>
        <w:gridCol w:w="1167"/>
        <w:gridCol w:w="1023"/>
        <w:gridCol w:w="1035"/>
        <w:gridCol w:w="109"/>
        <w:gridCol w:w="109"/>
        <w:gridCol w:w="109"/>
        <w:gridCol w:w="456"/>
        <w:gridCol w:w="456"/>
        <w:gridCol w:w="647"/>
      </w:tblGrid>
      <w:tr>
        <w:trPr/>
        <w:tc>
          <w:tcPr>
            <w:tcW w:w="116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S. Jaffee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S. Jaffee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 Chairman of the Board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M. Kreh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M. Kreh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M. Atkinson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M. Atkinson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Corporate Controller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(Controller)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Ellen-Blair Chube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Ellen-Blair Chube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M. Hindsley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M. Hindsley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605" cy="14605"/>
                <wp:effectExtent l="0" t="0" r="0" b="0"/>
                <wp:wrapNone/>
                <wp:docPr id="87" name="Frame8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971" w:type="dxa"/>
        <w:jc w:val="left"/>
        <w:tblInd w:w="0" w:type="dxa"/>
        <w:tblLayout w:type="fixed"/>
        <w:tblCellMar>
          <w:top w:w="28" w:type="dxa"/>
          <w:left w:w="28" w:type="dxa"/>
          <w:bottom w:w="28" w:type="dxa"/>
          <w:right w:w="28" w:type="dxa"/>
        </w:tblCellMar>
      </w:tblPr>
      <w:tblGrid>
        <w:gridCol w:w="754"/>
        <w:gridCol w:w="663"/>
        <w:gridCol w:w="668"/>
        <w:gridCol w:w="109"/>
        <w:gridCol w:w="109"/>
        <w:gridCol w:w="109"/>
        <w:gridCol w:w="456"/>
        <w:gridCol w:w="456"/>
        <w:gridCol w:w="647"/>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 Nemeroff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A. Nemeroff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C. Roeth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George C. Roeth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Amy 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Amy 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J. Schmeda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Patricia J. Schmeda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Allan H. Selig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Allan H. Selig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E. Suckow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E. Suckow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Lawrence E. Washow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Lawrence E. Washow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bidi w:val="0"/>
        <w:spacing w:lineRule="auto" w:line="288" w:before="0" w:after="0"/>
        <w:jc w:val="left"/>
        <w:rPr>
          <w:color w:val="000000"/>
        </w:rPr>
      </w:pPr>
      <w:r>
        <w:rPr>
          <w:color w:val="000000"/>
        </w:rPr>
        <w:t> </w:t>
      </w:r>
    </w:p>
    <w:tbl>
      <w:tblPr>
        <w:tblW w:w="7213" w:type="dxa"/>
        <w:jc w:val="center"/>
        <w:tblInd w:w="0" w:type="dxa"/>
        <w:tblLayout w:type="fixed"/>
        <w:tblCellMar>
          <w:top w:w="28" w:type="dxa"/>
          <w:left w:w="28" w:type="dxa"/>
          <w:bottom w:w="28" w:type="dxa"/>
          <w:right w:w="28" w:type="dxa"/>
        </w:tblCellMar>
      </w:tblPr>
      <w:tblGrid>
        <w:gridCol w:w="1597"/>
        <w:gridCol w:w="1402"/>
        <w:gridCol w:w="1410"/>
        <w:gridCol w:w="109"/>
        <w:gridCol w:w="109"/>
        <w:gridCol w:w="109"/>
        <w:gridCol w:w="211"/>
        <w:gridCol w:w="631"/>
        <w:gridCol w:w="109"/>
        <w:gridCol w:w="109"/>
        <w:gridCol w:w="109"/>
        <w:gridCol w:w="109"/>
        <w:gridCol w:w="211"/>
        <w:gridCol w:w="616"/>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and cash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(Reduction) addition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recovery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reserve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4.1: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Authorized Shares of Capital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as of July 31, 2023 and 2022 consisted of 15,000,000 shares of Common Stock, 7,000,000 shares of Class B Stock and 30,000,000 shares of Class A Common Stock, each with a par value of $.10 per share. There are no Class A Common Stock shares currently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 entitled to one vote per share and Class B Stock is entitled to ten votes per share, while Class A Common Stock has no voting rights except in accordance with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Conversion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and Class A Common Stock have no conversion rights. Class B Stock is convertible on a share-by-share basis into Common Stock at any time and is subject to mandatory conversion under certain circumstances.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Duration of Class Rights and Powers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when the shares of Class B Stock cease to account for at least 20% of the total of both shares of Common Stock and Class B Stock outstanding, or for a period of one year do not account for at least 10% of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Liquidation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Restrictions on Sale and Transfer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Class B Stock is subject to restrictions that permit the sale or transfer of these shares only to certain permitted transferees.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 Redemption or Preemptive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common stock have no preemptive, redemption or subscription rights.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Exhibit 10.40</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CERTAIN IDENTIFIED INFORMATION HAS BEEN EXCLUDED FROM THIS EXHIBIT BECAUSE IT IS NOT MATERIAL AND WOULD LIKELY CAUSE COMPETITIVE HARM TO THE REGISTRANT IF PUBLICLY DISCLOSED. [***] INDICATES THAT INFORMATION HAS BEEN REDACTED.</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SIXTH AMENDMENT TO AGREEMENT 1450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37" w:before="0" w:after="0"/>
        <w:ind w:left="0" w:right="0" w:firstLine="100"/>
        <w:jc w:val="left"/>
        <w:rPr/>
      </w:pPr>
      <w:r>
        <w:rPr>
          <w:rFonts w:ascii="Arial;sans-serif" w:hAnsi="Arial;sans-serif"/>
          <w:b w:val="false"/>
          <w:color w:val="000000"/>
          <w:sz w:val="22"/>
        </w:rPr>
        <w:t xml:space="preserve">This Sixth Amendment to Memorandum of Agreement #1450 (MOA) is made on June __, 2023, by and between </w:t>
      </w:r>
      <w:r>
        <w:rPr>
          <w:rFonts w:ascii="Arial;sans-serif" w:hAnsi="Arial;sans-serif"/>
          <w:b/>
          <w:color w:val="000000"/>
          <w:sz w:val="22"/>
        </w:rPr>
        <w:t>A &amp; M Products Manufacturing Company</w:t>
      </w:r>
      <w:r>
        <w:rPr>
          <w:rFonts w:ascii="Arial;sans-serif" w:hAnsi="Arial;sans-serif"/>
          <w:b w:val="false"/>
          <w:color w:val="000000"/>
          <w:sz w:val="22"/>
        </w:rPr>
        <w:t>, 1221 Broadway, Oakland, California, 94612, hereinafter “</w:t>
      </w:r>
      <w:r>
        <w:rPr>
          <w:rFonts w:ascii="Arial;sans-serif" w:hAnsi="Arial;sans-serif"/>
          <w:b/>
          <w:color w:val="000000"/>
          <w:sz w:val="22"/>
        </w:rPr>
        <w:t>Buyer</w:t>
      </w:r>
      <w:r>
        <w:rPr>
          <w:color w:val="000000"/>
        </w:rPr>
        <w:t xml:space="preserve">” </w:t>
      </w:r>
      <w:r>
        <w:rPr>
          <w:rFonts w:ascii="Arial;sans-serif" w:hAnsi="Arial;sans-serif"/>
          <w:b w:val="false"/>
          <w:color w:val="000000"/>
          <w:sz w:val="22"/>
        </w:rPr>
        <w:t xml:space="preserve">and </w:t>
      </w:r>
      <w:r>
        <w:rPr>
          <w:rFonts w:ascii="Arial;sans-serif" w:hAnsi="Arial;sans-serif"/>
          <w:b/>
          <w:color w:val="000000"/>
          <w:sz w:val="22"/>
        </w:rPr>
        <w:t>Oil-Dri Corporation of America</w:t>
      </w:r>
      <w:r>
        <w:rPr>
          <w:rFonts w:ascii="Arial;sans-serif" w:hAnsi="Arial;sans-serif"/>
          <w:b w:val="false"/>
          <w:color w:val="000000"/>
          <w:sz w:val="22"/>
        </w:rPr>
        <w:t>, 410 N. Michigan Avenue, Chicago, Illinois 60611, hereinafter “</w:t>
      </w:r>
      <w:r>
        <w:rPr>
          <w:rFonts w:ascii="Arial;sans-serif" w:hAnsi="Arial;sans-serif"/>
          <w:b/>
          <w:color w:val="000000"/>
          <w:sz w:val="22"/>
        </w:rPr>
        <w:t>Seller</w:t>
      </w:r>
      <w:r>
        <w:rPr>
          <w:color w:val="000000"/>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631"/>
        <w:jc w:val="center"/>
        <w:rPr>
          <w:rFonts w:ascii="Arial;sans-serif" w:hAnsi="Arial;sans-serif"/>
          <w:b w:val="false"/>
          <w:color w:val="000000"/>
          <w:sz w:val="22"/>
        </w:rPr>
      </w:pPr>
      <w:r>
        <w:rPr>
          <w:rFonts w:ascii="Arial;sans-serif" w:hAnsi="Arial;sans-serif"/>
          <w:b w:val="false"/>
          <w:color w:val="000000"/>
          <w:sz w:val="22"/>
        </w:rPr>
        <w:t>RECITALS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A.Buyer and Seller are parties to Memorandum of Agreement (“</w:t>
      </w:r>
      <w:r>
        <w:rPr>
          <w:rFonts w:ascii="Arial;sans-serif" w:hAnsi="Arial;sans-serif"/>
          <w:b/>
          <w:color w:val="000000"/>
          <w:sz w:val="22"/>
        </w:rPr>
        <w:t>MOA</w:t>
      </w:r>
      <w:r>
        <w:rPr>
          <w:color w:val="000000"/>
        </w:rPr>
        <w:t>”</w:t>
      </w:r>
      <w:r>
        <w:rPr>
          <w:rFonts w:ascii="Arial;sans-serif" w:hAnsi="Arial;sans-serif"/>
          <w:b w:val="false"/>
          <w:color w:val="000000"/>
          <w:sz w:val="22"/>
        </w:rPr>
        <w:t>), as amended, dated March 12, 2001, as amended by the First Amendment, dated December 13, 2002, and the Second Amendment, dated October 15, 2007, and the Third Amendment, dated May 27, 2016, the Fourth Amendment, dated December 4, 2020 and the Fifth Amendment, dated April 14, 2023 (the “</w:t>
      </w:r>
      <w:r>
        <w:rPr>
          <w:rFonts w:ascii="Arial;sans-serif" w:hAnsi="Arial;sans-serif"/>
          <w:b/>
          <w:color w:val="000000"/>
          <w:sz w:val="22"/>
        </w:rPr>
        <w:t>Original Agreement</w:t>
      </w:r>
      <w:r>
        <w:rPr>
          <w:color w:val="000000"/>
        </w:rPr>
        <w:t>”</w:t>
      </w:r>
      <w:r>
        <w:rPr>
          <w:rFonts w:ascii="Arial;sans-serif" w:hAnsi="Arial;sans-serif"/>
          <w:b w:val="false"/>
          <w:color w:val="000000"/>
          <w:sz w:val="22"/>
        </w:rPr>
        <w:t>);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A.Seller and Buyer wish to amend the Original Agreement as hereinafter set forth.</w:t>
      </w:r>
    </w:p>
    <w:p>
      <w:pPr>
        <w:pStyle w:val="TextBody"/>
        <w:bidi w:val="0"/>
        <w:spacing w:before="0" w:after="0"/>
        <w:jc w:val="left"/>
        <w:rPr/>
      </w:pPr>
      <w:r>
        <w:rPr/>
      </w:r>
    </w:p>
    <w:p>
      <w:pPr>
        <w:pStyle w:val="TextBody"/>
        <w:bidi w:val="0"/>
        <w:spacing w:lineRule="auto" w:line="268" w:before="0" w:after="0"/>
        <w:ind w:left="0" w:right="0" w:firstLine="819"/>
        <w:jc w:val="left"/>
        <w:rPr>
          <w:rFonts w:ascii="Arial;sans-serif" w:hAnsi="Arial;sans-serif"/>
          <w:b w:val="false"/>
          <w:color w:val="000000"/>
          <w:sz w:val="22"/>
        </w:rPr>
      </w:pPr>
      <w:r>
        <w:rPr>
          <w:rFonts w:ascii="Arial;sans-serif" w:hAnsi="Arial;sans-serif"/>
          <w:b w:val="false"/>
          <w:color w:val="000000"/>
          <w:sz w:val="22"/>
        </w:rPr>
        <w:t>NOW THEREFORE, for good and valuable consideration, the receipt and sufficiency of which are hereby acknowledged and accepted, the parties hereby agree to amend the Original Agreement as follows: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color w:val="000000"/>
          <w:sz w:val="22"/>
        </w:rPr>
        <w:t>Schedule 1. Section B</w:t>
      </w:r>
      <w:r>
        <w:rPr>
          <w:rFonts w:ascii="Arial;sans-serif" w:hAnsi="Arial;sans-serif"/>
          <w:b w:val="false"/>
          <w:color w:val="000000"/>
          <w:sz w:val="22"/>
        </w:rPr>
        <w:t xml:space="preserve">. </w:t>
      </w:r>
      <w:r>
        <w:rPr>
          <w:rFonts w:ascii="Arial;sans-serif" w:hAnsi="Arial;sans-serif"/>
          <w:b/>
          <w:color w:val="000000"/>
          <w:sz w:val="22"/>
        </w:rPr>
        <w:t xml:space="preserve">Term. </w:t>
      </w:r>
      <w:r>
        <w:rPr>
          <w:rFonts w:ascii="Arial;sans-serif" w:hAnsi="Arial;sans-serif"/>
          <w:b w:val="false"/>
          <w:color w:val="000000"/>
          <w:sz w:val="22"/>
        </w:rPr>
        <w:t>is amended and restated in its entirety to read as follows:</w:t>
      </w:r>
    </w:p>
    <w:p>
      <w:pPr>
        <w:pStyle w:val="TextBody"/>
        <w:bidi w:val="0"/>
        <w:spacing w:before="0" w:after="0"/>
        <w:jc w:val="left"/>
        <w:rPr/>
      </w:pPr>
      <w:r>
        <w:rPr/>
      </w:r>
    </w:p>
    <w:p>
      <w:pPr>
        <w:pStyle w:val="TextBody"/>
        <w:bidi w:val="0"/>
        <w:spacing w:lineRule="auto" w:line="268" w:before="0" w:after="0"/>
        <w:ind w:left="0" w:right="0" w:firstLine="820"/>
        <w:jc w:val="left"/>
        <w:rPr/>
      </w:pPr>
      <w:r>
        <w:rPr>
          <w:color w:val="000000"/>
        </w:rPr>
        <w:t>“</w:t>
      </w:r>
      <w:r>
        <w:rPr>
          <w:rFonts w:ascii="Arial;sans-serif" w:hAnsi="Arial;sans-serif"/>
          <w:b w:val="false"/>
          <w:color w:val="000000"/>
          <w:sz w:val="22"/>
        </w:rPr>
        <w:t xml:space="preserve">The initial term of this Agreement (“Initial Term”) will commence as of a Commencement Date of March 12, 2001 and expiring at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unless sooner terminated pursuant to this Agreement.”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color w:val="000000"/>
          <w:sz w:val="22"/>
        </w:rPr>
        <w:t>Schedule 1. Section E.(2)</w:t>
      </w:r>
      <w:r>
        <w:rPr>
          <w:rFonts w:ascii="Arial;sans-serif" w:hAnsi="Arial;sans-serif"/>
          <w:b w:val="false"/>
          <w:color w:val="000000"/>
          <w:sz w:val="22"/>
        </w:rPr>
        <w:t xml:space="preserve">. </w:t>
      </w:r>
      <w:r>
        <w:rPr>
          <w:rFonts w:ascii="Arial;sans-serif" w:hAnsi="Arial;sans-serif"/>
          <w:b/>
          <w:color w:val="000000"/>
          <w:sz w:val="22"/>
          <w:u w:val="single"/>
        </w:rPr>
        <w:t>Ochlocknee Product</w:t>
      </w:r>
      <w:r>
        <w:rPr>
          <w:rFonts w:ascii="Arial;sans-serif" w:hAnsi="Arial;sans-serif"/>
          <w:b/>
          <w:color w:val="000000"/>
          <w:sz w:val="22"/>
        </w:rPr>
        <w:t xml:space="preserve">. </w:t>
      </w:r>
      <w:r>
        <w:rPr>
          <w:rFonts w:ascii="Arial;sans-serif" w:hAnsi="Arial;sans-serif"/>
          <w:b w:val="false"/>
          <w:color w:val="000000"/>
          <w:sz w:val="22"/>
        </w:rPr>
        <w:t>is amended to add the following sentence:</w:t>
      </w:r>
    </w:p>
    <w:p>
      <w:pPr>
        <w:pStyle w:val="TextBody"/>
        <w:bidi w:val="0"/>
        <w:spacing w:before="0" w:after="0"/>
        <w:jc w:val="left"/>
        <w:rPr/>
      </w:pPr>
      <w:r>
        <w:rPr/>
      </w:r>
    </w:p>
    <w:p>
      <w:pPr>
        <w:pStyle w:val="TextBody"/>
        <w:bidi w:val="0"/>
        <w:spacing w:lineRule="auto" w:line="268" w:before="0" w:after="0"/>
        <w:ind w:left="0" w:right="0" w:firstLine="100"/>
        <w:jc w:val="left"/>
        <w:rPr/>
      </w:pPr>
      <w:r>
        <w:rPr>
          <w:color w:val="000000"/>
        </w:rPr>
        <w:t>“</w:t>
      </w:r>
      <w:r>
        <w:rPr>
          <w:rFonts w:ascii="Arial;sans-serif" w:hAnsi="Arial;sans-serif"/>
          <w:b w:val="false"/>
          <w:color w:val="000000"/>
          <w:sz w:val="22"/>
        </w:rPr>
        <w:t xml:space="preserve">Notwithstanding anything herein to the contrary, the Base Price for the product from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through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shall be </w:t>
      </w:r>
      <w:r>
        <w:rPr>
          <w:rFonts w:ascii="Arial;sans-serif" w:hAnsi="Arial;sans-serif"/>
          <w:b/>
          <w:color w:val="000000"/>
          <w:sz w:val="22"/>
        </w:rPr>
        <w:t>[***]</w:t>
      </w:r>
      <w:r>
        <w:rPr>
          <w:rFonts w:ascii="Arial;sans-serif" w:hAnsi="Arial;sans-serif"/>
          <w:b w:val="false"/>
          <w:color w:val="000000"/>
          <w:sz w:val="22"/>
        </w:rPr>
        <w:t xml:space="preserve">, and the Base Price for the product from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through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shall be </w:t>
      </w:r>
      <w:r>
        <w:rPr>
          <w:rFonts w:ascii="Arial;sans-serif" w:hAnsi="Arial;sans-serif"/>
          <w:b/>
          <w:color w:val="000000"/>
          <w:sz w:val="22"/>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a.The terms of the Original Agreement shall remain in full force and effect except as amended, modified and superseded hereby. Capitalized terms not otherwise defined herein shall have the same meanings as set forth in the Original Agreement.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a.The parties represent and warrant to each other that any person or entity purporting to have the authority to enter into this Amendment on behalf of or for the benefit of a party has such authority.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a.This Amendment may be executed by use of electronic signature and may be executed in counterparts, each of which shall be deemed to be an original, but all of which, taken together, shall constitute one and the same agreement. Delivery of an executed counterpart of this agreement by electronic means, including by an electronic signature service provider complying with the provisions of the federal E-SIGN Act, the Uniform Electronic Transactions Act and/or other applicable law, portable document format (PDF) or by other electronic means shall be equally effective as delivery of an original by mail.</w:t>
      </w:r>
    </w:p>
    <w:p>
      <w:pPr>
        <w:pStyle w:val="TextBody"/>
        <w:bidi w:val="0"/>
        <w:spacing w:before="0" w:after="0"/>
        <w:jc w:val="left"/>
        <w:rPr/>
      </w:pPr>
      <w:r>
        <w:rPr/>
      </w:r>
    </w:p>
    <w:p>
      <w:pPr>
        <w:pStyle w:val="TextBody"/>
        <w:bidi w:val="0"/>
        <w:spacing w:lineRule="auto" w:line="268" w:before="0" w:after="0"/>
        <w:ind w:left="0" w:right="0" w:firstLine="634"/>
        <w:jc w:val="center"/>
        <w:rPr/>
      </w:pPr>
      <w:r>
        <w:rPr>
          <w:rFonts w:ascii="Arial;sans-serif" w:hAnsi="Arial;sans-serif"/>
          <w:b w:val="false"/>
          <w:color w:val="000000"/>
          <w:sz w:val="22"/>
        </w:rPr>
        <w:t>[</w:t>
      </w:r>
      <w:r>
        <w:rPr>
          <w:rFonts w:ascii="Arial;sans-serif" w:hAnsi="Arial;sans-serif"/>
          <w:b w:val="false"/>
          <w:i/>
          <w:color w:val="000000"/>
          <w:sz w:val="22"/>
        </w:rPr>
        <w:t>The remainder of this page is intentionally left blank. Signature page follows.</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819"/>
        <w:jc w:val="left"/>
        <w:rPr>
          <w:rFonts w:ascii="Arial;sans-serif" w:hAnsi="Arial;sans-serif"/>
          <w:b w:val="false"/>
          <w:color w:val="000000"/>
          <w:sz w:val="22"/>
        </w:rPr>
      </w:pPr>
      <w:r>
        <w:rPr>
          <w:rFonts w:ascii="Arial;sans-serif" w:hAnsi="Arial;sans-serif"/>
          <w:b w:val="false"/>
          <w:color w:val="000000"/>
          <w:sz w:val="22"/>
        </w:rPr>
        <w:t>IN WITNESS WHEREOF, the undersigned have caused this Amendment to be signed, all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2" w:before="0" w:after="0"/>
        <w:ind w:left="0" w:right="0" w:firstLine="208"/>
        <w:jc w:val="left"/>
        <w:rPr/>
      </w:pPr>
      <w:r>
        <w:rPr>
          <w:rFonts w:ascii="Arial;sans-serif" w:hAnsi="Arial;sans-serif"/>
          <w:b/>
          <w:color w:val="000000"/>
          <w:sz w:val="22"/>
        </w:rPr>
        <w:t>BUYER</w:t>
      </w:r>
      <w:r>
        <w:rPr>
          <w:rFonts w:ascii="Arial;sans-serif" w:hAnsi="Arial;sans-serif"/>
          <w:b w:val="false"/>
          <w:color w:val="000000"/>
          <w:sz w:val="22"/>
        </w:rPr>
        <w:t>: A &amp; M Products Manufacturing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Tom Alexander</w:t>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color w:val="000000"/>
          <w:sz w:val="22"/>
        </w:rPr>
        <w:t>SELLER</w:t>
      </w:r>
      <w:r>
        <w:rPr>
          <w:rFonts w:ascii="Arial;sans-serif" w:hAnsi="Arial;sans-serif"/>
          <w:b w:val="false"/>
          <w:color w:val="000000"/>
          <w:sz w:val="22"/>
        </w:rPr>
        <w:t>: Oil Dri Corporation of America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Dan Jaffee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Exhibit 10.41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CERTAIN IDENTIFIED INFORMATION HAS BEEN EXCLUDED FROM THIS EXHIBIT BECAUSE IT IS NOT MATERIAL AND WOULD LIKELY CAUSE COMPETITIVE HARM TO THE REGISTRANT IF PUBLICLY DISCLOSED. [***] INDICATES THAT INFORMATION HAS BEEN REDACTED.</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SEVENTH AMENDMENT TO AGREEMENT 1450</w:t>
      </w:r>
    </w:p>
    <w:p>
      <w:pPr>
        <w:pStyle w:val="TextBody"/>
        <w:bidi w:val="0"/>
        <w:spacing w:before="0" w:after="0"/>
        <w:jc w:val="center"/>
        <w:rPr/>
      </w:pPr>
      <w:r>
        <w:rPr/>
      </w:r>
    </w:p>
    <w:p>
      <w:pPr>
        <w:pStyle w:val="TextBody"/>
        <w:bidi w:val="0"/>
        <w:spacing w:lineRule="auto" w:line="237" w:before="0" w:after="0"/>
        <w:jc w:val="left"/>
        <w:rPr/>
      </w:pPr>
      <w:r>
        <w:rPr>
          <w:rFonts w:ascii="Arial;sans-serif" w:hAnsi="Arial;sans-serif"/>
          <w:b w:val="false"/>
          <w:color w:val="000000"/>
          <w:sz w:val="22"/>
        </w:rPr>
        <w:t xml:space="preserve">This Seventh Amendment to Memorandum of Agreement #1450 (MOA) is made on September 21, 2023, by and between </w:t>
      </w:r>
      <w:r>
        <w:rPr>
          <w:rFonts w:ascii="Arial;sans-serif" w:hAnsi="Arial;sans-serif"/>
          <w:b/>
          <w:color w:val="000000"/>
          <w:sz w:val="22"/>
        </w:rPr>
        <w:t>A &amp; M Products Manufacturing Company</w:t>
      </w:r>
      <w:r>
        <w:rPr>
          <w:rFonts w:ascii="Arial;sans-serif" w:hAnsi="Arial;sans-serif"/>
          <w:b w:val="false"/>
          <w:color w:val="000000"/>
          <w:sz w:val="22"/>
        </w:rPr>
        <w:t>, 1221 Broadway, Oakland, California, 94612, hereinafter “</w:t>
      </w:r>
      <w:r>
        <w:rPr>
          <w:rFonts w:ascii="Arial;sans-serif" w:hAnsi="Arial;sans-serif"/>
          <w:b/>
          <w:color w:val="000000"/>
          <w:sz w:val="22"/>
        </w:rPr>
        <w:t>Buyer</w:t>
      </w:r>
      <w:r>
        <w:rPr>
          <w:color w:val="000000"/>
        </w:rPr>
        <w:t xml:space="preserve">” </w:t>
      </w:r>
      <w:r>
        <w:rPr>
          <w:rFonts w:ascii="Arial;sans-serif" w:hAnsi="Arial;sans-serif"/>
          <w:b w:val="false"/>
          <w:color w:val="000000"/>
          <w:sz w:val="22"/>
        </w:rPr>
        <w:t xml:space="preserve">and </w:t>
      </w:r>
      <w:r>
        <w:rPr>
          <w:rFonts w:ascii="Arial;sans-serif" w:hAnsi="Arial;sans-serif"/>
          <w:b/>
          <w:color w:val="000000"/>
          <w:sz w:val="22"/>
        </w:rPr>
        <w:t>Oil-Dri Corporation of America</w:t>
      </w:r>
      <w:r>
        <w:rPr>
          <w:rFonts w:ascii="Arial;sans-serif" w:hAnsi="Arial;sans-serif"/>
          <w:b w:val="false"/>
          <w:color w:val="000000"/>
          <w:sz w:val="22"/>
        </w:rPr>
        <w:t>, 410 N. Michigan Avenue, Chicago, Illinois 60611, hereinafter “</w:t>
      </w:r>
      <w:r>
        <w:rPr>
          <w:rFonts w:ascii="Arial;sans-serif" w:hAnsi="Arial;sans-serif"/>
          <w:b/>
          <w:color w:val="000000"/>
          <w:sz w:val="22"/>
        </w:rPr>
        <w:t>Seller</w:t>
      </w:r>
      <w:r>
        <w:rPr>
          <w:color w:val="000000"/>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631"/>
        <w:jc w:val="center"/>
        <w:rPr>
          <w:rFonts w:ascii="Arial;sans-serif" w:hAnsi="Arial;sans-serif"/>
          <w:b w:val="false"/>
          <w:color w:val="000000"/>
          <w:sz w:val="22"/>
        </w:rPr>
      </w:pPr>
      <w:r>
        <w:rPr>
          <w:rFonts w:ascii="Arial;sans-serif" w:hAnsi="Arial;sans-serif"/>
          <w:b w:val="false"/>
          <w:color w:val="000000"/>
          <w:sz w:val="22"/>
        </w:rPr>
        <w:t>RECITALS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A.Buyer and Seller are parties to Memorandum of Agreement (“</w:t>
      </w:r>
      <w:r>
        <w:rPr>
          <w:rFonts w:ascii="Arial;sans-serif" w:hAnsi="Arial;sans-serif"/>
          <w:b/>
          <w:color w:val="000000"/>
          <w:sz w:val="22"/>
        </w:rPr>
        <w:t>MOA</w:t>
      </w:r>
      <w:r>
        <w:rPr>
          <w:color w:val="000000"/>
        </w:rPr>
        <w:t>”</w:t>
      </w:r>
      <w:r>
        <w:rPr>
          <w:rFonts w:ascii="Arial;sans-serif" w:hAnsi="Arial;sans-serif"/>
          <w:b w:val="false"/>
          <w:color w:val="000000"/>
          <w:sz w:val="22"/>
        </w:rPr>
        <w:t>), as amended, dated March 12, 2001, as amended by the First Amendment, dated December 13, 2002, and the Second Amendment, dated October 15, 2007, and the Third Amendment, dated May 27, 2016, the Fourth Amendment, dated December 4, 2020, the Fifth Amendment, dated April 14, 2023 and the Sixth Amendment, dated June 29, 2023 (the “</w:t>
      </w:r>
      <w:r>
        <w:rPr>
          <w:rFonts w:ascii="Arial;sans-serif" w:hAnsi="Arial;sans-serif"/>
          <w:b/>
          <w:color w:val="000000"/>
          <w:sz w:val="22"/>
        </w:rPr>
        <w:t>Original Agreement</w:t>
      </w:r>
      <w:r>
        <w:rPr>
          <w:color w:val="000000"/>
        </w:rPr>
        <w:t>”</w:t>
      </w:r>
      <w:r>
        <w:rPr>
          <w:rFonts w:ascii="Arial;sans-serif" w:hAnsi="Arial;sans-serif"/>
          <w:b w:val="false"/>
          <w:color w:val="000000"/>
          <w:sz w:val="22"/>
        </w:rPr>
        <w:t>);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A.Seller and Buyer wish to amend the Original Agreement as hereinafter set forth.</w:t>
      </w:r>
    </w:p>
    <w:p>
      <w:pPr>
        <w:pStyle w:val="TextBody"/>
        <w:bidi w:val="0"/>
        <w:spacing w:before="0" w:after="0"/>
        <w:jc w:val="left"/>
        <w:rPr/>
      </w:pPr>
      <w:r>
        <w:rPr/>
      </w:r>
    </w:p>
    <w:p>
      <w:pPr>
        <w:pStyle w:val="TextBody"/>
        <w:bidi w:val="0"/>
        <w:spacing w:lineRule="auto" w:line="268" w:before="0" w:after="0"/>
        <w:ind w:left="0" w:right="0" w:firstLine="819"/>
        <w:jc w:val="left"/>
        <w:rPr>
          <w:rFonts w:ascii="Arial;sans-serif" w:hAnsi="Arial;sans-serif"/>
          <w:b w:val="false"/>
          <w:color w:val="000000"/>
          <w:sz w:val="22"/>
        </w:rPr>
      </w:pPr>
      <w:r>
        <w:rPr>
          <w:rFonts w:ascii="Arial;sans-serif" w:hAnsi="Arial;sans-serif"/>
          <w:b w:val="false"/>
          <w:color w:val="000000"/>
          <w:sz w:val="22"/>
        </w:rPr>
        <w:t>NOW THEREFORE, for good and valuable consideration, the receipt and sufficiency of which are hereby acknowledged and accepted, the parties hereby agree to amend the Original Agreement as follows: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color w:val="000000"/>
          <w:sz w:val="22"/>
        </w:rPr>
        <w:t>Schedule 1. Section B</w:t>
      </w:r>
      <w:r>
        <w:rPr>
          <w:rFonts w:ascii="Arial;sans-serif" w:hAnsi="Arial;sans-serif"/>
          <w:b w:val="false"/>
          <w:color w:val="000000"/>
          <w:sz w:val="22"/>
        </w:rPr>
        <w:t xml:space="preserve">. </w:t>
      </w:r>
      <w:r>
        <w:rPr>
          <w:rFonts w:ascii="Arial;sans-serif" w:hAnsi="Arial;sans-serif"/>
          <w:b/>
          <w:color w:val="000000"/>
          <w:sz w:val="22"/>
        </w:rPr>
        <w:t xml:space="preserve">Term. </w:t>
      </w:r>
      <w:r>
        <w:rPr>
          <w:rFonts w:ascii="Arial;sans-serif" w:hAnsi="Arial;sans-serif"/>
          <w:b w:val="false"/>
          <w:color w:val="000000"/>
          <w:sz w:val="22"/>
        </w:rPr>
        <w:t>is amended and restated in its entirety to read as follows:</w:t>
      </w:r>
    </w:p>
    <w:p>
      <w:pPr>
        <w:pStyle w:val="TextBody"/>
        <w:bidi w:val="0"/>
        <w:spacing w:before="0" w:after="0"/>
        <w:jc w:val="left"/>
        <w:rPr/>
      </w:pPr>
      <w:r>
        <w:rPr/>
      </w:r>
    </w:p>
    <w:p>
      <w:pPr>
        <w:pStyle w:val="TextBody"/>
        <w:bidi w:val="0"/>
        <w:spacing w:lineRule="auto" w:line="268" w:before="0" w:after="0"/>
        <w:ind w:left="0" w:right="0" w:firstLine="820"/>
        <w:jc w:val="left"/>
        <w:rPr/>
      </w:pPr>
      <w:r>
        <w:rPr>
          <w:color w:val="000000"/>
        </w:rPr>
        <w:t>“</w:t>
      </w:r>
      <w:r>
        <w:rPr>
          <w:rFonts w:ascii="Arial;sans-serif" w:hAnsi="Arial;sans-serif"/>
          <w:b w:val="false"/>
          <w:color w:val="000000"/>
          <w:sz w:val="22"/>
        </w:rPr>
        <w:t xml:space="preserve">The initial term of this Agreement (“Initial Term”) will commence as of a Commencement Date of March 12, 2001 and expiring at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unless sooner terminated pursuant to this Agreement.”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w:t>
      </w:r>
      <w:r>
        <w:rPr>
          <w:rFonts w:ascii="Arial;sans-serif" w:hAnsi="Arial;sans-serif"/>
          <w:b/>
          <w:color w:val="000000"/>
          <w:sz w:val="22"/>
        </w:rPr>
        <w:t>Schedule 1. Section E.(2)</w:t>
      </w:r>
      <w:r>
        <w:rPr>
          <w:rFonts w:ascii="Arial;sans-serif" w:hAnsi="Arial;sans-serif"/>
          <w:b w:val="false"/>
          <w:color w:val="000000"/>
          <w:sz w:val="22"/>
        </w:rPr>
        <w:t xml:space="preserve">. </w:t>
      </w:r>
      <w:r>
        <w:rPr>
          <w:rFonts w:ascii="Arial;sans-serif" w:hAnsi="Arial;sans-serif"/>
          <w:b/>
          <w:color w:val="000000"/>
          <w:sz w:val="22"/>
          <w:u w:val="single"/>
        </w:rPr>
        <w:t>Ochlocknee Product</w:t>
      </w:r>
      <w:r>
        <w:rPr>
          <w:rFonts w:ascii="Arial;sans-serif" w:hAnsi="Arial;sans-serif"/>
          <w:b/>
          <w:color w:val="000000"/>
          <w:sz w:val="22"/>
        </w:rPr>
        <w:t xml:space="preserve">. </w:t>
      </w:r>
      <w:r>
        <w:rPr>
          <w:rFonts w:ascii="Arial;sans-serif" w:hAnsi="Arial;sans-serif"/>
          <w:b w:val="false"/>
          <w:color w:val="000000"/>
          <w:sz w:val="22"/>
        </w:rPr>
        <w:t>is amended to add the following sentence:</w:t>
      </w:r>
    </w:p>
    <w:p>
      <w:pPr>
        <w:pStyle w:val="TextBody"/>
        <w:bidi w:val="0"/>
        <w:spacing w:before="0" w:after="0"/>
        <w:jc w:val="left"/>
        <w:rPr/>
      </w:pPr>
      <w:r>
        <w:rPr/>
      </w:r>
    </w:p>
    <w:p>
      <w:pPr>
        <w:pStyle w:val="TextBody"/>
        <w:bidi w:val="0"/>
        <w:spacing w:lineRule="auto" w:line="268" w:before="0" w:after="0"/>
        <w:ind w:left="0" w:right="0" w:firstLine="100"/>
        <w:jc w:val="left"/>
        <w:rPr/>
      </w:pPr>
      <w:r>
        <w:rPr>
          <w:color w:val="000000"/>
        </w:rPr>
        <w:t>“</w:t>
      </w:r>
      <w:r>
        <w:rPr>
          <w:rFonts w:ascii="Arial;sans-serif" w:hAnsi="Arial;sans-serif"/>
          <w:b w:val="false"/>
          <w:color w:val="000000"/>
          <w:sz w:val="22"/>
        </w:rPr>
        <w:t xml:space="preserve">Notwithstanding anything herein to the contrary, the Base Price for the product from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through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shall be </w:t>
      </w:r>
      <w:r>
        <w:rPr>
          <w:rFonts w:ascii="Arial;sans-serif" w:hAnsi="Arial;sans-serif"/>
          <w:b/>
          <w:color w:val="000000"/>
          <w:sz w:val="22"/>
        </w:rPr>
        <w:t>[***]</w:t>
      </w:r>
      <w:r>
        <w:rPr>
          <w:rFonts w:ascii="Arial;sans-serif" w:hAnsi="Arial;sans-serif"/>
          <w:b w:val="false"/>
          <w:color w:val="000000"/>
          <w:sz w:val="22"/>
        </w:rPr>
        <w:t xml:space="preserve">, and the Base Price for the product from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through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shall be </w:t>
      </w:r>
      <w:r>
        <w:rPr>
          <w:rFonts w:ascii="Arial;sans-serif" w:hAnsi="Arial;sans-serif"/>
          <w:b/>
          <w:color w:val="000000"/>
          <w:sz w:val="22"/>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a.The terms of the Original Agreement shall remain in full force and effect except as amended, modified and superseded hereby. Capitalized terms not otherwise defined herein shall have the same meanings as set forth in the Original Agreement.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a.The parties represent and warrant to each other that any person or entity purporting to have the authority to enter into this Amendment on behalf of or for the benefit of a party has such authority.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a.This Amendment may be executed by use of electronic signature and may be executed in counterparts, each of which shall be deemed to be an original, but all of which, taken together, shall constitute one and the same agreement. Delivery of an executed counterpart of this agreement by electronic means, including by an electronic signature service provider complying with the provisions of the federal E-SIGN Act, the Uniform Electronic Transactions Act and/or other applicable law, portable document format (PDF) or by other electronic means shall be equally effective as delivery of an original by mail.</w:t>
      </w:r>
    </w:p>
    <w:p>
      <w:pPr>
        <w:pStyle w:val="TextBody"/>
        <w:bidi w:val="0"/>
        <w:spacing w:before="0" w:after="0"/>
        <w:jc w:val="left"/>
        <w:rPr/>
      </w:pPr>
      <w:r>
        <w:rPr/>
      </w:r>
    </w:p>
    <w:p>
      <w:pPr>
        <w:pStyle w:val="TextBody"/>
        <w:bidi w:val="0"/>
        <w:spacing w:lineRule="auto" w:line="268" w:before="0" w:after="0"/>
        <w:ind w:left="0" w:right="0" w:firstLine="634"/>
        <w:jc w:val="center"/>
        <w:rPr/>
      </w:pPr>
      <w:r>
        <w:rPr>
          <w:rFonts w:ascii="Arial;sans-serif" w:hAnsi="Arial;sans-serif"/>
          <w:b w:val="false"/>
          <w:color w:val="000000"/>
          <w:sz w:val="22"/>
        </w:rPr>
        <w:t>[</w:t>
      </w:r>
      <w:r>
        <w:rPr>
          <w:rFonts w:ascii="Arial;sans-serif" w:hAnsi="Arial;sans-serif"/>
          <w:b w:val="false"/>
          <w:i/>
          <w:color w:val="000000"/>
          <w:sz w:val="22"/>
        </w:rPr>
        <w:t>The remainder of this page is intentionally left blank. Signature page follows.</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819"/>
        <w:jc w:val="left"/>
        <w:rPr>
          <w:rFonts w:ascii="Arial;sans-serif" w:hAnsi="Arial;sans-serif"/>
          <w:b w:val="false"/>
          <w:color w:val="000000"/>
          <w:sz w:val="22"/>
        </w:rPr>
      </w:pPr>
      <w:r>
        <w:rPr>
          <w:rFonts w:ascii="Arial;sans-serif" w:hAnsi="Arial;sans-serif"/>
          <w:b w:val="false"/>
          <w:color w:val="000000"/>
          <w:sz w:val="22"/>
        </w:rPr>
        <w:t>IN WITNESS WHEREOF, the undersigned have caused this Amendment to be signed, all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2" w:before="0" w:after="0"/>
        <w:ind w:left="0" w:right="0" w:firstLine="208"/>
        <w:jc w:val="left"/>
        <w:rPr/>
      </w:pPr>
      <w:r>
        <w:rPr>
          <w:rFonts w:ascii="Arial;sans-serif" w:hAnsi="Arial;sans-serif"/>
          <w:b/>
          <w:color w:val="000000"/>
          <w:sz w:val="22"/>
        </w:rPr>
        <w:t>BUYER</w:t>
      </w:r>
      <w:r>
        <w:rPr>
          <w:rFonts w:ascii="Arial;sans-serif" w:hAnsi="Arial;sans-serif"/>
          <w:b w:val="false"/>
          <w:color w:val="000000"/>
          <w:sz w:val="22"/>
        </w:rPr>
        <w:t>: A &amp; M Products Manufacturing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Tom Alexander</w:t>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color w:val="000000"/>
          <w:sz w:val="22"/>
        </w:rPr>
        <w:t>SELLER</w:t>
      </w:r>
      <w:r>
        <w:rPr>
          <w:rFonts w:ascii="Arial;sans-serif" w:hAnsi="Arial;sans-serif"/>
          <w:b w:val="false"/>
          <w:color w:val="000000"/>
          <w:sz w:val="22"/>
        </w:rPr>
        <w:t>: Oil Dri Corporation of America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Dan Jaffee</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OIL-DRI CORPORATION OF AMERICA</w:t>
      </w:r>
    </w:p>
    <w:p>
      <w:pPr>
        <w:pStyle w:val="TextBody"/>
        <w:bidi w:val="0"/>
        <w:spacing w:before="0" w:after="0"/>
        <w:jc w:val="both"/>
        <w:rPr/>
      </w:pPr>
      <w:r>
        <w:rPr/>
      </w:r>
    </w:p>
    <w:p>
      <w:pPr>
        <w:pStyle w:val="TextBody"/>
        <w:bidi w:val="0"/>
        <w:spacing w:before="0" w:after="0"/>
        <w:jc w:val="both"/>
        <w:rPr/>
      </w:pPr>
      <w:r>
        <w:rPr/>
      </w:r>
    </w:p>
    <w:tbl>
      <w:tblPr>
        <w:tblW w:w="5456" w:type="dxa"/>
        <w:jc w:val="center"/>
        <w:tblInd w:w="0" w:type="dxa"/>
        <w:tblLayout w:type="fixed"/>
        <w:tblCellMar>
          <w:top w:w="28" w:type="dxa"/>
          <w:left w:w="28" w:type="dxa"/>
          <w:bottom w:w="28" w:type="dxa"/>
          <w:right w:w="28" w:type="dxa"/>
        </w:tblCellMar>
      </w:tblPr>
      <w:tblGrid>
        <w:gridCol w:w="1291"/>
        <w:gridCol w:w="1135"/>
        <w:gridCol w:w="1143"/>
        <w:gridCol w:w="109"/>
        <w:gridCol w:w="109"/>
        <w:gridCol w:w="109"/>
        <w:gridCol w:w="457"/>
        <w:gridCol w:w="457"/>
        <w:gridCol w:w="646"/>
      </w:tblGrid>
      <w:tr>
        <w:trPr/>
        <w:tc>
          <w:tcPr>
            <w:tcW w:w="129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 or Country</w:t>
              <w:br/>
              <w:t>of Organization</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Agromex Importaciones,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Amlan Trading (Shenzhen) Company,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Blue Mountain Production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Mounds Management,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Mounds Production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ODC Acquisition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Corporation of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Amlan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Production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Oil-Dri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PT Amlan Perdagangan Internasional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Indonesia</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Taft Production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 dated October 12, 2023, with respect to the consolidated financial statements and internal control over financial reporting included in the Annual Report of Oil-Dri Corporation of America on Form 10-K for the year ended July 31, 2023. We consent to the incorporation by reference of said report in the Registration Statements of Oil-Dri Corporation of America on Forms S-8 (File Nos. 333-139550 and 333-236912).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October 12, 2023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EXHIBIT 31.1: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PURSUANT TO RULE 13A -14(A) UNDER THE SECURITIES EXCHANGE ACT OF 1934, AS AMENDED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Daniel S. Jaffee,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Oil-Dri Corporation of America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765" w:type="dxa"/>
        <w:jc w:val="left"/>
        <w:tblInd w:w="0" w:type="dxa"/>
        <w:tblLayout w:type="fixed"/>
        <w:tblCellMar>
          <w:top w:w="28" w:type="dxa"/>
          <w:left w:w="28" w:type="dxa"/>
          <w:bottom w:w="28" w:type="dxa"/>
          <w:right w:w="28" w:type="dxa"/>
        </w:tblCellMar>
      </w:tblPr>
      <w:tblGrid>
        <w:gridCol w:w="200"/>
        <w:gridCol w:w="177"/>
        <w:gridCol w:w="178"/>
        <w:gridCol w:w="939"/>
        <w:gridCol w:w="939"/>
        <w:gridCol w:w="13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Daniel S. Jaffee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Daniel S. Jaffee </w:t>
            </w:r>
          </w:p>
          <w:p>
            <w:pPr>
              <w:pStyle w:val="TableContents"/>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31.1 (CONTINUED):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a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Susan M. Kreh,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Oil-Dri Corporation of America (the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564" w:type="dxa"/>
        <w:jc w:val="left"/>
        <w:tblInd w:w="0" w:type="dxa"/>
        <w:tblLayout w:type="fixed"/>
        <w:tblCellMar>
          <w:top w:w="28" w:type="dxa"/>
          <w:left w:w="28" w:type="dxa"/>
          <w:bottom w:w="28" w:type="dxa"/>
          <w:right w:w="28" w:type="dxa"/>
        </w:tblCellMar>
      </w:tblPr>
      <w:tblGrid>
        <w:gridCol w:w="200"/>
        <w:gridCol w:w="177"/>
        <w:gridCol w:w="178"/>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Susan M. Kreh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Susan M. Kreh</w:t>
            </w:r>
          </w:p>
          <w:p>
            <w:pPr>
              <w:pStyle w:val="TableContents"/>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before="100" w:after="283"/>
              <w:jc w:val="both"/>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PURSUANT TO 18 U.S.C. SECTION 1350 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CERTIFICATION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Section 1350, the undersigned officer of Oil-Dri Corporation of America (the “Company”) hereby certifies that to the best of my knowledge the Company's Annual Report on Form 10-K for the year ended July 31,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3718" w:type="dxa"/>
        <w:jc w:val="left"/>
        <w:tblInd w:w="0" w:type="dxa"/>
        <w:tblLayout w:type="fixed"/>
        <w:tblCellMar>
          <w:top w:w="28" w:type="dxa"/>
          <w:left w:w="28" w:type="dxa"/>
          <w:bottom w:w="28" w:type="dxa"/>
          <w:right w:w="28" w:type="dxa"/>
        </w:tblCellMar>
      </w:tblPr>
      <w:tblGrid>
        <w:gridCol w:w="399"/>
        <w:gridCol w:w="352"/>
        <w:gridCol w:w="355"/>
        <w:gridCol w:w="764"/>
        <w:gridCol w:w="764"/>
        <w:gridCol w:w="1084"/>
      </w:tblGrid>
      <w:tr>
        <w:trPr/>
        <w:tc>
          <w:tcPr>
            <w:tcW w:w="3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26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371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S. Jaffee</w:t>
            </w:r>
          </w:p>
        </w:tc>
      </w:tr>
      <w:tr>
        <w:trPr/>
        <w:tc>
          <w:tcPr>
            <w:tcW w:w="3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Daniel S. Jaffee </w:t>
              <w:br/>
              <w:t>Title: President and Chief Executive Officer</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has been provided to Oil-Dri Corporation of America and will be retained by Oil-Dri Corporation of America and furnished to the Securities and Exchange Commission or its staff upon request.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Section 1350, the undersigned officer of Oil-Dri Corporation of America (the “Company”) hereby certifies that to the best of my knowledge the Company's Annual Report on Form 10-K for the year ended July 31,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2564" w:type="dxa"/>
        <w:jc w:val="left"/>
        <w:tblInd w:w="0" w:type="dxa"/>
        <w:tblLayout w:type="fixed"/>
        <w:tblCellMar>
          <w:top w:w="28" w:type="dxa"/>
          <w:left w:w="28" w:type="dxa"/>
          <w:bottom w:w="28" w:type="dxa"/>
          <w:right w:w="28" w:type="dxa"/>
        </w:tblCellMar>
      </w:tblPr>
      <w:tblGrid>
        <w:gridCol w:w="275"/>
        <w:gridCol w:w="242"/>
        <w:gridCol w:w="245"/>
        <w:gridCol w:w="527"/>
        <w:gridCol w:w="527"/>
        <w:gridCol w:w="748"/>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October 12, 2023</w:t>
            </w:r>
          </w:p>
        </w:tc>
      </w:tr>
      <w:tr>
        <w:trPr/>
        <w:tc>
          <w:tcPr>
            <w:tcW w:w="25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M. Kreh</w:t>
            </w:r>
          </w:p>
        </w:tc>
      </w:tr>
      <w:tr>
        <w:trPr/>
        <w:tc>
          <w:tcPr>
            <w:tcW w:w="25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Susan M. Kreh</w:t>
              <w:br/>
              <w:t xml:space="preserve">Title: Chief Financial Officer </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has been provided to Oil-Dri Corporation of America and will be retained by Oil-Dri Corporation of America and furnished to the Securities and Exchange Commission or its staff upon request.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MINE SAFETY DISCLOSURE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2023.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104 Significant and Substantial Violations: Total number of violations of mandatory health or safety standards that could significantly and substantially contribute to the cause and effect of a coal or other mine safety or health hazard.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107(a) Imminent Danger Orders: Total number of orders issued when an imminent danger is identified which requires all persons to be withdrawn from area(s) in the mine until the imminent danger and the conditions that caused it cease to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Dollar Value of Proposed MSHA Assessments: Each issuance of a citation or order by MSHA results in the assessment of a monetary penalty. The total dollar value presented includes any contested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tbl>
      <w:tblPr>
        <w:tblW w:w="10205" w:type="dxa"/>
        <w:jc w:val="left"/>
        <w:tblInd w:w="0" w:type="dxa"/>
        <w:tblLayout w:type="fixed"/>
        <w:tblCellMar>
          <w:top w:w="28" w:type="dxa"/>
          <w:left w:w="28" w:type="dxa"/>
          <w:bottom w:w="28" w:type="dxa"/>
          <w:right w:w="28" w:type="dxa"/>
        </w:tblCellMar>
      </w:tblPr>
      <w:tblGrid>
        <w:gridCol w:w="483"/>
        <w:gridCol w:w="425"/>
        <w:gridCol w:w="302"/>
        <w:gridCol w:w="432"/>
        <w:gridCol w:w="432"/>
        <w:gridCol w:w="433"/>
        <w:gridCol w:w="251"/>
        <w:gridCol w:w="251"/>
        <w:gridCol w:w="252"/>
        <w:gridCol w:w="303"/>
        <w:gridCol w:w="303"/>
        <w:gridCol w:w="304"/>
        <w:gridCol w:w="333"/>
        <w:gridCol w:w="333"/>
        <w:gridCol w:w="334"/>
        <w:gridCol w:w="289"/>
        <w:gridCol w:w="289"/>
        <w:gridCol w:w="290"/>
        <w:gridCol w:w="432"/>
        <w:gridCol w:w="432"/>
        <w:gridCol w:w="433"/>
        <w:gridCol w:w="317"/>
        <w:gridCol w:w="317"/>
        <w:gridCol w:w="318"/>
        <w:gridCol w:w="287"/>
        <w:gridCol w:w="287"/>
        <w:gridCol w:w="288"/>
        <w:gridCol w:w="304"/>
        <w:gridCol w:w="304"/>
        <w:gridCol w:w="447"/>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Legal Actions</w:t>
            </w:r>
          </w:p>
        </w:tc>
      </w:tr>
      <w:tr>
        <w:trPr/>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Mine location</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104 “Significant and Substantial” Violations</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104(b)</w:t>
              <w:br/>
              <w:t xml:space="preserve">Orders </w:t>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104(d)</w:t>
              <w:br/>
              <w:t xml:space="preserve">Citations and Orders </w:t>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110(b)(2)</w:t>
              <w:br/>
              <w:t>Flagrant Violations</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107(a) Imminent Danger Orders</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Dollar Value of Proposed MSHA Assessments </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Pending as of Last Day of Period</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Initiated During Period</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Resolved During Period</w:t>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Ochlocknee, Georgia</w:t>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3,181</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Ripley, Mississippi</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61,003</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Mounds, Illinois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135,735</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Mountain, Mississippi</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24,268</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Taft, California</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no mining-related fatalities at any of our facilities during the twelve months ended July 31, 2023.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pStyle w:val="TextBody"/>
        <w:bidi w:val="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74046/0000074046-98-000008.txt" TargetMode="External"/><Relationship Id="rId5" Type="http://schemas.openxmlformats.org/officeDocument/2006/relationships/hyperlink" Target="http://www.sec.gov/Archives/edgar/data/74046/000007404618000007/odcex301312018.htm" TargetMode="External"/><Relationship Id="rId6" Type="http://schemas.openxmlformats.org/officeDocument/2006/relationships/hyperlink" Target="https://www.sec.gov/Archives/edgar/data/74046/000007404620000083/exhibit101odcamproduct.htm" TargetMode="External"/><Relationship Id="rId7" Type="http://schemas.openxmlformats.org/officeDocument/2006/relationships/hyperlink" Target="http://www.sec.gov/Archives/edgar/data/74046/000120677407002369/exhibit10-2.htm" TargetMode="External"/><Relationship Id="rId8" Type="http://schemas.openxmlformats.org/officeDocument/2006/relationships/hyperlink" Target="https://www.sec.gov/Archives/edgar/data/74046/000007404620000083/exhibit102odcamproduct.htm" TargetMode="External"/><Relationship Id="rId9" Type="http://schemas.openxmlformats.org/officeDocument/2006/relationships/hyperlink" Target="https://www.sec.gov/Archives/edgar/data/74046/000007404620000083/exhibit103odcamproduct.htm" TargetMode="External"/><Relationship Id="rId10" Type="http://schemas.openxmlformats.org/officeDocument/2006/relationships/hyperlink" Target="https://www.sec.gov/Archives/edgar/data/74046/000007404620000083/exhibit105odcchurchand.htm" TargetMode="External"/><Relationship Id="rId11" Type="http://schemas.openxmlformats.org/officeDocument/2006/relationships/hyperlink" Target="http://www.sec.gov/Archives/edgar/data/74046/000101381606000051/form8k_020106ex101.txt" TargetMode="External"/><Relationship Id="rId12" Type="http://schemas.openxmlformats.org/officeDocument/2006/relationships/hyperlink" Target="http://www.sec.gov/Archives/edgar/data/74046/000114420409013035/v142330_ex10-1.htm" TargetMode="External"/><Relationship Id="rId13" Type="http://schemas.openxmlformats.org/officeDocument/2006/relationships/hyperlink" Target="http://www.sec.gov/Archives/edgar/data/74046/000114420411071922/v244230_ex10.htm" TargetMode="External"/><Relationship Id="rId14" Type="http://schemas.openxmlformats.org/officeDocument/2006/relationships/hyperlink" Target="http://www.sec.gov/Archives/edgar/data/74046/000007404612000012/odcex101207312012.htm" TargetMode="External"/><Relationship Id="rId15" Type="http://schemas.openxmlformats.org/officeDocument/2006/relationships/hyperlink" Target="http://www.sec.gov/Archives/edgar/data/74046/000007404614000017/odcex10110312014.htm" TargetMode="External"/><Relationship Id="rId16" Type="http://schemas.openxmlformats.org/officeDocument/2006/relationships/hyperlink" Target="http://www.sec.gov/Archives/edgar/data/74046/000007404619000008/fifthamendmenttocreditagre.htm" TargetMode="External"/><Relationship Id="rId17" Type="http://schemas.openxmlformats.org/officeDocument/2006/relationships/hyperlink" Target="http://www.sec.gov/Archives/edgar/data/74046/000007404619000008/annexa-final.htm" TargetMode="External"/><Relationship Id="rId18" Type="http://schemas.openxmlformats.org/officeDocument/2006/relationships/hyperlink" Target="http://www.sec.gov/Archives/edgar/data/74046/000114420410061518/v202918_ex10-1.htm" TargetMode="External"/><Relationship Id="rId19" Type="http://schemas.openxmlformats.org/officeDocument/2006/relationships/hyperlink" Target="https://www.sec.gov/Archives/edgar/data/74046/000007404620000025/odc20200515exh101.htm" TargetMode="External"/><Relationship Id="rId20" Type="http://schemas.openxmlformats.org/officeDocument/2006/relationships/hyperlink" Target="http://www.sec.gov/Archives/edgar/data/74046/000007404603000021/q3f03x10.txt" TargetMode="External"/><Relationship Id="rId21" Type="http://schemas.openxmlformats.org/officeDocument/2006/relationships/hyperlink" Target="http://www.sec.gov/Archives/edgar/data/74046/000114420408014071/v105960_ex10-1.htm" TargetMode="External"/><Relationship Id="rId22" Type="http://schemas.openxmlformats.org/officeDocument/2006/relationships/hyperlink" Target="http://www.sec.gov/Archives/edgar/data/74046/000114420408014071/v105960_ex10-2.htm" TargetMode="External"/><Relationship Id="rId23" Type="http://schemas.openxmlformats.org/officeDocument/2006/relationships/hyperlink" Target="http://www.sec.gov/Archives/edgar/data/74046/000114420408014071/v105960_ex10-4.htm" TargetMode="External"/><Relationship Id="rId24" Type="http://schemas.openxmlformats.org/officeDocument/2006/relationships/hyperlink" Target="http://www.sec.gov/Archives/edgar/data/74046/000114420408014071/v105960_ex10-3.htm" TargetMode="External"/><Relationship Id="rId25" Type="http://schemas.openxmlformats.org/officeDocument/2006/relationships/hyperlink" Target="https://www.sec.gov/Archives/edgar/data/74046/000007404620000052/odcex10247212020.htm" TargetMode="External"/><Relationship Id="rId26" Type="http://schemas.openxmlformats.org/officeDocument/2006/relationships/hyperlink" Target="https://www.sec.gov/Archives/edgar/data/74046/000007404620000052/odcex10247212020.htm" TargetMode="External"/><Relationship Id="rId27" Type="http://schemas.openxmlformats.org/officeDocument/2006/relationships/hyperlink" Target="https://www.sec.gov/Archives/edgar/data/74046/000007404620000052/odcex10247212020.htm" TargetMode="External"/><Relationship Id="rId28" Type="http://schemas.openxmlformats.org/officeDocument/2006/relationships/hyperlink" Target="http://www.sec.gov/Archives/edgar/data/74046/000120677406002257/oildri_nps.htm" TargetMode="External"/><Relationship Id="rId29" Type="http://schemas.openxmlformats.org/officeDocument/2006/relationships/hyperlink" Target="http://www.sec.gov/Archives/edgar/data/74046/000114420408014071/v105960_ex10-5.htm" TargetMode="External"/><Relationship Id="rId30" Type="http://schemas.openxmlformats.org/officeDocument/2006/relationships/hyperlink" Target="https://www.sec.gov/Archives/edgar/data/74046/000007404619000066/odcproxy2019.htm" TargetMode="External"/><Relationship Id="rId31" Type="http://schemas.openxmlformats.org/officeDocument/2006/relationships/hyperlink" Target="http://www.sec.gov/Archives/edgar/data/74046/000127528706006429/od8243ex102.htm" TargetMode="External"/><Relationship Id="rId32" Type="http://schemas.openxmlformats.org/officeDocument/2006/relationships/hyperlink" Target="http://www.sec.gov/Archives/edgar/data/74046/000127528706006429/od8243ex103.htm" TargetMode="External"/><Relationship Id="rId33" Type="http://schemas.openxmlformats.org/officeDocument/2006/relationships/hyperlink" Target="http://www.sec.gov/Archives/edgar/data/74046/000127528706006429/od8243ex104.htm" TargetMode="External"/><Relationship Id="rId34" Type="http://schemas.openxmlformats.org/officeDocument/2006/relationships/hyperlink" Target="http://www.sec.gov/Archives/edgar/data/74046/000127528706006429/od8243ex105.htm" TargetMode="External"/><Relationship Id="rId35" Type="http://schemas.openxmlformats.org/officeDocument/2006/relationships/hyperlink" Target="http://www.sec.gov/Archives/edgar/data/74046/000127528706006429/od8243ex106.htm" TargetMode="External"/><Relationship Id="rId36" Type="http://schemas.openxmlformats.org/officeDocument/2006/relationships/hyperlink" Target="http://www.sec.gov/Archives/edgar/data/74046/000127528706006429/od8243ex107.htm" TargetMode="External"/><Relationship Id="rId37" Type="http://schemas.openxmlformats.org/officeDocument/2006/relationships/hyperlink" Target="http://www.sec.gov/Archives/edgar/data/74046/000127528706006429/od8243ex108.htm" TargetMode="External"/><Relationship Id="rId38" Type="http://schemas.openxmlformats.org/officeDocument/2006/relationships/hyperlink" Target="http://www.sec.gov/Archives/edgar/data/74046/000007404618000046/odcex102907312018.htm" TargetMode="External"/><Relationship Id="rId39" Type="http://schemas.openxmlformats.org/officeDocument/2006/relationships/hyperlink" Target="https://www.sec.gov/Archives/edgar/data/74046/000007404620000083/exhibit104odcamproduct.htm" TargetMode="External"/><Relationship Id="rId40" Type="http://schemas.openxmlformats.org/officeDocument/2006/relationships/hyperlink" Target="https://www.sec.gov/Archives/edgar/data/74046/000007404621000119/aex_amendmentno1toarnppsax.htm" TargetMode="External"/><Relationship Id="rId41" Type="http://schemas.openxmlformats.org/officeDocument/2006/relationships/hyperlink" Target="https://www.sec.gov/Archives/edgar/data/74046/000007404622000047/odcex101oil-dri_bmoxconsen.htm" TargetMode="External"/><Relationship Id="rId42" Type="http://schemas.openxmlformats.org/officeDocument/2006/relationships/hyperlink" Target="https://www.sec.gov/Archives/edgar/data/74046/000007404622000047/odcex102oildriprudentialam.htm" TargetMode="External"/><Relationship Id="rId43" Type="http://schemas.openxmlformats.org/officeDocument/2006/relationships/hyperlink" Target="https://www.sec.gov/Archives/edgar/data/74046/000007404622000058/oil-driaug302022xsixtham.htm" TargetMode="External"/><Relationship Id="rId44" Type="http://schemas.openxmlformats.org/officeDocument/2006/relationships/hyperlink" Target="https://www.sec.gov/Archives/edgar/data/74046/000007404622000058/amendmentno3toarnppsa-oilx.htm" TargetMode="External"/><Relationship Id="rId45" Type="http://schemas.openxmlformats.org/officeDocument/2006/relationships/hyperlink" Target="https://www.sec.gov/Archives/edgar/data/74046/000007404623000024/exhibit101odcamproductsman.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46048</Words>
  <Characters>255893</Characters>
  <CharactersWithSpaces>301425</CharactersWithSpaces>
  <Paragraphs>3905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