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Times;Serif" w:hAnsi="Times New Roman;Times;Serif"/>
          <w:b/>
          <w:i w:val="false"/>
          <w:caps w:val="false"/>
          <w:smallCaps w:val="false"/>
          <w:sz w:val="20"/>
        </w:rPr>
      </w:pPr>
      <w:bookmarkStart w:id="0" w:name="v362743_8k.htm"/>
      <w:bookmarkStart w:id="1" w:name="ksv362743_8k"/>
      <w:bookmarkEnd w:id="0"/>
      <w:bookmarkEnd w:id="1"/>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4735" w:type="dxa"/>
        <w:jc w:val="left"/>
        <w:tblInd w:w="0" w:type="dxa"/>
        <w:tblCellMar>
          <w:top w:w="0" w:type="dxa"/>
          <w:left w:w="0" w:type="dxa"/>
          <w:bottom w:w="0" w:type="dxa"/>
          <w:right w:w="0" w:type="dxa"/>
        </w:tblCellMar>
      </w:tblPr>
      <w:tblGrid>
        <w:gridCol w:w="3305"/>
        <w:gridCol w:w="1430"/>
      </w:tblGrid>
      <w:tr>
        <w:trPr/>
        <w:tc>
          <w:tcPr>
            <w:tcW w:w="3305" w:type="dxa"/>
            <w:tcBorders/>
            <w:shd w:fill="auto" w:val="clear"/>
            <w:vAlign w:val="center"/>
          </w:tcPr>
          <w:p>
            <w:pPr>
              <w:pStyle w:val="TableContents"/>
              <w:spacing w:before="0" w:after="283"/>
              <w:rPr>
                <w:color w:val="000000"/>
                <w:sz w:val="17"/>
              </w:rPr>
            </w:pPr>
            <w:r>
              <w:rPr>
                <w:color w:val="000000"/>
                <w:sz w:val="17"/>
              </w:rPr>
              <w:t>Date of Report (Date of earliest event reported)</w:t>
            </w:r>
          </w:p>
        </w:tc>
        <w:tc>
          <w:tcPr>
            <w:tcW w:w="1430"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December 10, 2013</w:t>
            </w:r>
          </w:p>
        </w:tc>
      </w:tr>
      <w:tr>
        <w:trPr/>
        <w:tc>
          <w:tcPr>
            <w:tcW w:w="4735" w:type="dxa"/>
            <w:gridSpan w:val="2"/>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4175" w:type="dxa"/>
        <w:jc w:val="left"/>
        <w:tblInd w:w="0" w:type="dxa"/>
        <w:tblCellMar>
          <w:top w:w="0" w:type="dxa"/>
          <w:left w:w="0" w:type="dxa"/>
          <w:bottom w:w="28" w:type="dxa"/>
          <w:right w:w="0" w:type="dxa"/>
        </w:tblCellMar>
      </w:tblPr>
      <w:tblGrid>
        <w:gridCol w:w="4175"/>
      </w:tblGrid>
      <w:tr>
        <w:trPr/>
        <w:tc>
          <w:tcPr>
            <w:tcW w:w="4175" w:type="dxa"/>
            <w:tcBorders>
              <w:bottom w:val="single" w:sz="8" w:space="0" w:color="000000"/>
            </w:tcBorders>
            <w:shd w:fill="auto" w:val="clear"/>
            <w:vAlign w:val="center"/>
          </w:tcPr>
          <w:p>
            <w:pPr>
              <w:pStyle w:val="TableContents"/>
              <w:spacing w:before="0" w:after="283"/>
              <w:jc w:val="center"/>
              <w:rPr>
                <w:b/>
                <w:color w:val="000000"/>
                <w:sz w:val="17"/>
              </w:rPr>
            </w:pPr>
            <w:r>
              <w:rPr>
                <w:b/>
                <w:color w:val="000000"/>
                <w:sz w:val="17"/>
              </w:rPr>
              <w:t>Oil-Dri Corporation of America</w:t>
            </w:r>
          </w:p>
        </w:tc>
      </w:tr>
      <w:tr>
        <w:trPr/>
        <w:tc>
          <w:tcPr>
            <w:tcW w:w="417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spacing w:before="0" w:after="0"/>
              <w:ind w:left="0" w:right="0" w:firstLine="720"/>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10140" w:type="dxa"/>
        <w:jc w:val="left"/>
        <w:tblInd w:w="0" w:type="dxa"/>
        <w:tblCellMar>
          <w:top w:w="0" w:type="dxa"/>
          <w:left w:w="0" w:type="dxa"/>
          <w:bottom w:w="28" w:type="dxa"/>
          <w:right w:w="0" w:type="dxa"/>
        </w:tblCellMar>
      </w:tblPr>
      <w:tblGrid>
        <w:gridCol w:w="4130"/>
        <w:gridCol w:w="60"/>
        <w:gridCol w:w="2615"/>
        <w:gridCol w:w="60"/>
        <w:gridCol w:w="3275"/>
      </w:tblGrid>
      <w:tr>
        <w:trPr/>
        <w:tc>
          <w:tcPr>
            <w:tcW w:w="4130" w:type="dxa"/>
            <w:tcBorders>
              <w:bottom w:val="single" w:sz="8" w:space="0" w:color="000000"/>
            </w:tcBorders>
            <w:shd w:fill="auto" w:val="clear"/>
            <w:vAlign w:val="center"/>
          </w:tcPr>
          <w:p>
            <w:pPr>
              <w:pStyle w:val="TableContents"/>
              <w:spacing w:before="0" w:after="283"/>
              <w:jc w:val="center"/>
              <w:rPr>
                <w:b/>
                <w:color w:val="000000"/>
              </w:rPr>
            </w:pPr>
            <w:r>
              <w:rPr>
                <w:b/>
                <w:color w:val="000000"/>
              </w:rPr>
              <w:t>Delaware</w:t>
            </w:r>
          </w:p>
        </w:tc>
        <w:tc>
          <w:tcPr>
            <w:tcW w:w="60" w:type="dxa"/>
            <w:tcBorders>
              <w:bottom w:val="single" w:sz="8" w:space="0" w:color="000000"/>
            </w:tcBorders>
            <w:shd w:fill="auto" w:val="clear"/>
            <w:vAlign w:val="center"/>
          </w:tcPr>
          <w:p>
            <w:pPr>
              <w:pStyle w:val="TableContents"/>
              <w:spacing w:before="0" w:after="283"/>
              <w:rPr/>
            </w:pPr>
            <w:r>
              <w:rPr/>
              <w:t> </w:t>
            </w:r>
          </w:p>
        </w:tc>
        <w:tc>
          <w:tcPr>
            <w:tcW w:w="2615" w:type="dxa"/>
            <w:tcBorders>
              <w:bottom w:val="single" w:sz="8" w:space="0" w:color="000000"/>
            </w:tcBorders>
            <w:shd w:fill="auto" w:val="clear"/>
            <w:vAlign w:val="center"/>
          </w:tcPr>
          <w:p>
            <w:pPr>
              <w:pStyle w:val="TableContents"/>
              <w:spacing w:before="0" w:after="283"/>
              <w:jc w:val="center"/>
              <w:rPr>
                <w:b/>
                <w:color w:val="000000"/>
              </w:rPr>
            </w:pPr>
            <w:r>
              <w:rPr>
                <w:b/>
                <w:color w:val="000000"/>
              </w:rPr>
              <w:t>001-12622</w:t>
            </w:r>
          </w:p>
        </w:tc>
        <w:tc>
          <w:tcPr>
            <w:tcW w:w="60" w:type="dxa"/>
            <w:tcBorders>
              <w:bottom w:val="single" w:sz="8" w:space="0" w:color="000000"/>
            </w:tcBorders>
            <w:shd w:fill="auto" w:val="clear"/>
            <w:vAlign w:val="center"/>
          </w:tcPr>
          <w:p>
            <w:pPr>
              <w:pStyle w:val="TableContents"/>
              <w:spacing w:before="0" w:after="283"/>
              <w:rPr/>
            </w:pPr>
            <w:r>
              <w:rPr/>
              <w:t> </w:t>
            </w:r>
          </w:p>
        </w:tc>
        <w:tc>
          <w:tcPr>
            <w:tcW w:w="3275" w:type="dxa"/>
            <w:tcBorders>
              <w:bottom w:val="single" w:sz="8" w:space="0" w:color="000000"/>
            </w:tcBorders>
            <w:shd w:fill="auto" w:val="clear"/>
            <w:vAlign w:val="center"/>
          </w:tcPr>
          <w:p>
            <w:pPr>
              <w:pStyle w:val="TableContents"/>
              <w:spacing w:before="0" w:after="283"/>
              <w:jc w:val="center"/>
              <w:rPr>
                <w:b/>
                <w:color w:val="000000"/>
              </w:rPr>
            </w:pPr>
            <w:r>
              <w:rPr>
                <w:b/>
                <w:color w:val="000000"/>
              </w:rPr>
              <w:t>36-2048898</w:t>
            </w:r>
          </w:p>
        </w:tc>
      </w:tr>
      <w:tr>
        <w:trPr/>
        <w:tc>
          <w:tcPr>
            <w:tcW w:w="4130" w:type="dxa"/>
            <w:tcBorders/>
            <w:shd w:fill="auto" w:val="clear"/>
            <w:tcMar>
              <w:bottom w:w="0" w:type="dxa"/>
            </w:tcMar>
            <w:vAlign w:val="center"/>
          </w:tcPr>
          <w:p>
            <w:pPr>
              <w:pStyle w:val="TableContents"/>
              <w:spacing w:before="0" w:after="283"/>
              <w:jc w:val="center"/>
              <w:rPr>
                <w:color w:val="000000"/>
              </w:rPr>
            </w:pPr>
            <w:r>
              <w:rPr>
                <w:color w:val="000000"/>
              </w:rPr>
              <w:t>(State or other jurisdiction of incorporation)</w:t>
            </w:r>
          </w:p>
        </w:tc>
        <w:tc>
          <w:tcPr>
            <w:tcW w:w="60" w:type="dxa"/>
            <w:tcBorders/>
            <w:shd w:fill="auto" w:val="clear"/>
            <w:tcMar>
              <w:bottom w:w="0" w:type="dxa"/>
            </w:tcMar>
            <w:vAlign w:val="center"/>
          </w:tcPr>
          <w:p>
            <w:pPr>
              <w:pStyle w:val="TableContents"/>
              <w:spacing w:before="0" w:after="283"/>
              <w:rPr/>
            </w:pPr>
            <w:r>
              <w:rPr/>
              <w:t> </w:t>
            </w:r>
          </w:p>
        </w:tc>
        <w:tc>
          <w:tcPr>
            <w:tcW w:w="2615" w:type="dxa"/>
            <w:tcBorders/>
            <w:shd w:fill="auto" w:val="clear"/>
            <w:tcMar>
              <w:bottom w:w="0" w:type="dxa"/>
            </w:tcMar>
            <w:vAlign w:val="center"/>
          </w:tcPr>
          <w:p>
            <w:pPr>
              <w:pStyle w:val="TableContents"/>
              <w:spacing w:before="0" w:after="283"/>
              <w:jc w:val="center"/>
              <w:rPr>
                <w:color w:val="000000"/>
              </w:rPr>
            </w:pPr>
            <w:r>
              <w:rPr>
                <w:color w:val="000000"/>
              </w:rPr>
              <w:t>(Commission File Number)</w:t>
            </w:r>
          </w:p>
        </w:tc>
        <w:tc>
          <w:tcPr>
            <w:tcW w:w="60" w:type="dxa"/>
            <w:tcBorders/>
            <w:shd w:fill="auto" w:val="clear"/>
            <w:tcMar>
              <w:bottom w:w="0" w:type="dxa"/>
            </w:tcMar>
            <w:vAlign w:val="center"/>
          </w:tcPr>
          <w:p>
            <w:pPr>
              <w:pStyle w:val="TableContents"/>
              <w:spacing w:before="0" w:after="283"/>
              <w:rPr/>
            </w:pPr>
            <w:r>
              <w:rPr/>
              <w:t> </w:t>
            </w:r>
          </w:p>
        </w:tc>
        <w:tc>
          <w:tcPr>
            <w:tcW w:w="3275" w:type="dxa"/>
            <w:tcBorders/>
            <w:shd w:fill="auto" w:val="clear"/>
            <w:tcMar>
              <w:bottom w:w="0" w:type="dxa"/>
            </w:tcMar>
            <w:vAlign w:val="center"/>
          </w:tcPr>
          <w:p>
            <w:pPr>
              <w:pStyle w:val="TableContents"/>
              <w:spacing w:before="0" w:after="283"/>
              <w:jc w:val="center"/>
              <w:rPr>
                <w:color w:val="000000"/>
              </w:rPr>
            </w:pPr>
            <w:r>
              <w:rPr>
                <w:color w:val="00000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3820" w:type="dxa"/>
        <w:jc w:val="left"/>
        <w:tblInd w:w="0" w:type="dxa"/>
        <w:tblCellMar>
          <w:top w:w="0" w:type="dxa"/>
          <w:left w:w="0" w:type="dxa"/>
          <w:bottom w:w="28" w:type="dxa"/>
          <w:right w:w="0" w:type="dxa"/>
        </w:tblCellMar>
      </w:tblPr>
      <w:tblGrid>
        <w:gridCol w:w="2780"/>
        <w:gridCol w:w="1040"/>
      </w:tblGrid>
      <w:tr>
        <w:trPr/>
        <w:tc>
          <w:tcPr>
            <w:tcW w:w="2780"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040" w:type="dxa"/>
            <w:tcBorders>
              <w:bottom w:val="single" w:sz="8" w:space="0" w:color="000000"/>
            </w:tcBorders>
            <w:shd w:fill="auto" w:val="clear"/>
            <w:vAlign w:val="center"/>
          </w:tcPr>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2780" w:type="dxa"/>
            <w:tcBorders/>
            <w:shd w:fill="auto" w:val="clear"/>
            <w:tcMar>
              <w:bottom w:w="0" w:type="dxa"/>
            </w:tcMar>
            <w:vAlign w:val="center"/>
          </w:tcPr>
          <w:p>
            <w:pPr>
              <w:pStyle w:val="TableContents"/>
              <w:spacing w:before="0" w:after="283"/>
              <w:jc w:val="center"/>
              <w:rPr>
                <w:color w:val="000000"/>
                <w:sz w:val="17"/>
              </w:rPr>
            </w:pPr>
            <w:r>
              <w:rPr>
                <w:color w:val="000000"/>
                <w:sz w:val="17"/>
              </w:rPr>
              <w:t>(Address of principal executive offices)</w:t>
            </w:r>
          </w:p>
        </w:tc>
        <w:tc>
          <w:tcPr>
            <w:tcW w:w="1040" w:type="dxa"/>
            <w:tcBorders/>
            <w:shd w:fill="auto" w:val="clear"/>
            <w:tcMar>
              <w:bottom w:w="0" w:type="dxa"/>
            </w:tcMar>
            <w:vAlign w:val="center"/>
          </w:tcPr>
          <w:p>
            <w:pPr>
              <w:pStyle w:val="TableContents"/>
              <w:spacing w:before="0" w:after="283"/>
              <w:jc w:val="right"/>
              <w:rPr>
                <w:color w:val="000000"/>
                <w:sz w:val="17"/>
              </w:rPr>
            </w:pPr>
            <w:r>
              <w:rPr>
                <w:color w:val="000000"/>
                <w:sz w:val="17"/>
              </w:rPr>
              <w:t>(Zip Code)</w:t>
            </w:r>
          </w:p>
        </w:tc>
      </w:tr>
    </w:tbl>
    <w:p>
      <w:pPr>
        <w:pStyle w:val="TextBody"/>
        <w:spacing w:before="0" w:after="0"/>
        <w:ind w:left="0" w:right="0" w:hanging="0"/>
        <w:rPr>
          <w:caps w:val="false"/>
          <w:smallCaps w:val="false"/>
        </w:rPr>
      </w:pPr>
      <w:r>
        <w:rPr>
          <w:caps w:val="false"/>
          <w:smallCaps w:val="false"/>
        </w:rPr>
        <w:t> </w:t>
      </w:r>
    </w:p>
    <w:tbl>
      <w:tblPr>
        <w:tblW w:w="4765" w:type="dxa"/>
        <w:jc w:val="left"/>
        <w:tblInd w:w="0" w:type="dxa"/>
        <w:tblCellMar>
          <w:top w:w="0" w:type="dxa"/>
          <w:left w:w="0" w:type="dxa"/>
          <w:bottom w:w="0" w:type="dxa"/>
          <w:right w:w="0" w:type="dxa"/>
        </w:tblCellMar>
      </w:tblPr>
      <w:tblGrid>
        <w:gridCol w:w="3605"/>
        <w:gridCol w:w="1160"/>
      </w:tblGrid>
      <w:tr>
        <w:trPr/>
        <w:tc>
          <w:tcPr>
            <w:tcW w:w="3605" w:type="dxa"/>
            <w:tcBorders/>
            <w:shd w:fill="auto" w:val="clear"/>
            <w:vAlign w:val="center"/>
          </w:tcPr>
          <w:p>
            <w:pPr>
              <w:pStyle w:val="TableContents"/>
              <w:spacing w:before="0" w:after="283"/>
              <w:rPr>
                <w:color w:val="000000"/>
                <w:sz w:val="17"/>
              </w:rPr>
            </w:pPr>
            <w:r>
              <w:rPr>
                <w:color w:val="000000"/>
                <w:sz w:val="17"/>
              </w:rPr>
              <w:t>Registrant’s telephone number, including area code</w:t>
            </w:r>
          </w:p>
        </w:tc>
        <w:tc>
          <w:tcPr>
            <w:tcW w:w="1160" w:type="dxa"/>
            <w:tcBorders>
              <w:bottom w:val="single" w:sz="8" w:space="0" w:color="000000"/>
            </w:tcBorders>
            <w:shd w:fill="auto" w:val="clear"/>
            <w:tcMar>
              <w:bottom w:w="28" w:type="dxa"/>
            </w:tcMar>
            <w:vAlign w:val="center"/>
          </w:tcPr>
          <w:p>
            <w:pPr>
              <w:pStyle w:val="TableContents"/>
              <w:spacing w:before="0" w:after="283"/>
              <w:rPr>
                <w:b/>
                <w:color w:val="000000"/>
                <w:sz w:val="17"/>
              </w:rPr>
            </w:pPr>
            <w:r>
              <w:rPr>
                <w:b/>
                <w:color w:val="000000"/>
                <w:sz w:val="17"/>
              </w:rPr>
              <w:t>(312) 321-1515</w:t>
            </w:r>
          </w:p>
        </w:tc>
      </w:tr>
    </w:tbl>
    <w:p>
      <w:pPr>
        <w:pStyle w:val="TextBody"/>
        <w:spacing w:before="0" w:after="0"/>
        <w:ind w:left="0" w:right="0" w:hanging="0"/>
        <w:rPr>
          <w:caps w:val="false"/>
          <w:smallCaps w:val="false"/>
        </w:rPr>
      </w:pPr>
      <w:r>
        <w:rPr>
          <w:caps w:val="false"/>
          <w:smallCaps w:val="false"/>
        </w:rPr>
        <w:t> </w:t>
      </w:r>
    </w:p>
    <w:tbl>
      <w:tblPr>
        <w:tblW w:w="4955" w:type="dxa"/>
        <w:jc w:val="left"/>
        <w:tblInd w:w="0" w:type="dxa"/>
        <w:tblCellMar>
          <w:top w:w="0" w:type="dxa"/>
          <w:left w:w="0" w:type="dxa"/>
          <w:bottom w:w="28" w:type="dxa"/>
          <w:right w:w="0" w:type="dxa"/>
        </w:tblCellMar>
      </w:tblPr>
      <w:tblGrid>
        <w:gridCol w:w="4955"/>
      </w:tblGrid>
      <w:tr>
        <w:trPr/>
        <w:tc>
          <w:tcPr>
            <w:tcW w:w="4955" w:type="dxa"/>
            <w:tcBorders>
              <w:bottom w:val="single" w:sz="8" w:space="0" w:color="000000"/>
            </w:tcBorders>
            <w:shd w:fill="auto" w:val="clear"/>
            <w:vAlign w:val="center"/>
          </w:tcPr>
          <w:p>
            <w:pPr>
              <w:pStyle w:val="TableContents"/>
              <w:spacing w:before="0" w:after="283"/>
              <w:rPr/>
            </w:pPr>
            <w:r>
              <w:rPr/>
              <w:t> </w:t>
            </w:r>
          </w:p>
        </w:tc>
      </w:tr>
      <w:tr>
        <w:trPr/>
        <w:tc>
          <w:tcPr>
            <w:tcW w:w="495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firstLine="720"/>
        <w:jc w:val="righ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5.07</w:t>
      </w:r>
      <w:r>
        <w:rPr>
          <w:rFonts w:ascii="Times New Roman;Times;Serif" w:hAnsi="Times New Roman;Times;Serif"/>
          <w:b/>
          <w:i w:val="false"/>
          <w:caps w:val="false"/>
          <w:smallCaps w:val="false"/>
          <w:sz w:val="20"/>
        </w:rPr>
        <w:tab/>
        <w:t>Submission of Matters to a Vote of Security Holders.</w:t>
      </w:r>
    </w:p>
    <w:p>
      <w:pPr>
        <w:pStyle w:val="TextBody"/>
        <w:spacing w:before="0" w:after="0"/>
        <w:ind w:left="0" w:right="0" w:firstLine="2816"/>
        <w:jc w:val="both"/>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Oil-Dri Corporation of America (the “Registrant”) held its annual meeting of stockholders on December 10, 2013. See the Registrant’s Proxy Statement for more information on the proposals presented at the meeting, the relevant portions of which are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ELECTION OF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all of the Board’s nominees for director. The voting results were as follows:</w:t>
      </w:r>
    </w:p>
    <w:p>
      <w:pPr>
        <w:pStyle w:val="TextBody"/>
        <w:spacing w:before="0" w:after="0"/>
        <w:ind w:left="0" w:right="0" w:hanging="0"/>
        <w:rPr>
          <w:caps w:val="false"/>
          <w:smallCaps w:val="false"/>
        </w:rPr>
      </w:pPr>
      <w:r>
        <w:rPr>
          <w:caps w:val="false"/>
          <w:smallCaps w:val="false"/>
        </w:rPr>
        <w:t> </w:t>
      </w:r>
    </w:p>
    <w:tbl>
      <w:tblPr>
        <w:tblW w:w="4894" w:type="dxa"/>
        <w:jc w:val="center"/>
        <w:tblInd w:w="0" w:type="dxa"/>
        <w:tblCellMar>
          <w:top w:w="0" w:type="dxa"/>
          <w:left w:w="0" w:type="dxa"/>
          <w:bottom w:w="28" w:type="dxa"/>
          <w:right w:w="0" w:type="dxa"/>
        </w:tblCellMar>
      </w:tblPr>
      <w:tblGrid>
        <w:gridCol w:w="1535"/>
        <w:gridCol w:w="60"/>
        <w:gridCol w:w="60"/>
        <w:gridCol w:w="830"/>
        <w:gridCol w:w="60"/>
        <w:gridCol w:w="60"/>
        <w:gridCol w:w="60"/>
        <w:gridCol w:w="740"/>
        <w:gridCol w:w="60"/>
        <w:gridCol w:w="60"/>
        <w:gridCol w:w="116"/>
        <w:gridCol w:w="1178"/>
        <w:gridCol w:w="75"/>
      </w:tblGrid>
      <w:tr>
        <w:trPr/>
        <w:tc>
          <w:tcPr>
            <w:tcW w:w="1535" w:type="dxa"/>
            <w:tcBorders>
              <w:bottom w:val="single" w:sz="8" w:space="0" w:color="000000"/>
            </w:tcBorders>
            <w:shd w:fill="auto" w:val="clear"/>
            <w:vAlign w:val="center"/>
          </w:tcPr>
          <w:p>
            <w:pPr>
              <w:pStyle w:val="TableContents"/>
              <w:spacing w:before="0" w:after="283"/>
              <w:rPr>
                <w:color w:val="000000"/>
                <w:sz w:val="17"/>
              </w:rPr>
            </w:pPr>
            <w:r>
              <w:rPr>
                <w:color w:val="000000"/>
                <w:sz w:val="17"/>
              </w:rPr>
              <w:t>Director</w:t>
            </w:r>
          </w:p>
        </w:tc>
        <w:tc>
          <w:tcPr>
            <w:tcW w:w="60" w:type="dxa"/>
            <w:tcBorders/>
            <w:shd w:fill="auto" w:val="clear"/>
            <w:tcMar>
              <w:bottom w:w="0" w:type="dxa"/>
            </w:tcMar>
            <w:vAlign w:val="center"/>
          </w:tcPr>
          <w:p>
            <w:pPr>
              <w:pStyle w:val="TableContents"/>
              <w:spacing w:before="0" w:after="283"/>
              <w:rPr>
                <w:color w:val="000000"/>
              </w:rPr>
            </w:pPr>
            <w:r>
              <w:rPr>
                <w:color w:val="000000"/>
              </w:rPr>
              <w:t> </w:t>
            </w:r>
          </w:p>
        </w:tc>
        <w:tc>
          <w:tcPr>
            <w:tcW w:w="890" w:type="dxa"/>
            <w:gridSpan w:val="2"/>
            <w:tcBorders>
              <w:bottom w:val="single" w:sz="8" w:space="0" w:color="000000"/>
            </w:tcBorders>
            <w:shd w:fill="auto" w:val="clear"/>
            <w:vAlign w:val="center"/>
          </w:tcPr>
          <w:p>
            <w:pPr>
              <w:pStyle w:val="TableContents"/>
              <w:spacing w:before="0" w:after="283"/>
              <w:jc w:val="right"/>
              <w:rPr>
                <w:color w:val="000000"/>
                <w:sz w:val="17"/>
              </w:rPr>
            </w:pPr>
            <w:r>
              <w:rPr>
                <w:color w:val="000000"/>
                <w:sz w:val="17"/>
              </w:rPr>
              <w:t>For</w:t>
            </w:r>
          </w:p>
        </w:tc>
        <w:tc>
          <w:tcPr>
            <w:tcW w:w="60" w:type="dxa"/>
            <w:tcBorders/>
            <w:shd w:fill="auto" w:val="clear"/>
            <w:tcMar>
              <w:bottom w:w="0" w:type="dxa"/>
            </w:tcMar>
            <w:vAlign w:val="center"/>
          </w:tcPr>
          <w:p>
            <w:pPr>
              <w:pStyle w:val="TableContents"/>
              <w:spacing w:before="0" w:after="283"/>
              <w:rPr>
                <w:color w:val="000000"/>
              </w:rPr>
            </w:pPr>
            <w:r>
              <w:rPr>
                <w:color w:val="000000"/>
              </w:rPr>
              <w:t> </w:t>
            </w:r>
          </w:p>
        </w:tc>
        <w:tc>
          <w:tcPr>
            <w:tcW w:w="60" w:type="dxa"/>
            <w:tcBorders/>
            <w:shd w:fill="auto" w:val="clear"/>
            <w:tcMar>
              <w:bottom w:w="0" w:type="dxa"/>
            </w:tcMar>
            <w:vAlign w:val="center"/>
          </w:tcPr>
          <w:p>
            <w:pPr>
              <w:pStyle w:val="TableContents"/>
              <w:spacing w:before="0" w:after="283"/>
              <w:rPr>
                <w:color w:val="000000"/>
              </w:rPr>
            </w:pPr>
            <w:r>
              <w:rPr>
                <w:color w:val="000000"/>
              </w:rPr>
              <w:t> </w:t>
            </w:r>
          </w:p>
        </w:tc>
        <w:tc>
          <w:tcPr>
            <w:tcW w:w="800" w:type="dxa"/>
            <w:gridSpan w:val="2"/>
            <w:tcBorders>
              <w:bottom w:val="single" w:sz="8" w:space="0" w:color="000000"/>
            </w:tcBorders>
            <w:shd w:fill="auto" w:val="clear"/>
            <w:vAlign w:val="center"/>
          </w:tcPr>
          <w:p>
            <w:pPr>
              <w:pStyle w:val="TableContents"/>
              <w:spacing w:before="0" w:after="283"/>
              <w:jc w:val="right"/>
              <w:rPr>
                <w:color w:val="000000"/>
                <w:sz w:val="17"/>
              </w:rPr>
            </w:pPr>
            <w:r>
              <w:rPr>
                <w:color w:val="000000"/>
                <w:sz w:val="17"/>
              </w:rPr>
              <w:t>Withheld</w:t>
            </w:r>
          </w:p>
        </w:tc>
        <w:tc>
          <w:tcPr>
            <w:tcW w:w="60" w:type="dxa"/>
            <w:tcBorders/>
            <w:shd w:fill="auto" w:val="clear"/>
            <w:tcMar>
              <w:bottom w:w="0" w:type="dxa"/>
            </w:tcMar>
            <w:vAlign w:val="center"/>
          </w:tcPr>
          <w:p>
            <w:pPr>
              <w:pStyle w:val="TableContents"/>
              <w:spacing w:before="0" w:after="283"/>
              <w:rPr>
                <w:color w:val="000000"/>
              </w:rPr>
            </w:pPr>
            <w:r>
              <w:rPr>
                <w:color w:val="000000"/>
              </w:rPr>
              <w:t> </w:t>
            </w:r>
          </w:p>
        </w:tc>
        <w:tc>
          <w:tcPr>
            <w:tcW w:w="60" w:type="dxa"/>
            <w:tcBorders/>
            <w:shd w:fill="auto" w:val="clear"/>
            <w:tcMar>
              <w:bottom w:w="0" w:type="dxa"/>
            </w:tcMar>
            <w:vAlign w:val="center"/>
          </w:tcPr>
          <w:p>
            <w:pPr>
              <w:pStyle w:val="TableContents"/>
              <w:spacing w:before="0" w:after="283"/>
              <w:rPr>
                <w:color w:val="000000"/>
              </w:rPr>
            </w:pPr>
            <w:r>
              <w:rPr>
                <w:color w:val="000000"/>
              </w:rPr>
              <w:t> </w:t>
            </w:r>
          </w:p>
        </w:tc>
        <w:tc>
          <w:tcPr>
            <w:tcW w:w="1294" w:type="dxa"/>
            <w:gridSpan w:val="2"/>
            <w:tcBorders>
              <w:bottom w:val="single" w:sz="8" w:space="0" w:color="000000"/>
            </w:tcBorders>
            <w:shd w:fill="auto" w:val="clear"/>
            <w:vAlign w:val="center"/>
          </w:tcPr>
          <w:p>
            <w:pPr>
              <w:pStyle w:val="TableContents"/>
              <w:spacing w:before="0" w:after="283"/>
              <w:jc w:val="right"/>
              <w:rPr>
                <w:color w:val="000000"/>
                <w:sz w:val="17"/>
              </w:rPr>
            </w:pPr>
            <w:r>
              <w:rPr>
                <w:color w:val="000000"/>
                <w:sz w:val="17"/>
              </w:rPr>
              <w:t>Broker Non-Votes</w:t>
            </w:r>
          </w:p>
        </w:tc>
        <w:tc>
          <w:tcPr>
            <w:tcW w:w="75" w:type="dxa"/>
            <w:tcBorders/>
            <w:shd w:fill="auto" w:val="clear"/>
            <w:tcMar>
              <w:bottom w:w="0" w:type="dxa"/>
            </w:tcMar>
            <w:vAlign w:val="center"/>
          </w:tcPr>
          <w:p>
            <w:pPr>
              <w:pStyle w:val="TableContents"/>
              <w:spacing w:before="0" w:after="283"/>
              <w:rPr>
                <w:color w:val="000000"/>
              </w:rPr>
            </w:pPr>
            <w:r>
              <w:rPr>
                <w:color w:val="000000"/>
              </w:rPr>
              <w:t> </w:t>
            </w:r>
          </w:p>
        </w:tc>
      </w:tr>
      <w:tr>
        <w:trPr/>
        <w:tc>
          <w:tcPr>
            <w:tcW w:w="1535" w:type="dxa"/>
            <w:tcBorders/>
            <w:shd w:fill="CCFFCC" w:val="clear"/>
            <w:tcMar>
              <w:bottom w:w="0" w:type="dxa"/>
            </w:tcMar>
            <w:vAlign w:val="center"/>
          </w:tcPr>
          <w:p>
            <w:pPr>
              <w:pStyle w:val="TableContents"/>
              <w:spacing w:before="0" w:after="283"/>
              <w:jc w:val="left"/>
              <w:rPr>
                <w:color w:val="000000"/>
                <w:sz w:val="17"/>
              </w:rPr>
            </w:pPr>
            <w:r>
              <w:rPr>
                <w:color w:val="000000"/>
                <w:sz w:val="17"/>
              </w:rPr>
              <w:t>J. Steven Cole</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830" w:type="dxa"/>
            <w:tcBorders/>
            <w:shd w:fill="CCFFCC" w:val="clear"/>
            <w:tcMar>
              <w:bottom w:w="0" w:type="dxa"/>
            </w:tcMar>
            <w:vAlign w:val="center"/>
          </w:tcPr>
          <w:p>
            <w:pPr>
              <w:pStyle w:val="TableContents"/>
              <w:spacing w:before="0" w:after="283"/>
              <w:jc w:val="right"/>
              <w:rPr>
                <w:color w:val="000000"/>
                <w:sz w:val="17"/>
              </w:rPr>
            </w:pPr>
            <w:r>
              <w:rPr>
                <w:color w:val="000000"/>
                <w:sz w:val="17"/>
              </w:rPr>
              <w:t>23,594,962</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740" w:type="dxa"/>
            <w:tcBorders/>
            <w:shd w:fill="CCFFCC" w:val="clear"/>
            <w:tcMar>
              <w:bottom w:w="0" w:type="dxa"/>
            </w:tcMar>
            <w:vAlign w:val="center"/>
          </w:tcPr>
          <w:p>
            <w:pPr>
              <w:pStyle w:val="TableContents"/>
              <w:spacing w:before="0" w:after="283"/>
              <w:jc w:val="right"/>
              <w:rPr>
                <w:color w:val="000000"/>
                <w:sz w:val="17"/>
              </w:rPr>
            </w:pPr>
            <w:r>
              <w:rPr>
                <w:color w:val="000000"/>
                <w:sz w:val="17"/>
              </w:rPr>
              <w:t>88,837</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116"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1178" w:type="dxa"/>
            <w:tcBorders/>
            <w:shd w:fill="CCFFCC"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CCFFCC"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FFFFFF" w:val="clear"/>
            <w:tcMar>
              <w:bottom w:w="0" w:type="dxa"/>
            </w:tcMar>
            <w:vAlign w:val="center"/>
          </w:tcPr>
          <w:p>
            <w:pPr>
              <w:pStyle w:val="TableContents"/>
              <w:spacing w:before="0" w:after="283"/>
              <w:jc w:val="left"/>
              <w:rPr>
                <w:color w:val="000000"/>
                <w:sz w:val="17"/>
              </w:rPr>
            </w:pPr>
            <w:r>
              <w:rPr>
                <w:color w:val="000000"/>
                <w:sz w:val="17"/>
              </w:rPr>
              <w:t>Daniel S. Jaffee</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830" w:type="dxa"/>
            <w:tcBorders/>
            <w:shd w:fill="FFFFFF" w:val="clear"/>
            <w:tcMar>
              <w:bottom w:w="0" w:type="dxa"/>
            </w:tcMar>
            <w:vAlign w:val="center"/>
          </w:tcPr>
          <w:p>
            <w:pPr>
              <w:pStyle w:val="TableContents"/>
              <w:spacing w:before="0" w:after="283"/>
              <w:jc w:val="right"/>
              <w:rPr>
                <w:color w:val="000000"/>
                <w:sz w:val="17"/>
              </w:rPr>
            </w:pPr>
            <w:r>
              <w:rPr>
                <w:color w:val="000000"/>
                <w:sz w:val="17"/>
              </w:rPr>
              <w:t>22,468,457</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740" w:type="dxa"/>
            <w:tcBorders/>
            <w:shd w:fill="FFFFFF" w:val="clear"/>
            <w:tcMar>
              <w:bottom w:w="0" w:type="dxa"/>
            </w:tcMar>
            <w:vAlign w:val="center"/>
          </w:tcPr>
          <w:p>
            <w:pPr>
              <w:pStyle w:val="TableContents"/>
              <w:spacing w:before="0" w:after="283"/>
              <w:jc w:val="right"/>
              <w:rPr>
                <w:color w:val="000000"/>
                <w:sz w:val="17"/>
              </w:rPr>
            </w:pPr>
            <w:r>
              <w:rPr>
                <w:color w:val="000000"/>
                <w:sz w:val="17"/>
              </w:rPr>
              <w:t>1,215,342</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116"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1178" w:type="dxa"/>
            <w:tcBorders/>
            <w:shd w:fill="FFFFFF"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FFFFFF"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CCFFCC" w:val="clear"/>
            <w:tcMar>
              <w:bottom w:w="0" w:type="dxa"/>
            </w:tcMar>
            <w:vAlign w:val="center"/>
          </w:tcPr>
          <w:p>
            <w:pPr>
              <w:pStyle w:val="TableContents"/>
              <w:spacing w:before="0" w:after="283"/>
              <w:jc w:val="left"/>
              <w:rPr>
                <w:color w:val="000000"/>
                <w:sz w:val="17"/>
              </w:rPr>
            </w:pPr>
            <w:r>
              <w:rPr>
                <w:color w:val="000000"/>
                <w:sz w:val="17"/>
              </w:rPr>
              <w:t>Richard M. Jaffee</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830" w:type="dxa"/>
            <w:tcBorders/>
            <w:shd w:fill="CCFFCC" w:val="clear"/>
            <w:tcMar>
              <w:bottom w:w="0" w:type="dxa"/>
            </w:tcMar>
            <w:vAlign w:val="center"/>
          </w:tcPr>
          <w:p>
            <w:pPr>
              <w:pStyle w:val="TableContents"/>
              <w:spacing w:before="0" w:after="283"/>
              <w:jc w:val="right"/>
              <w:rPr>
                <w:color w:val="000000"/>
                <w:sz w:val="17"/>
              </w:rPr>
            </w:pPr>
            <w:r>
              <w:rPr>
                <w:color w:val="000000"/>
                <w:sz w:val="17"/>
              </w:rPr>
              <w:t>22,393,631</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740" w:type="dxa"/>
            <w:tcBorders/>
            <w:shd w:fill="CCFFCC" w:val="clear"/>
            <w:tcMar>
              <w:bottom w:w="0" w:type="dxa"/>
            </w:tcMar>
            <w:vAlign w:val="center"/>
          </w:tcPr>
          <w:p>
            <w:pPr>
              <w:pStyle w:val="TableContents"/>
              <w:spacing w:before="0" w:after="283"/>
              <w:jc w:val="right"/>
              <w:rPr>
                <w:color w:val="000000"/>
                <w:sz w:val="17"/>
              </w:rPr>
            </w:pPr>
            <w:r>
              <w:rPr>
                <w:color w:val="000000"/>
                <w:sz w:val="17"/>
              </w:rPr>
              <w:t>1,290,168</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116"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1178" w:type="dxa"/>
            <w:tcBorders/>
            <w:shd w:fill="CCFFCC"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CCFFCC"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FFFFFF" w:val="clear"/>
            <w:tcMar>
              <w:bottom w:w="0" w:type="dxa"/>
            </w:tcMar>
            <w:vAlign w:val="center"/>
          </w:tcPr>
          <w:p>
            <w:pPr>
              <w:pStyle w:val="TableContents"/>
              <w:spacing w:before="0" w:after="283"/>
              <w:jc w:val="left"/>
              <w:rPr>
                <w:color w:val="000000"/>
                <w:sz w:val="17"/>
              </w:rPr>
            </w:pPr>
            <w:r>
              <w:rPr>
                <w:color w:val="000000"/>
                <w:sz w:val="17"/>
              </w:rPr>
              <w:t>Joseph C. Miller</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830" w:type="dxa"/>
            <w:tcBorders/>
            <w:shd w:fill="FFFFFF" w:val="clear"/>
            <w:tcMar>
              <w:bottom w:w="0" w:type="dxa"/>
            </w:tcMar>
            <w:vAlign w:val="center"/>
          </w:tcPr>
          <w:p>
            <w:pPr>
              <w:pStyle w:val="TableContents"/>
              <w:spacing w:before="0" w:after="283"/>
              <w:jc w:val="right"/>
              <w:rPr>
                <w:color w:val="000000"/>
                <w:sz w:val="17"/>
              </w:rPr>
            </w:pPr>
            <w:r>
              <w:rPr>
                <w:color w:val="000000"/>
                <w:sz w:val="17"/>
              </w:rPr>
              <w:t>21,652,871</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740" w:type="dxa"/>
            <w:tcBorders/>
            <w:shd w:fill="FFFFFF" w:val="clear"/>
            <w:tcMar>
              <w:bottom w:w="0" w:type="dxa"/>
            </w:tcMar>
            <w:vAlign w:val="center"/>
          </w:tcPr>
          <w:p>
            <w:pPr>
              <w:pStyle w:val="TableContents"/>
              <w:spacing w:before="0" w:after="283"/>
              <w:jc w:val="right"/>
              <w:rPr>
                <w:color w:val="000000"/>
                <w:sz w:val="17"/>
              </w:rPr>
            </w:pPr>
            <w:r>
              <w:rPr>
                <w:color w:val="000000"/>
                <w:sz w:val="17"/>
              </w:rPr>
              <w:t>2,030,928</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116"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1178" w:type="dxa"/>
            <w:tcBorders/>
            <w:shd w:fill="FFFFFF"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FFFFFF"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CCFFCC" w:val="clear"/>
            <w:tcMar>
              <w:bottom w:w="0" w:type="dxa"/>
            </w:tcMar>
            <w:vAlign w:val="center"/>
          </w:tcPr>
          <w:p>
            <w:pPr>
              <w:pStyle w:val="TableContents"/>
              <w:spacing w:before="0" w:after="283"/>
              <w:jc w:val="left"/>
              <w:rPr>
                <w:color w:val="000000"/>
                <w:sz w:val="17"/>
              </w:rPr>
            </w:pPr>
            <w:r>
              <w:rPr>
                <w:color w:val="000000"/>
                <w:sz w:val="17"/>
              </w:rPr>
              <w:t>Michael A. Nemeroff</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830" w:type="dxa"/>
            <w:tcBorders/>
            <w:shd w:fill="CCFFCC" w:val="clear"/>
            <w:tcMar>
              <w:bottom w:w="0" w:type="dxa"/>
            </w:tcMar>
            <w:vAlign w:val="center"/>
          </w:tcPr>
          <w:p>
            <w:pPr>
              <w:pStyle w:val="TableContents"/>
              <w:spacing w:before="0" w:after="283"/>
              <w:jc w:val="right"/>
              <w:rPr>
                <w:color w:val="000000"/>
                <w:sz w:val="17"/>
              </w:rPr>
            </w:pPr>
            <w:r>
              <w:rPr>
                <w:color w:val="000000"/>
                <w:sz w:val="17"/>
              </w:rPr>
              <w:t>22,272,980</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740" w:type="dxa"/>
            <w:tcBorders/>
            <w:shd w:fill="CCFFCC" w:val="clear"/>
            <w:tcMar>
              <w:bottom w:w="0" w:type="dxa"/>
            </w:tcMar>
            <w:vAlign w:val="center"/>
          </w:tcPr>
          <w:p>
            <w:pPr>
              <w:pStyle w:val="TableContents"/>
              <w:spacing w:before="0" w:after="283"/>
              <w:jc w:val="right"/>
              <w:rPr>
                <w:color w:val="000000"/>
                <w:sz w:val="17"/>
              </w:rPr>
            </w:pPr>
            <w:r>
              <w:rPr>
                <w:color w:val="000000"/>
                <w:sz w:val="17"/>
              </w:rPr>
              <w:t>1,410,819</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116"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1178" w:type="dxa"/>
            <w:tcBorders/>
            <w:shd w:fill="CCFFCC"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CCFFCC"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FFFFFF" w:val="clear"/>
            <w:tcMar>
              <w:bottom w:w="0" w:type="dxa"/>
            </w:tcMar>
            <w:vAlign w:val="center"/>
          </w:tcPr>
          <w:p>
            <w:pPr>
              <w:pStyle w:val="TableContents"/>
              <w:spacing w:before="0" w:after="283"/>
              <w:jc w:val="left"/>
              <w:rPr>
                <w:color w:val="000000"/>
                <w:sz w:val="17"/>
              </w:rPr>
            </w:pPr>
            <w:r>
              <w:rPr>
                <w:color w:val="000000"/>
                <w:sz w:val="17"/>
              </w:rPr>
              <w:t>Allan H. Selig</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830" w:type="dxa"/>
            <w:tcBorders/>
            <w:shd w:fill="FFFFFF" w:val="clear"/>
            <w:tcMar>
              <w:bottom w:w="0" w:type="dxa"/>
            </w:tcMar>
            <w:vAlign w:val="center"/>
          </w:tcPr>
          <w:p>
            <w:pPr>
              <w:pStyle w:val="TableContents"/>
              <w:spacing w:before="0" w:after="283"/>
              <w:jc w:val="right"/>
              <w:rPr>
                <w:color w:val="000000"/>
                <w:sz w:val="17"/>
              </w:rPr>
            </w:pPr>
            <w:r>
              <w:rPr>
                <w:color w:val="000000"/>
                <w:sz w:val="17"/>
              </w:rPr>
              <w:t>23,551,998</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740" w:type="dxa"/>
            <w:tcBorders/>
            <w:shd w:fill="FFFFFF" w:val="clear"/>
            <w:tcMar>
              <w:bottom w:w="0" w:type="dxa"/>
            </w:tcMar>
            <w:vAlign w:val="center"/>
          </w:tcPr>
          <w:p>
            <w:pPr>
              <w:pStyle w:val="TableContents"/>
              <w:spacing w:before="0" w:after="283"/>
              <w:jc w:val="right"/>
              <w:rPr>
                <w:color w:val="000000"/>
                <w:sz w:val="17"/>
              </w:rPr>
            </w:pPr>
            <w:r>
              <w:rPr>
                <w:color w:val="000000"/>
                <w:sz w:val="17"/>
              </w:rPr>
              <w:t>131,801</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116"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1178" w:type="dxa"/>
            <w:tcBorders/>
            <w:shd w:fill="FFFFFF"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FFFFFF"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CCFFCC" w:val="clear"/>
            <w:tcMar>
              <w:bottom w:w="0" w:type="dxa"/>
            </w:tcMar>
            <w:vAlign w:val="center"/>
          </w:tcPr>
          <w:p>
            <w:pPr>
              <w:pStyle w:val="TableContents"/>
              <w:spacing w:before="0" w:after="283"/>
              <w:jc w:val="left"/>
              <w:rPr>
                <w:color w:val="000000"/>
                <w:sz w:val="17"/>
              </w:rPr>
            </w:pPr>
            <w:r>
              <w:rPr>
                <w:color w:val="000000"/>
                <w:sz w:val="17"/>
              </w:rPr>
              <w:t>Paul E. Suckow</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830" w:type="dxa"/>
            <w:tcBorders/>
            <w:shd w:fill="CCFFCC" w:val="clear"/>
            <w:tcMar>
              <w:bottom w:w="0" w:type="dxa"/>
            </w:tcMar>
            <w:vAlign w:val="center"/>
          </w:tcPr>
          <w:p>
            <w:pPr>
              <w:pStyle w:val="TableContents"/>
              <w:spacing w:before="0" w:after="283"/>
              <w:jc w:val="right"/>
              <w:rPr>
                <w:color w:val="000000"/>
                <w:sz w:val="17"/>
              </w:rPr>
            </w:pPr>
            <w:r>
              <w:rPr>
                <w:color w:val="000000"/>
                <w:sz w:val="17"/>
              </w:rPr>
              <w:t>23,610,295</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740" w:type="dxa"/>
            <w:tcBorders/>
            <w:shd w:fill="CCFFCC" w:val="clear"/>
            <w:tcMar>
              <w:bottom w:w="0" w:type="dxa"/>
            </w:tcMar>
            <w:vAlign w:val="center"/>
          </w:tcPr>
          <w:p>
            <w:pPr>
              <w:pStyle w:val="TableContents"/>
              <w:spacing w:before="0" w:after="283"/>
              <w:jc w:val="right"/>
              <w:rPr>
                <w:color w:val="000000"/>
                <w:sz w:val="17"/>
              </w:rPr>
            </w:pPr>
            <w:r>
              <w:rPr>
                <w:color w:val="000000"/>
                <w:sz w:val="17"/>
              </w:rPr>
              <w:t>73,504</w:t>
            </w:r>
          </w:p>
        </w:tc>
        <w:tc>
          <w:tcPr>
            <w:tcW w:w="60"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60" w:type="dxa"/>
            <w:tcBorders/>
            <w:shd w:fill="CCFFCC" w:val="clear"/>
            <w:tcMar>
              <w:bottom w:w="0" w:type="dxa"/>
            </w:tcMar>
            <w:vAlign w:val="center"/>
          </w:tcPr>
          <w:p>
            <w:pPr>
              <w:pStyle w:val="TableContents"/>
              <w:spacing w:before="0" w:after="283"/>
              <w:rPr>
                <w:color w:val="000000"/>
              </w:rPr>
            </w:pPr>
            <w:r>
              <w:rPr>
                <w:color w:val="000000"/>
              </w:rPr>
              <w:t> </w:t>
            </w:r>
          </w:p>
        </w:tc>
        <w:tc>
          <w:tcPr>
            <w:tcW w:w="116" w:type="dxa"/>
            <w:tcBorders/>
            <w:shd w:fill="CCFFCC" w:val="clear"/>
            <w:tcMar>
              <w:bottom w:w="0" w:type="dxa"/>
            </w:tcMar>
            <w:vAlign w:val="center"/>
          </w:tcPr>
          <w:p>
            <w:pPr>
              <w:pStyle w:val="TableContents"/>
              <w:spacing w:before="0" w:after="283"/>
              <w:jc w:val="left"/>
              <w:rPr>
                <w:color w:val="000000"/>
              </w:rPr>
            </w:pPr>
            <w:r>
              <w:rPr>
                <w:color w:val="000000"/>
              </w:rPr>
              <w:t> </w:t>
            </w:r>
          </w:p>
        </w:tc>
        <w:tc>
          <w:tcPr>
            <w:tcW w:w="1178" w:type="dxa"/>
            <w:tcBorders/>
            <w:shd w:fill="CCFFCC"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CCFFCC" w:val="clear"/>
            <w:tcMar>
              <w:bottom w:w="0" w:type="dxa"/>
            </w:tcMar>
            <w:vAlign w:val="center"/>
          </w:tcPr>
          <w:p>
            <w:pPr>
              <w:pStyle w:val="TableContents"/>
              <w:spacing w:before="0" w:after="283"/>
              <w:jc w:val="left"/>
              <w:rPr>
                <w:color w:val="000000"/>
              </w:rPr>
            </w:pPr>
            <w:r>
              <w:rPr>
                <w:color w:val="000000"/>
              </w:rPr>
              <w:t> </w:t>
            </w:r>
          </w:p>
        </w:tc>
      </w:tr>
      <w:tr>
        <w:trPr/>
        <w:tc>
          <w:tcPr>
            <w:tcW w:w="1535" w:type="dxa"/>
            <w:tcBorders/>
            <w:shd w:fill="FFFFFF" w:val="clear"/>
            <w:tcMar>
              <w:bottom w:w="0" w:type="dxa"/>
            </w:tcMar>
            <w:vAlign w:val="center"/>
          </w:tcPr>
          <w:p>
            <w:pPr>
              <w:pStyle w:val="TableContents"/>
              <w:spacing w:before="0" w:after="283"/>
              <w:jc w:val="left"/>
              <w:rPr>
                <w:color w:val="000000"/>
                <w:sz w:val="17"/>
              </w:rPr>
            </w:pPr>
            <w:r>
              <w:rPr>
                <w:color w:val="000000"/>
                <w:sz w:val="17"/>
              </w:rPr>
              <w:t>Lawrence E. Washow</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830" w:type="dxa"/>
            <w:tcBorders/>
            <w:shd w:fill="FFFFFF" w:val="clear"/>
            <w:tcMar>
              <w:bottom w:w="0" w:type="dxa"/>
            </w:tcMar>
            <w:vAlign w:val="center"/>
          </w:tcPr>
          <w:p>
            <w:pPr>
              <w:pStyle w:val="TableContents"/>
              <w:spacing w:before="0" w:after="283"/>
              <w:jc w:val="right"/>
              <w:rPr>
                <w:color w:val="000000"/>
                <w:sz w:val="17"/>
              </w:rPr>
            </w:pPr>
            <w:r>
              <w:rPr>
                <w:color w:val="000000"/>
                <w:sz w:val="17"/>
              </w:rPr>
              <w:t>23,610,274</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740" w:type="dxa"/>
            <w:tcBorders/>
            <w:shd w:fill="FFFFFF" w:val="clear"/>
            <w:tcMar>
              <w:bottom w:w="0" w:type="dxa"/>
            </w:tcMar>
            <w:vAlign w:val="center"/>
          </w:tcPr>
          <w:p>
            <w:pPr>
              <w:pStyle w:val="TableContents"/>
              <w:spacing w:before="0" w:after="283"/>
              <w:jc w:val="right"/>
              <w:rPr>
                <w:color w:val="000000"/>
                <w:sz w:val="17"/>
              </w:rPr>
            </w:pPr>
            <w:r>
              <w:rPr>
                <w:color w:val="000000"/>
                <w:sz w:val="17"/>
              </w:rPr>
              <w:t>73,525</w:t>
            </w:r>
          </w:p>
        </w:tc>
        <w:tc>
          <w:tcPr>
            <w:tcW w:w="60"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60" w:type="dxa"/>
            <w:tcBorders/>
            <w:shd w:fill="FFFFFF" w:val="clear"/>
            <w:tcMar>
              <w:bottom w:w="0" w:type="dxa"/>
            </w:tcMar>
            <w:vAlign w:val="center"/>
          </w:tcPr>
          <w:p>
            <w:pPr>
              <w:pStyle w:val="TableContents"/>
              <w:spacing w:before="0" w:after="283"/>
              <w:rPr>
                <w:color w:val="000000"/>
              </w:rPr>
            </w:pPr>
            <w:r>
              <w:rPr>
                <w:color w:val="000000"/>
              </w:rPr>
              <w:t> </w:t>
            </w:r>
          </w:p>
        </w:tc>
        <w:tc>
          <w:tcPr>
            <w:tcW w:w="116" w:type="dxa"/>
            <w:tcBorders/>
            <w:shd w:fill="FFFFFF" w:val="clear"/>
            <w:tcMar>
              <w:bottom w:w="0" w:type="dxa"/>
            </w:tcMar>
            <w:vAlign w:val="center"/>
          </w:tcPr>
          <w:p>
            <w:pPr>
              <w:pStyle w:val="TableContents"/>
              <w:spacing w:before="0" w:after="283"/>
              <w:jc w:val="left"/>
              <w:rPr>
                <w:color w:val="000000"/>
              </w:rPr>
            </w:pPr>
            <w:r>
              <w:rPr>
                <w:color w:val="000000"/>
              </w:rPr>
              <w:t> </w:t>
            </w:r>
          </w:p>
        </w:tc>
        <w:tc>
          <w:tcPr>
            <w:tcW w:w="1178" w:type="dxa"/>
            <w:tcBorders/>
            <w:shd w:fill="FFFFFF" w:val="clear"/>
            <w:tcMar>
              <w:bottom w:w="0" w:type="dxa"/>
            </w:tcMar>
            <w:vAlign w:val="center"/>
          </w:tcPr>
          <w:p>
            <w:pPr>
              <w:pStyle w:val="TableContents"/>
              <w:spacing w:before="0" w:after="283"/>
              <w:jc w:val="right"/>
              <w:rPr>
                <w:color w:val="000000"/>
                <w:sz w:val="17"/>
              </w:rPr>
            </w:pPr>
            <w:r>
              <w:rPr>
                <w:color w:val="000000"/>
                <w:sz w:val="17"/>
              </w:rPr>
              <w:t>617,922</w:t>
            </w:r>
          </w:p>
        </w:tc>
        <w:tc>
          <w:tcPr>
            <w:tcW w:w="75" w:type="dxa"/>
            <w:tcBorders/>
            <w:shd w:fill="FFFFFF" w:val="clear"/>
            <w:tcMar>
              <w:bottom w:w="0" w:type="dxa"/>
            </w:tcMar>
            <w:vAlign w:val="center"/>
          </w:tcPr>
          <w:p>
            <w:pPr>
              <w:pStyle w:val="TableContents"/>
              <w:spacing w:before="0" w:after="283"/>
              <w:jc w:val="left"/>
              <w:rPr>
                <w:color w:val="000000"/>
              </w:rPr>
            </w:pPr>
            <w:r>
              <w:rPr>
                <w:color w:val="000000"/>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RATIFICATION OF THE APPOINTMENT OF INDEPENDENT AUDITOR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9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ratified the appointment of PricewaterhouseCoopers LLP as independent auditor for the fiscal year ending July 31, 2014. The voting results were as follows:</w:t>
      </w:r>
    </w:p>
    <w:p>
      <w:pPr>
        <w:pStyle w:val="TextBody"/>
        <w:spacing w:before="0" w:after="0"/>
        <w:ind w:left="0" w:right="0" w:hanging="0"/>
        <w:rPr>
          <w:caps w:val="false"/>
          <w:smallCaps w:val="false"/>
        </w:rPr>
      </w:pPr>
      <w:r>
        <w:rPr>
          <w:caps w:val="false"/>
          <w:smallCaps w:val="false"/>
        </w:rPr>
        <w:t> </w:t>
      </w:r>
    </w:p>
    <w:tbl>
      <w:tblPr>
        <w:tblW w:w="1585" w:type="dxa"/>
        <w:jc w:val="center"/>
        <w:tblInd w:w="0" w:type="dxa"/>
        <w:tblCellMar>
          <w:top w:w="0" w:type="dxa"/>
          <w:left w:w="0" w:type="dxa"/>
          <w:bottom w:w="0" w:type="dxa"/>
          <w:right w:w="0" w:type="dxa"/>
        </w:tblCellMar>
      </w:tblPr>
      <w:tblGrid>
        <w:gridCol w:w="560"/>
        <w:gridCol w:w="60"/>
        <w:gridCol w:w="60"/>
        <w:gridCol w:w="830"/>
        <w:gridCol w:w="75"/>
      </w:tblGrid>
      <w:tr>
        <w:trPr/>
        <w:tc>
          <w:tcPr>
            <w:tcW w:w="560" w:type="dxa"/>
            <w:tcBorders/>
            <w:shd w:fill="CCFFCC" w:val="clear"/>
            <w:vAlign w:val="center"/>
          </w:tcPr>
          <w:p>
            <w:pPr>
              <w:pStyle w:val="TableContents"/>
              <w:spacing w:before="0" w:after="283"/>
              <w:rPr>
                <w:color w:val="000000"/>
                <w:sz w:val="17"/>
              </w:rPr>
            </w:pPr>
            <w:r>
              <w:rPr>
                <w:color w:val="000000"/>
                <w:sz w:val="17"/>
              </w:rPr>
              <w:t>For</w:t>
            </w:r>
          </w:p>
        </w:tc>
        <w:tc>
          <w:tcPr>
            <w:tcW w:w="60" w:type="dxa"/>
            <w:tcBorders/>
            <w:shd w:fill="CCFFCC" w:val="clear"/>
            <w:vAlign w:val="center"/>
          </w:tcPr>
          <w:p>
            <w:pPr>
              <w:pStyle w:val="TableContents"/>
              <w:spacing w:before="0" w:after="283"/>
              <w:rPr>
                <w:color w:val="000000"/>
              </w:rPr>
            </w:pPr>
            <w:r>
              <w:rPr>
                <w:color w:val="000000"/>
              </w:rPr>
              <w:t> </w:t>
            </w:r>
          </w:p>
        </w:tc>
        <w:tc>
          <w:tcPr>
            <w:tcW w:w="60" w:type="dxa"/>
            <w:tcBorders/>
            <w:shd w:fill="CCFFCC" w:val="clear"/>
            <w:vAlign w:val="center"/>
          </w:tcPr>
          <w:p>
            <w:pPr>
              <w:pStyle w:val="TableContents"/>
              <w:spacing w:before="0" w:after="283"/>
              <w:jc w:val="left"/>
              <w:rPr>
                <w:color w:val="000000"/>
              </w:rPr>
            </w:pPr>
            <w:r>
              <w:rPr>
                <w:color w:val="000000"/>
              </w:rPr>
              <w:t> </w:t>
            </w:r>
          </w:p>
        </w:tc>
        <w:tc>
          <w:tcPr>
            <w:tcW w:w="830" w:type="dxa"/>
            <w:tcBorders/>
            <w:shd w:fill="CCFFCC" w:val="clear"/>
            <w:vAlign w:val="center"/>
          </w:tcPr>
          <w:p>
            <w:pPr>
              <w:pStyle w:val="TableContents"/>
              <w:spacing w:before="0" w:after="283"/>
              <w:jc w:val="right"/>
              <w:rPr>
                <w:color w:val="000000"/>
                <w:sz w:val="17"/>
              </w:rPr>
            </w:pPr>
            <w:r>
              <w:rPr>
                <w:color w:val="000000"/>
                <w:sz w:val="17"/>
              </w:rPr>
              <w:t>24,232,763</w:t>
            </w:r>
          </w:p>
        </w:tc>
        <w:tc>
          <w:tcPr>
            <w:tcW w:w="75" w:type="dxa"/>
            <w:tcBorders/>
            <w:shd w:fill="CCFFCC" w:val="clear"/>
            <w:vAlign w:val="center"/>
          </w:tcPr>
          <w:p>
            <w:pPr>
              <w:pStyle w:val="TableContents"/>
              <w:spacing w:before="0" w:after="283"/>
              <w:jc w:val="left"/>
              <w:rPr>
                <w:color w:val="000000"/>
              </w:rPr>
            </w:pPr>
            <w:r>
              <w:rPr>
                <w:color w:val="000000"/>
              </w:rPr>
              <w:t> </w:t>
            </w:r>
          </w:p>
        </w:tc>
      </w:tr>
      <w:tr>
        <w:trPr/>
        <w:tc>
          <w:tcPr>
            <w:tcW w:w="560" w:type="dxa"/>
            <w:tcBorders/>
            <w:shd w:fill="FFFFFF" w:val="clear"/>
            <w:vAlign w:val="center"/>
          </w:tcPr>
          <w:p>
            <w:pPr>
              <w:pStyle w:val="TableContents"/>
              <w:spacing w:before="0" w:after="283"/>
              <w:rPr>
                <w:color w:val="000000"/>
                <w:sz w:val="17"/>
              </w:rPr>
            </w:pPr>
            <w:r>
              <w:rPr>
                <w:color w:val="000000"/>
                <w:sz w:val="17"/>
              </w:rPr>
              <w:t>Against</w:t>
            </w:r>
          </w:p>
        </w:tc>
        <w:tc>
          <w:tcPr>
            <w:tcW w:w="60" w:type="dxa"/>
            <w:tcBorders/>
            <w:shd w:fill="FFFFFF" w:val="clear"/>
            <w:vAlign w:val="center"/>
          </w:tcPr>
          <w:p>
            <w:pPr>
              <w:pStyle w:val="TableContents"/>
              <w:spacing w:before="0" w:after="283"/>
              <w:rPr>
                <w:color w:val="000000"/>
              </w:rPr>
            </w:pPr>
            <w:r>
              <w:rPr>
                <w:color w:val="000000"/>
              </w:rPr>
              <w:t> </w:t>
            </w:r>
          </w:p>
        </w:tc>
        <w:tc>
          <w:tcPr>
            <w:tcW w:w="60" w:type="dxa"/>
            <w:tcBorders/>
            <w:shd w:fill="FFFFFF" w:val="clear"/>
            <w:vAlign w:val="center"/>
          </w:tcPr>
          <w:p>
            <w:pPr>
              <w:pStyle w:val="TableContents"/>
              <w:spacing w:before="0" w:after="283"/>
              <w:jc w:val="left"/>
              <w:rPr>
                <w:color w:val="000000"/>
              </w:rPr>
            </w:pPr>
            <w:r>
              <w:rPr>
                <w:color w:val="000000"/>
              </w:rPr>
              <w:t> </w:t>
            </w:r>
          </w:p>
        </w:tc>
        <w:tc>
          <w:tcPr>
            <w:tcW w:w="830" w:type="dxa"/>
            <w:tcBorders/>
            <w:shd w:fill="FFFFFF" w:val="clear"/>
            <w:vAlign w:val="center"/>
          </w:tcPr>
          <w:p>
            <w:pPr>
              <w:pStyle w:val="TableContents"/>
              <w:spacing w:before="0" w:after="283"/>
              <w:jc w:val="right"/>
              <w:rPr>
                <w:color w:val="000000"/>
                <w:sz w:val="17"/>
              </w:rPr>
            </w:pPr>
            <w:r>
              <w:rPr>
                <w:color w:val="000000"/>
                <w:sz w:val="17"/>
              </w:rPr>
              <w:t>66,213</w:t>
            </w:r>
          </w:p>
        </w:tc>
        <w:tc>
          <w:tcPr>
            <w:tcW w:w="75" w:type="dxa"/>
            <w:tcBorders/>
            <w:shd w:fill="FFFFFF" w:val="clear"/>
            <w:vAlign w:val="center"/>
          </w:tcPr>
          <w:p>
            <w:pPr>
              <w:pStyle w:val="TableContents"/>
              <w:spacing w:before="0" w:after="283"/>
              <w:jc w:val="left"/>
              <w:rPr>
                <w:color w:val="000000"/>
              </w:rPr>
            </w:pPr>
            <w:r>
              <w:rPr>
                <w:color w:val="000000"/>
              </w:rPr>
              <w:t> </w:t>
            </w:r>
          </w:p>
        </w:tc>
      </w:tr>
      <w:tr>
        <w:trPr/>
        <w:tc>
          <w:tcPr>
            <w:tcW w:w="560" w:type="dxa"/>
            <w:tcBorders/>
            <w:shd w:fill="CCFFCC" w:val="clear"/>
            <w:vAlign w:val="center"/>
          </w:tcPr>
          <w:p>
            <w:pPr>
              <w:pStyle w:val="TableContents"/>
              <w:spacing w:before="0" w:after="283"/>
              <w:rPr>
                <w:color w:val="000000"/>
                <w:sz w:val="17"/>
              </w:rPr>
            </w:pPr>
            <w:r>
              <w:rPr>
                <w:color w:val="000000"/>
                <w:sz w:val="17"/>
              </w:rPr>
              <w:t>Abstain</w:t>
            </w:r>
          </w:p>
        </w:tc>
        <w:tc>
          <w:tcPr>
            <w:tcW w:w="60" w:type="dxa"/>
            <w:tcBorders/>
            <w:shd w:fill="CCFFCC" w:val="clear"/>
            <w:vAlign w:val="center"/>
          </w:tcPr>
          <w:p>
            <w:pPr>
              <w:pStyle w:val="TableContents"/>
              <w:spacing w:before="0" w:after="283"/>
              <w:rPr>
                <w:color w:val="000000"/>
              </w:rPr>
            </w:pPr>
            <w:r>
              <w:rPr>
                <w:color w:val="000000"/>
              </w:rPr>
              <w:t> </w:t>
            </w:r>
          </w:p>
        </w:tc>
        <w:tc>
          <w:tcPr>
            <w:tcW w:w="60" w:type="dxa"/>
            <w:tcBorders/>
            <w:shd w:fill="CCFFCC" w:val="clear"/>
            <w:vAlign w:val="center"/>
          </w:tcPr>
          <w:p>
            <w:pPr>
              <w:pStyle w:val="TableContents"/>
              <w:spacing w:before="0" w:after="283"/>
              <w:jc w:val="left"/>
              <w:rPr>
                <w:color w:val="000000"/>
              </w:rPr>
            </w:pPr>
            <w:r>
              <w:rPr>
                <w:color w:val="000000"/>
              </w:rPr>
              <w:t> </w:t>
            </w:r>
          </w:p>
        </w:tc>
        <w:tc>
          <w:tcPr>
            <w:tcW w:w="830" w:type="dxa"/>
            <w:tcBorders/>
            <w:shd w:fill="CCFFCC" w:val="clear"/>
            <w:vAlign w:val="center"/>
          </w:tcPr>
          <w:p>
            <w:pPr>
              <w:pStyle w:val="TableContents"/>
              <w:spacing w:before="0" w:after="283"/>
              <w:jc w:val="right"/>
              <w:rPr>
                <w:color w:val="000000"/>
                <w:sz w:val="17"/>
              </w:rPr>
            </w:pPr>
            <w:r>
              <w:rPr>
                <w:color w:val="000000"/>
                <w:sz w:val="17"/>
              </w:rPr>
              <w:t>2,745</w:t>
            </w:r>
          </w:p>
        </w:tc>
        <w:tc>
          <w:tcPr>
            <w:tcW w:w="75" w:type="dxa"/>
            <w:tcBorders/>
            <w:shd w:fill="CCFFCC" w:val="clear"/>
            <w:vAlign w:val="center"/>
          </w:tcPr>
          <w:p>
            <w:pPr>
              <w:pStyle w:val="TableContents"/>
              <w:spacing w:before="0" w:after="283"/>
              <w:jc w:val="left"/>
              <w:rPr>
                <w:color w:val="000000"/>
              </w:rPr>
            </w:pPr>
            <w:r>
              <w:rPr>
                <w:color w:val="000000"/>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7.01</w:t>
      </w:r>
      <w:r>
        <w:rPr>
          <w:rFonts w:ascii="Times New Roman;Times;Serif" w:hAnsi="Times New Roman;Times;Serif"/>
          <w:b/>
          <w:i w:val="false"/>
          <w:caps w:val="false"/>
          <w:smallCaps w:val="false"/>
          <w:sz w:val="20"/>
        </w:rPr>
        <w:tab/>
        <w:t>Regulation FD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Tuesday, December 10, 2013, members of the Registrant's management made a presentation at the 2013 annual meeting of Stockholders. A copy of the presentation materials is attached as Exhibit 99.1 to this Form 8-K.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herein under Item 7.01 shall not be deemed “filed” under the Securities Exchange Act of 1934, as amended, nor shall it be deemed incorporated by reference in any filing under the Securities Act of 1933, as amended, except as may be expressly set forth by specific reference in such a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Forward 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historical information contained herein, certain of the matters discussed in this communication constitute “forward-looking statements” within the meaning of the Securities Act of 1933 and the Securities Exchange Act of 1934, both as amended by the Private Securities Litigation Reform Act of 1995. Words such as “expect,” “outlook,” “forecast,” “would,” “could,” “should,” “project,” “intend,” “plan,” “continue,” “seek,” “estimate,” “anticipate,” “believe,” “may,” “will,” “target,” “assume” and words and terms of similar substance used in connection with any discussion of future plans, actions, or events identify forward-looking statements. These forwardlooking statements include, but are not limited to, statements regarding anticipated future financial and operating performance and results, and estimates for growth overall and in particular business lines. These statements are based on the current expectations of management of Oil-Dri Corporation of America (“the Company”). There are a number of risks and uncertainties that could cause actual results to differ materially from the forward-looking statements included in this presentation, and we encourage you especially to review the ones that were identified in Item 1A (Risk Factors) of the Company’s most recent Annual Report on Form 10-K and other reports filed with the Securities and Exchange Commission. Other unknown or unpredictable factors could also have material adverse effects on future results, performance or achievements of the Company. You are cautioned not to place undue reliance on forward-looking statements in this communication. Except to the extent required by law, the Company does not have any intention or obligation to update publicly any forward-looking statements contained in this communication, whether as a result of new information, future event, changes in assumptions, or otherwise.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8.01</w:t>
      </w:r>
      <w:r>
        <w:rPr>
          <w:rFonts w:ascii="Times New Roman;Times;Serif" w:hAnsi="Times New Roman;Times;Serif"/>
          <w:b/>
          <w:i w:val="false"/>
          <w:caps w:val="false"/>
          <w:smallCaps w:val="false"/>
          <w:sz w:val="20"/>
        </w:rPr>
        <w:tab/>
        <w:t>Other Events.</w:t>
      </w:r>
    </w:p>
    <w:p>
      <w:pPr>
        <w:pStyle w:val="TextBody"/>
        <w:spacing w:before="0" w:after="0"/>
        <w:ind w:left="0" w:right="0" w:firstLine="2816"/>
        <w:jc w:val="both"/>
        <w:rPr>
          <w:caps w:val="false"/>
          <w:smallCaps w:val="false"/>
        </w:rPr>
      </w:pPr>
      <w:r>
        <w:rPr>
          <w:caps w:val="false"/>
          <w:smallCaps w:val="false"/>
        </w:rPr>
        <w:t> </w:t>
      </w:r>
    </w:p>
    <w:p>
      <w:pPr>
        <w:pStyle w:val="TextBody"/>
        <w:spacing w:before="0" w:after="0"/>
        <w:ind w:left="0" w:right="0" w:firstLine="792"/>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December 10, 2013, the Registrant’s Board of Directors declared quarterly cash dividends of $0.19 per share of the Registrant’s Common Stock and $0.1425 per share of the Registrant’s Class B Stock. The dividends will be payable on March 7, 2014, to stockholders of record at the close of business on February 21, 2014. A copy of the Registrant’s press release announcing these matters is attached as Exhibit 99.1 and the information contained therein is incorporated herein by reference.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Item 9.01</w:t>
      </w:r>
      <w:r>
        <w:rPr>
          <w:rFonts w:ascii="Times New Roman;Times;Serif" w:hAnsi="Times New Roman;Times;Serif"/>
          <w:b/>
          <w:i w:val="false"/>
          <w:caps w:val="false"/>
          <w:smallCaps w:val="false"/>
          <w:sz w:val="20"/>
        </w:rPr>
        <w:tab/>
        <w:t>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firstLine="720"/>
        <w:rPr>
          <w:caps w:val="false"/>
          <w:smallCaps w:val="false"/>
        </w:rPr>
      </w:pPr>
      <w:r>
        <w:rPr>
          <w:caps w:val="false"/>
          <w:smallCaps w:val="false"/>
        </w:rPr>
        <w:t> </w:t>
      </w:r>
    </w:p>
    <w:tbl>
      <w:tblPr>
        <w:tblW w:w="6295" w:type="dxa"/>
        <w:jc w:val="left"/>
        <w:tblInd w:w="0" w:type="dxa"/>
        <w:tblCellMar>
          <w:top w:w="0" w:type="dxa"/>
          <w:left w:w="0" w:type="dxa"/>
          <w:bottom w:w="28" w:type="dxa"/>
          <w:right w:w="0" w:type="dxa"/>
        </w:tblCellMar>
      </w:tblPr>
      <w:tblGrid>
        <w:gridCol w:w="680"/>
        <w:gridCol w:w="60"/>
        <w:gridCol w:w="5555"/>
      </w:tblGrid>
      <w:tr>
        <w:trPr/>
        <w:tc>
          <w:tcPr>
            <w:tcW w:w="68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jc w:val="center"/>
              <w:rPr/>
            </w:pPr>
            <w:r>
              <w:rPr/>
              <w:t> </w:t>
            </w:r>
          </w:p>
        </w:tc>
        <w:tc>
          <w:tcPr>
            <w:tcW w:w="5555" w:type="dxa"/>
            <w:tcBorders>
              <w:bottom w:val="single" w:sz="8" w:space="0" w:color="000000"/>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Description of Exhibits</w:t>
            </w:r>
          </w:p>
        </w:tc>
      </w:tr>
      <w:tr>
        <w:trPr/>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 </w:t>
            </w:r>
          </w:p>
        </w:tc>
      </w:tr>
      <w:tr>
        <w:trPr/>
        <w:tc>
          <w:tcPr>
            <w:tcW w:w="680" w:type="dxa"/>
            <w:tcBorders/>
            <w:shd w:fill="auto" w:val="clear"/>
            <w:tcMar>
              <w:bottom w:w="0" w:type="dxa"/>
            </w:tcMar>
            <w:vAlign w:val="center"/>
          </w:tcPr>
          <w:p>
            <w:pPr>
              <w:pStyle w:val="TableContents"/>
              <w:spacing w:before="0" w:after="283"/>
              <w:rPr>
                <w:color w:val="000000"/>
              </w:rPr>
            </w:pPr>
            <w:r>
              <w:rPr>
                <w:color w:val="000000"/>
              </w:rPr>
              <w:t>99.1</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color w:val="000000"/>
              </w:rPr>
            </w:pPr>
            <w:r>
              <w:rPr>
                <w:color w:val="000000"/>
              </w:rPr>
              <w:t>Presentation Made at Annual Stockholder Meeting</w:t>
            </w:r>
          </w:p>
        </w:tc>
      </w:tr>
      <w:tr>
        <w:trPr/>
        <w:tc>
          <w:tcPr>
            <w:tcW w:w="680" w:type="dxa"/>
            <w:tcBorders/>
            <w:shd w:fill="auto" w:val="clear"/>
            <w:tcMar>
              <w:bottom w:w="0" w:type="dxa"/>
            </w:tcMar>
            <w:vAlign w:val="center"/>
          </w:tcPr>
          <w:p>
            <w:pPr>
              <w:pStyle w:val="TableContents"/>
              <w:spacing w:before="0" w:after="283"/>
              <w:rPr>
                <w:color w:val="000000"/>
              </w:rPr>
            </w:pPr>
            <w:r>
              <w:rPr>
                <w:color w:val="000000"/>
              </w:rPr>
              <w:t>99.2</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color w:val="000000"/>
              </w:rPr>
            </w:pPr>
            <w:r>
              <w:rPr>
                <w:color w:val="000000"/>
              </w:rPr>
              <w:t>Press Release dated December 11, 2013 (Cash Dividends)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92"/>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4444" w:type="dxa"/>
        <w:jc w:val="left"/>
        <w:tblInd w:w="0" w:type="dxa"/>
        <w:tblCellMar>
          <w:top w:w="0" w:type="dxa"/>
          <w:left w:w="0" w:type="dxa"/>
          <w:bottom w:w="0" w:type="dxa"/>
          <w:right w:w="0" w:type="dxa"/>
        </w:tblCellMar>
      </w:tblPr>
      <w:tblGrid>
        <w:gridCol w:w="75"/>
        <w:gridCol w:w="410"/>
        <w:gridCol w:w="3884"/>
        <w:gridCol w:w="75"/>
      </w:tblGrid>
      <w:tr>
        <w:trPr/>
        <w:tc>
          <w:tcPr>
            <w:tcW w:w="75" w:type="dxa"/>
            <w:tcBorders/>
            <w:shd w:fill="auto" w:val="clear"/>
            <w:vAlign w:val="center"/>
          </w:tcPr>
          <w:p>
            <w:pPr>
              <w:pStyle w:val="TableContents"/>
              <w:spacing w:before="0" w:after="283"/>
              <w:rPr/>
            </w:pPr>
            <w:r>
              <w:rPr/>
              <w:t> </w:t>
            </w:r>
          </w:p>
        </w:tc>
        <w:tc>
          <w:tcPr>
            <w:tcW w:w="4294" w:type="dxa"/>
            <w:gridSpan w:val="2"/>
            <w:tcBorders/>
            <w:shd w:fill="auto" w:val="clear"/>
            <w:vAlign w:val="center"/>
          </w:tcPr>
          <w:p>
            <w:pPr>
              <w:pStyle w:val="TableContents"/>
              <w:spacing w:before="0" w:after="283"/>
              <w:rPr>
                <w:color w:val="000000"/>
              </w:rPr>
            </w:pPr>
            <w:r>
              <w:rPr>
                <w:color w:val="000000"/>
              </w:rPr>
              <w:t>OIL-DRI CORPORATION OF AMERICA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c>
          <w:tcPr>
            <w:tcW w:w="410" w:type="dxa"/>
            <w:tcBorders>
              <w:bottom w:val="single" w:sz="8" w:space="0" w:color="FFFFFF"/>
            </w:tcBorders>
            <w:shd w:fill="auto" w:val="clear"/>
            <w:tcMar>
              <w:bottom w:w="28" w:type="dxa"/>
            </w:tcMar>
            <w:vAlign w:val="center"/>
          </w:tcPr>
          <w:p>
            <w:pPr>
              <w:pStyle w:val="TableContents"/>
              <w:spacing w:before="0" w:after="283"/>
              <w:rPr>
                <w:color w:val="000000"/>
              </w:rPr>
            </w:pPr>
            <w:r>
              <w:rPr>
                <w:color w:val="000000"/>
              </w:rPr>
              <w:t>By:</w:t>
            </w:r>
          </w:p>
        </w:tc>
        <w:tc>
          <w:tcPr>
            <w:tcW w:w="3884" w:type="dxa"/>
            <w:tcBorders>
              <w:bottom w:val="single" w:sz="8" w:space="0" w:color="000000"/>
            </w:tcBorders>
            <w:shd w:fill="auto" w:val="clear"/>
            <w:tcMar>
              <w:bottom w:w="28" w:type="dxa"/>
            </w:tcMar>
            <w:vAlign w:val="center"/>
          </w:tcPr>
          <w:p>
            <w:pPr>
              <w:pStyle w:val="TableContents"/>
              <w:spacing w:before="0" w:after="283"/>
              <w:rPr>
                <w:color w:val="000000"/>
              </w:rPr>
            </w:pPr>
            <w:r>
              <w:rPr>
                <w:color w:val="000000"/>
              </w:rPr>
              <w:t>/s/ Douglas A. Graham</w:t>
            </w:r>
          </w:p>
        </w:tc>
        <w:tc>
          <w:tcPr>
            <w:tcW w:w="75" w:type="dxa"/>
            <w:tcBorders>
              <w:bottom w:val="single" w:sz="8" w:space="0" w:color="FFFFFF"/>
            </w:tcBorders>
            <w:shd w:fill="auto" w:val="clear"/>
            <w:tcMar>
              <w:bottom w:w="28" w:type="dxa"/>
            </w:tcM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color w:val="000000"/>
              </w:rPr>
            </w:pPr>
            <w:r>
              <w:rPr>
                <w:color w:val="000000"/>
              </w:rPr>
              <w:t>Douglas A. Graham</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color w:val="000000"/>
              </w:rPr>
            </w:pPr>
            <w:r>
              <w:rPr>
                <w:color w:val="000000"/>
              </w:rPr>
              <w:t>Vice President and General Counsel</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84"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11, 2013</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295" w:type="dxa"/>
        <w:jc w:val="left"/>
        <w:tblInd w:w="0" w:type="dxa"/>
        <w:tblCellMar>
          <w:top w:w="0" w:type="dxa"/>
          <w:left w:w="0" w:type="dxa"/>
          <w:bottom w:w="28" w:type="dxa"/>
          <w:right w:w="0" w:type="dxa"/>
        </w:tblCellMar>
      </w:tblPr>
      <w:tblGrid>
        <w:gridCol w:w="680"/>
        <w:gridCol w:w="60"/>
        <w:gridCol w:w="5555"/>
      </w:tblGrid>
      <w:tr>
        <w:trPr/>
        <w:tc>
          <w:tcPr>
            <w:tcW w:w="680"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shd w:fill="auto" w:val="clear"/>
            <w:tcMar>
              <w:bottom w:w="0" w:type="dxa"/>
            </w:tcMar>
            <w:vAlign w:val="center"/>
          </w:tcPr>
          <w:p>
            <w:pPr>
              <w:pStyle w:val="TableContents"/>
              <w:spacing w:before="0" w:after="283"/>
              <w:rPr/>
            </w:pPr>
            <w:r>
              <w:rPr/>
              <w:t> </w:t>
            </w:r>
          </w:p>
        </w:tc>
        <w:tc>
          <w:tcPr>
            <w:tcW w:w="5555" w:type="dxa"/>
            <w:tcBorders>
              <w:bottom w:val="single" w:sz="8" w:space="0" w:color="000000"/>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Description of Exhibits</w:t>
            </w:r>
          </w:p>
        </w:tc>
      </w:tr>
      <w:tr>
        <w:trPr/>
        <w:tc>
          <w:tcPr>
            <w:tcW w:w="68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pPr>
            <w:r>
              <w:rPr/>
              <w:t> </w:t>
            </w:r>
          </w:p>
        </w:tc>
      </w:tr>
      <w:tr>
        <w:trPr/>
        <w:tc>
          <w:tcPr>
            <w:tcW w:w="680" w:type="dxa"/>
            <w:tcBorders/>
            <w:shd w:fill="auto" w:val="clear"/>
            <w:tcMar>
              <w:bottom w:w="0" w:type="dxa"/>
            </w:tcMar>
            <w:vAlign w:val="center"/>
          </w:tcPr>
          <w:p>
            <w:pPr>
              <w:pStyle w:val="TableContents"/>
              <w:spacing w:before="0" w:after="283"/>
              <w:rPr>
                <w:color w:val="000000"/>
              </w:rPr>
            </w:pPr>
            <w:r>
              <w:rPr>
                <w:color w:val="000000"/>
              </w:rPr>
              <w:t>99.1</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color w:val="000000"/>
              </w:rPr>
            </w:pPr>
            <w:r>
              <w:rPr>
                <w:color w:val="000000"/>
              </w:rPr>
              <w:t>Presentation Made at Annual Stockholder Meeting</w:t>
            </w:r>
          </w:p>
        </w:tc>
      </w:tr>
      <w:tr>
        <w:trPr/>
        <w:tc>
          <w:tcPr>
            <w:tcW w:w="680" w:type="dxa"/>
            <w:tcBorders/>
            <w:shd w:fill="auto" w:val="clear"/>
            <w:tcMar>
              <w:bottom w:w="0" w:type="dxa"/>
            </w:tcMar>
            <w:vAlign w:val="center"/>
          </w:tcPr>
          <w:p>
            <w:pPr>
              <w:pStyle w:val="TableContents"/>
              <w:spacing w:before="0" w:after="283"/>
              <w:rPr>
                <w:color w:val="000000"/>
              </w:rPr>
            </w:pPr>
            <w:r>
              <w:rPr>
                <w:color w:val="000000"/>
              </w:rPr>
              <w:t>99.2</w:t>
            </w:r>
          </w:p>
        </w:tc>
        <w:tc>
          <w:tcPr>
            <w:tcW w:w="60" w:type="dxa"/>
            <w:tcBorders/>
            <w:shd w:fill="auto" w:val="clear"/>
            <w:tcMar>
              <w:bottom w:w="0" w:type="dxa"/>
            </w:tcMar>
            <w:vAlign w:val="center"/>
          </w:tcPr>
          <w:p>
            <w:pPr>
              <w:pStyle w:val="TableContents"/>
              <w:spacing w:before="0" w:after="283"/>
              <w:rPr/>
            </w:pPr>
            <w:r>
              <w:rPr/>
              <w:t> </w:t>
            </w:r>
          </w:p>
        </w:tc>
        <w:tc>
          <w:tcPr>
            <w:tcW w:w="5555" w:type="dxa"/>
            <w:tcBorders/>
            <w:shd w:fill="auto" w:val="clear"/>
            <w:tcMar>
              <w:bottom w:w="0" w:type="dxa"/>
            </w:tcMar>
            <w:vAlign w:val="center"/>
          </w:tcPr>
          <w:p>
            <w:pPr>
              <w:pStyle w:val="TableContents"/>
              <w:spacing w:before="0" w:after="283"/>
              <w:rPr>
                <w:color w:val="000000"/>
              </w:rPr>
            </w:pPr>
            <w:r>
              <w:rPr>
                <w:color w:val="000000"/>
              </w:rPr>
              <w:t>Press Release dated December 11, 2013 (Cash Dividends)</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r>
        <w:br w:type="page"/>
      </w:r>
    </w:p>
    <w:p>
      <w:pPr>
        <w:pStyle w:val="TextBody"/>
        <w:rPr/>
      </w:pPr>
      <w:bookmarkStart w:id="2" w:name="v362743_ex99-1.htm"/>
      <w:bookmarkStart w:id="3" w:name="ksv362743_ex991"/>
      <w:bookmarkEnd w:id="2"/>
      <w:bookmarkEnd w:id="3"/>
      <w:r>
        <w:rPr/>
        <w:t> </w:t>
      </w:r>
    </w:p>
    <w:p>
      <w:pPr>
        <w:pStyle w:val="TextBody"/>
        <w:rPr/>
      </w:pPr>
      <w:r>
        <w:rPr/>
        <w:drawing>
          <wp:inline distT="0" distB="0" distL="0" distR="0">
            <wp:extent cx="4689475" cy="3516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89475" cy="351663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4876800" cy="3657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0" cy="3657600"/>
                    </a:xfrm>
                    <a:prstGeom prst="rect">
                      <a:avLst/>
                    </a:prstGeom>
                  </pic:spPr>
                </pic:pic>
              </a:graphicData>
            </a:graphic>
          </wp:inline>
        </w:drawing>
      </w:r>
    </w:p>
    <w:p>
      <w:pPr>
        <w:pStyle w:val="TextBody"/>
        <w:spacing w:before="0" w:after="120"/>
        <w:ind w:left="720" w:right="0" w:firstLine="360"/>
        <w:jc w:val="both"/>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4876800" cy="3657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0" cy="36576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3657600" cy="27432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drawing>
          <wp:inline distT="0" distB="0" distL="0" distR="0">
            <wp:extent cx="4846320" cy="363347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846320" cy="363347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3657600" cy="27432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3657600" cy="27432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3516630" cy="26377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516630" cy="263779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4358640" cy="32658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358640" cy="3265805"/>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4463415" cy="334899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463415" cy="334899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5339715" cy="400494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339715" cy="4004945"/>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3657600" cy="27432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743200"/>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p>
    <w:p>
      <w:pPr>
        <w:pStyle w:val="TextBody"/>
        <w:rPr/>
      </w:pPr>
      <w:r>
        <w:rPr/>
        <w:t>  </w:t>
      </w:r>
    </w:p>
    <w:p>
      <w:pPr>
        <w:pStyle w:val="TextBody"/>
        <w:rPr/>
      </w:pPr>
      <w:r>
        <w:rPr/>
        <w:drawing>
          <wp:inline distT="0" distB="0" distL="0" distR="0">
            <wp:extent cx="6837045" cy="51276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837045" cy="5127625"/>
                    </a:xfrm>
                    <a:prstGeom prst="rect">
                      <a:avLst/>
                    </a:prstGeom>
                  </pic:spPr>
                </pic:pic>
              </a:graphicData>
            </a:graphic>
          </wp:inline>
        </w:drawing>
      </w:r>
    </w:p>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pPr>
      <w:r>
        <w:rPr/>
        <w:t> </w:t>
      </w:r>
      <w:r>
        <w:br w:type="page"/>
      </w:r>
    </w:p>
    <w:p>
      <w:pPr>
        <w:pStyle w:val="TextBody"/>
        <w:jc w:val="center"/>
        <w:rPr/>
      </w:pPr>
      <w:bookmarkStart w:id="4" w:name="v362743_ex99-2.htm"/>
      <w:bookmarkStart w:id="5" w:name="ksv362743_ex992"/>
      <w:bookmarkEnd w:id="4"/>
      <w:bookmarkEnd w:id="5"/>
      <w:r>
        <w:rPr/>
        <w:drawing>
          <wp:inline distT="0" distB="0" distL="0" distR="0">
            <wp:extent cx="1495425" cy="504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95425" cy="504825"/>
                    </a:xfrm>
                    <a:prstGeom prst="rect">
                      <a:avLst/>
                    </a:prstGeom>
                  </pic:spPr>
                </pic:pic>
              </a:graphicData>
            </a:graphic>
          </wp:inline>
        </w:drawing>
      </w:r>
    </w:p>
    <w:p>
      <w:pPr>
        <w:pStyle w:val="TextBody"/>
        <w:jc w:val="center"/>
        <w:rPr/>
      </w:pPr>
      <w:r>
        <w:rPr/>
        <w:t> </w:t>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20"/>
        </w:rPr>
      </w:pPr>
      <w:r>
        <w:rPr>
          <w:rFonts w:ascii="Times New Roman;Times;Serif" w:hAnsi="Times New Roman;Times;Serif"/>
          <w:b/>
          <w:i w:val="false"/>
          <w:caps w:val="false"/>
          <w:smallCaps w:val="false"/>
          <w:color w:val="002D69"/>
          <w:sz w:val="20"/>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For Immediate Release</w:t>
      </w:r>
    </w:p>
    <w:p>
      <w:pPr>
        <w:pStyle w:val="TextBody"/>
        <w:ind w:left="0" w:right="0" w:hanging="0"/>
        <w:jc w:val="center"/>
        <w:rPr>
          <w:bdr w:val="single" w:sz="12" w:space="1" w:color="000080"/>
        </w:rPr>
      </w:pPr>
      <w:r>
        <w:rPr>
          <w:bdr w:val="single" w:sz="12" w:space="1" w:color="00008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080" w:right="108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99.2</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Board of Directors Declares Quarterly Dividends</w:t>
      </w:r>
    </w:p>
    <w:p>
      <w:pPr>
        <w:pStyle w:val="TextBody"/>
        <w:spacing w:before="0" w:after="0"/>
        <w:ind w:left="1080" w:right="1080" w:hanging="0"/>
        <w:jc w:val="center"/>
        <w:rPr>
          <w:caps w:val="false"/>
          <w:smallCaps w:val="false"/>
        </w:rPr>
      </w:pPr>
      <w:r>
        <w:rPr>
          <w:caps w:val="false"/>
          <w:smallCaps w:val="false"/>
        </w:rPr>
        <w:t> </w:t>
      </w:r>
    </w:p>
    <w:p>
      <w:pPr>
        <w:pStyle w:val="TextBody"/>
        <w:spacing w:before="0" w:after="0"/>
        <w:ind w:left="720" w:right="7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CHICAGO—(December 11, 2013)—The Board of Directors of Oil-Dri Corporation of America (NYSE: ODC) yesterday declared quarterly cash dividends of $0.19 per share of the Company’s Common Stock and $0.1425 per share of the Company’s Class B Stock.</w:t>
      </w:r>
    </w:p>
    <w:p>
      <w:pPr>
        <w:pStyle w:val="TextBody"/>
        <w:spacing w:before="0" w:after="0"/>
        <w:ind w:left="720" w:right="720" w:hanging="0"/>
        <w:rPr>
          <w:caps w:val="false"/>
          <w:smallCaps w:val="false"/>
        </w:rPr>
      </w:pPr>
      <w:r>
        <w:rPr>
          <w:caps w:val="false"/>
          <w:smallCaps w:val="false"/>
        </w:rPr>
        <w:t> </w:t>
      </w:r>
    </w:p>
    <w:p>
      <w:pPr>
        <w:pStyle w:val="TextBody"/>
        <w:spacing w:before="0" w:after="0"/>
        <w:ind w:left="720" w:right="72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declared on December 10, 2013 will be payable in the third quarter of fiscal 2014, on March 7, 2014, to stockholders of record at the close of business on February 21, 2014. The Company has paid cash dividends continuously since 1974 and has increased dividends annually for each of the last ten years.</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rPr>
          <w:caps w:val="false"/>
          <w:smallCaps w:val="false"/>
        </w:rPr>
      </w:pPr>
      <w:r>
        <w:rPr>
          <w:caps w:val="false"/>
          <w:smallCaps w:val="false"/>
        </w:rPr>
        <w:t> </w:t>
      </w:r>
    </w:p>
    <w:p>
      <w:pPr>
        <w:pStyle w:val="TextBody"/>
        <w:spacing w:before="0" w:after="0"/>
        <w:ind w:left="1080" w:right="10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1080" w:right="1080" w:hanging="0"/>
        <w:jc w:val="center"/>
        <w:rPr>
          <w:caps w:val="false"/>
          <w:smallCaps w:val="false"/>
        </w:rPr>
      </w:pPr>
      <w:r>
        <w:rPr>
          <w:caps w:val="false"/>
          <w:smallCaps w:val="false"/>
        </w:rPr>
        <w:t> </w:t>
      </w:r>
    </w:p>
    <w:p>
      <w:pPr>
        <w:pStyle w:val="TextBody"/>
        <w:spacing w:before="0" w:after="0"/>
        <w:ind w:left="1080" w:right="1080" w:hanging="0"/>
        <w:jc w:val="center"/>
        <w:rPr>
          <w:caps w:val="false"/>
          <w:smallCaps w:val="false"/>
        </w:rPr>
      </w:pPr>
      <w:r>
        <w:rPr>
          <w:caps w:val="false"/>
          <w:smallCaps w:val="false"/>
        </w:rPr>
        <w:t> </w:t>
      </w:r>
    </w:p>
    <w:p>
      <w:pPr>
        <w:pStyle w:val="TextBody"/>
        <w:spacing w:before="0" w:after="0"/>
        <w:ind w:left="1080" w:right="108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Oil-Dri Corporation of America is a leading supplier of specialty sorbent products for industrial, automotive, agricultural, horticultural and specialty markets and the world’s largest manufacturer of cat litter.</w:t>
      </w:r>
    </w:p>
    <w:p>
      <w:pPr>
        <w:pStyle w:val="TextBody"/>
        <w:spacing w:before="0" w:after="0"/>
        <w:ind w:left="720" w:right="72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jc w:val="center"/>
        <w:rPr>
          <w:bdr w:val="single" w:sz="12" w:space="1" w:color="000080"/>
        </w:rPr>
      </w:pPr>
      <w:r>
        <w:rPr>
          <w:bdr w:val="single" w:sz="12" w:space="1" w:color="000080"/>
        </w:rPr>
        <w:t> </w:t>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Reagan Culbertson</w:t>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caps w:val="false"/>
          <w:smallCaps w:val="false"/>
          <w:color w:val="002D69"/>
          <w:sz w:val="20"/>
        </w:rPr>
        <w:t>Investor Relations Manager</w:t>
      </w:r>
      <w:r>
        <w:rPr>
          <w:rFonts w:ascii="Times New Roman;Times;Serif" w:hAnsi="Times New Roman;Times;Serif"/>
          <w:b w:val="false"/>
          <w:i w:val="false"/>
          <w:caps w:val="false"/>
          <w:smallCaps w:val="false"/>
          <w:color w:val="002D69"/>
          <w:sz w:val="20"/>
        </w:rPr>
        <w:br/>
        <w:t>reagan.culbertson@oildri.com</w:t>
        <w:br/>
        <w:t>(312) 706 3256</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1063</Words>
  <CharactersWithSpaces>7453</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