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7"/>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October 31, 2012</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October 31, 2012.</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–4,879,226 Shares and Class B Stock –2,057,468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4">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FF"/>
              </w:rPr>
            </w:pPr>
            <w:hyperlink w:anchor="page14">
              <w:r>
                <w:rPr>
                  <w:rFonts w:ascii="Arial" w:cs="Arial" w:eastAsia="Arial" w:hAnsi="Arial"/>
                  <w:sz w:val="18"/>
                  <w:szCs w:val="18"/>
                  <w:color w:val="0000FF"/>
                </w:rPr>
                <w:t>15</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0">
              <w:r>
                <w:rPr>
                  <w:rFonts w:ascii="Arial" w:cs="Arial" w:eastAsia="Arial" w:hAnsi="Arial"/>
                  <w:sz w:val="18"/>
                  <w:szCs w:val="18"/>
                  <w:color w:val="0000FF"/>
                  <w:w w:val="89"/>
                </w:rPr>
                <w:t>21</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1">
              <w:r>
                <w:rPr>
                  <w:rFonts w:ascii="Arial" w:cs="Arial" w:eastAsia="Arial" w:hAnsi="Arial"/>
                  <w:sz w:val="18"/>
                  <w:szCs w:val="18"/>
                  <w:color w:val="0000FF"/>
                  <w:w w:val="89"/>
                </w:rPr>
                <w:t>22</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Unregistered Sales of Equity Securities and Use of Proceeds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24</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25</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statements in this report, including, but not limited to, those under the heading “Management’s Discussion and Analysis of Financial Condition and Results of Operations” and those statements elsewhere in this report and other documents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2012.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Cat’s Pride, Fresh &amp; Light and Oil-Dri are registered trademarks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27,177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27,093</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Investment in short-term securities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7,940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 $633 and $626</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31,381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at October 31, 2012 and July 31, 2012,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20,998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3,518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95,997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95,202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178,667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176,707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(114,255)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(112,254)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64,412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64,453</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5,162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$407 and $409 at October 31, 2012 and July 31, 2012,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Debt issuance costs,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of $398 and $380 at October 31, 2012 and July 31 2012,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Licensing agreements and non-compete agreements,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$1,674 and $1,611 at October 31, 2012 and July 31, 2012,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2,976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14,299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174,708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174,267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820"/>
              <w:spacing w:after="0"/>
              <w:rPr>
                <w:sz w:val="20"/>
                <w:szCs w:val="20"/>
                <w:color w:val="auto"/>
              </w:rPr>
            </w:pPr>
            <w:r>
              <w:rPr>
                <w:rFonts w:ascii="Arial" w:cs="Arial" w:eastAsia="Arial" w:hAnsi="Arial"/>
                <w:sz w:val="18"/>
                <w:szCs w:val="18"/>
                <w:b w:val="1"/>
                <w:bCs w:val="1"/>
                <w:color w:val="auto"/>
              </w:rPr>
              <w:t>LIABILITIES &amp; STOCKHOLDERS’ EQUITY</w:t>
            </w: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8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6,551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5,730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28,660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29,122</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70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22,400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24,764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24,241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57,010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59,837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85,670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88,959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7,791,187 shares at October 31, 2012</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7,786,241 shares at July 31, 2012</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9"/>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2,382,209 shares at October 31, 2012</w:t>
            </w:r>
          </w:p>
        </w:tc>
        <w:tc>
          <w:tcPr>
            <w:tcW w:w="140" w:type="dxa"/>
            <w:vAlign w:val="bottom"/>
          </w:tcPr>
          <w:p>
            <w:pPr>
              <w:spacing w:after="0"/>
              <w:rPr>
                <w:sz w:val="19"/>
                <w:szCs w:val="19"/>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and 2,374,859 shares at July 31, 2012</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29,998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29,759</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Restricted unearned stock compensation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126,196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122,901</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Unrealized gain on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9"/>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Less Treasury Stock, at cost (2,911,961 Common and 324,741 Class B shares at</w:t>
            </w:r>
          </w:p>
        </w:tc>
        <w:tc>
          <w:tcPr>
            <w:tcW w:w="14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(55,217)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October 31, 2012 and 2,911,564 Common and 324,741 Class B shares at July 31, 2012)</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89,038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85,308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174,708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174,267</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gridSpan w:val="5"/>
          </w:tcPr>
          <w:p>
            <w:pPr>
              <w:ind w:left="56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61,417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59,582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(44,186)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(45,379)</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(10,820)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(12,407)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Rationalization Charges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6,399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6,057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4,452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122,901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121,388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126,196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121,256</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0.69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0.16</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0.64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0.15</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4,879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5,114</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858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6,879</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7,100</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97"/>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gain (loss) on marketable securities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4,621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580" w:type="dxa"/>
            <w:vAlign w:val="bottom"/>
          </w:tcPr>
          <w:p>
            <w:pPr>
              <w:ind w:left="56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jc w:val="center"/>
        <w:ind w:right="-1200"/>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31,</w:t>
            </w:r>
          </w:p>
        </w:tc>
        <w:tc>
          <w:tcPr>
            <w:tcW w:w="12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5740" w:type="dxa"/>
            <w:vAlign w:val="bottom"/>
            <w:gridSpan w:val="5"/>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7"/>
                <w:szCs w:val="17"/>
                <w:color w:val="auto"/>
              </w:rPr>
            </w:pPr>
          </w:p>
        </w:tc>
        <w:tc>
          <w:tcPr>
            <w:tcW w:w="140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2011</w:t>
            </w:r>
          </w:p>
        </w:tc>
      </w:tr>
      <w:tr>
        <w:trPr>
          <w:trHeight w:val="48"/>
        </w:trPr>
        <w:tc>
          <w:tcPr>
            <w:tcW w:w="20" w:type="dxa"/>
            <w:vAlign w:val="bottom"/>
            <w:tcBorders>
              <w:bottom w:val="single" w:sz="8" w:color="CCEEFF"/>
            </w:tcBorders>
          </w:tcPr>
          <w:p>
            <w:pPr>
              <w:spacing w:after="0"/>
              <w:rPr>
                <w:sz w:val="4"/>
                <w:szCs w:val="4"/>
                <w:color w:val="auto"/>
              </w:rPr>
            </w:pPr>
          </w:p>
        </w:tc>
        <w:tc>
          <w:tcPr>
            <w:tcW w:w="396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64"/>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r>
      <w:tr>
        <w:trPr>
          <w:trHeight w:val="209"/>
        </w:trPr>
        <w:tc>
          <w:tcPr>
            <w:tcW w:w="5740" w:type="dxa"/>
            <w:vAlign w:val="bottom"/>
            <w:gridSpan w:val="5"/>
          </w:tcPr>
          <w:p>
            <w:pPr>
              <w:ind w:left="20"/>
              <w:spacing w:after="0"/>
              <w:rPr>
                <w:sz w:val="20"/>
                <w:szCs w:val="20"/>
                <w:color w:val="auto"/>
              </w:rPr>
            </w:pPr>
            <w:r>
              <w:rPr>
                <w:rFonts w:ascii="Arial" w:cs="Arial" w:eastAsia="Arial" w:hAnsi="Arial"/>
                <w:sz w:val="18"/>
                <w:szCs w:val="18"/>
                <w:color w:val="auto"/>
              </w:rPr>
              <w:t>Adjustments to reconcile net income to net cash</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20" w:type="dxa"/>
            <w:vAlign w:val="bottom"/>
            <w:gridSpan w:val="4"/>
          </w:tcPr>
          <w:p>
            <w:pPr>
              <w:ind w:left="100"/>
              <w:spacing w:after="0"/>
              <w:rPr>
                <w:sz w:val="20"/>
                <w:szCs w:val="20"/>
                <w:color w:val="auto"/>
              </w:rPr>
            </w:pPr>
            <w:r>
              <w:rPr>
                <w:rFonts w:ascii="Arial" w:cs="Arial" w:eastAsia="Arial" w:hAnsi="Arial"/>
                <w:sz w:val="18"/>
                <w:szCs w:val="18"/>
                <w:color w:val="auto"/>
              </w:rPr>
              <w:t>provided by operating activities: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2,345</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discount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Non-cash stock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Loss on the sale of fixed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Capacity rationalization charges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(2,102)</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Increase (Decrease) in:</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(1,530)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539</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Deferred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37"/>
        </w:trPr>
        <w:tc>
          <w:tcPr>
            <w:tcW w:w="20" w:type="dxa"/>
            <w:vAlign w:val="bottom"/>
          </w:tcPr>
          <w:p>
            <w:pPr>
              <w:spacing w:after="0"/>
              <w:rPr>
                <w:sz w:val="20"/>
                <w:szCs w:val="20"/>
                <w:color w:val="auto"/>
              </w:rPr>
            </w:pPr>
          </w:p>
        </w:tc>
        <w:tc>
          <w:tcPr>
            <w:tcW w:w="57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Adjustments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76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(2,157)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(1,611)</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Purchases of investment in short-term securities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(3,480)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Dispositions of investment in short-term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9,900</w:t>
            </w:r>
          </w:p>
        </w:tc>
      </w:tr>
      <w:tr>
        <w:trPr>
          <w:trHeight w:val="237"/>
        </w:trPr>
        <w:tc>
          <w:tcPr>
            <w:tcW w:w="20" w:type="dxa"/>
            <w:vAlign w:val="bottom"/>
          </w:tcPr>
          <w:p>
            <w:pPr>
              <w:spacing w:after="0"/>
              <w:rPr>
                <w:sz w:val="20"/>
                <w:szCs w:val="20"/>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5,834</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03"/>
        </w:trPr>
        <w:tc>
          <w:tcPr>
            <w:tcW w:w="574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9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Principal payments on 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 of treasury stock</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Proceeds from issuance of treasury stock</w:t>
            </w:r>
          </w:p>
        </w:tc>
        <w:tc>
          <w:tcPr>
            <w:tcW w:w="14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50"/>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50"/>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3,115</w:t>
            </w:r>
          </w:p>
        </w:tc>
      </w:tr>
      <w:tr>
        <w:trPr>
          <w:trHeight w:val="243"/>
        </w:trPr>
        <w:tc>
          <w:tcPr>
            <w:tcW w:w="5740" w:type="dxa"/>
            <w:vAlign w:val="bottom"/>
            <w:gridSpan w:val="5"/>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27,093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17,885</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21,000</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0219"/>
          </w:cols>
          <w:pgMar w:left="240" w:top="580" w:right="1440" w:bottom="705" w:gutter="0" w:footer="0" w:header="0"/>
        </w:sect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19"/>
          </w:cols>
          <w:pgMar w:left="240" w:top="580" w:right="1440" w:bottom="705"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2012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months ended October 31, 2012 are not necessarily an indication of the results that may be expected for the fiscal year ending July 31, 2013. Certain minor reclassifications have been made to the prior year data to conform to the current year presentation, which had no effect on net earnings or equity reported for any period.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related to the reporting of assets, liabilities, revenues, expenses and related disclosures. Estimates and assumptions are revised periodically. Actual results could differ from these estimates.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our sales agreements with customers, we recognize revenue when risk of loss and title are transferred. An invoice is generated upon shipment that sets the fixed and determinable price. Promotional reserves are provided for sales incentives made directly to consumers and customers, and are netted against sales. Sales returns and allowances are not material.</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allowance for doubtful accounts utilizing a combination of historical experience and periodic review of our accounts receivable aging and specific customer account analysis. A customer account is determined to be uncollectible when we have completed our internal collection procedures, including termination of shipments, direct customer contact and formal demand of payment. We maintain and monitor a list of customers whose creditworthiness has diminished.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These stripping costs are treated as a variable inventory production cost and are included in cost of sales in the period they are incurred. We defer as prepaid expense and amortize the pre-production overburden removal costs associated with opening a new mine.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can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pit, it is hauled to previously mined pits and used to refill older sites. This process allows us to continuously reclaim older pits and dispose of overburden simultaneously, thereby minimizing our liability for future reclamation costs.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CAPACITY RATIONALIZATION CHARGES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recorded approximately $12,000 of expense during the first quarter of fiscal 2013 related to the relocation of production of our industrial floor absorbent and cat litter products from our facility located in Mounds, Illinois, to our plants located in Mississippi, which we announced in fiscal 2012. These costs are shown as “Capacity Rationalization Charges” on the condensed Consolidated Statements of Income and Retained Earnings. Allocation of these expenses between operating segments is impracticable due to the shared nature of our production facilities. In addition, we expect to incur an additional estimated $45,000 of expense for asset write-off and employee relocation during the remainder of fiscal 2013 related to this production relocation.</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is a rollforward of the reserve included in Other Accrued Expenses on the condensed Consolidated Balance Sheets as of October 31, 2012 (in thousands).</w:t>
      </w:r>
    </w:p>
    <w:p>
      <w:pPr>
        <w:spacing w:after="0" w:line="329"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Severance and other employee</w:t>
            </w:r>
          </w:p>
        </w:tc>
      </w:tr>
      <w:tr>
        <w:trPr>
          <w:trHeight w:val="234"/>
        </w:trPr>
        <w:tc>
          <w:tcPr>
            <w:tcW w:w="4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tcPr>
          <w:p>
            <w:pPr>
              <w:jc w:val="right"/>
              <w:ind w:right="650"/>
              <w:spacing w:after="0"/>
              <w:rPr>
                <w:sz w:val="20"/>
                <w:szCs w:val="20"/>
                <w:color w:val="auto"/>
              </w:rPr>
            </w:pPr>
            <w:r>
              <w:rPr>
                <w:rFonts w:ascii="Arial" w:cs="Arial" w:eastAsia="Arial" w:hAnsi="Arial"/>
                <w:sz w:val="18"/>
                <w:szCs w:val="18"/>
                <w:b w:val="1"/>
                <w:bCs w:val="1"/>
                <w:color w:val="auto"/>
              </w:rPr>
              <w:t>related costs</w:t>
            </w:r>
          </w:p>
        </w:tc>
      </w:tr>
      <w:tr>
        <w:trPr>
          <w:trHeight w:val="27"/>
        </w:trPr>
        <w:tc>
          <w:tcPr>
            <w:tcW w:w="4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balance at July 31, 2012</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Charges against reserve</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4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balance at October 31, 2012</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0"/>
        </w:trPr>
        <w:tc>
          <w:tcPr>
            <w:tcW w:w="4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For this Quarterly Report on Form 10-Q, we adopted the Financial Accounting Standards Board (“FASB”) guidance issued under Accounting Standards Codification (“ASC”) 220, </w:t>
      </w:r>
      <w:r>
        <w:rPr>
          <w:rFonts w:ascii="Arial" w:cs="Arial" w:eastAsia="Arial" w:hAnsi="Arial"/>
          <w:sz w:val="18"/>
          <w:szCs w:val="18"/>
          <w:i w:val="1"/>
          <w:iCs w:val="1"/>
          <w:color w:val="auto"/>
        </w:rPr>
        <w:t>Comprehensive Income: Presentation of Comprehensive Income.</w:t>
      </w:r>
      <w:r>
        <w:rPr>
          <w:rFonts w:ascii="Arial" w:cs="Arial" w:eastAsia="Arial" w:hAnsi="Arial"/>
          <w:sz w:val="18"/>
          <w:szCs w:val="18"/>
          <w:color w:val="auto"/>
        </w:rPr>
        <w:t xml:space="preserve"> In accordance with the new requirements and consistent with our past practice, we elected to present the components of net income and other comprehensive income in two separate consecutive statements. The components recognized in net income or other comprehensive income did not change and there was no impact on our condensed consolidated financial statements as a result of adopting this new guidance.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For our annual goodwill impairment test performed during the first quarter of fiscal 2013, we considered the FASB guidance issued under ASC 350, </w:t>
      </w:r>
      <w:r>
        <w:rPr>
          <w:rFonts w:ascii="Arial" w:cs="Arial" w:eastAsia="Arial" w:hAnsi="Arial"/>
          <w:sz w:val="17"/>
          <w:szCs w:val="17"/>
          <w:i w:val="1"/>
          <w:iCs w:val="1"/>
          <w:color w:val="auto"/>
        </w:rPr>
        <w:t>Testing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Goodwill for Impairment, </w:t>
      </w:r>
      <w:r>
        <w:rPr>
          <w:rFonts w:ascii="Arial" w:cs="Arial" w:eastAsia="Arial" w:hAnsi="Arial"/>
          <w:sz w:val="17"/>
          <w:szCs w:val="17"/>
          <w:color w:val="auto"/>
        </w:rPr>
        <w:t>which provides the option to first assess qualitative factors to determine if the annual two-step test of goodwill for impairment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performed</w:t>
      </w:r>
      <w:r>
        <w:rPr>
          <w:rFonts w:ascii="Arial" w:cs="Arial" w:eastAsia="Arial" w:hAnsi="Arial"/>
          <w:sz w:val="17"/>
          <w:szCs w:val="17"/>
          <w:i w:val="1"/>
          <w:iCs w:val="1"/>
          <w:color w:val="auto"/>
        </w:rPr>
        <w:t>.</w:t>
      </w:r>
      <w:r>
        <w:rPr>
          <w:rFonts w:ascii="Arial" w:cs="Arial" w:eastAsia="Arial" w:hAnsi="Arial"/>
          <w:sz w:val="17"/>
          <w:szCs w:val="17"/>
          <w:color w:val="auto"/>
        </w:rPr>
        <w:t xml:space="preserve"> We did not elect to perform a qualitative assessment and continued to perform the two-step test to measure potential goodwill impairment. There was no impact on our condensed consolidated financial statements as a result of this new guidance.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2012, the FASB issued guidance under ASC 350, </w:t>
      </w:r>
      <w:r>
        <w:rPr>
          <w:rFonts w:ascii="Arial" w:cs="Arial" w:eastAsia="Arial" w:hAnsi="Arial"/>
          <w:sz w:val="18"/>
          <w:szCs w:val="18"/>
          <w:i w:val="1"/>
          <w:iCs w:val="1"/>
          <w:color w:val="auto"/>
        </w:rPr>
        <w:t>Testing Indefinite-Lived Intangible Assets for Impairment,</w:t>
      </w:r>
      <w:r>
        <w:rPr>
          <w:rFonts w:ascii="Arial" w:cs="Arial" w:eastAsia="Arial" w:hAnsi="Arial"/>
          <w:sz w:val="18"/>
          <w:szCs w:val="18"/>
          <w:color w:val="auto"/>
        </w:rPr>
        <w:t xml:space="preserve"> that provides the option to first assess qualitative factors to determine whether it is more likely than not that an indefinite-lived intangible asset is impaired as a basis for determining whether it is necessary to perform the second, quantitative impairment test. If, based on the qualitative assessment of events or circumstances, an entity determines it is not more likely than not that the indefinite-lived intangible asset's fair value is less than its carrying amount, then it is not necessary to perform the quantitative impairment test. However, if an entity concludes otherwise, then the quantitative impairment test must also be performed to identify and measure any potential impairment amount. We are currently evaluating the impact this guidance will have on our annual indefinite-lived intangible asset impairment testing for our fiscal year 2014 beginning August 1, 2013.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4.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inventories is as follows (in thousands of dollars):</w:t>
      </w:r>
    </w:p>
    <w:p>
      <w:pPr>
        <w:spacing w:after="0" w:line="383"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4,041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4,378</w:t>
            </w:r>
          </w:p>
        </w:tc>
      </w:tr>
      <w:tr>
        <w:trPr>
          <w:trHeight w:val="237"/>
        </w:trPr>
        <w:tc>
          <w:tcPr>
            <w:tcW w:w="47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20,998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19,673</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October 31, 2012 and July 31, 2012 were $411,000 and $281,000,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The categories in the hierarchy are as follows:</w:t>
      </w:r>
    </w:p>
    <w:p>
      <w:pPr>
        <w:spacing w:after="0" w:line="34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220" w:hanging="240"/>
        <w:spacing w:after="0"/>
        <w:tabs>
          <w:tab w:leader="none" w:pos="1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ind w:left="980" w:right="60" w:hanging="917"/>
        <w:spacing w:after="0" w:line="277" w:lineRule="auto"/>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unobservable. These inputs may reflect estimates of the assumptions that market participants would use in valuing the financial assets and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financial assets and liabilities that were measured at fair value by level within the fair value hierarchy: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2"/>
              </w:rPr>
              <w:t>Fair Value at October 31, 2012</w:t>
            </w:r>
          </w:p>
        </w:tc>
      </w:t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1</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13,107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13,107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surrender value of life insurance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4,271</w:t>
            </w: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equivalents are classified as Level 1 of the fair value hierarchy because they were valued using quoted market prices in active markets. These cash instruments are primarily money market mutual funds and are included in cash and cash equivalents on the condensed Consolidated Balance Sheets.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Marketable equity securities were valued using quoted market prices in active markets and as such are classified as Level 1 in the fair value hierarchy. These securities represent stock we own in one publicly traded company and are included in other assets on the condensed Consolidated Balance Sheets.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jc w:val="both"/>
        <w:spacing w:after="0" w:line="279" w:lineRule="auto"/>
        <w:rPr>
          <w:sz w:val="20"/>
          <w:szCs w:val="20"/>
          <w:color w:val="auto"/>
        </w:rPr>
      </w:pPr>
      <w:r>
        <w:rPr>
          <w:rFonts w:ascii="Arial" w:cs="Arial" w:eastAsia="Arial" w:hAnsi="Arial"/>
          <w:sz w:val="17"/>
          <w:szCs w:val="17"/>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former key employees as of October 31, 2012. The cash surrender value of life insurance is included in other assets on the condensed Consolidated Balance Sheets.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investment in short-term securities on the condensed Consolidated Balance Sheets includes U.S. Treasury securities, certificates of deposit and debt securities. We have the ability to hold our investment in short-term securities to maturity and intend to do so; therefore, these investments were reported at amortized cost on the condensed Consolidated Balance Sheets, which approximated fair value as of October 31, 2012. These balances are excluded from the above table.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Accounts receivable and accounts payable balances on the condensed Consolidated Balance Sheets approximate their fair values at October 31, 2012 due to the short maturity and nature of those balances; therefore, these balances are excluded from the above table.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values of notes payable approximated their fair values at October 31, 2012 and are excluded from the above table. The estimated fair value of notes payable, including current maturities, was $29,471,000 as of October 31, 2012.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apply fair value techniques on a non-recurring basis associated with: (1) valuing potential impairment loss related to goodwill and indefinite-lived intangible assets and (2) valuing potential impairment loss related to long-lived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POSTRETIREMENT</w:t>
            </w:r>
          </w:p>
        </w:tc>
      </w:tr>
      <w:tr>
        <w:trPr>
          <w:trHeight w:val="216"/>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PENSION PLAN</w:t>
            </w:r>
          </w:p>
        </w:tc>
        <w:tc>
          <w:tcPr>
            <w:tcW w:w="15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HEALTH PLAN</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(in</w:t>
            </w:r>
          </w:p>
        </w:tc>
      </w:tr>
      <w:tr>
        <w:trPr>
          <w:trHeight w:val="234"/>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0"/>
                <w:szCs w:val="20"/>
                <w:color w:val="auto"/>
              </w:rPr>
            </w:pPr>
          </w:p>
        </w:tc>
        <w:tc>
          <w:tcPr>
            <w:tcW w:w="206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8"/>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60" w:type="dxa"/>
            <w:vAlign w:val="bottom"/>
            <w:gridSpan w:val="8"/>
          </w:tcPr>
          <w:p>
            <w:pPr>
              <w:jc w:val="right"/>
              <w:spacing w:after="0"/>
              <w:rPr>
                <w:sz w:val="20"/>
                <w:szCs w:val="20"/>
                <w:color w:val="auto"/>
              </w:rPr>
            </w:pPr>
            <w:r>
              <w:rPr>
                <w:rFonts w:ascii="Arial" w:cs="Arial" w:eastAsia="Arial" w:hAnsi="Arial"/>
                <w:sz w:val="18"/>
                <w:szCs w:val="18"/>
                <w:b w:val="1"/>
                <w:bCs w:val="1"/>
                <w:color w:val="auto"/>
              </w:rPr>
              <w:t>For the Three Months Ended October 31,</w:t>
            </w:r>
          </w:p>
        </w:tc>
        <w:tc>
          <w:tcPr>
            <w:tcW w:w="76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4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2011</w:t>
            </w:r>
          </w:p>
        </w:tc>
      </w:tr>
      <w:tr>
        <w:trPr>
          <w:trHeight w:val="27"/>
        </w:trPr>
        <w:tc>
          <w:tcPr>
            <w:tcW w:w="6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transition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Prior service costs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actuarial loss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471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75</w:t>
            </w:r>
          </w:p>
        </w:tc>
        <w:tc>
          <w:tcPr>
            <w:tcW w:w="4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plan covering postretirement health benefits is an unfunded plan. We have funded the pension plan based upon actuarially determined contributions that take into account the normal cost and the minimum and maximum contribution requirements of various regulations. We did not make a contribution to our pension plan during the first quarter ended October 31, 2012. We intend to make contributions to the pension plan during the current fiscal year approximately equal to the annual actuarial determined cost. We currently estimate this amount to be approximately $1,880,000; this estimate will be updated upon completion of the actuarial valuation in the second quarter of fiscal 2013. See Item 3. Quantitative and Qualitative Disclosures About Market Risk for a discussion of the potential impact of financial market fluctuations on pension plan assets and future funding contributions.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Assumptions used in the previous calculations were as follows: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0"/>
        </w:trPr>
        <w:tc>
          <w:tcPr>
            <w:tcW w:w="5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5820" w:type="dxa"/>
            <w:vAlign w:val="bottom"/>
          </w:tcPr>
          <w:p>
            <w:pPr>
              <w:spacing w:after="0"/>
              <w:rPr>
                <w:sz w:val="20"/>
                <w:szCs w:val="20"/>
                <w:color w:val="auto"/>
              </w:rPr>
            </w:pPr>
          </w:p>
        </w:tc>
        <w:tc>
          <w:tcPr>
            <w:tcW w:w="2840" w:type="dxa"/>
            <w:vAlign w:val="bottom"/>
            <w:gridSpan w:val="4"/>
          </w:tcPr>
          <w:p>
            <w:pPr>
              <w:ind w:left="720"/>
              <w:spacing w:after="0"/>
              <w:rPr>
                <w:sz w:val="20"/>
                <w:szCs w:val="20"/>
                <w:color w:val="auto"/>
              </w:rPr>
            </w:pPr>
            <w:r>
              <w:rPr>
                <w:rFonts w:ascii="Arial" w:cs="Arial" w:eastAsia="Arial" w:hAnsi="Arial"/>
                <w:sz w:val="18"/>
                <w:szCs w:val="18"/>
                <w:b w:val="1"/>
                <w:bCs w:val="1"/>
                <w:color w:val="auto"/>
              </w:rPr>
              <w:t>PENSION PLAN</w:t>
            </w:r>
          </w:p>
        </w:tc>
        <w:tc>
          <w:tcPr>
            <w:tcW w:w="27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HEALTH BENEFITS</w:t>
            </w:r>
          </w:p>
        </w:tc>
      </w:tr>
      <w:tr>
        <w:trPr>
          <w:trHeight w:val="27"/>
        </w:trPr>
        <w:tc>
          <w:tcPr>
            <w:tcW w:w="5820" w:type="dxa"/>
            <w:vAlign w:val="bottom"/>
          </w:tcPr>
          <w:p>
            <w:pPr>
              <w:spacing w:after="0"/>
              <w:rPr>
                <w:sz w:val="2"/>
                <w:szCs w:val="2"/>
                <w:color w:val="auto"/>
              </w:rPr>
            </w:pPr>
          </w:p>
        </w:tc>
        <w:tc>
          <w:tcPr>
            <w:tcW w:w="4600" w:type="dxa"/>
            <w:vAlign w:val="bottom"/>
            <w:tcBorders>
              <w:bottom w:val="single" w:sz="8" w:color="auto"/>
            </w:tcBorders>
            <w:gridSpan w:val="7"/>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4600" w:type="dxa"/>
            <w:vAlign w:val="bottom"/>
            <w:gridSpan w:val="7"/>
          </w:tcPr>
          <w:p>
            <w:pPr>
              <w:ind w:left="1220"/>
              <w:spacing w:after="0"/>
              <w:rPr>
                <w:sz w:val="20"/>
                <w:szCs w:val="20"/>
                <w:color w:val="auto"/>
              </w:rPr>
            </w:pPr>
            <w:r>
              <w:rPr>
                <w:rFonts w:ascii="Arial" w:cs="Arial" w:eastAsia="Arial" w:hAnsi="Arial"/>
                <w:sz w:val="18"/>
                <w:szCs w:val="18"/>
                <w:b w:val="1"/>
                <w:bCs w:val="1"/>
                <w:color w:val="auto"/>
                <w:w w:val="96"/>
              </w:rPr>
              <w:t>For the Three Months Ended October 31,</w:t>
            </w:r>
          </w:p>
        </w:tc>
        <w:tc>
          <w:tcPr>
            <w:tcW w:w="100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27"/>
        </w:trPr>
        <w:tc>
          <w:tcPr>
            <w:tcW w:w="58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8.0%. The graded trend rate is expected to decrease to an ultimate rate of 5.0% in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two operating segments: (1) Retail and Wholesale Products and (2)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Assets</w:t>
            </w:r>
          </w:p>
        </w:tc>
        <w:tc>
          <w:tcPr>
            <w:tcW w:w="820" w:type="dxa"/>
            <w:vAlign w:val="bottom"/>
          </w:tcPr>
          <w:p>
            <w:pPr>
              <w:spacing w:after="0"/>
              <w:rPr>
                <w:sz w:val="20"/>
                <w:szCs w:val="20"/>
                <w:color w:val="auto"/>
              </w:rPr>
            </w:pPr>
          </w:p>
        </w:tc>
      </w:tr>
      <w:tr>
        <w:trPr>
          <w:trHeight w:val="27"/>
        </w:trPr>
        <w:tc>
          <w:tcPr>
            <w:tcW w:w="916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9160" w:type="dxa"/>
            <w:vAlign w:val="bottom"/>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b w:val="1"/>
                <w:bCs w:val="1"/>
                <w:color w:val="auto"/>
              </w:rPr>
              <w:t>October 31,</w:t>
            </w:r>
          </w:p>
        </w:tc>
        <w:tc>
          <w:tcPr>
            <w:tcW w:w="20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July 31,</w:t>
            </w:r>
          </w:p>
        </w:tc>
      </w:tr>
      <w:tr>
        <w:trPr>
          <w:trHeight w:val="234"/>
        </w:trPr>
        <w:tc>
          <w:tcPr>
            <w:tcW w:w="9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r>
      <w:tr>
        <w:trPr>
          <w:trHeight w:val="27"/>
        </w:trPr>
        <w:tc>
          <w:tcPr>
            <w:tcW w:w="9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r>
      <w:tr>
        <w:trPr>
          <w:trHeight w:val="237"/>
        </w:trPr>
        <w:tc>
          <w:tcPr>
            <w:tcW w:w="9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9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44,848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44,250</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80,949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79,658</w:t>
            </w:r>
          </w:p>
        </w:tc>
      </w:tr>
      <w:tr>
        <w:trPr>
          <w:trHeight w:val="27"/>
        </w:trPr>
        <w:tc>
          <w:tcPr>
            <w:tcW w:w="9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48,911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50,359</w:t>
            </w:r>
          </w:p>
        </w:tc>
      </w:tr>
      <w:tr>
        <w:trPr>
          <w:trHeight w:val="257"/>
        </w:trPr>
        <w:tc>
          <w:tcPr>
            <w:tcW w:w="91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174,708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174,267</w:t>
            </w:r>
          </w:p>
        </w:tc>
      </w:tr>
      <w:tr>
        <w:trPr>
          <w:trHeight w:val="20"/>
        </w:trPr>
        <w:tc>
          <w:tcPr>
            <w:tcW w:w="9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40" w:type="dxa"/>
            <w:vAlign w:val="bottom"/>
            <w:gridSpan w:val="10"/>
          </w:tcPr>
          <w:p>
            <w:pPr>
              <w:jc w:val="center"/>
              <w:ind w:right="70"/>
              <w:spacing w:after="0"/>
              <w:rPr>
                <w:sz w:val="20"/>
                <w:szCs w:val="20"/>
                <w:color w:val="auto"/>
              </w:rPr>
            </w:pPr>
            <w:r>
              <w:rPr>
                <w:rFonts w:ascii="Arial" w:cs="Arial" w:eastAsia="Arial" w:hAnsi="Arial"/>
                <w:sz w:val="18"/>
                <w:szCs w:val="18"/>
                <w:b w:val="1"/>
                <w:bCs w:val="1"/>
                <w:color w:val="auto"/>
                <w:w w:val="91"/>
              </w:rPr>
              <w:t>For the Three Months Ended October 31,</w:t>
            </w:r>
          </w:p>
        </w:tc>
      </w:tr>
      <w:tr>
        <w:trPr>
          <w:trHeight w:val="27"/>
        </w:trPr>
        <w:tc>
          <w:tcPr>
            <w:tcW w:w="7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5"/>
          </w:tcPr>
          <w:p>
            <w:pPr>
              <w:ind w:left="500"/>
              <w:spacing w:after="0"/>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Income</w:t>
            </w:r>
          </w:p>
        </w:tc>
        <w:tc>
          <w:tcPr>
            <w:tcW w:w="7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2011</w:t>
            </w:r>
          </w:p>
        </w:tc>
      </w:tr>
      <w:tr>
        <w:trPr>
          <w:trHeight w:val="27"/>
        </w:trPr>
        <w:tc>
          <w:tcPr>
            <w:tcW w:w="7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39,635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38,648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4,524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(1,219)</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61,417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(5,636)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(4,425)</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Rationalization Charges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6,399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1,796</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37"/>
        </w:trPr>
        <w:tc>
          <w:tcPr>
            <w:tcW w:w="70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6,057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1,473</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4,452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1,075</w:t>
            </w:r>
          </w:p>
        </w:tc>
      </w:tr>
      <w:tr>
        <w:trPr>
          <w:trHeight w:val="20"/>
        </w:trPr>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recognized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1995 Long Term Incentive Plan (“1995 Plan”) provided for grants of both incentive and non-qualified stock options and restricted stock. Stock options granted under the 1995 Plan generally vest 25% two years after the grant date and in each of the three following anniversaries of the grant date. All shares of stock issued upon option exercises under this plan were from authorized but unissued stock; all shares of restricted stock issued were from treasury stock. There are no shares available for future grants under this plan.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shares of restricted shares have been issued under the 2006 Plan as described in the restricted stock section below.</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Oil-Dri Corporation of America Outside Director Stock Plan (the “Directors' Plan”) provides for grants of stock options to directors, who are considered employees. Stock options have been granted to our directors with a one year vesting period. There are no shares available for future grants under this plan. All shares of stock issued under the Directors' Plan were from treasury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transactions as of October 31, 2012 is shown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94"/>
              </w:rPr>
              <w:t>Aggregate Intrinsic</w:t>
            </w:r>
          </w:p>
        </w:tc>
      </w:tr>
      <w:tr>
        <w:trPr>
          <w:trHeight w:val="230"/>
        </w:trPr>
        <w:tc>
          <w:tcPr>
            <w:tcW w:w="572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w w:val="94"/>
              </w:rPr>
              <w:t>Number of Shares</w:t>
            </w:r>
          </w:p>
        </w:tc>
        <w:tc>
          <w:tcPr>
            <w:tcW w:w="12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Term</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Value</w:t>
            </w:r>
          </w:p>
        </w:tc>
      </w:tr>
      <w:tr>
        <w:trPr>
          <w:trHeight w:val="27"/>
        </w:trPr>
        <w:tc>
          <w:tcPr>
            <w:tcW w:w="57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(Years)</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2"/>
              </w:rPr>
              <w:t>(in thousands)</w:t>
            </w:r>
          </w:p>
        </w:tc>
      </w:tr>
      <w:tr>
        <w:trPr>
          <w:trHeight w:val="27"/>
        </w:trPr>
        <w:tc>
          <w:tcPr>
            <w:tcW w:w="5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July 31, 2012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57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October 31, 2012</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w:t>
            </w:r>
          </w:p>
        </w:tc>
      </w:tr>
      <w:tr>
        <w:trPr>
          <w:trHeight w:val="20"/>
        </w:trPr>
        <w:tc>
          <w:tcPr>
            <w:tcW w:w="5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1"/>
        </w:trPr>
        <w:tc>
          <w:tcPr>
            <w:tcW w:w="5720" w:type="dxa"/>
            <w:vAlign w:val="bottom"/>
          </w:tcPr>
          <w:p>
            <w:pPr>
              <w:ind w:left="40"/>
              <w:spacing w:after="0"/>
              <w:rPr>
                <w:sz w:val="20"/>
                <w:szCs w:val="20"/>
                <w:color w:val="auto"/>
              </w:rPr>
            </w:pPr>
            <w:r>
              <w:rPr>
                <w:rFonts w:ascii="Arial" w:cs="Arial" w:eastAsia="Arial" w:hAnsi="Arial"/>
                <w:sz w:val="18"/>
                <w:szCs w:val="18"/>
                <w:color w:val="auto"/>
              </w:rPr>
              <w:t>Options exercisable, October 31, 2012</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1,492</w:t>
            </w:r>
          </w:p>
        </w:tc>
      </w:tr>
      <w:tr>
        <w:trPr>
          <w:trHeight w:val="20"/>
        </w:trPr>
        <w:tc>
          <w:tcPr>
            <w:tcW w:w="5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amount of cash received from the exercise of stock options during the first quarter of fiscal 2013 was $61,000 and the related tax benefit was $13,000. The amount of cash received from the exercise of stock options during the first quarter of fiscal 2012 was $66,000 and the related tax benefit was $47,000.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our non-vested restricted stock as of October 31, 2012 was issued under the 2006 Plan with vesting periods between two and five years.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2006 Plan, 7,000 restricted shares of Class B Stock were granted in the first quarter of fiscal 2013 and 8,000 restricted shares of Common Stock were granted in the first quarter of fiscal 2012.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our stock-based compensation expense in the first quarter of fiscal years 2013 and 2012 was $203,000 and $164,000, respectively, related to non-vested restricted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A summary of restricted stock transactions under the plan is shown below:</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64"/>
        </w:trPr>
        <w:tc>
          <w:tcPr>
            <w:tcW w:w="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2"/>
              </w:rPr>
              <w:t>Weighted</w:t>
            </w:r>
          </w:p>
        </w:tc>
      </w:tr>
      <w:tr>
        <w:trPr>
          <w:trHeight w:val="216"/>
        </w:trPr>
        <w:tc>
          <w:tcPr>
            <w:tcW w:w="4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w w:val="89"/>
              </w:rPr>
              <w:t>Restricted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0"/>
              </w:rPr>
              <w:t>Average Grant</w:t>
            </w:r>
          </w:p>
        </w:tc>
      </w:tr>
      <w:tr>
        <w:trPr>
          <w:trHeight w:val="230"/>
        </w:trPr>
        <w:tc>
          <w:tcPr>
            <w:tcW w:w="4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1"/>
              </w:rPr>
              <w:t>Date Fair Value</w:t>
            </w:r>
          </w:p>
        </w:tc>
      </w:tr>
      <w:tr>
        <w:trPr>
          <w:trHeight w:val="27"/>
        </w:trPr>
        <w:tc>
          <w:tcPr>
            <w:tcW w:w="40" w:type="dxa"/>
            <w:vAlign w:val="bottom"/>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July 31, 2012</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21.68</w:t>
            </w: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Vested</w:t>
            </w: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21.75</w:t>
            </w: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22.90</w:t>
            </w:r>
          </w:p>
        </w:tc>
      </w:tr>
      <w:tr>
        <w:trPr>
          <w:trHeight w:val="257"/>
        </w:trPr>
        <w:tc>
          <w:tcPr>
            <w:tcW w:w="40" w:type="dxa"/>
            <w:vAlign w:val="bottom"/>
          </w:tcPr>
          <w:p>
            <w:pPr>
              <w:spacing w:after="0"/>
              <w:rPr>
                <w:sz w:val="22"/>
                <w:szCs w:val="22"/>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Non-vested restricted stock outstanding at October 31, 2012</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21.75</w:t>
            </w:r>
          </w:p>
        </w:tc>
      </w:tr>
      <w:tr>
        <w:trPr>
          <w:trHeight w:val="20"/>
        </w:trPr>
        <w:tc>
          <w:tcPr>
            <w:tcW w:w="4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4, 2012 our Board of Directors declared accelerated cash dividends of $0.36 per share of Common Stock and $0.27 per share of Class B Stock, which reflect dividends for the third and fourth quarters of fiscal 2013. These dividends will be payable on December 28, 2012, to stockholders of record at the close of business on December 14, 2012. This is not a special dividend payment nor an increase, but rather an acceleration of the quarterly dividends that would be paid normally over the course of fiscal 2013. The Board of Directors will consider the next regularly scheduled dividend payment at its June 2013 meeting.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2012.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cat litter, industrial and automotive floor absorbents, fluids purification and filtration bleaching clays, agricultural and horticultural chemical carriers, animal health and nutrition products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6 of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2012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2011</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net sales for the three months ended October 31, 2012 were $61,417,000, an increase of 3% from net sales of $59,582,000, for the three months ended October 31, 2011. Consolidated net income for the first three months of fiscal 2013 was $4,452,000, compared to $1,075,000 in the first three months of fiscal 2012. Diluted net income per share was $0.64 for the first three months of fiscal 2013 compared to $0.15 for the first three months of fiscal 2012.</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net sales for the first three months of fiscal 2013 improved due to lower trade spending (trade spending reduces net sales), selling price increases and a favorable product sales mix, defined as a greater proportion of sales from higher priced products. Consolidated net income for the first three months of fiscal 2013 was positively impacted by reduced advertising expense, a decline in packaging costs and the lower cost of fuel used in our manufacturing processes; however, non-fuel manufacturing costs per ton increased. The Retail and Wholesale Products Group's operating income increased significantly due to improved sales and lower advertising costs. The Business to Business Products Group's operating income increased slightly as improved sales were partially offset by higher net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of the Business to Business Products Group for the first three months of fiscal 2013 were $21,782,000, an increase of $848,000, or 4%, from net sales of $20,934,000 in the first three months of fiscal 2012. The increase in net sales was attributed to selling price increases and a 2% increase in tons sold. Net sales of animal health and nutrition products increased approximately 29% compared to the first three months of fiscal 2012 due primarily to a favorable product sales mix and higher tons sold. Sales of our enterosorbent animal health products improved in foreign markets. Net sales of agricultural products increased approximately 11% due to 2% more tons sold and a favorable product sales mix. Sales of products used for agricultural chemical carriers and other agricultural applications increased, while net sales of horticultural products decreased. Sales also increased for our engineered granule products used in the professional pesticides and agricultural markets. Our co-packaged traditional coarse cat litter net sales improved 7% due to a 4% increase in tons sold compared to the first quarter last year. Net sales of fluid purification products declined approximately 5% with slightly lower tons sold. This decrease was driven primarily by reduced sales to overseas recycled motor oil customers, which was partially offset by higher sales to customers who process edible oil and petroleum oil.</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to Business Products Group’s operating income for the first three months of fiscal 2013 was $7,523,000, an increase of $83,000, or 1%, from operating income of $7,440,000 in the first three months of fiscal 2012. Operating income was positively impacted by the increase in sales described above and by lower per ton packaging and freight costs; however, operating income was negatively impacted by higher material costs per ton. Packaging costs per ton decreased approximately 12% due to fluctuations in the price of paper and resin commodities. Freight costs per ton decreased approximately 10% due to lower costs for shipping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jc w:val="both"/>
        <w:ind w:right="20"/>
        <w:spacing w:after="0" w:line="308" w:lineRule="auto"/>
        <w:rPr>
          <w:sz w:val="20"/>
          <w:szCs w:val="20"/>
          <w:color w:val="auto"/>
        </w:rPr>
      </w:pPr>
      <w:r>
        <w:rPr>
          <w:rFonts w:ascii="Arial" w:cs="Arial" w:eastAsia="Arial" w:hAnsi="Arial"/>
          <w:sz w:val="17"/>
          <w:szCs w:val="17"/>
          <w:color w:val="auto"/>
        </w:rPr>
        <w:t>our products overseas. Material costs per ton increased approximately 17% due to higher non-fuel manufacturing costs per ton, which exceeded a reduction in the cost per ton of fuel used in manufacturing. See further discussion of manufacturing costs under “Consolidated Results” below.</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down slightly compared to the first three months of fiscal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of the Retail and Wholesale Products Group for the first three months of fiscal 2013 were $39,635,000, an increase of $987,000, or 3%, from net sales of $38,648,000 for the first three months of fiscal 2012. Net sales increased for our cat litter products, but decreased for our industrial absorbent and sports products. Net sales were even with the prior year for our foreign subsidiaries, as described under “Foreign Operations” below. Overall cat litter net sales increased approximately 5% due to lower trade spending (trade spending reduces net sales), increased selling prices and a favorable product sales mix. These positive factors outweighed an approximate 5% decrease in tons sold. Branded cat litter net sales increased approximately 5% due primarily to our Cat's Pride Fresh &amp; Light scoopable products, which were introduced in the fourth quarter of fiscal 2011. In addition, net sales of private label cat litter increased approximately 2% due primarily to additional sales to existing customers. Industrial absorbents net sales were down approximately 2% compared with the first three months of fiscal 2012 due to a 9% decline in tons sold. Sports products net sales declined as a result of high distributor inventory levels due to dry seasonal conditions.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Retail and Wholesale Products Group's operating income for the first three months of fiscal 2013 was $4,524,000, an increase of $5,743,000 from an operating loss of $1,219,000 for the first three months of fiscal 2012. The increase was due primarily to the higher sales described above and lower selling, general and administrative expenses discussed below. The Retail and Wholesale Products Group’s combined packaging, freight, and materials costs per ton increased approximately 3% compared to the first three months of fiscal 2012. Freight costs per ton increased approximately 16% due to higher diesel fuel prices and other cost increases in the freight industry which we expect to continue. Material costs per ton were up slightly compared to the prior year as higher non-fuel manufacturing costs per ton exceeded the lower cost per ton of fuel used in manufacturing. See further discussion of manufacturing costs under “Consolidated Results” below. Packaging costs per ton decreased approximately 3% due to fluctuations in the price of paper and resin commodities and supplies.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Retail and Wholesale Products Group decreased 45% compared to the first three months of fiscal 2012 due to approximately $2,600,000 lower advertising and promotion expenditures primarily for our Cat's Pride products. We expect increased advertising and promotional expenditures over the remainder of fiscal 2013; however, total advertising and promotional spending is anticipated to be less than in fiscal 2012, but will remain higher than historic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consolidated gross profit as a percentage of net sales for the first three months of fiscal 2013 was 28%, which was higher than the 24% reported in the first three months of fiscal 2012. Gross profit improved due to the higher sales described above and the mix of products sold, which was partially offset by an overall 3% increase in combined packaging, freight and material costs per ton. The change in packaging and freight costs are described in the operating segment discussions above. Overall material costs increased due to a 5% increase in non-fuel manufacturing cost per ton, which exceeded a 30% decrease in the cost per ton of fuel used in our manufacturing processes. We primarily use natural gas in our manufacturing processes to operate kilns that dry our clay. The increase in non-fuel manufacturing cost per ton produced was driven primarily by increased manufacturing and other costs related to products that required purchased additives, fragrances and other materials.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as a percentage of net sales for the first three months of fiscal 2013 were 18%, compared to 21% for the first three months of fiscal 2012. The discussions of the segments' operating income above describe the change in the selling, general and administrative expenses that were allocated to the operating segments, including lower advertising costs in the Retail and Wholesale Products Group. The remaining unallocated corporate expenses in the first three months of fiscal 2013 included a higher estimated annual incentive plan bonus accrual. The incentive bonus expense was based on performance targets that are established for the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$43,000 lower for the first three months of fiscal 2013 compared to the same period in fiscal 2012 due to a reduction of notes payable.</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was 26% of pre-tax income in the first three months of fiscal 2013, compared to 27% for the full year of fiscal 2012. The effective tax rate for fiscal 2013 was estimated based on the projected composition and estimated level of our taxable income for the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FOREIGN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by our foreign subsidiaries during the first three months of fiscal 2013 were $2,847,000 compared to net sales of $2,859,000 during the first three months of fiscal 2012. Net sales by our foreign subsidiaries represented 5% of our consolidated net sales during the first three months of both fiscal 2013 and 2012. Net sales increased 3% for our Canadian subsidiary due to higher sales of branded cat litters. Sales of bleaching earth were down 15% for our United Kingdom subsidiary.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first three months of fiscal 2013, our foreign subsidiaries reported a net loss of $167,000, compared to a net loss of $158,000 for the first three months of fiscal 2012. The change in the net loss was due primarily to the decline in sales, which was partially offset by a reduction in overhead costs and favorable exchange rate fluctuations.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Identifiable assets of our foreign subsidiaries as of October 31, 2012 were $8,460,000 compared to $9,712,000 as of October 31, 2011. The decrease is primarily due to lower cash and cash equivalents, accounts receivable and net fixed assets partially offset by increased inventories.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capital requirements include funding working capital needs, purchasing real estate, equipment and facilities, funding new product development and investing in infrastructure, repurchases of Common Stock and, from time to time, making acquisitions. During the first three months of fiscal 2013, we principally used cash generated from operations and from previous debt issuances to fund these requirements. We also have the ability to borrow under our credit facilities; however, we have not borrowed under the credit agreement in recent years. Cash and cash equivalents increased $84,000 during the first three months of fiscal 2013 to $27,177,000 at October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condensed Consolidated Statements of Cash Flows (in thousands):</w:t>
      </w:r>
    </w:p>
    <w:p>
      <w:pPr>
        <w:spacing w:after="0" w:line="383"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ind w:left="440"/>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8"/>
        </w:trPr>
        <w:tc>
          <w:tcPr>
            <w:tcW w:w="6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6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October 31, 2011</w:t>
            </w:r>
          </w:p>
        </w:tc>
      </w:tr>
      <w:tr>
        <w:trPr>
          <w:trHeight w:val="27"/>
        </w:trPr>
        <w:tc>
          <w:tcPr>
            <w:tcW w:w="6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4,424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(928)</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5,834</w:t>
            </w:r>
          </w:p>
        </w:tc>
      </w:tr>
      <w:tr>
        <w:trPr>
          <w:trHeight w:val="27"/>
        </w:trPr>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(3,121)</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6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3,115</w:t>
            </w: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three months of fiscal years 2013 and 2012, the primary components of operating cash flows were as follows: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increased $1,156,000 in the first three months of fiscal 2013 compared to an increase of $2,077,000 in the first three months of fiscal 2012. The change in both periods is due to the level and timing of sales and collections and the payment terms provided to various customers.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increased $1,325,000 in the first three months of fiscal 2013 compared to an increase of $3,033,000 in the same period in fiscal 2012. Finished goods inventories increased in the first three months of fiscal 2013 due to higher costs and to meet increased sales requirements. Finished goods, packaging and additive inventories increased significantly in the first three months of fiscal 2012 due to increased stocking of both our new Cat's Pride products and agricultural products to meet forecasted needs.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Prepaid expenses decreased $547,000 in the first three months of fiscal 2013 compared to a decrease of $715,000 in the first three months of fiscal 2012. A decrease in prepaid income taxes and deferred trade spending in the first three months of fiscal 2013 exceeded an increase in prepaid insurance. In the first three months of fiscal 2012, a decrease in deferred advertising costs outweighed an increase in prepaid insurance. Prepaid insurance increased in both periods due the timing of insurance premium payments.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assets decreased $42,000 in the first three months of fiscal 2013 compared to an increase of $295,000 in the first three months of fiscal 2012. The change in other assets for both periods included the effect of currency exchange rate fluctuations 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non-cash assets held by our foreign subsidiaries. The change in the relative value of the U.S. Dollar to both the British Pound and the Canadian Dollar resulted in a decrease in other assets in the first three months of fiscal 2013 compared to an increase in the same period in fiscal 2012.</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Accounts payable increased $17,000 in the first three months of fiscal 2013 compared to an increase of $449,000 in the first three months of fiscal 2012. Trade payables in both fiscal 2013 and fiscal 2012 varied due to timing of payments, cost fluctuations for goods and services we purchased and our production volume levels. A higher accrual for income taxes also contributed to the increase in the first three months of fiscal 2013.</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Accrued expenses decreased $1,530,000 in the first three months of fiscal 2013 compared to an increase of $539,000 in the first three months of fiscal 2012. Accrued salaries included the bonus accrual, which in the first three months of both fiscal 2013 and 2012 decreased by the payout of the prior fiscal year's bonus accrual and increased by the current fiscal year's first three months' bonus accrual. The bonus paid out in fiscal 2013 was substantially greater than the bonus paid out in fiscal 2012. Accrued freight varied in both years due to the timing of payments and shipments at quarter-end. Accrued trade promotions and advertising increased significantly in the first three months of fiscal 2012 due to marketing programs for our Cat's Pride cat litter.</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compensation increased $209,000 in the first three months of fiscal 2013 compared to a decrease of $81,000 in the first three months of fiscal 2012. In the first three months of both fiscal 2013 and 2012, deferred compensation balances were reduced by scheduled payouts and were increased by employee deferrals and interest earned on accumulated deferred compensation balances. The decrease in the first three months of fiscal 2012 includes the payout of executive deferred bonus awards under our annual incentive plan.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Pension and other postretirement liabilities increased $674,000 in the first three months of fiscal 2013 compared to an increase of $500,000 in the first three months of fiscal 2012. A lower discount rate required for actuarial calculation of postretirement benefit obligations resulted in a higher accrual for fiscal 2013.</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liabilities decreased $68,000 in the first three months of fiscal 2013 compared to an increase of $64,000 in the first three months of fiscal 2012. The change in other liabilities included the effect of currency exchange rate fluctuations on the liabilities of our foreign subsidiaries. The change in the relative value of the U.S. Dollar to both the British Pound and the Canadian Dollar resulted in a decrease in other liabilities in the first three months of fiscal 2013 compared to an increase in the same period of fiscal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investing activities was $928,000 in the first three months of fiscal 2013 compared to net cash provided by investing activities of $5,834,000 in the first three months of fiscal 2012. Dispositions of investment securities exceeded purchases by $1,225,000 and $7,435,000 in the first three months of fiscal 2013 and 2012, respectively. Purchases and dispositions of investment securities in both periods are subject to variations in the timing of investment maturities. Cash used for capital expenditures of $2,157,000 in the first three months of fiscal 2013 was primarily for replacement of machinery at our manufacturing facilities. Cash used for capital expenditures of $1,611,000 for the same period in fiscal 2012 included new product-related projects at our manufacturing facilities and replacement of machinery.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used in financing activities was $3,391,000 in the first three months of fiscal 2013 compared to cash used in financing activities of $3,121,000 in the first three months of fiscal 2012. Payments on long-term debt in the first three months of fiscal 2013 were $2,300,000 compared to $2,100,000 in the first three months of fiscal 2012. Dividend payments in the first three months of fiscal 2013 of $1,155,000 were higher than the $1,130,000 paid during the same period of fiscal 2012 due to a dividend rate increase. Proceeds from issuance of Common Stock and treasury stock in connection with stock option exercises were $62,000 and $79,000 in the first three months of fiscal 2013 and 2012,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cash and investment balances held by our foreign subsidiaries of $1,538,000 at October 31, 2012 were lower than the October 31, 2011 balances of $2,413,000 due to continuing operating losses as discussed in “Foreign Operations” above.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$15,000,000 unsecured revolving credit agreement with BMO Harris Bank N.A. (“BMO Harris”) which will expire on December 31, 2014. The credit agreement provides that we may select a variable rate based on either BMO Harris’ prime rate or a LIBOR-based rate, plus a margin which varies depending on our debt to earnings ratio, or a fixed rate as agreed between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and BMO Harris. The credit agreement also allows us to obtain foreign letters of credit when necessary. At October 31, 2012, the variable rates would have been 3.25% for BMO Harris’ prime-based rate or 2.17%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three months ended October 31, 2012 and 2011 and we were in compliance with its covenants.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31, 2012, we had remaining authority to repurchase 320,053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cash flow from operations, availability under our revolving credit facility and current cash and investment balances will provide adequate cash funds for foreseeable working capital needs, capital expenditures at existing facilities and debt service obligations for at least the next 12 months. We expect cash requirements for capital expenditures in fiscal 2013 to be higher than in fiscal 2012 due to projects at our manufacturing facilities; however, we expect the increase in capital expenditures to be more than offset by a reduction in spending for advertising and promotions.We expect increased advertising and promotional expenditures over the remaining three quarters of fiscal 2013; however, total advertising and promotional spending is anticipated to be less than in fiscal 2012, but will remain higher than historic levels.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in the following subsection summarize our contractual obligations and commercial commitments at October 31, 2012 for the time-frames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7"/>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9"/>
        </w:trPr>
        <w:tc>
          <w:tcPr>
            <w:tcW w:w="3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ind w:left="102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27,400,000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5,000,000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6,983,000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9,250,000</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4,778,000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1,218,000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1,718,000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1,109,000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733,000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8,886,000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1,622,000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3,256,000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2,507,000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1,501,000</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41,064,000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7,840,000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11,957,000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9,783,000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11,484,000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did not make a contribution to our defined benefit pension plan during the first three months of fiscal 2013; however, we estimate contributions of approximately $1,880,000 will be made during fiscal 2013. The contributions estimate will be updated upon completion of the actuarial valuation in the second quarter of fiscal 2013.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8"/>
          </w:tcPr>
          <w:p>
            <w:pPr>
              <w:ind w:left="60"/>
              <w:spacing w:after="0"/>
              <w:rPr>
                <w:sz w:val="20"/>
                <w:szCs w:val="20"/>
                <w:color w:val="auto"/>
              </w:rPr>
            </w:pPr>
            <w:r>
              <w:rPr>
                <w:rFonts w:ascii="Arial" w:cs="Arial" w:eastAsia="Arial" w:hAnsi="Arial"/>
                <w:sz w:val="18"/>
                <w:szCs w:val="18"/>
                <w:b w:val="1"/>
                <w:bCs w:val="1"/>
                <w:color w:val="auto"/>
                <w:w w:val="99"/>
              </w:rPr>
              <w:t>Amount of Commitment Expiration Per Period</w:t>
            </w: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8"/>
        </w:trPr>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Less Than 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w:t>
            </w:r>
          </w:p>
        </w:tc>
        <w:tc>
          <w:tcPr>
            <w:tcW w:w="16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1 – 3 Years</w:t>
            </w: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4 – 5 Years</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After 5 Years</w:t>
            </w:r>
          </w:p>
        </w:tc>
      </w:tr>
      <w:tr>
        <w:trPr>
          <w:trHeight w:val="27"/>
        </w:trPr>
        <w:tc>
          <w:tcPr>
            <w:tcW w:w="45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   29,043,000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29,043,000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the information concerning our critical accounting policies included under “Management’s Discussion of Financial Condition and Results of Operations” in our Annual Report on Form 10-K for the fiscal year ended July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For this Quarterly Report on Form 10-Q, we adopted the FASB guidance issued under ASC 220, </w:t>
      </w:r>
      <w:r>
        <w:rPr>
          <w:rFonts w:ascii="Arial" w:cs="Arial" w:eastAsia="Arial" w:hAnsi="Arial"/>
          <w:sz w:val="17"/>
          <w:szCs w:val="17"/>
          <w:i w:val="1"/>
          <w:iCs w:val="1"/>
          <w:color w:val="auto"/>
        </w:rPr>
        <w:t>Comprehensive Income: Presentation of 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w:t>
      </w:r>
      <w:r>
        <w:rPr>
          <w:rFonts w:ascii="Arial" w:cs="Arial" w:eastAsia="Arial" w:hAnsi="Arial"/>
          <w:sz w:val="17"/>
          <w:szCs w:val="17"/>
          <w:color w:val="auto"/>
        </w:rPr>
        <w:t>In accordance with the new requirements and consistent with our past practice, we elected to present the components of net income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income in two separate consecutive statements. The components recognized in net income or other comprehensive income did not change and there was no impact on our condensed consolidated financial statements as a result of adopting this new guidance.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For our annual goodwill impairment test performed during the first quarter of fiscal 2013, we considered the FASB guidance issued under ASC 350, </w:t>
      </w:r>
      <w:r>
        <w:rPr>
          <w:rFonts w:ascii="Arial" w:cs="Arial" w:eastAsia="Arial" w:hAnsi="Arial"/>
          <w:sz w:val="17"/>
          <w:szCs w:val="17"/>
          <w:i w:val="1"/>
          <w:iCs w:val="1"/>
          <w:color w:val="auto"/>
        </w:rPr>
        <w:t>Testing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Goodwill for Impairment, </w:t>
      </w:r>
      <w:r>
        <w:rPr>
          <w:rFonts w:ascii="Arial" w:cs="Arial" w:eastAsia="Arial" w:hAnsi="Arial"/>
          <w:sz w:val="17"/>
          <w:szCs w:val="17"/>
          <w:color w:val="auto"/>
        </w:rPr>
        <w:t>which provides the option to first assess qualitative factors to determine if the annual two-step test of goodwill for impairment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performed</w:t>
      </w:r>
      <w:r>
        <w:rPr>
          <w:rFonts w:ascii="Arial" w:cs="Arial" w:eastAsia="Arial" w:hAnsi="Arial"/>
          <w:sz w:val="17"/>
          <w:szCs w:val="17"/>
          <w:i w:val="1"/>
          <w:iCs w:val="1"/>
          <w:color w:val="auto"/>
        </w:rPr>
        <w:t>.</w:t>
      </w:r>
      <w:r>
        <w:rPr>
          <w:rFonts w:ascii="Arial" w:cs="Arial" w:eastAsia="Arial" w:hAnsi="Arial"/>
          <w:sz w:val="17"/>
          <w:szCs w:val="17"/>
          <w:color w:val="auto"/>
        </w:rPr>
        <w:t xml:space="preserve"> We did not elect to perform a qualitative assessment and continued to perform the two-step test to measure potential goodwill impairment. There was no impact on our condensed consolidated financial statements as a result of this new guidance.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2012, the FASB issued guidance under ASC 350, </w:t>
      </w:r>
      <w:r>
        <w:rPr>
          <w:rFonts w:ascii="Arial" w:cs="Arial" w:eastAsia="Arial" w:hAnsi="Arial"/>
          <w:sz w:val="18"/>
          <w:szCs w:val="18"/>
          <w:i w:val="1"/>
          <w:iCs w:val="1"/>
          <w:color w:val="auto"/>
        </w:rPr>
        <w:t>Testing Indefinite-Lived Intangible Assets for Impairment,</w:t>
      </w:r>
      <w:r>
        <w:rPr>
          <w:rFonts w:ascii="Arial" w:cs="Arial" w:eastAsia="Arial" w:hAnsi="Arial"/>
          <w:sz w:val="18"/>
          <w:szCs w:val="18"/>
          <w:color w:val="auto"/>
        </w:rPr>
        <w:t xml:space="preserve"> that provides the option to first assess qualitative factors to determine whether it is more likely than not that an indefinite-lived intangible asset is impaired as a basis for determining whether it is necessary to perform the second, quantitative impairment test. If, based on the qualitative assessment of events or circumstances, an entity determines it is not more likely than not that the indefinite-lived intangible asset's fair value is less than its carrying amount, then it is not necessary to perform the quantitative impairment test. However, if an entity concludes otherwise, then the quantitative impairment test must also be performed to identify and measure any potential impairment amount. We are currently evaluating the impact this guidance will have on our annual indefinite-lived intangible asset impairment testing for our fiscal year 2014 beginning August 1, 2013.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foreign currency fluctuation risk, primarily U.S. Dollar/British Pound, U.S. Dollar/Euro and U.S. Dollar/Canadian Dollar, as it relates to certain accounts receivables and to our foreign operations. We are also subject to translation exposure of our foreign subsidiaries’ financial statements. In recent years, our foreign subsidiaries have not generated a substantial portion of our consolidated sales or net income. In addition, a small portion of our consolidated accounts receivable are denominated in foreign currencies. In the first quarter of fiscal 2013 we entered into two derivative contracts to reduce our exposure to fluctuations in the exchange rate of the Euro compared to the U.S. Dollar. These contracts expired prior to October 31, 2012 and one immaterial transaction was executed per the contractual terms. We believe that the overall foreign currency fluctuation risk is not material to our consolidated financial statements.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We have not purchased any natural gas contracts for our planned kiln fuel needs for fiscal 2013. We continue to purchase natural gas at spot rates on a month to month basis.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October 31, 2012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 1A,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three months ended October 31, 2012, we did not sell any securities which were not registered under the Securities Act of 1933. The following chart summarizes our Common Stock purchases during this period.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2"/>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Total Number of Shares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 as Part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that may yet be</w:t>
            </w:r>
          </w:p>
        </w:tc>
      </w:tr>
      <w:tr>
        <w:trPr>
          <w:trHeight w:val="216"/>
        </w:trPr>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Total Number of Shares</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Publicly Announced Plans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Purchased Under Plans or</w:t>
            </w:r>
          </w:p>
        </w:tc>
      </w:tr>
      <w:tr>
        <w:trPr>
          <w:trHeight w:val="261"/>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2"/>
              </w:rPr>
              <w:t>Ended October 31, 2012</w:t>
            </w: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5"/>
              </w:rPr>
              <w:t>Programs</w:t>
            </w:r>
            <w:r>
              <w:rPr>
                <w:rFonts w:ascii="Arial" w:cs="Arial" w:eastAsia="Arial" w:hAnsi="Arial"/>
                <w:sz w:val="25"/>
                <w:szCs w:val="25"/>
                <w:b w:val="1"/>
                <w:bCs w:val="1"/>
                <w:color w:val="auto"/>
                <w:w w:val="85"/>
                <w:vertAlign w:val="superscript"/>
              </w:rPr>
              <w:t>2</w:t>
            </w:r>
          </w:p>
        </w:tc>
      </w:tr>
      <w:tr>
        <w:trPr>
          <w:trHeight w:val="22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August 1, 2012 to August</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31, 2012</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397</w:t>
            </w:r>
          </w:p>
        </w:tc>
        <w:tc>
          <w:tcPr>
            <w:tcW w:w="2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$21.40</w:t>
            </w:r>
          </w:p>
        </w:tc>
        <w:tc>
          <w:tcPr>
            <w:tcW w:w="2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397</w:t>
            </w:r>
          </w:p>
        </w:tc>
        <w:tc>
          <w:tcPr>
            <w:tcW w:w="2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320,053</w:t>
            </w: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September 1, 2012 to</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September 30, 2012</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320,053</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October 1, 2012 to</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October 31, 2012</w:t>
            </w:r>
          </w:p>
        </w:tc>
        <w:tc>
          <w:tcPr>
            <w:tcW w:w="2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w:t>
            </w:r>
          </w:p>
        </w:tc>
        <w:tc>
          <w:tcPr>
            <w:tcW w:w="2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320,053</w:t>
            </w:r>
          </w:p>
        </w:tc>
      </w:tr>
      <w:tr>
        <w:trPr>
          <w:trHeight w:val="27"/>
        </w:trPr>
        <w:tc>
          <w:tcPr>
            <w:tcW w:w="1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32" w:lineRule="auto"/>
        <w:tabs>
          <w:tab w:leader="none" w:pos="108"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7 of the consolidated financial statements included in our Annual Report on Form 10-K for the fiscal year ended July 31, 2012 filed with the SEC.</w:t>
      </w:r>
    </w:p>
    <w:p>
      <w:pPr>
        <w:spacing w:after="0" w:line="202" w:lineRule="exact"/>
        <w:rPr>
          <w:sz w:val="20"/>
          <w:szCs w:val="20"/>
          <w:color w:val="auto"/>
        </w:rPr>
      </w:pPr>
    </w:p>
    <w:p>
      <w:pPr>
        <w:jc w:val="both"/>
        <w:ind w:firstLine="8"/>
        <w:spacing w:after="0" w:line="235" w:lineRule="auto"/>
        <w:tabs>
          <w:tab w:leader="none" w:pos="119"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On March 10, 2010, our Board of Directors authorized the repurchase of 250,000 shares of Common Stock. All shares under this authorization have been repurchased. Additional repurchases of 250,000 shares each were authorized by our Board of Directors on March 11, 2011 and June 14, 2012. These authorizations do not have a stated expiration date. The share numbers in this column indicate the number of shares of Common Stock that may yet be repurchased under these authorizations. We do not have any current authorization from our Board of Directors to repurchase shares of Class B Stock, and no shares of Class A Common Stock are currently outstanding.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4560" w:type="dxa"/>
            <w:vAlign w:val="bottom"/>
          </w:tcPr>
          <w:p>
            <w:pPr>
              <w:spacing w:after="0"/>
              <w:rPr>
                <w:sz w:val="20"/>
                <w:szCs w:val="20"/>
                <w:color w:val="auto"/>
              </w:rPr>
            </w:pPr>
          </w:p>
        </w:tc>
      </w:tr>
      <w:tr>
        <w:trPr>
          <w:trHeight w:val="580"/>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5700" w:type="dxa"/>
            <w:vAlign w:val="bottom"/>
            <w:gridSpan w:val="2"/>
          </w:tcPr>
          <w:p>
            <w:pPr>
              <w:ind w:left="238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Statement re: Computation of Earnings per Share.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13a–14(a).</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5"/>
              </w:rPr>
              <w:t>Certifications pursuant to Section 1350 of the Sarbanes-Oxley Act of 2002.</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4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Mine Safety Disclosures</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91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Pr>
          <w:p>
            <w:pPr>
              <w:ind w:left="44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7, 2012</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320"/>
          </w:cols>
          <w:pgMar w:left="580" w:top="584" w:right="99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4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31750</wp:posOffset>
            </wp:positionV>
            <wp:extent cx="68605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0540" cy="17145"/>
                    </a:xfrm>
                    <a:prstGeom prst="rect">
                      <a:avLst/>
                    </a:prstGeom>
                    <a:noFill/>
                  </pic:spPr>
                </pic:pic>
              </a:graphicData>
            </a:graphic>
          </wp:anchor>
        </w:drawing>
      </w:r>
    </w:p>
    <w:p>
      <w:pPr>
        <w:spacing w:after="0" w:line="340" w:lineRule="exact"/>
        <w:rPr>
          <w:sz w:val="20"/>
          <w:szCs w:val="20"/>
          <w:color w:val="auto"/>
        </w:rPr>
      </w:pPr>
    </w:p>
    <w:p>
      <w:pPr>
        <w:ind w:left="1640" w:hanging="529"/>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rFonts w:ascii="Arial" w:cs="Arial" w:eastAsia="Arial" w:hAnsi="Arial"/>
          <w:sz w:val="18"/>
          <w:szCs w:val="18"/>
          <w:color w:val="auto"/>
        </w:rPr>
      </w:pPr>
    </w:p>
    <w:p>
      <w:pPr>
        <w:ind w:left="1640" w:hanging="536"/>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Certifications pursuant to Rule 13a–14(a).</w:t>
      </w:r>
    </w:p>
    <w:p>
      <w:pPr>
        <w:spacing w:after="0" w:line="333" w:lineRule="exact"/>
        <w:rPr>
          <w:rFonts w:ascii="Arial" w:cs="Arial" w:eastAsia="Arial" w:hAnsi="Arial"/>
          <w:sz w:val="18"/>
          <w:szCs w:val="18"/>
          <w:color w:val="auto"/>
        </w:rPr>
      </w:pPr>
    </w:p>
    <w:p>
      <w:pPr>
        <w:ind w:left="1640" w:hanging="536"/>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4600" w:type="dxa"/>
            <w:vAlign w:val="bottom"/>
          </w:tcPr>
          <w:p>
            <w:pPr>
              <w:ind w:left="180"/>
              <w:spacing w:after="0"/>
              <w:rPr>
                <w:sz w:val="20"/>
                <w:szCs w:val="20"/>
                <w:color w:val="auto"/>
              </w:rPr>
            </w:pPr>
            <w:r>
              <w:rPr>
                <w:rFonts w:ascii="Arial" w:cs="Arial" w:eastAsia="Arial" w:hAnsi="Arial"/>
                <w:sz w:val="18"/>
                <w:szCs w:val="18"/>
                <w:color w:val="auto"/>
              </w:rPr>
              <w:t>Mine Safety Disclosures</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8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8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8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8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left="1960" w:right="3140"/>
        <w:spacing w:after="0" w:line="261" w:lineRule="auto"/>
        <w:rPr>
          <w:sz w:val="20"/>
          <w:szCs w:val="20"/>
          <w:color w:val="auto"/>
        </w:rPr>
      </w:pPr>
      <w:r>
        <w:rPr>
          <w:rFonts w:ascii="Arial" w:cs="Arial" w:eastAsia="Arial" w:hAnsi="Arial"/>
          <w:sz w:val="18"/>
          <w:szCs w:val="18"/>
          <w:b w:val="1"/>
          <w:bCs w:val="1"/>
          <w:color w:val="auto"/>
        </w:rPr>
        <w:t>OIL-DRI CORPORATION OF AMERICA AND SUBSIDIARIES Computation of Earnings Per Share</w:t>
      </w: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p>
      <w:pPr>
        <w:jc w:val="center"/>
        <w:ind w:left="6700"/>
        <w:spacing w:after="0"/>
        <w:rPr>
          <w:sz w:val="20"/>
          <w:szCs w:val="20"/>
          <w:color w:val="auto"/>
        </w:rPr>
      </w:pPr>
      <w:r>
        <w:rPr>
          <w:rFonts w:ascii="Arial" w:cs="Arial" w:eastAsia="Arial" w:hAnsi="Arial"/>
          <w:sz w:val="17"/>
          <w:szCs w:val="17"/>
          <w:b w:val="1"/>
          <w:bCs w:val="1"/>
          <w:color w:val="auto"/>
        </w:rPr>
        <w:t>For the Three Months Ended</w:t>
      </w:r>
    </w:p>
    <w:p>
      <w:pPr>
        <w:spacing w:after="0" w:line="39" w:lineRule="exact"/>
        <w:rPr>
          <w:sz w:val="20"/>
          <w:szCs w:val="20"/>
          <w:color w:val="auto"/>
        </w:rPr>
      </w:pPr>
    </w:p>
    <w:p>
      <w:pPr>
        <w:jc w:val="center"/>
        <w:ind w:left="6700"/>
        <w:spacing w:after="0"/>
        <w:rPr>
          <w:sz w:val="20"/>
          <w:szCs w:val="20"/>
          <w:color w:val="auto"/>
        </w:rPr>
      </w:pPr>
      <w:r>
        <w:rPr>
          <w:rFonts w:ascii="Arial" w:cs="Arial" w:eastAsia="Arial" w:hAnsi="Arial"/>
          <w:sz w:val="18"/>
          <w:szCs w:val="18"/>
          <w:b w:val="1"/>
          <w:bCs w:val="1"/>
          <w:color w:val="auto"/>
        </w:rPr>
        <w:t>October 31,</w:t>
      </w:r>
    </w:p>
    <w:p>
      <w:pPr>
        <w:spacing w:after="0" w:line="45"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available to stockholders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4,452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43"/>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Less: Distributed and undistributed earnings allocated to non-vested stock</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available to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4,382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ind w:left="40"/>
              <w:spacing w:after="0"/>
              <w:rPr>
                <w:sz w:val="20"/>
                <w:szCs w:val="20"/>
                <w:color w:val="auto"/>
              </w:rPr>
            </w:pPr>
            <w:r>
              <w:rPr>
                <w:rFonts w:ascii="Arial" w:cs="Arial" w:eastAsia="Arial" w:hAnsi="Arial"/>
                <w:sz w:val="18"/>
                <w:szCs w:val="18"/>
                <w:color w:val="auto"/>
              </w:rPr>
              <w:t>Shares Calculation</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shares outstanding - Basic Common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4,879</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43"/>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Average shares outstanding - Basic Class B Common</w:t>
            </w:r>
          </w:p>
        </w:tc>
        <w:tc>
          <w:tcPr>
            <w:tcW w:w="2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1,943</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Potential Common Stock relating to 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97"/>
        </w:trPr>
        <w:tc>
          <w:tcPr>
            <w:tcW w:w="66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Average shares outstanding - Assuming dilution</w:t>
            </w: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6,879</w:t>
            </w: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51"/>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Basic Common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6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 Per Share: Basic Class B Common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0.52</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51"/>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ind w:left="448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6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240" w:top="580" w:right="141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December 7, 2012</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December 7, 2012</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December 7, 2012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December 7, 2012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October 31, 2012.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ind w:left="340"/>
              <w:spacing w:after="0"/>
              <w:rPr>
                <w:sz w:val="20"/>
                <w:szCs w:val="20"/>
                <w:color w:val="auto"/>
              </w:rPr>
            </w:pPr>
            <w:r>
              <w:rPr>
                <w:rFonts w:ascii="Arial" w:cs="Arial" w:eastAsia="Arial" w:hAnsi="Arial"/>
                <w:sz w:val="18"/>
                <w:szCs w:val="18"/>
                <w:color w:val="auto"/>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6"/>
              </w:rPr>
              <w:t>227</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3,497</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October 31, 2012.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decimal"/>
      <w:start w:val="31"/>
    </w:lvl>
  </w:abstractNum>
  <w:abstractNum w:abstractNumId="5">
    <w:nsid w:val="2EB141F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6">
    <w:nsid w:val="41B71EF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2020-02-18T23:34:23Z</dcterms:created>
  <dcterms:modified xsi:type="dcterms:W3CDTF">2020-02-18T23:34:23Z</dcterms:modified>
</cp:coreProperties>
</file>