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7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Date of Report (Date of earliest event reported)</w:t>
            </w: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60" w:type="dxa"/>
            <w:vAlign w:val="bottom"/>
          </w:tcPr>
          <w:p>
            <w:pPr>
              <w:ind w:left="2520"/>
              <w:spacing w:after="0"/>
              <w:rPr>
                <w:sz w:val="20"/>
                <w:szCs w:val="20"/>
                <w:color w:val="auto"/>
              </w:rPr>
            </w:pPr>
            <w:r>
              <w:rPr>
                <w:rFonts w:ascii="Arial" w:cs="Arial" w:eastAsia="Arial" w:hAnsi="Arial"/>
                <w:sz w:val="18"/>
                <w:szCs w:val="18"/>
                <w:color w:val="auto"/>
                <w:w w:val="88"/>
              </w:rPr>
              <w:t>June 8, 2020</w:t>
            </w:r>
          </w:p>
        </w:tc>
      </w:tr>
      <w:tr>
        <w:trPr>
          <w:trHeight w:val="621"/>
        </w:trPr>
        <w:tc>
          <w:tcPr>
            <w:tcW w:w="3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40" w:type="dxa"/>
            <w:vAlign w:val="bottom"/>
            <w:gridSpan w:val="5"/>
          </w:tcPr>
          <w:p>
            <w:pPr>
              <w:jc w:val="center"/>
              <w:ind w:right="760"/>
              <w:spacing w:after="0"/>
              <w:rPr>
                <w:sz w:val="20"/>
                <w:szCs w:val="20"/>
                <w:color w:val="auto"/>
              </w:rPr>
            </w:pPr>
            <w:r>
              <w:rPr>
                <w:rFonts w:ascii="Arial" w:cs="Arial" w:eastAsia="Arial" w:hAnsi="Arial"/>
                <w:sz w:val="18"/>
                <w:szCs w:val="18"/>
                <w:b w:val="1"/>
                <w:bCs w:val="1"/>
                <w:color w:val="auto"/>
                <w:w w:val="94"/>
              </w:rPr>
              <w:t>Oil-Dri Corporation of America</w:t>
            </w:r>
          </w:p>
        </w:tc>
        <w:tc>
          <w:tcPr>
            <w:tcW w:w="3460" w:type="dxa"/>
            <w:vAlign w:val="bottom"/>
          </w:tcPr>
          <w:p>
            <w:pPr>
              <w:spacing w:after="0"/>
              <w:rPr>
                <w:sz w:val="24"/>
                <w:szCs w:val="24"/>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spacing w:after="0"/>
              <w:rPr>
                <w:sz w:val="20"/>
                <w:szCs w:val="20"/>
                <w:color w:val="auto"/>
              </w:rPr>
            </w:pPr>
          </w:p>
        </w:tc>
        <w:tc>
          <w:tcPr>
            <w:tcW w:w="4400" w:type="dxa"/>
            <w:vAlign w:val="bottom"/>
            <w:gridSpan w:val="7"/>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460" w:type="dxa"/>
            <w:vAlign w:val="bottom"/>
          </w:tcPr>
          <w:p>
            <w:pPr>
              <w:spacing w:after="0"/>
              <w:rPr>
                <w:sz w:val="20"/>
                <w:szCs w:val="20"/>
                <w:color w:val="auto"/>
              </w:rPr>
            </w:pPr>
          </w:p>
        </w:tc>
      </w:tr>
      <w:tr>
        <w:trPr>
          <w:trHeight w:val="621"/>
        </w:trPr>
        <w:tc>
          <w:tcPr>
            <w:tcW w:w="424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0"/>
              </w:rPr>
              <w:t>001-12622</w:t>
            </w:r>
          </w:p>
        </w:tc>
        <w:tc>
          <w:tcPr>
            <w:tcW w:w="46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9"/>
              </w:rPr>
              <w:t>36-2048898</w:t>
            </w:r>
          </w:p>
        </w:tc>
      </w:tr>
      <w:tr>
        <w:trPr>
          <w:trHeight w:val="27"/>
        </w:trPr>
        <w:tc>
          <w:tcPr>
            <w:tcW w:w="3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222"/>
        </w:trPr>
        <w:tc>
          <w:tcPr>
            <w:tcW w:w="4240" w:type="dxa"/>
            <w:vAlign w:val="bottom"/>
            <w:gridSpan w:val="3"/>
          </w:tcPr>
          <w:p>
            <w:pPr>
              <w:jc w:val="center"/>
              <w:ind w:right="840"/>
              <w:spacing w:after="0"/>
              <w:rPr>
                <w:sz w:val="20"/>
                <w:szCs w:val="20"/>
                <w:color w:val="auto"/>
              </w:rPr>
            </w:pPr>
            <w:r>
              <w:rPr>
                <w:rFonts w:ascii="Arial" w:cs="Arial" w:eastAsia="Arial" w:hAnsi="Arial"/>
                <w:sz w:val="18"/>
                <w:szCs w:val="18"/>
                <w:color w:val="auto"/>
                <w:w w:val="92"/>
              </w:rPr>
              <w:t>(State or other jurisdiction of</w:t>
            </w:r>
          </w:p>
        </w:tc>
        <w:tc>
          <w:tcPr>
            <w:tcW w:w="3540" w:type="dxa"/>
            <w:vAlign w:val="bottom"/>
            <w:gridSpan w:val="5"/>
          </w:tcPr>
          <w:p>
            <w:pPr>
              <w:jc w:val="center"/>
              <w:ind w:right="840"/>
              <w:spacing w:after="0"/>
              <w:rPr>
                <w:sz w:val="20"/>
                <w:szCs w:val="20"/>
                <w:color w:val="auto"/>
              </w:rPr>
            </w:pPr>
            <w:r>
              <w:rPr>
                <w:rFonts w:ascii="Arial" w:cs="Arial" w:eastAsia="Arial" w:hAnsi="Arial"/>
                <w:sz w:val="18"/>
                <w:szCs w:val="18"/>
                <w:color w:val="auto"/>
                <w:w w:val="93"/>
              </w:rPr>
              <w:t>(Commission File</w:t>
            </w:r>
          </w:p>
        </w:tc>
        <w:tc>
          <w:tcPr>
            <w:tcW w:w="346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240" w:type="dxa"/>
            <w:vAlign w:val="bottom"/>
            <w:gridSpan w:val="3"/>
          </w:tcPr>
          <w:p>
            <w:pPr>
              <w:jc w:val="center"/>
              <w:ind w:right="840"/>
              <w:spacing w:after="0"/>
              <w:rPr>
                <w:sz w:val="20"/>
                <w:szCs w:val="20"/>
                <w:color w:val="auto"/>
              </w:rPr>
            </w:pPr>
            <w:r>
              <w:rPr>
                <w:rFonts w:ascii="Arial" w:cs="Arial" w:eastAsia="Arial" w:hAnsi="Arial"/>
                <w:sz w:val="18"/>
                <w:szCs w:val="18"/>
                <w:color w:val="auto"/>
                <w:w w:val="94"/>
              </w:rPr>
              <w:t>incorporation)</w:t>
            </w:r>
          </w:p>
        </w:tc>
        <w:tc>
          <w:tcPr>
            <w:tcW w:w="3540" w:type="dxa"/>
            <w:vAlign w:val="bottom"/>
            <w:gridSpan w:val="5"/>
          </w:tcPr>
          <w:p>
            <w:pPr>
              <w:jc w:val="center"/>
              <w:ind w:right="860"/>
              <w:spacing w:after="0"/>
              <w:rPr>
                <w:sz w:val="20"/>
                <w:szCs w:val="20"/>
                <w:color w:val="auto"/>
              </w:rPr>
            </w:pPr>
            <w:r>
              <w:rPr>
                <w:rFonts w:ascii="Arial" w:cs="Arial" w:eastAsia="Arial" w:hAnsi="Arial"/>
                <w:sz w:val="18"/>
                <w:szCs w:val="18"/>
                <w:color w:val="auto"/>
                <w:w w:val="91"/>
              </w:rPr>
              <w:t>Number)</w:t>
            </w:r>
          </w:p>
        </w:tc>
        <w:tc>
          <w:tcPr>
            <w:tcW w:w="34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603"/>
        </w:trPr>
        <w:tc>
          <w:tcPr>
            <w:tcW w:w="424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91"/>
              </w:rPr>
              <w:t>410 North Michigan Avenue</w:t>
            </w: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16"/>
        </w:trPr>
        <w:tc>
          <w:tcPr>
            <w:tcW w:w="4240" w:type="dxa"/>
            <w:vAlign w:val="bottom"/>
            <w:gridSpan w:val="3"/>
          </w:tcPr>
          <w:p>
            <w:pPr>
              <w:jc w:val="center"/>
              <w:ind w:left="970"/>
              <w:spacing w:after="0"/>
              <w:rPr>
                <w:sz w:val="20"/>
                <w:szCs w:val="20"/>
                <w:color w:val="auto"/>
              </w:rPr>
            </w:pPr>
            <w:r>
              <w:rPr>
                <w:rFonts w:ascii="Arial" w:cs="Arial" w:eastAsia="Arial" w:hAnsi="Arial"/>
                <w:sz w:val="18"/>
                <w:szCs w:val="18"/>
                <w:b w:val="1"/>
                <w:bCs w:val="1"/>
                <w:color w:val="auto"/>
                <w:w w:val="88"/>
              </w:rPr>
              <w:t>Suite 400</w:t>
            </w: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234"/>
        </w:trPr>
        <w:tc>
          <w:tcPr>
            <w:tcW w:w="4240" w:type="dxa"/>
            <w:vAlign w:val="bottom"/>
            <w:gridSpan w:val="3"/>
          </w:tcPr>
          <w:p>
            <w:pPr>
              <w:jc w:val="center"/>
              <w:ind w:left="970"/>
              <w:spacing w:after="0"/>
              <w:rPr>
                <w:sz w:val="20"/>
                <w:szCs w:val="20"/>
                <w:color w:val="auto"/>
              </w:rPr>
            </w:pPr>
            <w:r>
              <w:rPr>
                <w:rFonts w:ascii="Arial" w:cs="Arial" w:eastAsia="Arial" w:hAnsi="Arial"/>
                <w:sz w:val="18"/>
                <w:szCs w:val="18"/>
                <w:b w:val="1"/>
                <w:bCs w:val="1"/>
                <w:color w:val="auto"/>
                <w:w w:val="91"/>
              </w:rPr>
              <w:t>Chicago, Illinois</w:t>
            </w: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60" w:type="dxa"/>
            <w:vAlign w:val="bottom"/>
          </w:tcPr>
          <w:p>
            <w:pPr>
              <w:jc w:val="right"/>
              <w:ind w:right="211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42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237"/>
        </w:trPr>
        <w:tc>
          <w:tcPr>
            <w:tcW w:w="4240" w:type="dxa"/>
            <w:vAlign w:val="bottom"/>
            <w:gridSpan w:val="3"/>
          </w:tcPr>
          <w:p>
            <w:pPr>
              <w:jc w:val="center"/>
              <w:ind w:left="970"/>
              <w:spacing w:after="0"/>
              <w:rPr>
                <w:sz w:val="20"/>
                <w:szCs w:val="20"/>
                <w:color w:val="auto"/>
              </w:rPr>
            </w:pPr>
            <w:r>
              <w:rPr>
                <w:rFonts w:ascii="Arial" w:cs="Arial" w:eastAsia="Arial" w:hAnsi="Arial"/>
                <w:sz w:val="18"/>
                <w:szCs w:val="18"/>
                <w:color w:val="auto"/>
                <w:w w:val="92"/>
              </w:rPr>
              <w:t>(Address of principal executive offices)</w:t>
            </w: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60" w:type="dxa"/>
            <w:vAlign w:val="bottom"/>
          </w:tcPr>
          <w:p>
            <w:pPr>
              <w:jc w:val="center"/>
              <w:ind w:right="1730"/>
              <w:spacing w:after="0"/>
              <w:rPr>
                <w:sz w:val="20"/>
                <w:szCs w:val="20"/>
                <w:color w:val="auto"/>
              </w:rPr>
            </w:pPr>
            <w:r>
              <w:rPr>
                <w:rFonts w:ascii="Arial" w:cs="Arial" w:eastAsia="Arial" w:hAnsi="Arial"/>
                <w:sz w:val="18"/>
                <w:szCs w:val="18"/>
                <w:color w:val="auto"/>
                <w:w w:val="94"/>
              </w:rPr>
              <w:t>(Zip Code)</w:t>
            </w:r>
          </w:p>
        </w:tc>
      </w:tr>
      <w:tr>
        <w:trPr>
          <w:trHeight w:val="621"/>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08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(312) 321-1515</w:t>
            </w:r>
          </w:p>
        </w:tc>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7"/>
        </w:trPr>
        <w:tc>
          <w:tcPr>
            <w:tcW w:w="3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661" w:right="339" w:bottom="1440" w:gutter="0" w:footer="0" w:header="0"/>
        </w:sectPr>
      </w:pPr>
    </w:p>
    <w:p>
      <w:pPr>
        <w:spacing w:after="0" w:line="171" w:lineRule="exact"/>
        <w:rPr>
          <w:sz w:val="24"/>
          <w:szCs w:val="24"/>
          <w:color w:val="auto"/>
        </w:rPr>
      </w:pPr>
    </w:p>
    <w:p>
      <w:pPr>
        <w:ind w:left="68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86" w:lineRule="exact"/>
        <w:rPr>
          <w:sz w:val="24"/>
          <w:szCs w:val="24"/>
          <w:color w:val="auto"/>
        </w:rPr>
      </w:pPr>
    </w:p>
    <w:p>
      <w:pPr>
        <w:sectPr>
          <w:pgSz w:w="11900" w:h="16838" w:orient="portrait"/>
          <w:cols w:equalWidth="0" w:num="3">
            <w:col w:w="3860" w:space="720"/>
            <w:col w:w="1340" w:space="520"/>
            <w:col w:w="4800"/>
          </w:cols>
          <w:pgMar w:left="320" w:top="661" w:right="339" w:bottom="1440" w:gutter="0" w:footer="0" w:header="0"/>
          <w:type w:val="continuous"/>
        </w:sectPr>
      </w:pPr>
    </w:p>
    <w:p>
      <w:pPr>
        <w:ind w:left="680"/>
        <w:spacing w:after="0"/>
        <w:rPr>
          <w:sz w:val="20"/>
          <w:szCs w:val="20"/>
          <w:color w:val="auto"/>
        </w:rPr>
      </w:pPr>
      <w:r>
        <w:rPr>
          <w:rFonts w:ascii="Arial" w:cs="Arial" w:eastAsia="Arial" w:hAnsi="Arial"/>
          <w:sz w:val="16"/>
          <w:szCs w:val="16"/>
          <w:color w:val="auto"/>
        </w:rPr>
        <w:t>Common Stock, par value $0.10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ODC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11" w:lineRule="exact"/>
        <w:rPr>
          <w:sz w:val="24"/>
          <w:szCs w:val="24"/>
          <w:color w:val="auto"/>
        </w:rPr>
      </w:pPr>
    </w:p>
    <w:p>
      <w:pPr>
        <w:sectPr>
          <w:pgSz w:w="11900" w:h="16838" w:orient="portrait"/>
          <w:cols w:equalWidth="0" w:num="3">
            <w:col w:w="3860" w:space="720"/>
            <w:col w:w="1140" w:space="720"/>
            <w:col w:w="4800"/>
          </w:cols>
          <w:pgMar w:left="320" w:top="661" w:right="339" w:bottom="1440" w:gutter="0" w:footer="0" w:header="0"/>
          <w:type w:val="continuous"/>
        </w:sectPr>
      </w:pPr>
    </w:p>
    <w:p>
      <w:pPr>
        <w:spacing w:after="0" w:line="6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840" w:hanging="576"/>
        <w:spacing w:after="0"/>
        <w:tabs>
          <w:tab w:leader="none" w:pos="840" w:val="left"/>
        </w:tabs>
        <w:numPr>
          <w:ilvl w:val="1"/>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Arial" w:cs="Arial" w:eastAsia="Arial" w:hAnsi="Arial"/>
          <w:sz w:val="18"/>
          <w:szCs w:val="18"/>
          <w:color w:val="auto"/>
        </w:rPr>
      </w:pPr>
    </w:p>
    <w:p>
      <w:pPr>
        <w:ind w:left="720" w:hanging="564"/>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Arial" w:cs="Arial" w:eastAsia="Arial" w:hAnsi="Arial"/>
          <w:sz w:val="18"/>
          <w:szCs w:val="18"/>
          <w:color w:val="auto"/>
        </w:rPr>
      </w:pPr>
    </w:p>
    <w:p>
      <w:pPr>
        <w:ind w:left="720" w:hanging="564"/>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Arial" w:cs="Arial" w:eastAsia="Arial" w:hAnsi="Arial"/>
          <w:sz w:val="18"/>
          <w:szCs w:val="18"/>
          <w:color w:val="auto"/>
        </w:rPr>
      </w:pPr>
    </w:p>
    <w:p>
      <w:pPr>
        <w:ind w:left="720" w:hanging="564"/>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159385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73660</wp:posOffset>
            </wp:positionV>
            <wp:extent cx="7115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1" w:name="page2"/>
    <w:bookmarkEnd w:id="1"/>
    <w:p>
      <w:pPr>
        <w:ind w:left="260"/>
        <w:spacing w:after="0"/>
        <w:tabs>
          <w:tab w:leader="none" w:pos="126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8, 2020, Oil-Dri Corporation of America (the “Registrant”) issued a press release announcing its results of operations for its third quarter ended April 30, 2020.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as amended, except as shall be expressly set forth by specific reference in such filing.</w:t>
      </w:r>
    </w:p>
    <w:p>
      <w:pPr>
        <w:spacing w:after="0" w:line="346" w:lineRule="exact"/>
        <w:rPr>
          <w:sz w:val="20"/>
          <w:szCs w:val="20"/>
          <w:color w:val="auto"/>
        </w:rPr>
      </w:pPr>
    </w:p>
    <w:p>
      <w:pPr>
        <w:ind w:left="260"/>
        <w:spacing w:after="0"/>
        <w:tabs>
          <w:tab w:leader="none" w:pos="126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60" w:hanging="6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Exhibit</w:t>
      </w:r>
    </w:p>
    <w:p>
      <w:pPr>
        <w:spacing w:after="0" w:line="63" w:lineRule="exact"/>
        <w:rPr>
          <w:sz w:val="20"/>
          <w:szCs w:val="20"/>
          <w:color w:val="auto"/>
        </w:rPr>
      </w:pPr>
    </w:p>
    <w:p>
      <w:pPr>
        <w:ind w:left="40"/>
        <w:spacing w:after="0"/>
        <w:tabs>
          <w:tab w:leader="none" w:pos="56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820"/>
        <w:spacing w:after="0"/>
        <w:tabs>
          <w:tab w:leader="none" w:pos="1700" w:val="left"/>
        </w:tabs>
        <w:rPr>
          <w:rFonts w:ascii="Arial" w:cs="Arial" w:eastAsia="Arial" w:hAnsi="Arial"/>
          <w:sz w:val="15"/>
          <w:szCs w:val="15"/>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FF"/>
          </w:rPr>
          <w:t>Press Release of the Registrant dated June 8, 2020</w:t>
        </w:r>
      </w:hyperlink>
    </w:p>
    <w:p>
      <w:pPr>
        <w:sectPr>
          <w:pgSz w:w="11900" w:h="16838" w:orient="portrait"/>
          <w:cols w:equalWidth="0" w:num="1">
            <w:col w:w="11240"/>
          </w:cols>
          <w:pgMar w:left="320" w:top="715"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2"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44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G. Scheland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31750</wp:posOffset>
            </wp:positionV>
            <wp:extent cx="32746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Laura G. Scheland</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Vice President and General Counsel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June 8, 2020</w:t>
      </w:r>
    </w:p>
    <w:p>
      <w:pPr>
        <w:sectPr>
          <w:pgSz w:w="11900" w:h="16838" w:orient="portrait"/>
          <w:cols w:equalWidth="0" w:num="1">
            <w:col w:w="10880"/>
          </w:cols>
          <w:pgMar w:left="320" w:top="553" w:right="69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i w:val="1"/>
          <w:iCs w:val="1"/>
          <w:color w:val="002D69"/>
        </w:rPr>
        <w:drawing>
          <wp:anchor simplePos="0" relativeHeight="251657728" behindDoc="1" locked="0" layoutInCell="0" allowOverlap="1">
            <wp:simplePos x="0" y="0"/>
            <wp:positionH relativeFrom="page">
              <wp:posOffset>3037205</wp:posOffset>
            </wp:positionH>
            <wp:positionV relativeFrom="page">
              <wp:posOffset>294640</wp:posOffset>
            </wp:positionV>
            <wp:extent cx="1474470" cy="4883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t>410 N. Michigan Ave. Chicago, Illinois 60611, U.S.A</w:t>
      </w:r>
    </w:p>
    <w:p>
      <w:pPr>
        <w:spacing w:after="0" w:line="259"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002D69"/>
        </w:rPr>
        <w:t>News Announcement</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Announces Third Quarter and First Nine-Months of Fiscal 2020 Results</w:t>
      </w:r>
    </w:p>
    <w:p>
      <w:pPr>
        <w:spacing w:after="0" w:line="266" w:lineRule="exact"/>
        <w:rPr>
          <w:sz w:val="20"/>
          <w:szCs w:val="20"/>
          <w:color w:val="auto"/>
        </w:rPr>
      </w:pPr>
    </w:p>
    <w:p>
      <w:pPr>
        <w:ind w:right="220"/>
        <w:spacing w:after="0" w:line="263" w:lineRule="auto"/>
        <w:rPr>
          <w:sz w:val="20"/>
          <w:szCs w:val="20"/>
          <w:color w:val="auto"/>
        </w:rPr>
      </w:pPr>
      <w:r>
        <w:rPr>
          <w:rFonts w:ascii="Arial" w:cs="Arial" w:eastAsia="Arial" w:hAnsi="Arial"/>
          <w:sz w:val="22"/>
          <w:szCs w:val="22"/>
          <w:color w:val="auto"/>
        </w:rPr>
        <w:t>CHICAGO-(June 8, 2020)-Oil-Dri Corporation of America (NYSE: ODC), producer and marketer of sorbent mineral products, today announced results for its third quarter and first nine-months of fiscal 2020.</w:t>
      </w:r>
    </w:p>
    <w:p>
      <w:pPr>
        <w:spacing w:after="0" w:line="110" w:lineRule="exact"/>
        <w:rPr>
          <w:sz w:val="20"/>
          <w:szCs w:val="20"/>
          <w:color w:val="auto"/>
        </w:rPr>
      </w:pPr>
    </w:p>
    <w:p>
      <w:pPr>
        <w:ind w:left="4660"/>
        <w:spacing w:after="0"/>
        <w:tabs>
          <w:tab w:leader="none" w:pos="8500" w:val="left"/>
        </w:tabs>
        <w:rPr>
          <w:sz w:val="20"/>
          <w:szCs w:val="20"/>
          <w:color w:val="auto"/>
        </w:rPr>
      </w:pPr>
      <w:r>
        <w:rPr>
          <w:rFonts w:ascii="Arial" w:cs="Arial" w:eastAsia="Arial" w:hAnsi="Arial"/>
          <w:sz w:val="18"/>
          <w:szCs w:val="18"/>
          <w:b w:val="1"/>
          <w:bCs w:val="1"/>
          <w:color w:val="auto"/>
        </w:rPr>
        <w:t>Three Months Ended</w:t>
      </w:r>
      <w:r>
        <w:rPr>
          <w:sz w:val="20"/>
          <w:szCs w:val="20"/>
          <w:color w:val="auto"/>
        </w:rPr>
        <w:tab/>
      </w:r>
      <w:r>
        <w:rPr>
          <w:rFonts w:ascii="Arial" w:cs="Arial" w:eastAsia="Arial" w:hAnsi="Arial"/>
          <w:sz w:val="16"/>
          <w:szCs w:val="16"/>
          <w:b w:val="1"/>
          <w:bCs w:val="1"/>
          <w:color w:val="auto"/>
        </w:rPr>
        <w:t>Nine Months Ended</w:t>
      </w:r>
    </w:p>
    <w:p>
      <w:pPr>
        <w:spacing w:after="0" w:line="130" w:lineRule="exact"/>
        <w:rPr>
          <w:sz w:val="20"/>
          <w:szCs w:val="20"/>
          <w:color w:val="auto"/>
        </w:rPr>
      </w:pPr>
    </w:p>
    <w:p>
      <w:pPr>
        <w:ind w:left="5020"/>
        <w:spacing w:after="0"/>
        <w:tabs>
          <w:tab w:leader="none" w:pos="8820" w:val="left"/>
        </w:tabs>
        <w:rPr>
          <w:sz w:val="20"/>
          <w:szCs w:val="20"/>
          <w:color w:val="auto"/>
        </w:rPr>
      </w:pPr>
      <w:r>
        <w:rPr>
          <w:rFonts w:ascii="Arial" w:cs="Arial" w:eastAsia="Arial" w:hAnsi="Arial"/>
          <w:sz w:val="14"/>
          <w:szCs w:val="14"/>
          <w:i w:val="1"/>
          <w:iCs w:val="1"/>
          <w:color w:val="auto"/>
        </w:rPr>
        <w:t>Ended April 30</w:t>
      </w:r>
      <w:r>
        <w:rPr>
          <w:sz w:val="20"/>
          <w:szCs w:val="20"/>
          <w:color w:val="auto"/>
        </w:rPr>
        <w:tab/>
      </w:r>
      <w:r>
        <w:rPr>
          <w:rFonts w:ascii="Arial" w:cs="Arial" w:eastAsia="Arial" w:hAnsi="Arial"/>
          <w:sz w:val="13"/>
          <w:szCs w:val="13"/>
          <w:i w:val="1"/>
          <w:iCs w:val="1"/>
          <w:color w:val="auto"/>
        </w:rPr>
        <w:t>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40575" cy="179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0575" cy="17970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p>
      <w:pPr>
        <w:spacing w:after="0" w:line="55" w:lineRule="exact"/>
        <w:rPr>
          <w:sz w:val="20"/>
          <w:szCs w:val="20"/>
          <w:color w:val="auto"/>
        </w:rPr>
      </w:pPr>
    </w:p>
    <w:p>
      <w:pPr>
        <w:ind w:left="4120"/>
        <w:spacing w:after="0"/>
        <w:tabs>
          <w:tab w:leader="none" w:pos="5440" w:val="left"/>
          <w:tab w:leader="none" w:pos="650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r>
        <w:rPr>
          <w:sz w:val="20"/>
          <w:szCs w:val="20"/>
          <w:color w:val="auto"/>
        </w:rPr>
        <w:tab/>
      </w:r>
      <w:r>
        <w:rPr>
          <w:rFonts w:ascii="Arial" w:cs="Arial" w:eastAsia="Arial" w:hAnsi="Arial"/>
          <w:sz w:val="16"/>
          <w:szCs w:val="16"/>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405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tabs>
          <w:tab w:leader="none" w:pos="1440" w:val="left"/>
          <w:tab w:leader="none" w:pos="254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r>
        <w:rPr>
          <w:sz w:val="20"/>
          <w:szCs w:val="20"/>
          <w:color w:val="auto"/>
        </w:rPr>
        <w:tab/>
      </w:r>
      <w:r>
        <w:rPr>
          <w:rFonts w:ascii="Arial" w:cs="Arial" w:eastAsia="Arial" w:hAnsi="Arial"/>
          <w:sz w:val="16"/>
          <w:szCs w:val="16"/>
          <w:b w:val="1"/>
          <w:bCs w:val="1"/>
          <w:color w:val="auto"/>
        </w:rPr>
        <w:t>Change</w:t>
      </w:r>
    </w:p>
    <w:p>
      <w:pPr>
        <w:spacing w:after="0" w:line="67" w:lineRule="exact"/>
        <w:rPr>
          <w:sz w:val="20"/>
          <w:szCs w:val="20"/>
          <w:color w:val="auto"/>
        </w:rPr>
      </w:pPr>
    </w:p>
    <w:p>
      <w:pPr>
        <w:sectPr>
          <w:pgSz w:w="11900" w:h="16838" w:orient="portrait"/>
          <w:cols w:equalWidth="0" w:num="2">
            <w:col w:w="7160" w:space="720"/>
            <w:col w:w="3360"/>
          </w:cols>
          <w:pgMar w:left="320" w:top="1260" w:right="339" w:bottom="1440" w:gutter="0" w:footer="0" w:header="0"/>
          <w:type w:val="continuous"/>
        </w:sectPr>
      </w:pPr>
    </w:p>
    <w:p>
      <w:pPr>
        <w:ind w:left="40"/>
        <w:spacing w:after="0"/>
        <w:rPr>
          <w:sz w:val="20"/>
          <w:szCs w:val="20"/>
          <w:color w:val="auto"/>
        </w:rPr>
      </w:pPr>
      <w:r>
        <w:rPr>
          <w:rFonts w:ascii="Arial" w:cs="Arial" w:eastAsia="Arial" w:hAnsi="Arial"/>
          <w:sz w:val="16"/>
          <w:szCs w:val="16"/>
          <w:color w:val="FFFFFF"/>
        </w:rPr>
        <w:t>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46355</wp:posOffset>
            </wp:positionV>
            <wp:extent cx="8255" cy="4883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48831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46355</wp:posOffset>
            </wp:positionV>
            <wp:extent cx="8255" cy="4883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4883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8890" cy="4883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488315"/>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46355</wp:posOffset>
            </wp:positionV>
            <wp:extent cx="8255"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48831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type w:val="continuous"/>
        </w:sectPr>
      </w:pPr>
    </w:p>
    <w:p>
      <w:pPr>
        <w:spacing w:after="0" w:line="91"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Sales</w:t>
      </w:r>
    </w:p>
    <w:p>
      <w:pPr>
        <w:spacing w:after="0" w:line="73" w:lineRule="exact"/>
        <w:rPr>
          <w:sz w:val="20"/>
          <w:szCs w:val="20"/>
          <w:color w:val="auto"/>
        </w:rPr>
      </w:pPr>
    </w:p>
    <w:p>
      <w:pPr>
        <w:ind w:left="40" w:right="1080"/>
        <w:spacing w:after="0" w:line="331" w:lineRule="auto"/>
        <w:rPr>
          <w:sz w:val="20"/>
          <w:szCs w:val="20"/>
          <w:color w:val="auto"/>
        </w:rPr>
      </w:pPr>
      <w:r>
        <w:rPr>
          <w:rFonts w:ascii="Arial" w:cs="Arial" w:eastAsia="Arial" w:hAnsi="Arial"/>
          <w:sz w:val="16"/>
          <w:szCs w:val="16"/>
          <w:color w:val="auto"/>
        </w:rPr>
        <w:t>Net Income Attributable to Oil-Dri Earnings per Diluted Share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FFFFFF"/>
        </w:rPr>
        <w:t>Business to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8890" cy="32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3257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080" w:type="dxa"/>
            <w:vAlign w:val="bottom"/>
          </w:tcPr>
          <w:p>
            <w:pPr>
              <w:jc w:val="right"/>
              <w:ind w:right="179"/>
              <w:spacing w:after="0"/>
              <w:rPr>
                <w:sz w:val="20"/>
                <w:szCs w:val="20"/>
                <w:color w:val="auto"/>
              </w:rPr>
            </w:pPr>
            <w:r>
              <w:rPr>
                <w:rFonts w:ascii="Arial" w:cs="Arial" w:eastAsia="Arial" w:hAnsi="Arial"/>
                <w:sz w:val="16"/>
                <w:szCs w:val="16"/>
                <w:color w:val="auto"/>
                <w:w w:val="89"/>
              </w:rPr>
              <w:t>$76,256,000</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$70,885,000</w:t>
            </w:r>
          </w:p>
        </w:tc>
        <w:tc>
          <w:tcPr>
            <w:tcW w:w="560" w:type="dxa"/>
            <w:vAlign w:val="bottom"/>
          </w:tcPr>
          <w:p>
            <w:pPr>
              <w:jc w:val="center"/>
              <w:ind w:left="79"/>
              <w:spacing w:after="0"/>
              <w:rPr>
                <w:sz w:val="20"/>
                <w:szCs w:val="20"/>
                <w:color w:val="auto"/>
              </w:rPr>
            </w:pPr>
            <w:r>
              <w:rPr>
                <w:rFonts w:ascii="Arial" w:cs="Arial" w:eastAsia="Arial" w:hAnsi="Arial"/>
                <w:sz w:val="16"/>
                <w:szCs w:val="16"/>
                <w:color w:val="auto"/>
                <w:w w:val="86"/>
              </w:rPr>
              <w:t>8%</w:t>
            </w:r>
          </w:p>
        </w:tc>
      </w:tr>
      <w:tr>
        <w:trPr>
          <w:trHeight w:val="257"/>
        </w:trPr>
        <w:tc>
          <w:tcPr>
            <w:tcW w:w="1080" w:type="dxa"/>
            <w:vAlign w:val="bottom"/>
          </w:tcPr>
          <w:p>
            <w:pPr>
              <w:jc w:val="right"/>
              <w:ind w:right="179"/>
              <w:spacing w:after="0"/>
              <w:rPr>
                <w:sz w:val="20"/>
                <w:szCs w:val="20"/>
                <w:color w:val="auto"/>
              </w:rPr>
            </w:pPr>
            <w:r>
              <w:rPr>
                <w:rFonts w:ascii="Arial" w:cs="Arial" w:eastAsia="Arial" w:hAnsi="Arial"/>
                <w:sz w:val="16"/>
                <w:szCs w:val="16"/>
                <w:color w:val="auto"/>
                <w:w w:val="99"/>
              </w:rPr>
              <w:t>$4,648,000</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$5,619,000</w:t>
            </w:r>
          </w:p>
        </w:tc>
        <w:tc>
          <w:tcPr>
            <w:tcW w:w="560" w:type="dxa"/>
            <w:vAlign w:val="bottom"/>
          </w:tcPr>
          <w:p>
            <w:pPr>
              <w:jc w:val="center"/>
              <w:ind w:left="79"/>
              <w:spacing w:after="0"/>
              <w:rPr>
                <w:sz w:val="20"/>
                <w:szCs w:val="20"/>
                <w:color w:val="auto"/>
              </w:rPr>
            </w:pPr>
            <w:r>
              <w:rPr>
                <w:rFonts w:ascii="Arial" w:cs="Arial" w:eastAsia="Arial" w:hAnsi="Arial"/>
                <w:sz w:val="16"/>
                <w:szCs w:val="16"/>
                <w:color w:val="auto"/>
                <w:w w:val="93"/>
              </w:rPr>
              <w:t>(17)%</w:t>
            </w:r>
          </w:p>
        </w:tc>
      </w:tr>
      <w:tr>
        <w:trPr>
          <w:trHeight w:val="257"/>
        </w:trPr>
        <w:tc>
          <w:tcPr>
            <w:tcW w:w="1080" w:type="dxa"/>
            <w:vAlign w:val="bottom"/>
          </w:tcPr>
          <w:p>
            <w:pPr>
              <w:jc w:val="right"/>
              <w:ind w:right="179"/>
              <w:spacing w:after="0"/>
              <w:rPr>
                <w:sz w:val="20"/>
                <w:szCs w:val="20"/>
                <w:color w:val="auto"/>
              </w:rPr>
            </w:pPr>
            <w:r>
              <w:rPr>
                <w:rFonts w:ascii="Arial" w:cs="Arial" w:eastAsia="Arial" w:hAnsi="Arial"/>
                <w:sz w:val="16"/>
                <w:szCs w:val="16"/>
                <w:color w:val="auto"/>
              </w:rPr>
              <w:t>$0.61</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$0.74</w:t>
            </w:r>
          </w:p>
        </w:tc>
        <w:tc>
          <w:tcPr>
            <w:tcW w:w="560" w:type="dxa"/>
            <w:vAlign w:val="bottom"/>
          </w:tcPr>
          <w:p>
            <w:pPr>
              <w:jc w:val="center"/>
              <w:ind w:left="79"/>
              <w:spacing w:after="0"/>
              <w:rPr>
                <w:sz w:val="20"/>
                <w:szCs w:val="20"/>
                <w:color w:val="auto"/>
              </w:rPr>
            </w:pPr>
            <w:r>
              <w:rPr>
                <w:rFonts w:ascii="Arial" w:cs="Arial" w:eastAsia="Arial" w:hAnsi="Arial"/>
                <w:sz w:val="16"/>
                <w:szCs w:val="16"/>
                <w:color w:val="auto"/>
                <w:w w:val="93"/>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20955</wp:posOffset>
            </wp:positionV>
            <wp:extent cx="7140575" cy="497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0575" cy="4972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180" w:type="dxa"/>
            <w:vAlign w:val="bottom"/>
          </w:tcPr>
          <w:p>
            <w:pPr>
              <w:jc w:val="right"/>
              <w:ind w:right="199"/>
              <w:spacing w:after="0"/>
              <w:rPr>
                <w:sz w:val="20"/>
                <w:szCs w:val="20"/>
                <w:color w:val="auto"/>
              </w:rPr>
            </w:pPr>
            <w:r>
              <w:rPr>
                <w:rFonts w:ascii="Arial" w:cs="Arial" w:eastAsia="Arial" w:hAnsi="Arial"/>
                <w:sz w:val="16"/>
                <w:szCs w:val="16"/>
                <w:color w:val="auto"/>
                <w:w w:val="89"/>
              </w:rPr>
              <w:t>$218,383,000</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$206,908,000</w:t>
            </w:r>
          </w:p>
        </w:tc>
        <w:tc>
          <w:tcPr>
            <w:tcW w:w="480" w:type="dxa"/>
            <w:vAlign w:val="bottom"/>
          </w:tcPr>
          <w:p>
            <w:pPr>
              <w:jc w:val="center"/>
              <w:ind w:left="119"/>
              <w:spacing w:after="0"/>
              <w:rPr>
                <w:sz w:val="20"/>
                <w:szCs w:val="20"/>
                <w:color w:val="auto"/>
              </w:rPr>
            </w:pPr>
            <w:r>
              <w:rPr>
                <w:rFonts w:ascii="Arial" w:cs="Arial" w:eastAsia="Arial" w:hAnsi="Arial"/>
                <w:sz w:val="16"/>
                <w:szCs w:val="16"/>
                <w:color w:val="auto"/>
                <w:w w:val="86"/>
              </w:rPr>
              <w:t>6%</w:t>
            </w:r>
          </w:p>
        </w:tc>
      </w:tr>
      <w:tr>
        <w:trPr>
          <w:trHeight w:val="257"/>
        </w:trPr>
        <w:tc>
          <w:tcPr>
            <w:tcW w:w="1180" w:type="dxa"/>
            <w:vAlign w:val="bottom"/>
          </w:tcPr>
          <w:p>
            <w:pPr>
              <w:jc w:val="right"/>
              <w:ind w:right="199"/>
              <w:spacing w:after="0"/>
              <w:rPr>
                <w:sz w:val="20"/>
                <w:szCs w:val="20"/>
                <w:color w:val="auto"/>
              </w:rPr>
            </w:pPr>
            <w:r>
              <w:rPr>
                <w:rFonts w:ascii="Arial" w:cs="Arial" w:eastAsia="Arial" w:hAnsi="Arial"/>
                <w:sz w:val="16"/>
                <w:szCs w:val="16"/>
                <w:color w:val="auto"/>
                <w:w w:val="98"/>
              </w:rPr>
              <w:t>$13,014,000</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$8,812,000</w:t>
            </w:r>
          </w:p>
        </w:tc>
        <w:tc>
          <w:tcPr>
            <w:tcW w:w="480" w:type="dxa"/>
            <w:vAlign w:val="bottom"/>
          </w:tcPr>
          <w:p>
            <w:pPr>
              <w:jc w:val="center"/>
              <w:ind w:left="119"/>
              <w:spacing w:after="0"/>
              <w:rPr>
                <w:sz w:val="20"/>
                <w:szCs w:val="20"/>
                <w:color w:val="auto"/>
              </w:rPr>
            </w:pPr>
            <w:r>
              <w:rPr>
                <w:rFonts w:ascii="Arial" w:cs="Arial" w:eastAsia="Arial" w:hAnsi="Arial"/>
                <w:sz w:val="16"/>
                <w:szCs w:val="16"/>
                <w:color w:val="auto"/>
                <w:w w:val="87"/>
              </w:rPr>
              <w:t>48%</w:t>
            </w:r>
          </w:p>
        </w:tc>
      </w:tr>
      <w:tr>
        <w:trPr>
          <w:trHeight w:val="257"/>
        </w:trPr>
        <w:tc>
          <w:tcPr>
            <w:tcW w:w="1180" w:type="dxa"/>
            <w:vAlign w:val="bottom"/>
          </w:tcPr>
          <w:p>
            <w:pPr>
              <w:jc w:val="right"/>
              <w:ind w:right="199"/>
              <w:spacing w:after="0"/>
              <w:rPr>
                <w:sz w:val="20"/>
                <w:szCs w:val="20"/>
                <w:color w:val="auto"/>
              </w:rPr>
            </w:pPr>
            <w:r>
              <w:rPr>
                <w:rFonts w:ascii="Arial" w:cs="Arial" w:eastAsia="Arial" w:hAnsi="Arial"/>
                <w:sz w:val="16"/>
                <w:szCs w:val="16"/>
                <w:color w:val="auto"/>
              </w:rPr>
              <w:t>$1.69</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$1.17</w:t>
            </w:r>
          </w:p>
        </w:tc>
        <w:tc>
          <w:tcPr>
            <w:tcW w:w="480" w:type="dxa"/>
            <w:vAlign w:val="bottom"/>
          </w:tcPr>
          <w:p>
            <w:pPr>
              <w:jc w:val="center"/>
              <w:ind w:left="119"/>
              <w:spacing w:after="0"/>
              <w:rPr>
                <w:sz w:val="20"/>
                <w:szCs w:val="20"/>
                <w:color w:val="auto"/>
              </w:rPr>
            </w:pPr>
            <w:r>
              <w:rPr>
                <w:rFonts w:ascii="Arial" w:cs="Arial" w:eastAsia="Arial" w:hAnsi="Arial"/>
                <w:sz w:val="16"/>
                <w:szCs w:val="16"/>
                <w:color w:val="auto"/>
                <w:w w:val="87"/>
              </w:rPr>
              <w:t>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2146300</wp:posOffset>
            </wp:positionH>
            <wp:positionV relativeFrom="paragraph">
              <wp:posOffset>192405</wp:posOffset>
            </wp:positionV>
            <wp:extent cx="8255" cy="325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325755"/>
                    </a:xfrm>
                    <a:prstGeom prst="rect">
                      <a:avLst/>
                    </a:prstGeom>
                    <a:noFill/>
                  </pic:spPr>
                </pic:pic>
              </a:graphicData>
            </a:graphic>
          </wp:anchor>
        </w:drawing>
      </w:r>
    </w:p>
    <w:p>
      <w:pPr>
        <w:spacing w:after="0" w:line="320" w:lineRule="exact"/>
        <w:rPr>
          <w:sz w:val="20"/>
          <w:szCs w:val="20"/>
          <w:color w:val="auto"/>
        </w:rPr>
      </w:pPr>
    </w:p>
    <w:p>
      <w:pPr>
        <w:sectPr>
          <w:pgSz w:w="11900" w:h="16838" w:orient="portrait"/>
          <w:cols w:equalWidth="0" w:num="3">
            <w:col w:w="3400" w:space="720"/>
            <w:col w:w="3020" w:space="720"/>
            <w:col w:w="3380"/>
          </w:cols>
          <w:pgMar w:left="320" w:top="1260" w:right="3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Net Sales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Segment Operating Income</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color w:val="FFFFFF"/>
        </w:rPr>
        <w:t>Retail and Wholesale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080" w:type="dxa"/>
            <w:vAlign w:val="bottom"/>
          </w:tcPr>
          <w:p>
            <w:pPr>
              <w:jc w:val="right"/>
              <w:ind w:right="179"/>
              <w:spacing w:after="0"/>
              <w:rPr>
                <w:sz w:val="20"/>
                <w:szCs w:val="20"/>
                <w:color w:val="auto"/>
              </w:rPr>
            </w:pPr>
            <w:r>
              <w:rPr>
                <w:rFonts w:ascii="Arial" w:cs="Arial" w:eastAsia="Arial" w:hAnsi="Arial"/>
                <w:sz w:val="16"/>
                <w:szCs w:val="16"/>
                <w:color w:val="auto"/>
                <w:w w:val="89"/>
              </w:rPr>
              <w:t>$26,683,000</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$26,041,000</w:t>
            </w:r>
          </w:p>
        </w:tc>
        <w:tc>
          <w:tcPr>
            <w:tcW w:w="4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56"/>
        </w:trPr>
        <w:tc>
          <w:tcPr>
            <w:tcW w:w="1080" w:type="dxa"/>
            <w:vAlign w:val="bottom"/>
          </w:tcPr>
          <w:p>
            <w:pPr>
              <w:jc w:val="right"/>
              <w:ind w:right="179"/>
              <w:spacing w:after="0"/>
              <w:rPr>
                <w:sz w:val="20"/>
                <w:szCs w:val="20"/>
                <w:color w:val="auto"/>
              </w:rPr>
            </w:pPr>
            <w:r>
              <w:rPr>
                <w:rFonts w:ascii="Arial" w:cs="Arial" w:eastAsia="Arial" w:hAnsi="Arial"/>
                <w:sz w:val="16"/>
                <w:szCs w:val="16"/>
                <w:color w:val="auto"/>
                <w:w w:val="99"/>
              </w:rPr>
              <w:t>$8,198,000</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$7,454,000</w:t>
            </w:r>
          </w:p>
        </w:tc>
        <w:tc>
          <w:tcPr>
            <w:tcW w:w="480" w:type="dxa"/>
            <w:vAlign w:val="bottom"/>
          </w:tcPr>
          <w:p>
            <w:pPr>
              <w:jc w:val="right"/>
              <w:spacing w:after="0"/>
              <w:rPr>
                <w:sz w:val="20"/>
                <w:szCs w:val="20"/>
                <w:color w:val="auto"/>
              </w:rPr>
            </w:pPr>
            <w:r>
              <w:rPr>
                <w:rFonts w:ascii="Arial" w:cs="Arial" w:eastAsia="Arial" w:hAnsi="Arial"/>
                <w:sz w:val="16"/>
                <w:szCs w:val="16"/>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20955</wp:posOffset>
            </wp:positionV>
            <wp:extent cx="7140575" cy="5054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0575" cy="5054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140" w:type="dxa"/>
            <w:vAlign w:val="bottom"/>
          </w:tcPr>
          <w:p>
            <w:pPr>
              <w:jc w:val="right"/>
              <w:ind w:right="239"/>
              <w:spacing w:after="0"/>
              <w:rPr>
                <w:sz w:val="20"/>
                <w:szCs w:val="20"/>
                <w:color w:val="auto"/>
              </w:rPr>
            </w:pPr>
            <w:r>
              <w:rPr>
                <w:rFonts w:ascii="Arial" w:cs="Arial" w:eastAsia="Arial" w:hAnsi="Arial"/>
                <w:sz w:val="16"/>
                <w:szCs w:val="16"/>
                <w:color w:val="auto"/>
                <w:w w:val="89"/>
              </w:rPr>
              <w:t>$77,632,000</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$77,825,000</w:t>
            </w:r>
          </w:p>
        </w:tc>
        <w:tc>
          <w:tcPr>
            <w:tcW w:w="480" w:type="dxa"/>
            <w:vAlign w:val="bottom"/>
          </w:tcPr>
          <w:p>
            <w:pPr>
              <w:ind w:left="200"/>
              <w:spacing w:after="0"/>
              <w:rPr>
                <w:sz w:val="20"/>
                <w:szCs w:val="20"/>
                <w:color w:val="auto"/>
              </w:rPr>
            </w:pPr>
            <w:r>
              <w:rPr>
                <w:rFonts w:ascii="Arial" w:cs="Arial" w:eastAsia="Arial" w:hAnsi="Arial"/>
                <w:sz w:val="16"/>
                <w:szCs w:val="16"/>
                <w:color w:val="auto"/>
                <w:w w:val="85"/>
              </w:rPr>
              <w:t>—%</w:t>
            </w:r>
          </w:p>
        </w:tc>
      </w:tr>
      <w:tr>
        <w:trPr>
          <w:trHeight w:val="256"/>
        </w:trPr>
        <w:tc>
          <w:tcPr>
            <w:tcW w:w="1140" w:type="dxa"/>
            <w:vAlign w:val="bottom"/>
          </w:tcPr>
          <w:p>
            <w:pPr>
              <w:jc w:val="right"/>
              <w:ind w:right="239"/>
              <w:spacing w:after="0"/>
              <w:rPr>
                <w:sz w:val="20"/>
                <w:szCs w:val="20"/>
                <w:color w:val="auto"/>
              </w:rPr>
            </w:pPr>
            <w:r>
              <w:rPr>
                <w:rFonts w:ascii="Arial" w:cs="Arial" w:eastAsia="Arial" w:hAnsi="Arial"/>
                <w:sz w:val="16"/>
                <w:szCs w:val="16"/>
                <w:color w:val="auto"/>
                <w:w w:val="89"/>
              </w:rPr>
              <w:t>$24,046,000</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$21,758,000</w:t>
            </w:r>
          </w:p>
        </w:tc>
        <w:tc>
          <w:tcPr>
            <w:tcW w:w="480" w:type="dxa"/>
            <w:vAlign w:val="bottom"/>
          </w:tcPr>
          <w:p>
            <w:pPr>
              <w:ind w:left="200"/>
              <w:spacing w:after="0"/>
              <w:rPr>
                <w:sz w:val="20"/>
                <w:szCs w:val="20"/>
                <w:color w:val="auto"/>
              </w:rPr>
            </w:pPr>
            <w:r>
              <w:rPr>
                <w:rFonts w:ascii="Arial" w:cs="Arial" w:eastAsia="Arial" w:hAnsi="Arial"/>
                <w:sz w:val="16"/>
                <w:szCs w:val="16"/>
                <w:color w:val="auto"/>
                <w:w w:val="81"/>
              </w:rPr>
              <w:t>11%</w:t>
            </w:r>
          </w:p>
        </w:tc>
      </w:tr>
    </w:tbl>
    <w:p>
      <w:pPr>
        <w:spacing w:after="0" w:line="320" w:lineRule="exact"/>
        <w:rPr>
          <w:sz w:val="20"/>
          <w:szCs w:val="20"/>
          <w:color w:val="auto"/>
        </w:rPr>
      </w:pPr>
    </w:p>
    <w:p>
      <w:pPr>
        <w:sectPr>
          <w:pgSz w:w="11900" w:h="16838" w:orient="portrait"/>
          <w:cols w:equalWidth="0" w:num="3">
            <w:col w:w="3400" w:space="720"/>
            <w:col w:w="3100" w:space="720"/>
            <w:col w:w="3300"/>
          </w:cols>
          <w:pgMar w:left="320" w:top="1260" w:right="3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Net Sales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Segment Operating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080" w:type="dxa"/>
            <w:vAlign w:val="bottom"/>
          </w:tcPr>
          <w:p>
            <w:pPr>
              <w:jc w:val="right"/>
              <w:ind w:right="179"/>
              <w:spacing w:after="0"/>
              <w:rPr>
                <w:sz w:val="20"/>
                <w:szCs w:val="20"/>
                <w:color w:val="auto"/>
              </w:rPr>
            </w:pPr>
            <w:r>
              <w:rPr>
                <w:rFonts w:ascii="Arial" w:cs="Arial" w:eastAsia="Arial" w:hAnsi="Arial"/>
                <w:sz w:val="16"/>
                <w:szCs w:val="16"/>
                <w:color w:val="auto"/>
                <w:w w:val="89"/>
              </w:rPr>
              <w:t>$49,573,000</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$44,844,000</w:t>
            </w:r>
          </w:p>
        </w:tc>
        <w:tc>
          <w:tcPr>
            <w:tcW w:w="4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56"/>
        </w:trPr>
        <w:tc>
          <w:tcPr>
            <w:tcW w:w="1080" w:type="dxa"/>
            <w:vAlign w:val="bottom"/>
          </w:tcPr>
          <w:p>
            <w:pPr>
              <w:jc w:val="right"/>
              <w:ind w:right="179"/>
              <w:spacing w:after="0"/>
              <w:rPr>
                <w:sz w:val="20"/>
                <w:szCs w:val="20"/>
                <w:color w:val="auto"/>
              </w:rPr>
            </w:pPr>
            <w:r>
              <w:rPr>
                <w:rFonts w:ascii="Arial" w:cs="Arial" w:eastAsia="Arial" w:hAnsi="Arial"/>
                <w:sz w:val="16"/>
                <w:szCs w:val="16"/>
                <w:color w:val="auto"/>
                <w:w w:val="99"/>
              </w:rPr>
              <w:t>$6,412,000</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$4,161,000</w:t>
            </w:r>
          </w:p>
        </w:tc>
        <w:tc>
          <w:tcPr>
            <w:tcW w:w="480" w:type="dxa"/>
            <w:vAlign w:val="bottom"/>
          </w:tcPr>
          <w:p>
            <w:pPr>
              <w:jc w:val="right"/>
              <w:spacing w:after="0"/>
              <w:rPr>
                <w:sz w:val="20"/>
                <w:szCs w:val="20"/>
                <w:color w:val="auto"/>
              </w:rPr>
            </w:pPr>
            <w:r>
              <w:rPr>
                <w:rFonts w:ascii="Arial" w:cs="Arial" w:eastAsia="Arial" w:hAnsi="Arial"/>
                <w:sz w:val="16"/>
                <w:szCs w:val="16"/>
                <w:color w:val="auto"/>
              </w:rPr>
              <w:t>54%</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180" w:type="dxa"/>
            <w:vAlign w:val="bottom"/>
          </w:tcPr>
          <w:p>
            <w:pPr>
              <w:jc w:val="right"/>
              <w:ind w:right="199"/>
              <w:spacing w:after="0"/>
              <w:rPr>
                <w:sz w:val="20"/>
                <w:szCs w:val="20"/>
                <w:color w:val="auto"/>
              </w:rPr>
            </w:pPr>
            <w:r>
              <w:rPr>
                <w:rFonts w:ascii="Arial" w:cs="Arial" w:eastAsia="Arial" w:hAnsi="Arial"/>
                <w:sz w:val="16"/>
                <w:szCs w:val="16"/>
                <w:color w:val="auto"/>
                <w:w w:val="89"/>
              </w:rPr>
              <w:t>$140,751,000</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$129,083,000</w:t>
            </w:r>
          </w:p>
        </w:tc>
        <w:tc>
          <w:tcPr>
            <w:tcW w:w="5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56"/>
        </w:trPr>
        <w:tc>
          <w:tcPr>
            <w:tcW w:w="1180" w:type="dxa"/>
            <w:vAlign w:val="bottom"/>
          </w:tcPr>
          <w:p>
            <w:pPr>
              <w:jc w:val="right"/>
              <w:ind w:right="199"/>
              <w:spacing w:after="0"/>
              <w:rPr>
                <w:sz w:val="20"/>
                <w:szCs w:val="20"/>
                <w:color w:val="auto"/>
              </w:rPr>
            </w:pPr>
            <w:r>
              <w:rPr>
                <w:rFonts w:ascii="Arial" w:cs="Arial" w:eastAsia="Arial" w:hAnsi="Arial"/>
                <w:sz w:val="16"/>
                <w:szCs w:val="16"/>
                <w:color w:val="auto"/>
                <w:w w:val="98"/>
              </w:rPr>
              <w:t>$15,380,000</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$6,823,000</w:t>
            </w:r>
          </w:p>
        </w:tc>
        <w:tc>
          <w:tcPr>
            <w:tcW w:w="540" w:type="dxa"/>
            <w:vAlign w:val="bottom"/>
          </w:tcPr>
          <w:p>
            <w:pPr>
              <w:jc w:val="right"/>
              <w:spacing w:after="0"/>
              <w:rPr>
                <w:sz w:val="20"/>
                <w:szCs w:val="20"/>
                <w:color w:val="auto"/>
              </w:rPr>
            </w:pPr>
            <w:r>
              <w:rPr>
                <w:rFonts w:ascii="Arial" w:cs="Arial" w:eastAsia="Arial" w:hAnsi="Arial"/>
                <w:sz w:val="16"/>
                <w:szCs w:val="16"/>
                <w:color w:val="auto"/>
              </w:rPr>
              <w:t>125%</w:t>
            </w:r>
          </w:p>
        </w:tc>
      </w:tr>
    </w:tbl>
    <w:p>
      <w:pPr>
        <w:spacing w:after="0" w:line="200" w:lineRule="exact"/>
        <w:rPr>
          <w:sz w:val="20"/>
          <w:szCs w:val="20"/>
          <w:color w:val="auto"/>
        </w:rPr>
      </w:pPr>
    </w:p>
    <w:p>
      <w:pPr>
        <w:sectPr>
          <w:pgSz w:w="11900" w:h="16838" w:orient="portrait"/>
          <w:cols w:equalWidth="0" w:num="3">
            <w:col w:w="3400" w:space="720"/>
            <w:col w:w="3020" w:space="720"/>
            <w:col w:w="3380"/>
          </w:cols>
          <w:pgMar w:left="320" w:top="1260" w:right="339" w:bottom="1440" w:gutter="0" w:footer="0" w:header="0"/>
          <w:type w:val="continuous"/>
        </w:sectPr>
      </w:pPr>
    </w:p>
    <w:p>
      <w:pPr>
        <w:spacing w:after="0" w:line="352" w:lineRule="exact"/>
        <w:rPr>
          <w:sz w:val="20"/>
          <w:szCs w:val="20"/>
          <w:color w:val="auto"/>
        </w:rPr>
      </w:pPr>
    </w:p>
    <w:p>
      <w:pPr>
        <w:ind w:right="60"/>
        <w:spacing w:after="0" w:line="258" w:lineRule="auto"/>
        <w:rPr>
          <w:sz w:val="20"/>
          <w:szCs w:val="20"/>
          <w:color w:val="auto"/>
        </w:rPr>
      </w:pPr>
      <w:r>
        <w:rPr>
          <w:rFonts w:ascii="Arial" w:cs="Arial" w:eastAsia="Arial" w:hAnsi="Arial"/>
          <w:sz w:val="21"/>
          <w:szCs w:val="21"/>
          <w:color w:val="auto"/>
        </w:rPr>
        <w:t>Daniel S. Jaffee, President and Chief Executive Officer, stated, “With the outbreak of the novel coronavirus (“COVID-19”), Oil-Dri’s top priority has been to protect the health and safety of our teammates. We have transitioned to a remote work environment, where appropriate, and implemented CDC recommended safety measures and sanitation procedures at our plants. We have successfully managed our supply chain and manufacturing operations to ensure that our essential products reach our customers. Furthermore, our company has been able to support several local hospitals, clinics and nursing homes with the donation of much needed N-95 respirator masks. I am incredibly proud of our team and their efforts to respond to this crisis. Oil-Dri will continue to adapt to this evolving situation and will work hard to keep our business running to meet the changing needs of our customers. We feel very fortunate that, so far, our teammates are healthy and most of our products are deemed “essential.” Our thoughts and prayers go out to the millions and probably billions of people negatively impacted, both physically and financially, by the global pandemic.</w:t>
      </w:r>
    </w:p>
    <w:p>
      <w:pPr>
        <w:sectPr>
          <w:pgSz w:w="11900" w:h="16838" w:orient="portrait"/>
          <w:cols w:equalWidth="0" w:num="1">
            <w:col w:w="11240"/>
          </w:cols>
          <w:pgMar w:left="320" w:top="1260" w:right="339" w:bottom="1440" w:gutter="0" w:footer="0" w:header="0"/>
          <w:type w:val="continuous"/>
        </w:sectPr>
      </w:pPr>
    </w:p>
    <w:bookmarkStart w:id="4" w:name="page5"/>
    <w:bookmarkEnd w:id="4"/>
    <w:p>
      <w:pPr>
        <w:spacing w:after="0" w:line="3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3037205</wp:posOffset>
            </wp:positionH>
            <wp:positionV relativeFrom="page">
              <wp:posOffset>208915</wp:posOffset>
            </wp:positionV>
            <wp:extent cx="1474470" cy="4883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r>
    </w:p>
    <w:p>
      <w:pPr>
        <w:ind w:right="20"/>
        <w:spacing w:after="0" w:line="288" w:lineRule="auto"/>
        <w:rPr>
          <w:sz w:val="20"/>
          <w:szCs w:val="20"/>
          <w:color w:val="auto"/>
        </w:rPr>
      </w:pPr>
      <w:r>
        <w:rPr>
          <w:rFonts w:ascii="Arial" w:cs="Arial" w:eastAsia="Arial" w:hAnsi="Arial"/>
          <w:sz w:val="19"/>
          <w:szCs w:val="19"/>
          <w:color w:val="auto"/>
        </w:rPr>
        <w:t>During the third quarter, all the Company’s manufacturing facilities remained open, and we continue to operate to keep pace with demand. We achieved record quarterly consolidated net sales of $76.3 million, reflecting an 8% increase over the third quarter last year. Cat litter, in particular, was in high demand during the months of March and April as consumers stocked up on our products in response to state mandated shelter-in-place orders due to COVID-19. Our Business to Business Group’s diversified product portfolio proved to be resilient during this unprecedented time, as we experienced sales growth within our agricultural, animal health and nutrition, and co-packaging businesses. Consolidated gross margins rose to 28% during the third quarter from 24% in the same period last year, due to lower freight and natural gas costs which more than offset temporary wage increases given to our front-line teammates. These gains were further offset by an 8% increase in Selling, General and Administrative (“SG&amp;A”) expenses over the prior year. Higher incentive bonus accruals and other compensation and benefits costs accounted for the increase. Third quarter consolidated operating income was $5.7 million compared to $2.3 million a year ago, demonstrating exceptional growth of 145%.</w:t>
      </w:r>
    </w:p>
    <w:p>
      <w:pPr>
        <w:spacing w:after="0" w:line="200" w:lineRule="exact"/>
        <w:rPr>
          <w:sz w:val="20"/>
          <w:szCs w:val="20"/>
          <w:color w:val="auto"/>
        </w:rPr>
      </w:pPr>
    </w:p>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19"/>
          <w:szCs w:val="19"/>
          <w:color w:val="auto"/>
        </w:rPr>
        <w:t>Our Business to Business Products Group’s third quarter sales reached $26.7 million. Revenues increased for three of our four principal products within the group. Sales of our agricultural products rose 11% in the quarter versus the prior year, primarily driven by higher demand of our traditional granules from a large customer. Our animal health and nutrition products delivered topline growth of 25% in the third quarter compared to the same period last year, mainly due to increased sales of feed additives in foreign markets, including Latin America and Asia, excluding China. After being closed for several months due to the outbreak of the novel coronavirus, our sales office in China is now open. However, business operations were negatively impacted by COVID-19 during the third quarter as Chinese government restrictions delayed product shipments. Furthermore, sales to pork producers within China remained soft as a result of the continued spread of the African swine fever within some areas of the country. Revenues from fluid purification products declined 8% in the third quarter compared to the prior year. Lower demand from edible oil producers due to worldwide COVID-19 closures of restaurants and schools impacted sales. Local pricing competition in foreign markets caused by unfavorable exchange rates and the closure of a domestic biodiesel processing plant also contributed to the decline. Our co-packaging coarse cat litter business realized sales gains of almost 10% in the quarter over the same period last year as consumers loaded up on pet care items due to the current pandemic.</w:t>
      </w:r>
    </w:p>
    <w:p>
      <w:pPr>
        <w:spacing w:after="0" w:line="206" w:lineRule="exact"/>
        <w:rPr>
          <w:sz w:val="20"/>
          <w:szCs w:val="20"/>
          <w:color w:val="auto"/>
        </w:rPr>
      </w:pPr>
    </w:p>
    <w:p>
      <w:pPr>
        <w:ind w:right="840"/>
        <w:spacing w:after="0" w:line="263" w:lineRule="auto"/>
        <w:rPr>
          <w:sz w:val="20"/>
          <w:szCs w:val="20"/>
          <w:color w:val="auto"/>
        </w:rPr>
      </w:pPr>
      <w:r>
        <w:rPr>
          <w:rFonts w:ascii="Arial" w:cs="Arial" w:eastAsia="Arial" w:hAnsi="Arial"/>
          <w:sz w:val="22"/>
          <w:szCs w:val="22"/>
          <w:color w:val="auto"/>
        </w:rPr>
        <w:t>Operating Income in the Business to Business Group was up 10% in the third quarter versus the prior year. Higher sales combined with lower freight and natural gas costs</w:t>
      </w:r>
    </w:p>
    <w:p>
      <w:pPr>
        <w:sectPr>
          <w:pgSz w:w="11900" w:h="16838" w:orient="portrait"/>
          <w:cols w:equalWidth="0" w:num="1">
            <w:col w:w="11200"/>
          </w:cols>
          <w:pgMar w:left="320" w:top="1440" w:right="379" w:bottom="1440" w:gutter="0" w:footer="0" w:header="0"/>
        </w:sectPr>
      </w:pPr>
    </w:p>
    <w:bookmarkStart w:id="5" w:name="page6"/>
    <w:bookmarkEnd w:id="5"/>
    <w:p>
      <w:pPr>
        <w:spacing w:after="0" w:line="1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3037205</wp:posOffset>
            </wp:positionH>
            <wp:positionV relativeFrom="page">
              <wp:posOffset>208915</wp:posOffset>
            </wp:positionV>
            <wp:extent cx="1474470" cy="4889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950"/>
                    </a:xfrm>
                    <a:prstGeom prst="rect">
                      <a:avLst/>
                    </a:prstGeom>
                    <a:noFill/>
                  </pic:spPr>
                </pic:pic>
              </a:graphicData>
            </a:graphic>
          </wp:anchor>
        </w:drawing>
      </w:r>
    </w:p>
    <w:p>
      <w:pPr>
        <w:ind w:right="220"/>
        <w:spacing w:after="0" w:line="263" w:lineRule="auto"/>
        <w:rPr>
          <w:sz w:val="20"/>
          <w:szCs w:val="20"/>
          <w:color w:val="auto"/>
        </w:rPr>
      </w:pPr>
      <w:r>
        <w:rPr>
          <w:rFonts w:ascii="Arial" w:cs="Arial" w:eastAsia="Arial" w:hAnsi="Arial"/>
          <w:sz w:val="22"/>
          <w:szCs w:val="22"/>
          <w:color w:val="auto"/>
        </w:rPr>
        <w:t>offset a 17% increase in SG&amp;A expenses over the prior year. These increased SG&amp;A costs reflect greater compensation related expenses and other costs to support the business.</w:t>
      </w:r>
    </w:p>
    <w:p>
      <w:pPr>
        <w:spacing w:after="0" w:line="323" w:lineRule="exact"/>
        <w:rPr>
          <w:sz w:val="20"/>
          <w:szCs w:val="20"/>
          <w:color w:val="auto"/>
        </w:rPr>
      </w:pPr>
    </w:p>
    <w:p>
      <w:pPr>
        <w:spacing w:after="0" w:line="259" w:lineRule="auto"/>
        <w:rPr>
          <w:sz w:val="20"/>
          <w:szCs w:val="20"/>
          <w:color w:val="auto"/>
        </w:rPr>
      </w:pPr>
      <w:r>
        <w:rPr>
          <w:rFonts w:ascii="Arial" w:cs="Arial" w:eastAsia="Arial" w:hAnsi="Arial"/>
          <w:sz w:val="21"/>
          <w:szCs w:val="21"/>
          <w:color w:val="auto"/>
        </w:rPr>
        <w:t>The Retail and Wholesale Products Group experienced record quarterly sales of $49.6 million, representing an 11% gain over the third quarter last year. This growth was driven by a 20% increase in domestic cat litter revenues primarily due to unprecedented demand caused by the COVID-19 pandemic. Inventory loading by retailers resulted in double digit sales growth for both branded and private label cat litter products. Increases were led by scoopable litter items, followed by gains in coarse litter and accessories. Our e-commerce business experienced a triple digit percentage increase in sales for the quarter compared to last year, as more people shopped online while sheltering-in-place. Revenue from our subsidiary in Canada also rose within the quarter as a result of higher cat litter sales. Decreased demand of our industrial and sports products due to COVID-19 offset some of the sales gains within the Retail and Wholesale Products Group. These markets were negatively impacted by customer closures and the national shutdown of sports fields.</w:t>
      </w:r>
    </w:p>
    <w:p>
      <w:pPr>
        <w:spacing w:after="0" w:line="328" w:lineRule="exact"/>
        <w:rPr>
          <w:sz w:val="20"/>
          <w:szCs w:val="20"/>
          <w:color w:val="auto"/>
        </w:rPr>
      </w:pPr>
    </w:p>
    <w:p>
      <w:pPr>
        <w:ind w:right="180"/>
        <w:spacing w:after="0" w:line="263" w:lineRule="auto"/>
        <w:rPr>
          <w:sz w:val="20"/>
          <w:szCs w:val="20"/>
          <w:color w:val="auto"/>
        </w:rPr>
      </w:pPr>
      <w:r>
        <w:rPr>
          <w:rFonts w:ascii="Arial" w:cs="Arial" w:eastAsia="Arial" w:hAnsi="Arial"/>
          <w:sz w:val="21"/>
          <w:szCs w:val="21"/>
          <w:color w:val="auto"/>
        </w:rPr>
        <w:t>Operating Income for the Retail and Wholesale Products Group reached a record $6.4 million in the third quarter reflecting a 54% gain over the prior year. Increased sales and lower freight and natural gas costs helped to offset higher SG&amp;A costs. These elevated SG&amp;A costs include employee compensation, advertising and other costs to support the business. Due to a shift in program timing, our advertising spending increased in the third quarter when compared to the same period last year. We expect adverting costs for the full fiscal year to be higher than last year."</w:t>
      </w:r>
    </w:p>
    <w:p>
      <w:pPr>
        <w:spacing w:after="0" w:line="324" w:lineRule="exact"/>
        <w:rPr>
          <w:sz w:val="20"/>
          <w:szCs w:val="20"/>
          <w:color w:val="auto"/>
        </w:rPr>
      </w:pPr>
    </w:p>
    <w:p>
      <w:pPr>
        <w:spacing w:after="0"/>
        <w:rPr>
          <w:sz w:val="20"/>
          <w:szCs w:val="20"/>
          <w:color w:val="auto"/>
        </w:rPr>
      </w:pPr>
      <w:r>
        <w:rPr>
          <w:rFonts w:ascii="Arial" w:cs="Arial" w:eastAsia="Arial" w:hAnsi="Arial"/>
          <w:sz w:val="19"/>
          <w:szCs w:val="19"/>
          <w:color w:val="auto"/>
        </w:rPr>
        <w:t>The Company will host its third quarter of fiscal 2020 earnings teleconference on Wednesday, June 10, 2020 at 10:00 a.m.</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Central Time. Participation details are available on our website’s </w:t>
      </w:r>
      <w:r>
        <w:rPr>
          <w:rFonts w:ascii="Arial" w:cs="Arial" w:eastAsia="Arial" w:hAnsi="Arial"/>
          <w:sz w:val="22"/>
          <w:szCs w:val="22"/>
          <w:u w:val="single" w:color="auto"/>
          <w:color w:val="0000FF"/>
        </w:rPr>
        <w:t>events</w:t>
      </w:r>
      <w:r>
        <w:rPr>
          <w:rFonts w:ascii="Arial" w:cs="Arial" w:eastAsia="Arial" w:hAnsi="Arial"/>
          <w:sz w:val="22"/>
          <w:szCs w:val="22"/>
          <w:color w:val="auto"/>
        </w:rPr>
        <w:t xml:space="preserve"> page.</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19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i w:val="1"/>
          <w:iCs w:val="1"/>
          <w:color w:val="auto"/>
        </w:rPr>
        <w:t xml:space="preserve">While Oil-Dri’s founding product was granular clay floor absorbents, it has since greatly diversified its portfolio. The Company’s mission to </w:t>
      </w:r>
      <w:r>
        <w:rPr>
          <w:rFonts w:ascii="Arial" w:cs="Arial" w:eastAsia="Arial" w:hAnsi="Arial"/>
          <w:sz w:val="16"/>
          <w:szCs w:val="16"/>
          <w:i w:val="1"/>
          <w:iCs w:val="1"/>
          <w:color w:val="auto"/>
        </w:rPr>
        <w:t>“</w:t>
      </w:r>
      <w:r>
        <w:rPr>
          <w:rFonts w:ascii="Arial" w:cs="Arial" w:eastAsia="Arial" w:hAnsi="Arial"/>
          <w:sz w:val="18"/>
          <w:szCs w:val="18"/>
          <w:i w:val="1"/>
          <w:iCs w:val="1"/>
          <w:color w:val="auto"/>
        </w:rPr>
        <w:t>Create Value from Sorbent Minerals</w:t>
      </w:r>
      <w:r>
        <w:rPr>
          <w:rFonts w:ascii="Arial" w:cs="Arial" w:eastAsia="Arial" w:hAnsi="Arial"/>
          <w:sz w:val="16"/>
          <w:szCs w:val="16"/>
          <w:i w:val="1"/>
          <w:iCs w:val="1"/>
          <w:color w:val="auto"/>
        </w:rPr>
        <w:t>”</w:t>
      </w:r>
      <w:r>
        <w:rPr>
          <w:rFonts w:ascii="Arial" w:cs="Arial" w:eastAsia="Arial" w:hAnsi="Arial"/>
          <w:sz w:val="18"/>
          <w:szCs w:val="18"/>
          <w:i w:val="1"/>
          <w:iCs w:val="1"/>
          <w:color w:val="auto"/>
        </w:rPr>
        <w:t xml:space="preserve"> is supported by its wide array of consumer and business to business product offerings. In 2016, Oil-Dri celebrated its seventy-fifth year of business and looks forward to the next milestone.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“Oil-Dri” and “Cat’s Pride” are registered trademarks of Oil-Dri Corporation of America.</w:t>
      </w:r>
    </w:p>
    <w:p>
      <w:pPr>
        <w:spacing w:after="0" w:line="221"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i w:val="1"/>
          <w:iCs w:val="1"/>
          <w:color w:val="auto"/>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w:t>
      </w:r>
    </w:p>
    <w:p>
      <w:pPr>
        <w:sectPr>
          <w:pgSz w:w="11900" w:h="16838" w:orient="portrait"/>
          <w:cols w:equalWidth="0" w:num="1">
            <w:col w:w="11220"/>
          </w:cols>
          <w:pgMar w:left="320" w:top="1440" w:right="359" w:bottom="1440" w:gutter="0" w:footer="0" w:header="0"/>
        </w:sectPr>
      </w:pPr>
    </w:p>
    <w:bookmarkStart w:id="6" w:name="page7"/>
    <w:bookmarkEnd w:id="6"/>
    <w:p>
      <w:pPr>
        <w:spacing w:after="0" w:line="1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3037205</wp:posOffset>
            </wp:positionH>
            <wp:positionV relativeFrom="page">
              <wp:posOffset>208915</wp:posOffset>
            </wp:positionV>
            <wp:extent cx="1474470" cy="4889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950"/>
                    </a:xfrm>
                    <a:prstGeom prst="rect">
                      <a:avLst/>
                    </a:prstGeom>
                    <a:noFill/>
                  </pic:spPr>
                </pic:pic>
              </a:graphicData>
            </a:graphic>
          </wp:anchor>
        </w:drawing>
      </w:r>
    </w:p>
    <w:p>
      <w:pPr>
        <w:ind w:right="320"/>
        <w:spacing w:after="0" w:line="261" w:lineRule="auto"/>
        <w:rPr>
          <w:sz w:val="20"/>
          <w:szCs w:val="20"/>
          <w:color w:val="auto"/>
        </w:rPr>
      </w:pPr>
      <w:r>
        <w:rPr>
          <w:rFonts w:ascii="Arial" w:cs="Arial" w:eastAsia="Arial" w:hAnsi="Arial"/>
          <w:sz w:val="16"/>
          <w:szCs w:val="16"/>
          <w:i w:val="1"/>
          <w:iCs w:val="1"/>
          <w:color w:val="auto"/>
        </w:rPr>
        <w:t>“outlook,” “forecast,” “would,” “could,” “should,” “project,” “intend,” “plan,” “continue,” “believe,” “seek,” “estimate,” “anticipate,” “may,” “assume,” or variations of such words and similar expressions are intended to identify such forward-looking statements, which are made pursuant to the safe harbor provisions of the Private Securities Litigation Reform Act of 1995.</w:t>
      </w:r>
    </w:p>
    <w:p>
      <w:pPr>
        <w:spacing w:after="0" w:line="291" w:lineRule="exact"/>
        <w:rPr>
          <w:sz w:val="20"/>
          <w:szCs w:val="20"/>
          <w:color w:val="auto"/>
        </w:rPr>
      </w:pPr>
    </w:p>
    <w:p>
      <w:pPr>
        <w:spacing w:after="0" w:line="269" w:lineRule="auto"/>
        <w:rPr>
          <w:sz w:val="20"/>
          <w:szCs w:val="20"/>
          <w:color w:val="auto"/>
        </w:rPr>
      </w:pPr>
      <w:r>
        <w:rPr>
          <w:rFonts w:ascii="Arial" w:cs="Arial" w:eastAsia="Arial" w:hAnsi="Arial"/>
          <w:sz w:val="15"/>
          <w:szCs w:val="15"/>
          <w:i w:val="1"/>
          <w:iCs w:val="1"/>
          <w:color w:val="auto"/>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Leslie A. Garber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Manager of Investor Relations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Oil-Dri Corporation of America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InvestorRelations@oildri.com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(312) 321-1515</w:t>
      </w:r>
    </w:p>
    <w:p>
      <w:pPr>
        <w:sectPr>
          <w:pgSz w:w="11900" w:h="16838" w:orient="portrait"/>
          <w:cols w:equalWidth="0" w:num="1">
            <w:col w:w="11240"/>
          </w:cols>
          <w:pgMar w:left="320" w:top="1440" w:right="339" w:bottom="1440" w:gutter="0" w:footer="0" w:header="0"/>
        </w:sectPr>
      </w:pPr>
    </w:p>
    <w:bookmarkStart w:id="7" w:name="page8"/>
    <w:bookmarkEnd w:id="7"/>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3037205</wp:posOffset>
            </wp:positionH>
            <wp:positionV relativeFrom="page">
              <wp:posOffset>208915</wp:posOffset>
            </wp:positionV>
            <wp:extent cx="1474470" cy="4889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950"/>
                    </a:xfrm>
                    <a:prstGeom prst="rect">
                      <a:avLst/>
                    </a:prstGeom>
                    <a:noFill/>
                  </pic:spPr>
                </pic:pic>
              </a:graphicData>
            </a:graphic>
          </wp:anchor>
        </w:drawing>
      </w:r>
    </w:p>
    <w:tbl>
      <w:tblPr>
        <w:tblLayout w:type="fixed"/>
        <w:tblInd w:w="32"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60" w:type="dxa"/>
            <w:vAlign w:val="bottom"/>
          </w:tcPr>
          <w:p>
            <w:pPr>
              <w:spacing w:after="0"/>
              <w:rPr>
                <w:sz w:val="20"/>
                <w:szCs w:val="20"/>
                <w:color w:val="auto"/>
              </w:rPr>
            </w:pPr>
            <w:r>
              <w:rPr>
                <w:rFonts w:ascii="Arial" w:cs="Arial" w:eastAsia="Arial" w:hAnsi="Arial"/>
                <w:sz w:val="18"/>
                <w:szCs w:val="18"/>
                <w:color w:val="auto"/>
              </w:rPr>
              <w:t>(unaudited)</w:t>
            </w: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80" w:type="dxa"/>
            <w:vAlign w:val="bottom"/>
            <w:gridSpan w:val="5"/>
          </w:tcPr>
          <w:p>
            <w:pPr>
              <w:ind w:left="360"/>
              <w:spacing w:after="0"/>
              <w:rPr>
                <w:sz w:val="20"/>
                <w:szCs w:val="20"/>
                <w:color w:val="auto"/>
              </w:rPr>
            </w:pPr>
            <w:r>
              <w:rPr>
                <w:rFonts w:ascii="Arial" w:cs="Arial" w:eastAsia="Arial" w:hAnsi="Arial"/>
                <w:sz w:val="18"/>
                <w:szCs w:val="18"/>
                <w:b w:val="1"/>
                <w:bCs w:val="1"/>
                <w:color w:val="auto"/>
              </w:rPr>
              <w:t>Three Months Ended April 30</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560" w:type="dxa"/>
            <w:vAlign w:val="bottom"/>
            <w:vMerge w:val="restart"/>
          </w:tcPr>
          <w:p>
            <w:pPr>
              <w:spacing w:after="0"/>
              <w:rPr>
                <w:sz w:val="20"/>
                <w:szCs w:val="20"/>
                <w:color w:val="auto"/>
              </w:rPr>
            </w:pPr>
            <w:r>
              <w:rPr>
                <w:rFonts w:ascii="Arial" w:cs="Arial" w:eastAsia="Arial" w:hAnsi="Arial"/>
                <w:sz w:val="18"/>
                <w:szCs w:val="18"/>
                <w:color w:val="auto"/>
              </w:rPr>
              <w:t>(in thousands, except per share amounts)</w:t>
            </w: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56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 of Sales</w:t>
            </w:r>
          </w:p>
        </w:tc>
        <w:tc>
          <w:tcPr>
            <w:tcW w:w="260" w:type="dxa"/>
            <w:vAlign w:val="bottom"/>
          </w:tcPr>
          <w:p>
            <w:pPr>
              <w:spacing w:after="0"/>
              <w:rPr>
                <w:sz w:val="19"/>
                <w:szCs w:val="19"/>
                <w:color w:val="auto"/>
              </w:rPr>
            </w:pPr>
          </w:p>
        </w:tc>
        <w:tc>
          <w:tcPr>
            <w:tcW w:w="9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4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 of Sales</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60" w:type="dxa"/>
            <w:vAlign w:val="bottom"/>
            <w:vMerge w:val="restart"/>
          </w:tcPr>
          <w:p>
            <w:pPr>
              <w:spacing w:after="0"/>
              <w:rPr>
                <w:sz w:val="20"/>
                <w:szCs w:val="20"/>
                <w:color w:val="auto"/>
              </w:rPr>
            </w:pPr>
            <w:r>
              <w:rPr>
                <w:rFonts w:ascii="Arial" w:cs="Arial" w:eastAsia="Arial" w:hAnsi="Arial"/>
                <w:sz w:val="18"/>
                <w:szCs w:val="18"/>
                <w:b w:val="1"/>
                <w:bCs w:val="1"/>
                <w:color w:val="auto"/>
              </w:rPr>
              <w:t>Net Sales</w:t>
            </w: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60" w:type="dxa"/>
            <w:vAlign w:val="bottom"/>
            <w:vMerge w:val="continue"/>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76,256</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70,885</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0"/>
        </w:trPr>
        <w:tc>
          <w:tcPr>
            <w:tcW w:w="556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(54,871)</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(54,051)</w:t>
            </w: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7"/>
        </w:trPr>
        <w:tc>
          <w:tcPr>
            <w:tcW w:w="5560" w:type="dxa"/>
            <w:vAlign w:val="bottom"/>
            <w:vMerge w:val="restart"/>
          </w:tcPr>
          <w:p>
            <w:pPr>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21,385</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28.0 %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16,834</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23.7 %</w:t>
            </w:r>
          </w:p>
        </w:tc>
        <w:tc>
          <w:tcPr>
            <w:tcW w:w="0" w:type="dxa"/>
            <w:vAlign w:val="bottom"/>
          </w:tcPr>
          <w:p>
            <w:pPr>
              <w:spacing w:after="0"/>
              <w:rPr>
                <w:sz w:val="1"/>
                <w:szCs w:val="1"/>
                <w:color w:val="auto"/>
              </w:rPr>
            </w:pPr>
          </w:p>
        </w:tc>
      </w:tr>
      <w:tr>
        <w:trPr>
          <w:trHeight w:val="270"/>
        </w:trPr>
        <w:tc>
          <w:tcPr>
            <w:tcW w:w="5560" w:type="dxa"/>
            <w:vAlign w:val="bottom"/>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(15,685)</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(14,507)</w:t>
            </w: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556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5,700</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2,327</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70"/>
        </w:trPr>
        <w:tc>
          <w:tcPr>
            <w:tcW w:w="556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5560" w:type="dxa"/>
            <w:vAlign w:val="bottom"/>
          </w:tcPr>
          <w:p>
            <w:pPr>
              <w:spacing w:after="0"/>
              <w:rPr>
                <w:sz w:val="20"/>
                <w:szCs w:val="20"/>
                <w:color w:val="auto"/>
              </w:rPr>
            </w:pPr>
            <w:r>
              <w:rPr>
                <w:rFonts w:ascii="Arial" w:cs="Arial" w:eastAsia="Arial" w:hAnsi="Arial"/>
                <w:sz w:val="18"/>
                <w:szCs w:val="18"/>
                <w:b w:val="1"/>
                <w:bCs w:val="1"/>
                <w:color w:val="auto"/>
              </w:rPr>
              <w:t>Other Income (1)</w:t>
            </w:r>
          </w:p>
        </w:tc>
        <w:tc>
          <w:tcPr>
            <w:tcW w:w="26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1560" w:type="dxa"/>
            <w:vAlign w:val="bottom"/>
            <w:gridSpan w:val="2"/>
          </w:tcPr>
          <w:p>
            <w:pPr>
              <w:ind w:left="102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4,518</w:t>
            </w: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7"/>
        </w:trPr>
        <w:tc>
          <w:tcPr>
            <w:tcW w:w="5560" w:type="dxa"/>
            <w:vAlign w:val="bottom"/>
            <w:vMerge w:val="restart"/>
          </w:tcPr>
          <w:p>
            <w:pPr>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5,597</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6,704</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70"/>
        </w:trPr>
        <w:tc>
          <w:tcPr>
            <w:tcW w:w="5560" w:type="dxa"/>
            <w:vAlign w:val="bottom"/>
          </w:tcPr>
          <w:p>
            <w:pPr>
              <w:spacing w:after="0"/>
              <w:rPr>
                <w:sz w:val="20"/>
                <w:szCs w:val="20"/>
                <w:color w:val="auto"/>
              </w:rPr>
            </w:pPr>
            <w:r>
              <w:rPr>
                <w:rFonts w:ascii="Arial" w:cs="Arial" w:eastAsia="Arial" w:hAnsi="Arial"/>
                <w:sz w:val="18"/>
                <w:szCs w:val="18"/>
                <w:b w:val="1"/>
                <w:bCs w:val="1"/>
                <w:color w:val="auto"/>
              </w:rPr>
              <w:t>Income Tax Expense</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(1,143)</w:t>
            </w: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556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4,650</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5,561</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70"/>
        </w:trPr>
        <w:tc>
          <w:tcPr>
            <w:tcW w:w="5560" w:type="dxa"/>
            <w:vAlign w:val="bottom"/>
          </w:tcPr>
          <w:p>
            <w:pPr>
              <w:spacing w:after="0"/>
              <w:rPr>
                <w:sz w:val="20"/>
                <w:szCs w:val="20"/>
                <w:color w:val="auto"/>
              </w:rPr>
            </w:pPr>
            <w:r>
              <w:rPr>
                <w:rFonts w:ascii="Arial" w:cs="Arial" w:eastAsia="Arial" w:hAnsi="Arial"/>
                <w:sz w:val="18"/>
                <w:szCs w:val="18"/>
                <w:b w:val="1"/>
                <w:bCs w:val="1"/>
                <w:color w:val="auto"/>
              </w:rPr>
              <w:t>Net Income (Loss) Attributable to Noncontrolling Interest</w:t>
            </w:r>
          </w:p>
        </w:tc>
        <w:tc>
          <w:tcPr>
            <w:tcW w:w="26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560" w:type="dxa"/>
            <w:vAlign w:val="bottom"/>
            <w:gridSpan w:val="2"/>
          </w:tcPr>
          <w:p>
            <w:pPr>
              <w:ind w:left="102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60" w:type="dxa"/>
            <w:vAlign w:val="bottom"/>
          </w:tcPr>
          <w:p>
            <w:pPr>
              <w:spacing w:after="0"/>
              <w:rPr>
                <w:sz w:val="20"/>
                <w:szCs w:val="20"/>
                <w:color w:val="auto"/>
              </w:rPr>
            </w:pPr>
            <w:r>
              <w:rPr>
                <w:rFonts w:ascii="Arial" w:cs="Arial" w:eastAsia="Arial" w:hAnsi="Arial"/>
                <w:sz w:val="18"/>
                <w:szCs w:val="18"/>
                <w:b w:val="1"/>
                <w:bCs w:val="1"/>
                <w:color w:val="auto"/>
              </w:rPr>
              <w:t>Net Income Attributable to Oil-Dri</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4,648</w:t>
            </w:r>
          </w:p>
        </w:tc>
        <w:tc>
          <w:tcPr>
            <w:tcW w:w="100" w:type="dxa"/>
            <w:vAlign w:val="bottom"/>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6.1 %</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5,619</w:t>
            </w:r>
          </w:p>
        </w:tc>
        <w:tc>
          <w:tcPr>
            <w:tcW w:w="120" w:type="dxa"/>
            <w:vAlign w:val="bottom"/>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b w:val="1"/>
                <w:bCs w:val="1"/>
                <w:color w:val="auto"/>
              </w:rPr>
              <w:t>Net Income Per Share: Basic Common</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5560" w:type="dxa"/>
            <w:vAlign w:val="bottom"/>
            <w:vMerge w:val="continue"/>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0.81</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2000"/>
              <w:spacing w:after="0"/>
              <w:rPr>
                <w:sz w:val="20"/>
                <w:szCs w:val="20"/>
                <w:color w:val="auto"/>
              </w:rPr>
            </w:pPr>
            <w:r>
              <w:rPr>
                <w:rFonts w:ascii="Arial" w:cs="Arial" w:eastAsia="Arial" w:hAnsi="Arial"/>
                <w:sz w:val="18"/>
                <w:szCs w:val="18"/>
                <w:b w:val="1"/>
                <w:bCs w:val="1"/>
                <w:color w:val="auto"/>
              </w:rPr>
              <w:t>Basic Class B Common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0.61</w:t>
            </w: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2000"/>
              <w:spacing w:after="0"/>
              <w:rPr>
                <w:sz w:val="20"/>
                <w:szCs w:val="20"/>
                <w:color w:val="auto"/>
              </w:rPr>
            </w:pPr>
            <w:r>
              <w:rPr>
                <w:rFonts w:ascii="Arial" w:cs="Arial" w:eastAsia="Arial" w:hAnsi="Arial"/>
                <w:sz w:val="18"/>
                <w:szCs w:val="18"/>
                <w:b w:val="1"/>
                <w:bCs w:val="1"/>
                <w:color w:val="auto"/>
              </w:rPr>
              <w:t>Diluted Common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tcPr>
          <w:p>
            <w:pPr>
              <w:spacing w:after="0"/>
              <w:rPr>
                <w:sz w:val="20"/>
                <w:szCs w:val="20"/>
                <w:color w:val="auto"/>
              </w:rPr>
            </w:pPr>
            <w:r>
              <w:rPr>
                <w:rFonts w:ascii="Arial" w:cs="Arial" w:eastAsia="Arial" w:hAnsi="Arial"/>
                <w:sz w:val="18"/>
                <w:szCs w:val="18"/>
                <w:b w:val="1"/>
                <w:bCs w:val="1"/>
                <w:color w:val="auto"/>
              </w:rPr>
              <w:t>Avg Shares Outstanding: Basic Common</w:t>
            </w:r>
          </w:p>
        </w:tc>
        <w:tc>
          <w:tcPr>
            <w:tcW w:w="26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5,126</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5,126</w:t>
            </w: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2000"/>
              <w:spacing w:after="0"/>
              <w:rPr>
                <w:sz w:val="20"/>
                <w:szCs w:val="20"/>
                <w:color w:val="auto"/>
              </w:rPr>
            </w:pPr>
            <w:r>
              <w:rPr>
                <w:rFonts w:ascii="Arial" w:cs="Arial" w:eastAsia="Arial" w:hAnsi="Arial"/>
                <w:sz w:val="18"/>
                <w:szCs w:val="18"/>
                <w:b w:val="1"/>
                <w:bCs w:val="1"/>
                <w:color w:val="auto"/>
              </w:rPr>
              <w:t>Basic Class B Common</w:t>
            </w:r>
          </w:p>
        </w:tc>
        <w:tc>
          <w:tcPr>
            <w:tcW w:w="26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2,036</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2,068</w:t>
            </w: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2000"/>
              <w:spacing w:after="0"/>
              <w:rPr>
                <w:sz w:val="20"/>
                <w:szCs w:val="20"/>
                <w:color w:val="auto"/>
              </w:rPr>
            </w:pPr>
            <w:r>
              <w:rPr>
                <w:rFonts w:ascii="Arial" w:cs="Arial" w:eastAsia="Arial" w:hAnsi="Arial"/>
                <w:sz w:val="18"/>
                <w:szCs w:val="18"/>
                <w:b w:val="1"/>
                <w:bCs w:val="1"/>
                <w:color w:val="auto"/>
              </w:rPr>
              <w:t>Diluted Common</w:t>
            </w:r>
          </w:p>
        </w:tc>
        <w:tc>
          <w:tcPr>
            <w:tcW w:w="26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7,288</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7,253</w:t>
            </w: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5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gridSpan w:val="5"/>
          </w:tcPr>
          <w:p>
            <w:pPr>
              <w:ind w:left="400"/>
              <w:spacing w:after="0"/>
              <w:rPr>
                <w:sz w:val="20"/>
                <w:szCs w:val="20"/>
                <w:color w:val="auto"/>
              </w:rPr>
            </w:pPr>
            <w:r>
              <w:rPr>
                <w:rFonts w:ascii="Arial" w:cs="Arial" w:eastAsia="Arial" w:hAnsi="Arial"/>
                <w:sz w:val="18"/>
                <w:szCs w:val="18"/>
                <w:b w:val="1"/>
                <w:bCs w:val="1"/>
                <w:color w:val="auto"/>
              </w:rPr>
              <w:t>Nine Months Ended April 30</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560" w:type="dxa"/>
            <w:vAlign w:val="bottom"/>
            <w:gridSpan w:val="2"/>
          </w:tcPr>
          <w:p>
            <w:pPr>
              <w:ind w:left="320"/>
              <w:spacing w:after="0"/>
              <w:rPr>
                <w:sz w:val="20"/>
                <w:szCs w:val="20"/>
                <w:color w:val="auto"/>
              </w:rPr>
            </w:pPr>
            <w:r>
              <w:rPr>
                <w:rFonts w:ascii="Arial" w:cs="Arial" w:eastAsia="Arial" w:hAnsi="Arial"/>
                <w:sz w:val="18"/>
                <w:szCs w:val="18"/>
                <w:b w:val="1"/>
                <w:bCs w:val="1"/>
                <w:color w:val="auto"/>
              </w:rPr>
              <w:t>% of Sales</w:t>
            </w: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b w:val="1"/>
                <w:bCs w:val="1"/>
                <w:color w:val="auto"/>
              </w:rPr>
              <w:t>% of Sales</w:t>
            </w:r>
          </w:p>
        </w:tc>
        <w:tc>
          <w:tcPr>
            <w:tcW w:w="0" w:type="dxa"/>
            <w:vAlign w:val="bottom"/>
          </w:tcPr>
          <w:p>
            <w:pPr>
              <w:spacing w:after="0"/>
              <w:rPr>
                <w:sz w:val="1"/>
                <w:szCs w:val="1"/>
                <w:color w:val="auto"/>
              </w:rPr>
            </w:pPr>
          </w:p>
        </w:tc>
      </w:tr>
      <w:tr>
        <w:trPr>
          <w:trHeight w:val="27"/>
        </w:trPr>
        <w:tc>
          <w:tcPr>
            <w:tcW w:w="5560" w:type="dxa"/>
            <w:vAlign w:val="bottom"/>
            <w:vMerge w:val="restart"/>
          </w:tcPr>
          <w:p>
            <w:pPr>
              <w:spacing w:after="0"/>
              <w:rPr>
                <w:sz w:val="20"/>
                <w:szCs w:val="20"/>
                <w:color w:val="auto"/>
              </w:rPr>
            </w:pPr>
            <w:r>
              <w:rPr>
                <w:rFonts w:ascii="Arial" w:cs="Arial" w:eastAsia="Arial" w:hAnsi="Arial"/>
                <w:sz w:val="18"/>
                <w:szCs w:val="18"/>
                <w:b w:val="1"/>
                <w:bCs w:val="1"/>
                <w:color w:val="auto"/>
              </w:rPr>
              <w:t>Net Sales</w:t>
            </w: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60" w:type="dxa"/>
            <w:vAlign w:val="bottom"/>
            <w:vMerge w:val="continue"/>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218,383</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206,908</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0"/>
        </w:trPr>
        <w:tc>
          <w:tcPr>
            <w:tcW w:w="556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(158,105)</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(158,660)</w:t>
            </w: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7"/>
        </w:trPr>
        <w:tc>
          <w:tcPr>
            <w:tcW w:w="5560" w:type="dxa"/>
            <w:vAlign w:val="bottom"/>
            <w:vMerge w:val="restart"/>
          </w:tcPr>
          <w:p>
            <w:pPr>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60,278</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27.6 %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48,248</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23.3 %</w:t>
            </w:r>
          </w:p>
        </w:tc>
        <w:tc>
          <w:tcPr>
            <w:tcW w:w="0" w:type="dxa"/>
            <w:vAlign w:val="bottom"/>
          </w:tcPr>
          <w:p>
            <w:pPr>
              <w:spacing w:after="0"/>
              <w:rPr>
                <w:sz w:val="1"/>
                <w:szCs w:val="1"/>
                <w:color w:val="auto"/>
              </w:rPr>
            </w:pPr>
          </w:p>
        </w:tc>
      </w:tr>
      <w:tr>
        <w:trPr>
          <w:trHeight w:val="270"/>
        </w:trPr>
        <w:tc>
          <w:tcPr>
            <w:tcW w:w="5560" w:type="dxa"/>
            <w:vAlign w:val="bottom"/>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(44,584)</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(42,091)</w:t>
            </w: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556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15,694</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6,157</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70"/>
        </w:trPr>
        <w:tc>
          <w:tcPr>
            <w:tcW w:w="556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5560" w:type="dxa"/>
            <w:vAlign w:val="bottom"/>
          </w:tcPr>
          <w:p>
            <w:pPr>
              <w:spacing w:after="0"/>
              <w:rPr>
                <w:sz w:val="20"/>
                <w:szCs w:val="20"/>
                <w:color w:val="auto"/>
              </w:rPr>
            </w:pPr>
            <w:r>
              <w:rPr>
                <w:rFonts w:ascii="Arial" w:cs="Arial" w:eastAsia="Arial" w:hAnsi="Arial"/>
                <w:sz w:val="18"/>
                <w:szCs w:val="18"/>
                <w:b w:val="1"/>
                <w:bCs w:val="1"/>
                <w:color w:val="auto"/>
              </w:rPr>
              <w:t>Other Income (1)</w:t>
            </w:r>
          </w:p>
        </w:tc>
        <w:tc>
          <w:tcPr>
            <w:tcW w:w="26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3"/>
                <w:szCs w:val="23"/>
                <w:color w:val="auto"/>
              </w:rPr>
            </w:pPr>
          </w:p>
        </w:tc>
        <w:tc>
          <w:tcPr>
            <w:tcW w:w="1560" w:type="dxa"/>
            <w:vAlign w:val="bottom"/>
            <w:gridSpan w:val="2"/>
          </w:tcPr>
          <w:p>
            <w:pPr>
              <w:ind w:left="102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4,653</w:t>
            </w: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7"/>
        </w:trPr>
        <w:tc>
          <w:tcPr>
            <w:tcW w:w="5560" w:type="dxa"/>
            <w:vAlign w:val="bottom"/>
            <w:vMerge w:val="restart"/>
          </w:tcPr>
          <w:p>
            <w:pPr>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15,432</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10,376</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70"/>
        </w:trPr>
        <w:tc>
          <w:tcPr>
            <w:tcW w:w="5560" w:type="dxa"/>
            <w:vAlign w:val="bottom"/>
          </w:tcPr>
          <w:p>
            <w:pPr>
              <w:spacing w:after="0"/>
              <w:rPr>
                <w:sz w:val="20"/>
                <w:szCs w:val="20"/>
                <w:color w:val="auto"/>
              </w:rPr>
            </w:pPr>
            <w:r>
              <w:rPr>
                <w:rFonts w:ascii="Arial" w:cs="Arial" w:eastAsia="Arial" w:hAnsi="Arial"/>
                <w:sz w:val="18"/>
                <w:szCs w:val="18"/>
                <w:b w:val="1"/>
                <w:bCs w:val="1"/>
                <w:color w:val="auto"/>
              </w:rPr>
              <w:t>Income Tax Expense</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(2,573)</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(1,599)</w:t>
            </w: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556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12,859</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8,777</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70"/>
        </w:trPr>
        <w:tc>
          <w:tcPr>
            <w:tcW w:w="5560" w:type="dxa"/>
            <w:vAlign w:val="bottom"/>
          </w:tcPr>
          <w:p>
            <w:pPr>
              <w:spacing w:after="0"/>
              <w:rPr>
                <w:sz w:val="20"/>
                <w:szCs w:val="20"/>
                <w:color w:val="auto"/>
              </w:rPr>
            </w:pPr>
            <w:r>
              <w:rPr>
                <w:rFonts w:ascii="Arial" w:cs="Arial" w:eastAsia="Arial" w:hAnsi="Arial"/>
                <w:sz w:val="18"/>
                <w:szCs w:val="18"/>
                <w:b w:val="1"/>
                <w:bCs w:val="1"/>
                <w:color w:val="auto"/>
              </w:rPr>
              <w:t>Net Loss Attributable to Noncontrolling Interest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60" w:type="dxa"/>
            <w:vAlign w:val="bottom"/>
          </w:tcPr>
          <w:p>
            <w:pPr>
              <w:spacing w:after="0"/>
              <w:rPr>
                <w:sz w:val="20"/>
                <w:szCs w:val="20"/>
                <w:color w:val="auto"/>
              </w:rPr>
            </w:pPr>
            <w:r>
              <w:rPr>
                <w:rFonts w:ascii="Arial" w:cs="Arial" w:eastAsia="Arial" w:hAnsi="Arial"/>
                <w:sz w:val="18"/>
                <w:szCs w:val="18"/>
                <w:b w:val="1"/>
                <w:bCs w:val="1"/>
                <w:color w:val="auto"/>
              </w:rPr>
              <w:t>Net Income Attributable to Oil-Dri</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13,014</w:t>
            </w:r>
          </w:p>
        </w:tc>
        <w:tc>
          <w:tcPr>
            <w:tcW w:w="100" w:type="dxa"/>
            <w:vAlign w:val="bottom"/>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6.0 %</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8,812</w:t>
            </w:r>
          </w:p>
        </w:tc>
        <w:tc>
          <w:tcPr>
            <w:tcW w:w="120" w:type="dxa"/>
            <w:vAlign w:val="bottom"/>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b w:val="1"/>
                <w:bCs w:val="1"/>
                <w:color w:val="auto"/>
              </w:rPr>
              <w:t>Net Income Per Share: Basic Common</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5560" w:type="dxa"/>
            <w:vAlign w:val="bottom"/>
            <w:vMerge w:val="continue"/>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2000"/>
              <w:spacing w:after="0"/>
              <w:rPr>
                <w:sz w:val="20"/>
                <w:szCs w:val="20"/>
                <w:color w:val="auto"/>
              </w:rPr>
            </w:pPr>
            <w:r>
              <w:rPr>
                <w:rFonts w:ascii="Arial" w:cs="Arial" w:eastAsia="Arial" w:hAnsi="Arial"/>
                <w:sz w:val="18"/>
                <w:szCs w:val="18"/>
                <w:b w:val="1"/>
                <w:bCs w:val="1"/>
                <w:color w:val="auto"/>
              </w:rPr>
              <w:t>Basic Class B Common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0.95</w:t>
            </w: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2000"/>
              <w:spacing w:after="0"/>
              <w:rPr>
                <w:sz w:val="20"/>
                <w:szCs w:val="20"/>
                <w:color w:val="auto"/>
              </w:rPr>
            </w:pPr>
            <w:r>
              <w:rPr>
                <w:rFonts w:ascii="Arial" w:cs="Arial" w:eastAsia="Arial" w:hAnsi="Arial"/>
                <w:sz w:val="18"/>
                <w:szCs w:val="18"/>
                <w:b w:val="1"/>
                <w:bCs w:val="1"/>
                <w:color w:val="auto"/>
              </w:rPr>
              <w:t>Diluted Common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tcPr>
          <w:p>
            <w:pPr>
              <w:spacing w:after="0"/>
              <w:rPr>
                <w:sz w:val="20"/>
                <w:szCs w:val="20"/>
                <w:color w:val="auto"/>
              </w:rPr>
            </w:pPr>
            <w:r>
              <w:rPr>
                <w:rFonts w:ascii="Arial" w:cs="Arial" w:eastAsia="Arial" w:hAnsi="Arial"/>
                <w:sz w:val="18"/>
                <w:szCs w:val="18"/>
                <w:b w:val="1"/>
                <w:bCs w:val="1"/>
                <w:color w:val="auto"/>
              </w:rPr>
              <w:t>Avg Shares Outstanding: Basic Common</w:t>
            </w:r>
          </w:p>
        </w:tc>
        <w:tc>
          <w:tcPr>
            <w:tcW w:w="26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5,152</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5,108</w:t>
            </w: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2000"/>
              <w:spacing w:after="0"/>
              <w:rPr>
                <w:sz w:val="20"/>
                <w:szCs w:val="20"/>
                <w:color w:val="auto"/>
              </w:rPr>
            </w:pPr>
            <w:r>
              <w:rPr>
                <w:rFonts w:ascii="Arial" w:cs="Arial" w:eastAsia="Arial" w:hAnsi="Arial"/>
                <w:sz w:val="18"/>
                <w:szCs w:val="18"/>
                <w:b w:val="1"/>
                <w:bCs w:val="1"/>
                <w:color w:val="auto"/>
              </w:rPr>
              <w:t>Basic Class B Common</w:t>
            </w:r>
          </w:p>
        </w:tc>
        <w:tc>
          <w:tcPr>
            <w:tcW w:w="26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2,068</w:t>
            </w: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2000"/>
              <w:spacing w:after="0"/>
              <w:rPr>
                <w:sz w:val="20"/>
                <w:szCs w:val="20"/>
                <w:color w:val="auto"/>
              </w:rPr>
            </w:pPr>
            <w:r>
              <w:rPr>
                <w:rFonts w:ascii="Arial" w:cs="Arial" w:eastAsia="Arial" w:hAnsi="Arial"/>
                <w:sz w:val="18"/>
                <w:szCs w:val="18"/>
                <w:b w:val="1"/>
                <w:bCs w:val="1"/>
                <w:color w:val="auto"/>
              </w:rPr>
              <w:t>Diluted Common</w:t>
            </w:r>
          </w:p>
        </w:tc>
        <w:tc>
          <w:tcPr>
            <w:tcW w:w="26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7,310</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7,245</w:t>
            </w: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sectPr>
          <w:pgSz w:w="11900" w:h="16838" w:orient="portrait"/>
          <w:cols w:equalWidth="0" w:num="1">
            <w:col w:w="11232"/>
          </w:cols>
          <w:pgMar w:left="328" w:top="1440" w:right="339" w:bottom="1440" w:gutter="0" w:footer="0" w:header="0"/>
        </w:sectPr>
      </w:pPr>
    </w:p>
    <w:p>
      <w:pPr>
        <w:ind w:left="-8" w:right="160" w:firstLine="8"/>
        <w:spacing w:after="0" w:line="279" w:lineRule="auto"/>
        <w:tabs>
          <w:tab w:leader="none" w:pos="221" w:val="left"/>
        </w:tabs>
        <w:numPr>
          <w:ilvl w:val="0"/>
          <w:numId w:val="3"/>
        </w:numPr>
        <w:rPr>
          <w:rFonts w:ascii="Arial" w:cs="Arial" w:eastAsia="Arial" w:hAnsi="Arial"/>
          <w:sz w:val="16"/>
          <w:szCs w:val="16"/>
          <w:i w:val="1"/>
          <w:iCs w:val="1"/>
          <w:color w:val="auto"/>
        </w:rPr>
      </w:pPr>
      <w:r>
        <w:rPr>
          <w:rFonts w:ascii="Arial" w:cs="Arial" w:eastAsia="Arial" w:hAnsi="Arial"/>
          <w:sz w:val="14"/>
          <w:szCs w:val="14"/>
          <w:i w:val="1"/>
          <w:iCs w:val="1"/>
          <w:color w:val="auto"/>
        </w:rPr>
        <w:t>See Note 8 of the Notes to the Unaudited Condensed Consolidated Financial Statements in our Quarterly Report on Form 10-Q for the period ending April 30, 2020 for further information about amounts included in this line item for the years presented.</w:t>
      </w:r>
    </w:p>
    <w:p>
      <w:pPr>
        <w:sectPr>
          <w:pgSz w:w="11900" w:h="16838" w:orient="portrait"/>
          <w:cols w:equalWidth="0" w:num="1">
            <w:col w:w="11232"/>
          </w:cols>
          <w:pgMar w:left="328" w:top="1440" w:right="339" w:bottom="1440" w:gutter="0" w:footer="0" w:header="0"/>
          <w:type w:val="continuous"/>
        </w:sectPr>
      </w:pPr>
    </w:p>
    <w:bookmarkStart w:id="8" w:name="page9"/>
    <w:bookmarkEnd w:id="8"/>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3037205</wp:posOffset>
            </wp:positionH>
            <wp:positionV relativeFrom="page">
              <wp:posOffset>208915</wp:posOffset>
            </wp:positionV>
            <wp:extent cx="1474470" cy="4889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9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CONSOLIDATED BALANCE SHEETS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 except per share amounts)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(unaudited)</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As of April 30</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4180" w:type="dxa"/>
            <w:vAlign w:val="bottom"/>
            <w:vMerge w:val="restart"/>
          </w:tcPr>
          <w:p>
            <w:pPr>
              <w:spacing w:after="0"/>
              <w:rPr>
                <w:sz w:val="20"/>
                <w:szCs w:val="20"/>
                <w:color w:val="auto"/>
              </w:rPr>
            </w:pPr>
            <w:r>
              <w:rPr>
                <w:rFonts w:ascii="Arial" w:cs="Arial" w:eastAsia="Arial" w:hAnsi="Arial"/>
                <w:sz w:val="18"/>
                <w:szCs w:val="18"/>
                <w:b w:val="1"/>
                <w:bCs w:val="1"/>
                <w:color w:val="auto"/>
              </w:rPr>
              <w:t>Current Assets</w:t>
            </w:r>
          </w:p>
        </w:tc>
        <w:tc>
          <w:tcPr>
            <w:tcW w:w="3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vMerge w:val="continue"/>
          </w:tcPr>
          <w:p>
            <w:pPr>
              <w:spacing w:after="0"/>
              <w:rPr>
                <w:sz w:val="20"/>
                <w:szCs w:val="20"/>
                <w:color w:val="auto"/>
              </w:rPr>
            </w:pPr>
          </w:p>
        </w:tc>
        <w:tc>
          <w:tcPr>
            <w:tcW w:w="3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340"/>
              <w:spacing w:after="0"/>
              <w:rPr>
                <w:sz w:val="20"/>
                <w:szCs w:val="20"/>
                <w:color w:val="auto"/>
              </w:rPr>
            </w:pPr>
            <w:r>
              <w:rPr>
                <w:rFonts w:ascii="Arial" w:cs="Arial" w:eastAsia="Arial" w:hAnsi="Arial"/>
                <w:sz w:val="18"/>
                <w:szCs w:val="18"/>
                <w:b w:val="1"/>
                <w:bCs w:val="1"/>
                <w:color w:val="auto"/>
              </w:rPr>
              <w:t>Cash and Cash Equivalents</w:t>
            </w:r>
          </w:p>
        </w:tc>
        <w:tc>
          <w:tcPr>
            <w:tcW w:w="3100" w:type="dxa"/>
            <w:vAlign w:val="bottom"/>
          </w:tcPr>
          <w:p>
            <w:pPr>
              <w:spacing w:after="0"/>
              <w:rPr>
                <w:sz w:val="23"/>
                <w:szCs w:val="23"/>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20,548</w:t>
            </w:r>
          </w:p>
        </w:tc>
        <w:tc>
          <w:tcPr>
            <w:tcW w:w="320" w:type="dxa"/>
            <w:vAlign w:val="bottom"/>
          </w:tcPr>
          <w:p>
            <w:pPr>
              <w:spacing w:after="0"/>
              <w:rPr>
                <w:sz w:val="23"/>
                <w:szCs w:val="23"/>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16,224</w:t>
            </w:r>
          </w:p>
        </w:tc>
        <w:tc>
          <w:tcPr>
            <w:tcW w:w="0" w:type="dxa"/>
            <w:vAlign w:val="bottom"/>
          </w:tcPr>
          <w:p>
            <w:pPr>
              <w:spacing w:after="0"/>
              <w:rPr>
                <w:sz w:val="1"/>
                <w:szCs w:val="1"/>
                <w:color w:val="auto"/>
              </w:rPr>
            </w:pPr>
          </w:p>
        </w:tc>
      </w:tr>
      <w:tr>
        <w:trPr>
          <w:trHeight w:val="270"/>
        </w:trPr>
        <w:tc>
          <w:tcPr>
            <w:tcW w:w="4180" w:type="dxa"/>
            <w:vAlign w:val="bottom"/>
          </w:tcPr>
          <w:p>
            <w:pPr>
              <w:ind w:left="340"/>
              <w:spacing w:after="0"/>
              <w:rPr>
                <w:sz w:val="20"/>
                <w:szCs w:val="20"/>
                <w:color w:val="auto"/>
              </w:rPr>
            </w:pPr>
            <w:r>
              <w:rPr>
                <w:rFonts w:ascii="Arial" w:cs="Arial" w:eastAsia="Arial" w:hAnsi="Arial"/>
                <w:sz w:val="18"/>
                <w:szCs w:val="18"/>
                <w:b w:val="1"/>
                <w:bCs w:val="1"/>
                <w:color w:val="auto"/>
              </w:rPr>
              <w:t>Short-term Investments</w:t>
            </w:r>
          </w:p>
        </w:tc>
        <w:tc>
          <w:tcPr>
            <w:tcW w:w="3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70"/>
        </w:trPr>
        <w:tc>
          <w:tcPr>
            <w:tcW w:w="4180" w:type="dxa"/>
            <w:vAlign w:val="bottom"/>
          </w:tcPr>
          <w:p>
            <w:pPr>
              <w:ind w:left="340"/>
              <w:spacing w:after="0"/>
              <w:rPr>
                <w:sz w:val="20"/>
                <w:szCs w:val="20"/>
                <w:color w:val="auto"/>
              </w:rPr>
            </w:pPr>
            <w:r>
              <w:rPr>
                <w:rFonts w:ascii="Arial" w:cs="Arial" w:eastAsia="Arial" w:hAnsi="Arial"/>
                <w:sz w:val="18"/>
                <w:szCs w:val="18"/>
                <w:b w:val="1"/>
                <w:bCs w:val="1"/>
                <w:color w:val="auto"/>
              </w:rPr>
              <w:t>Accounts Receivable, Net</w:t>
            </w:r>
          </w:p>
        </w:tc>
        <w:tc>
          <w:tcPr>
            <w:tcW w:w="3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41,846</w:t>
            </w: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35,906</w:t>
            </w:r>
          </w:p>
        </w:tc>
        <w:tc>
          <w:tcPr>
            <w:tcW w:w="0" w:type="dxa"/>
            <w:vAlign w:val="bottom"/>
          </w:tcPr>
          <w:p>
            <w:pPr>
              <w:spacing w:after="0"/>
              <w:rPr>
                <w:sz w:val="1"/>
                <w:szCs w:val="1"/>
                <w:color w:val="auto"/>
              </w:rPr>
            </w:pPr>
          </w:p>
        </w:tc>
      </w:tr>
      <w:tr>
        <w:trPr>
          <w:trHeight w:val="270"/>
        </w:trPr>
        <w:tc>
          <w:tcPr>
            <w:tcW w:w="4180" w:type="dxa"/>
            <w:vAlign w:val="bottom"/>
          </w:tcPr>
          <w:p>
            <w:pPr>
              <w:ind w:left="340"/>
              <w:spacing w:after="0"/>
              <w:rPr>
                <w:sz w:val="20"/>
                <w:szCs w:val="20"/>
                <w:color w:val="auto"/>
              </w:rPr>
            </w:pPr>
            <w:r>
              <w:rPr>
                <w:rFonts w:ascii="Arial" w:cs="Arial" w:eastAsia="Arial" w:hAnsi="Arial"/>
                <w:sz w:val="18"/>
                <w:szCs w:val="18"/>
                <w:b w:val="1"/>
                <w:bCs w:val="1"/>
                <w:color w:val="auto"/>
              </w:rPr>
              <w:t>Inventories</w:t>
            </w:r>
          </w:p>
        </w:tc>
        <w:tc>
          <w:tcPr>
            <w:tcW w:w="3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24,096</w:t>
            </w: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26,738</w:t>
            </w:r>
          </w:p>
        </w:tc>
        <w:tc>
          <w:tcPr>
            <w:tcW w:w="0" w:type="dxa"/>
            <w:vAlign w:val="bottom"/>
          </w:tcPr>
          <w:p>
            <w:pPr>
              <w:spacing w:after="0"/>
              <w:rPr>
                <w:sz w:val="1"/>
                <w:szCs w:val="1"/>
                <w:color w:val="auto"/>
              </w:rPr>
            </w:pPr>
          </w:p>
        </w:tc>
      </w:tr>
      <w:tr>
        <w:trPr>
          <w:trHeight w:val="270"/>
        </w:trPr>
        <w:tc>
          <w:tcPr>
            <w:tcW w:w="4180" w:type="dxa"/>
            <w:vAlign w:val="bottom"/>
          </w:tcPr>
          <w:p>
            <w:pPr>
              <w:ind w:left="340"/>
              <w:spacing w:after="0"/>
              <w:rPr>
                <w:sz w:val="20"/>
                <w:szCs w:val="20"/>
                <w:color w:val="auto"/>
              </w:rPr>
            </w:pPr>
            <w:r>
              <w:rPr>
                <w:rFonts w:ascii="Arial" w:cs="Arial" w:eastAsia="Arial" w:hAnsi="Arial"/>
                <w:sz w:val="18"/>
                <w:szCs w:val="18"/>
                <w:b w:val="1"/>
                <w:bCs w:val="1"/>
                <w:color w:val="auto"/>
              </w:rPr>
              <w:t>Prepaid Expenses and Other</w:t>
            </w:r>
          </w:p>
        </w:tc>
        <w:tc>
          <w:tcPr>
            <w:tcW w:w="3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7,623</w:t>
            </w: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7,210</w:t>
            </w:r>
          </w:p>
        </w:tc>
        <w:tc>
          <w:tcPr>
            <w:tcW w:w="0" w:type="dxa"/>
            <w:vAlign w:val="bottom"/>
          </w:tcPr>
          <w:p>
            <w:pPr>
              <w:spacing w:after="0"/>
              <w:rPr>
                <w:sz w:val="1"/>
                <w:szCs w:val="1"/>
                <w:color w:val="auto"/>
              </w:rPr>
            </w:pPr>
          </w:p>
        </w:tc>
      </w:tr>
      <w:tr>
        <w:trPr>
          <w:trHeight w:val="27"/>
        </w:trPr>
        <w:tc>
          <w:tcPr>
            <w:tcW w:w="418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3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vMerge w:val="continue"/>
          </w:tcPr>
          <w:p>
            <w:pPr>
              <w:spacing w:after="0"/>
              <w:rPr>
                <w:sz w:val="20"/>
                <w:szCs w:val="20"/>
                <w:color w:val="auto"/>
              </w:rPr>
            </w:pPr>
          </w:p>
        </w:tc>
        <w:tc>
          <w:tcPr>
            <w:tcW w:w="3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94,113</w:t>
            </w: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86,808</w:t>
            </w:r>
          </w:p>
        </w:tc>
        <w:tc>
          <w:tcPr>
            <w:tcW w:w="0" w:type="dxa"/>
            <w:vAlign w:val="bottom"/>
          </w:tcPr>
          <w:p>
            <w:pPr>
              <w:spacing w:after="0"/>
              <w:rPr>
                <w:sz w:val="1"/>
                <w:szCs w:val="1"/>
                <w:color w:val="auto"/>
              </w:rPr>
            </w:pPr>
          </w:p>
        </w:tc>
      </w:tr>
      <w:tr>
        <w:trPr>
          <w:trHeight w:val="27"/>
        </w:trPr>
        <w:tc>
          <w:tcPr>
            <w:tcW w:w="4180" w:type="dxa"/>
            <w:vAlign w:val="bottom"/>
            <w:vMerge w:val="restart"/>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3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vMerge w:val="continue"/>
          </w:tcPr>
          <w:p>
            <w:pPr>
              <w:spacing w:after="0"/>
              <w:rPr>
                <w:sz w:val="20"/>
                <w:szCs w:val="20"/>
                <w:color w:val="auto"/>
              </w:rPr>
            </w:pPr>
          </w:p>
        </w:tc>
        <w:tc>
          <w:tcPr>
            <w:tcW w:w="3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90,133</w:t>
            </w: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87,086</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b w:val="1"/>
                <w:bCs w:val="1"/>
                <w:color w:val="auto"/>
              </w:rPr>
              <w:t>Other Noncurrent Assets (1)</w:t>
            </w:r>
          </w:p>
        </w:tc>
        <w:tc>
          <w:tcPr>
            <w:tcW w:w="3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31,735</w:t>
            </w: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24,584</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100" w:type="dxa"/>
            <w:vAlign w:val="bottom"/>
          </w:tcPr>
          <w:p>
            <w:pPr>
              <w:spacing w:after="0"/>
              <w:rPr>
                <w:sz w:val="22"/>
                <w:szCs w:val="22"/>
                <w:color w:val="auto"/>
              </w:rPr>
            </w:pPr>
          </w:p>
        </w:tc>
        <w:tc>
          <w:tcPr>
            <w:tcW w:w="11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215,981</w:t>
            </w:r>
          </w:p>
        </w:tc>
        <w:tc>
          <w:tcPr>
            <w:tcW w:w="320" w:type="dxa"/>
            <w:vAlign w:val="bottom"/>
          </w:tcPr>
          <w:p>
            <w:pPr>
              <w:spacing w:after="0"/>
              <w:rPr>
                <w:sz w:val="22"/>
                <w:szCs w:val="22"/>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198,478</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b w:val="1"/>
                <w:bCs w:val="1"/>
                <w:color w:val="auto"/>
              </w:rPr>
              <w:t>Current Liabilities</w:t>
            </w:r>
          </w:p>
        </w:tc>
        <w:tc>
          <w:tcPr>
            <w:tcW w:w="3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180" w:type="dxa"/>
            <w:vAlign w:val="bottom"/>
            <w:vMerge w:val="continue"/>
          </w:tcPr>
          <w:p>
            <w:pPr>
              <w:spacing w:after="0"/>
              <w:rPr>
                <w:sz w:val="24"/>
                <w:szCs w:val="24"/>
                <w:color w:val="auto"/>
              </w:rPr>
            </w:pPr>
          </w:p>
        </w:tc>
        <w:tc>
          <w:tcPr>
            <w:tcW w:w="3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340"/>
              <w:spacing w:after="0"/>
              <w:rPr>
                <w:sz w:val="20"/>
                <w:szCs w:val="20"/>
                <w:color w:val="auto"/>
              </w:rPr>
            </w:pPr>
            <w:r>
              <w:rPr>
                <w:rFonts w:ascii="Arial" w:cs="Arial" w:eastAsia="Arial" w:hAnsi="Arial"/>
                <w:sz w:val="18"/>
                <w:szCs w:val="18"/>
                <w:b w:val="1"/>
                <w:bCs w:val="1"/>
                <w:color w:val="auto"/>
              </w:rPr>
              <w:t>Current Maturities of Notes Payable</w:t>
            </w:r>
          </w:p>
        </w:tc>
        <w:tc>
          <w:tcPr>
            <w:tcW w:w="3100" w:type="dxa"/>
            <w:vAlign w:val="bottom"/>
          </w:tcPr>
          <w:p>
            <w:pPr>
              <w:spacing w:after="0"/>
              <w:rPr>
                <w:sz w:val="23"/>
                <w:szCs w:val="23"/>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3,074</w:t>
            </w:r>
          </w:p>
        </w:tc>
        <w:tc>
          <w:tcPr>
            <w:tcW w:w="320" w:type="dxa"/>
            <w:vAlign w:val="bottom"/>
          </w:tcPr>
          <w:p>
            <w:pPr>
              <w:spacing w:after="0"/>
              <w:rPr>
                <w:sz w:val="23"/>
                <w:szCs w:val="23"/>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70"/>
        </w:trPr>
        <w:tc>
          <w:tcPr>
            <w:tcW w:w="4180" w:type="dxa"/>
            <w:vAlign w:val="bottom"/>
          </w:tcPr>
          <w:p>
            <w:pPr>
              <w:ind w:left="340"/>
              <w:spacing w:after="0"/>
              <w:rPr>
                <w:sz w:val="20"/>
                <w:szCs w:val="20"/>
                <w:color w:val="auto"/>
              </w:rPr>
            </w:pPr>
            <w:r>
              <w:rPr>
                <w:rFonts w:ascii="Arial" w:cs="Arial" w:eastAsia="Arial" w:hAnsi="Arial"/>
                <w:sz w:val="18"/>
                <w:szCs w:val="18"/>
                <w:b w:val="1"/>
                <w:bCs w:val="1"/>
                <w:color w:val="auto"/>
              </w:rPr>
              <w:t>Accounts Payable</w:t>
            </w:r>
          </w:p>
        </w:tc>
        <w:tc>
          <w:tcPr>
            <w:tcW w:w="3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10,524</w:t>
            </w: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8,608</w:t>
            </w:r>
          </w:p>
        </w:tc>
        <w:tc>
          <w:tcPr>
            <w:tcW w:w="0" w:type="dxa"/>
            <w:vAlign w:val="bottom"/>
          </w:tcPr>
          <w:p>
            <w:pPr>
              <w:spacing w:after="0"/>
              <w:rPr>
                <w:sz w:val="1"/>
                <w:szCs w:val="1"/>
                <w:color w:val="auto"/>
              </w:rPr>
            </w:pPr>
          </w:p>
        </w:tc>
      </w:tr>
      <w:tr>
        <w:trPr>
          <w:trHeight w:val="270"/>
        </w:trPr>
        <w:tc>
          <w:tcPr>
            <w:tcW w:w="4180" w:type="dxa"/>
            <w:vAlign w:val="bottom"/>
          </w:tcPr>
          <w:p>
            <w:pPr>
              <w:ind w:left="340"/>
              <w:spacing w:after="0"/>
              <w:rPr>
                <w:sz w:val="20"/>
                <w:szCs w:val="20"/>
                <w:color w:val="auto"/>
              </w:rPr>
            </w:pPr>
            <w:r>
              <w:rPr>
                <w:rFonts w:ascii="Arial" w:cs="Arial" w:eastAsia="Arial" w:hAnsi="Arial"/>
                <w:sz w:val="18"/>
                <w:szCs w:val="18"/>
                <w:b w:val="1"/>
                <w:bCs w:val="1"/>
                <w:color w:val="auto"/>
              </w:rPr>
              <w:t>Dividends Payable</w:t>
            </w:r>
          </w:p>
        </w:tc>
        <w:tc>
          <w:tcPr>
            <w:tcW w:w="3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1,735</w:t>
            </w: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70"/>
        </w:trPr>
        <w:tc>
          <w:tcPr>
            <w:tcW w:w="4180" w:type="dxa"/>
            <w:vAlign w:val="bottom"/>
          </w:tcPr>
          <w:p>
            <w:pPr>
              <w:ind w:left="340"/>
              <w:spacing w:after="0"/>
              <w:rPr>
                <w:sz w:val="20"/>
                <w:szCs w:val="20"/>
                <w:color w:val="auto"/>
              </w:rPr>
            </w:pPr>
            <w:r>
              <w:rPr>
                <w:rFonts w:ascii="Arial" w:cs="Arial" w:eastAsia="Arial" w:hAnsi="Arial"/>
                <w:sz w:val="18"/>
                <w:szCs w:val="18"/>
                <w:b w:val="1"/>
                <w:bCs w:val="1"/>
                <w:color w:val="auto"/>
              </w:rPr>
              <w:t>Other Current Liabilities</w:t>
            </w:r>
          </w:p>
        </w:tc>
        <w:tc>
          <w:tcPr>
            <w:tcW w:w="3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25,614</w:t>
            </w: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18,121</w:t>
            </w:r>
          </w:p>
        </w:tc>
        <w:tc>
          <w:tcPr>
            <w:tcW w:w="0" w:type="dxa"/>
            <w:vAlign w:val="bottom"/>
          </w:tcPr>
          <w:p>
            <w:pPr>
              <w:spacing w:after="0"/>
              <w:rPr>
                <w:sz w:val="1"/>
                <w:szCs w:val="1"/>
                <w:color w:val="auto"/>
              </w:rPr>
            </w:pPr>
          </w:p>
        </w:tc>
      </w:tr>
      <w:tr>
        <w:trPr>
          <w:trHeight w:val="27"/>
        </w:trPr>
        <w:tc>
          <w:tcPr>
            <w:tcW w:w="418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3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vMerge w:val="continue"/>
          </w:tcPr>
          <w:p>
            <w:pPr>
              <w:spacing w:after="0"/>
              <w:rPr>
                <w:sz w:val="20"/>
                <w:szCs w:val="20"/>
                <w:color w:val="auto"/>
              </w:rPr>
            </w:pPr>
          </w:p>
        </w:tc>
        <w:tc>
          <w:tcPr>
            <w:tcW w:w="3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40,947</w:t>
            </w: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31,501</w:t>
            </w:r>
          </w:p>
        </w:tc>
        <w:tc>
          <w:tcPr>
            <w:tcW w:w="0" w:type="dxa"/>
            <w:vAlign w:val="bottom"/>
          </w:tcPr>
          <w:p>
            <w:pPr>
              <w:spacing w:after="0"/>
              <w:rPr>
                <w:sz w:val="1"/>
                <w:szCs w:val="1"/>
                <w:color w:val="auto"/>
              </w:rPr>
            </w:pPr>
          </w:p>
        </w:tc>
      </w:tr>
      <w:tr>
        <w:trPr>
          <w:trHeight w:val="27"/>
        </w:trPr>
        <w:tc>
          <w:tcPr>
            <w:tcW w:w="4180" w:type="dxa"/>
            <w:vAlign w:val="bottom"/>
            <w:vMerge w:val="restart"/>
          </w:tcPr>
          <w:p>
            <w:pPr>
              <w:spacing w:after="0"/>
              <w:rPr>
                <w:sz w:val="20"/>
                <w:szCs w:val="20"/>
                <w:color w:val="auto"/>
              </w:rPr>
            </w:pPr>
            <w:r>
              <w:rPr>
                <w:rFonts w:ascii="Arial" w:cs="Arial" w:eastAsia="Arial" w:hAnsi="Arial"/>
                <w:sz w:val="18"/>
                <w:szCs w:val="18"/>
                <w:b w:val="1"/>
                <w:bCs w:val="1"/>
                <w:color w:val="auto"/>
              </w:rPr>
              <w:t>Noncurrent Liabilities</w:t>
            </w:r>
          </w:p>
        </w:tc>
        <w:tc>
          <w:tcPr>
            <w:tcW w:w="3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vMerge w:val="continue"/>
          </w:tcPr>
          <w:p>
            <w:pPr>
              <w:spacing w:after="0"/>
              <w:rPr>
                <w:sz w:val="20"/>
                <w:szCs w:val="20"/>
                <w:color w:val="auto"/>
              </w:rPr>
            </w:pPr>
          </w:p>
        </w:tc>
        <w:tc>
          <w:tcPr>
            <w:tcW w:w="3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340"/>
              <w:spacing w:after="0"/>
              <w:rPr>
                <w:sz w:val="20"/>
                <w:szCs w:val="20"/>
                <w:color w:val="auto"/>
              </w:rPr>
            </w:pPr>
            <w:r>
              <w:rPr>
                <w:rFonts w:ascii="Arial" w:cs="Arial" w:eastAsia="Arial" w:hAnsi="Arial"/>
                <w:sz w:val="18"/>
                <w:szCs w:val="18"/>
                <w:b w:val="1"/>
                <w:bCs w:val="1"/>
                <w:color w:val="auto"/>
              </w:rPr>
              <w:t>Notes Payable</w:t>
            </w:r>
          </w:p>
        </w:tc>
        <w:tc>
          <w:tcPr>
            <w:tcW w:w="3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270"/>
        </w:trPr>
        <w:tc>
          <w:tcPr>
            <w:tcW w:w="4180" w:type="dxa"/>
            <w:vAlign w:val="bottom"/>
          </w:tcPr>
          <w:p>
            <w:pPr>
              <w:ind w:left="340"/>
              <w:spacing w:after="0"/>
              <w:rPr>
                <w:sz w:val="20"/>
                <w:szCs w:val="20"/>
                <w:color w:val="auto"/>
              </w:rPr>
            </w:pPr>
            <w:r>
              <w:rPr>
                <w:rFonts w:ascii="Arial" w:cs="Arial" w:eastAsia="Arial" w:hAnsi="Arial"/>
                <w:sz w:val="18"/>
                <w:szCs w:val="18"/>
                <w:b w:val="1"/>
                <w:bCs w:val="1"/>
                <w:color w:val="auto"/>
              </w:rPr>
              <w:t>Other Noncurrent Liabilities (1)</w:t>
            </w:r>
          </w:p>
        </w:tc>
        <w:tc>
          <w:tcPr>
            <w:tcW w:w="3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28,379</w:t>
            </w: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26,417</w:t>
            </w:r>
          </w:p>
        </w:tc>
        <w:tc>
          <w:tcPr>
            <w:tcW w:w="0" w:type="dxa"/>
            <w:vAlign w:val="bottom"/>
          </w:tcPr>
          <w:p>
            <w:pPr>
              <w:spacing w:after="0"/>
              <w:rPr>
                <w:sz w:val="1"/>
                <w:szCs w:val="1"/>
                <w:color w:val="auto"/>
              </w:rPr>
            </w:pPr>
          </w:p>
        </w:tc>
      </w:tr>
      <w:tr>
        <w:trPr>
          <w:trHeight w:val="27"/>
        </w:trPr>
        <w:tc>
          <w:tcPr>
            <w:tcW w:w="418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Total Noncurrent Liabilities</w:t>
            </w:r>
          </w:p>
        </w:tc>
        <w:tc>
          <w:tcPr>
            <w:tcW w:w="3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vMerge w:val="continue"/>
          </w:tcPr>
          <w:p>
            <w:pPr>
              <w:spacing w:after="0"/>
              <w:rPr>
                <w:sz w:val="20"/>
                <w:szCs w:val="20"/>
                <w:color w:val="auto"/>
              </w:rPr>
            </w:pPr>
          </w:p>
        </w:tc>
        <w:tc>
          <w:tcPr>
            <w:tcW w:w="3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28,379</w:t>
            </w: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29,462</w:t>
            </w:r>
          </w:p>
        </w:tc>
        <w:tc>
          <w:tcPr>
            <w:tcW w:w="0" w:type="dxa"/>
            <w:vAlign w:val="bottom"/>
          </w:tcPr>
          <w:p>
            <w:pPr>
              <w:spacing w:after="0"/>
              <w:rPr>
                <w:sz w:val="1"/>
                <w:szCs w:val="1"/>
                <w:color w:val="auto"/>
              </w:rPr>
            </w:pPr>
          </w:p>
        </w:tc>
      </w:tr>
      <w:tr>
        <w:trPr>
          <w:trHeight w:val="27"/>
        </w:trPr>
        <w:tc>
          <w:tcPr>
            <w:tcW w:w="4180" w:type="dxa"/>
            <w:vAlign w:val="bottom"/>
            <w:vMerge w:val="restart"/>
          </w:tcPr>
          <w:p>
            <w:pPr>
              <w:spacing w:after="0"/>
              <w:rPr>
                <w:sz w:val="20"/>
                <w:szCs w:val="20"/>
                <w:color w:val="auto"/>
              </w:rPr>
            </w:pPr>
            <w:r>
              <w:rPr>
                <w:rFonts w:ascii="Arial" w:cs="Arial" w:eastAsia="Arial" w:hAnsi="Arial"/>
                <w:sz w:val="18"/>
                <w:szCs w:val="18"/>
                <w:b w:val="1"/>
                <w:bCs w:val="1"/>
                <w:color w:val="auto"/>
              </w:rPr>
              <w:t>Stockholders' Equity</w:t>
            </w:r>
          </w:p>
        </w:tc>
        <w:tc>
          <w:tcPr>
            <w:tcW w:w="3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vMerge w:val="continue"/>
          </w:tcPr>
          <w:p>
            <w:pPr>
              <w:spacing w:after="0"/>
              <w:rPr>
                <w:sz w:val="20"/>
                <w:szCs w:val="20"/>
                <w:color w:val="auto"/>
              </w:rPr>
            </w:pPr>
          </w:p>
        </w:tc>
        <w:tc>
          <w:tcPr>
            <w:tcW w:w="3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146,655</w:t>
            </w: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137,515</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100" w:type="dxa"/>
            <w:vAlign w:val="bottom"/>
          </w:tcPr>
          <w:p>
            <w:pPr>
              <w:spacing w:after="0"/>
              <w:rPr>
                <w:sz w:val="22"/>
                <w:szCs w:val="22"/>
                <w:color w:val="auto"/>
              </w:rPr>
            </w:pPr>
          </w:p>
        </w:tc>
        <w:tc>
          <w:tcPr>
            <w:tcW w:w="11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215,981</w:t>
            </w:r>
          </w:p>
        </w:tc>
        <w:tc>
          <w:tcPr>
            <w:tcW w:w="320" w:type="dxa"/>
            <w:vAlign w:val="bottom"/>
          </w:tcPr>
          <w:p>
            <w:pPr>
              <w:spacing w:after="0"/>
              <w:rPr>
                <w:sz w:val="22"/>
                <w:szCs w:val="22"/>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198,478</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b w:val="1"/>
                <w:bCs w:val="1"/>
                <w:color w:val="auto"/>
              </w:rPr>
              <w:t>Book Value Per Share Outstanding</w:t>
            </w:r>
          </w:p>
        </w:tc>
        <w:tc>
          <w:tcPr>
            <w:tcW w:w="3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180" w:type="dxa"/>
            <w:vAlign w:val="bottom"/>
            <w:vMerge w:val="continue"/>
          </w:tcPr>
          <w:p>
            <w:pPr>
              <w:spacing w:after="0"/>
              <w:rPr>
                <w:sz w:val="24"/>
                <w:szCs w:val="24"/>
                <w:color w:val="auto"/>
              </w:rPr>
            </w:pPr>
          </w:p>
        </w:tc>
        <w:tc>
          <w:tcPr>
            <w:tcW w:w="3100" w:type="dxa"/>
            <w:vAlign w:val="bottom"/>
          </w:tcPr>
          <w:p>
            <w:pPr>
              <w:spacing w:after="0"/>
              <w:rPr>
                <w:sz w:val="24"/>
                <w:szCs w:val="24"/>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20.39</w:t>
            </w:r>
          </w:p>
        </w:tc>
        <w:tc>
          <w:tcPr>
            <w:tcW w:w="320" w:type="dxa"/>
            <w:vAlign w:val="bottom"/>
          </w:tcPr>
          <w:p>
            <w:pPr>
              <w:spacing w:after="0"/>
              <w:rPr>
                <w:sz w:val="24"/>
                <w:szCs w:val="24"/>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567"/>
        </w:trPr>
        <w:tc>
          <w:tcPr>
            <w:tcW w:w="4180" w:type="dxa"/>
            <w:vAlign w:val="bottom"/>
          </w:tcPr>
          <w:p>
            <w:pPr>
              <w:spacing w:after="0"/>
              <w:rPr>
                <w:sz w:val="20"/>
                <w:szCs w:val="20"/>
                <w:color w:val="auto"/>
              </w:rPr>
            </w:pPr>
            <w:r>
              <w:rPr>
                <w:rFonts w:ascii="Arial" w:cs="Arial" w:eastAsia="Arial" w:hAnsi="Arial"/>
                <w:sz w:val="18"/>
                <w:szCs w:val="18"/>
                <w:b w:val="1"/>
                <w:bCs w:val="1"/>
                <w:color w:val="auto"/>
              </w:rPr>
              <w:t>Acquisitions of:</w:t>
            </w:r>
          </w:p>
        </w:tc>
        <w:tc>
          <w:tcPr>
            <w:tcW w:w="3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b w:val="1"/>
                <w:bCs w:val="1"/>
                <w:color w:val="auto"/>
              </w:rPr>
              <w:t>Property, Plant and Equipment</w:t>
            </w:r>
          </w:p>
        </w:tc>
        <w:tc>
          <w:tcPr>
            <w:tcW w:w="3100" w:type="dxa"/>
            <w:vAlign w:val="bottom"/>
          </w:tcPr>
          <w:p>
            <w:pPr>
              <w:ind w:left="980"/>
              <w:spacing w:after="0"/>
              <w:rPr>
                <w:sz w:val="20"/>
                <w:szCs w:val="20"/>
                <w:color w:val="auto"/>
              </w:rPr>
            </w:pPr>
            <w:r>
              <w:rPr>
                <w:rFonts w:ascii="Arial" w:cs="Arial" w:eastAsia="Arial" w:hAnsi="Arial"/>
                <w:sz w:val="18"/>
                <w:szCs w:val="18"/>
                <w:b w:val="1"/>
                <w:bCs w:val="1"/>
                <w:color w:val="auto"/>
              </w:rPr>
              <w:t>Third Quarter</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3,584</w:t>
            </w:r>
          </w:p>
        </w:tc>
        <w:tc>
          <w:tcPr>
            <w:tcW w:w="320" w:type="dxa"/>
            <w:vAlign w:val="bottom"/>
          </w:tcPr>
          <w:p>
            <w:pPr>
              <w:spacing w:after="0"/>
              <w:rPr>
                <w:sz w:val="23"/>
                <w:szCs w:val="23"/>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3,963</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3"/>
                <w:szCs w:val="23"/>
                <w:color w:val="auto"/>
              </w:rPr>
            </w:pPr>
          </w:p>
        </w:tc>
        <w:tc>
          <w:tcPr>
            <w:tcW w:w="3100" w:type="dxa"/>
            <w:vAlign w:val="bottom"/>
          </w:tcPr>
          <w:p>
            <w:pPr>
              <w:ind w:left="980"/>
              <w:spacing w:after="0"/>
              <w:rPr>
                <w:sz w:val="20"/>
                <w:szCs w:val="20"/>
                <w:color w:val="auto"/>
              </w:rPr>
            </w:pPr>
            <w:r>
              <w:rPr>
                <w:rFonts w:ascii="Arial" w:cs="Arial" w:eastAsia="Arial" w:hAnsi="Arial"/>
                <w:sz w:val="18"/>
                <w:szCs w:val="18"/>
                <w:b w:val="1"/>
                <w:bCs w:val="1"/>
                <w:color w:val="auto"/>
              </w:rPr>
              <w:t>Year To Date</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10,870</w:t>
            </w:r>
          </w:p>
        </w:tc>
        <w:tc>
          <w:tcPr>
            <w:tcW w:w="320" w:type="dxa"/>
            <w:vAlign w:val="bottom"/>
          </w:tcPr>
          <w:p>
            <w:pPr>
              <w:spacing w:after="0"/>
              <w:rPr>
                <w:sz w:val="23"/>
                <w:szCs w:val="23"/>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10,162</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b w:val="1"/>
                <w:bCs w:val="1"/>
                <w:color w:val="auto"/>
              </w:rPr>
              <w:t>Depreciation and Amortization Charges</w:t>
            </w:r>
          </w:p>
        </w:tc>
        <w:tc>
          <w:tcPr>
            <w:tcW w:w="3100" w:type="dxa"/>
            <w:vAlign w:val="bottom"/>
          </w:tcPr>
          <w:p>
            <w:pPr>
              <w:ind w:left="980"/>
              <w:spacing w:after="0"/>
              <w:rPr>
                <w:sz w:val="20"/>
                <w:szCs w:val="20"/>
                <w:color w:val="auto"/>
              </w:rPr>
            </w:pPr>
            <w:r>
              <w:rPr>
                <w:rFonts w:ascii="Arial" w:cs="Arial" w:eastAsia="Arial" w:hAnsi="Arial"/>
                <w:sz w:val="18"/>
                <w:szCs w:val="18"/>
                <w:b w:val="1"/>
                <w:bCs w:val="1"/>
                <w:color w:val="auto"/>
              </w:rPr>
              <w:t>Third Quarter</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3,470</w:t>
            </w:r>
          </w:p>
        </w:tc>
        <w:tc>
          <w:tcPr>
            <w:tcW w:w="320" w:type="dxa"/>
            <w:vAlign w:val="bottom"/>
          </w:tcPr>
          <w:p>
            <w:pPr>
              <w:spacing w:after="0"/>
              <w:rPr>
                <w:sz w:val="23"/>
                <w:szCs w:val="23"/>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3,310</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3"/>
                <w:szCs w:val="23"/>
                <w:color w:val="auto"/>
              </w:rPr>
            </w:pPr>
          </w:p>
        </w:tc>
        <w:tc>
          <w:tcPr>
            <w:tcW w:w="3100" w:type="dxa"/>
            <w:vAlign w:val="bottom"/>
          </w:tcPr>
          <w:p>
            <w:pPr>
              <w:ind w:left="980"/>
              <w:spacing w:after="0"/>
              <w:rPr>
                <w:sz w:val="20"/>
                <w:szCs w:val="20"/>
                <w:color w:val="auto"/>
              </w:rPr>
            </w:pPr>
            <w:r>
              <w:rPr>
                <w:rFonts w:ascii="Arial" w:cs="Arial" w:eastAsia="Arial" w:hAnsi="Arial"/>
                <w:sz w:val="18"/>
                <w:szCs w:val="18"/>
                <w:b w:val="1"/>
                <w:bCs w:val="1"/>
                <w:color w:val="auto"/>
              </w:rPr>
              <w:t>Year To Date</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10,399</w:t>
            </w:r>
          </w:p>
        </w:tc>
        <w:tc>
          <w:tcPr>
            <w:tcW w:w="320" w:type="dxa"/>
            <w:vAlign w:val="bottom"/>
          </w:tcPr>
          <w:p>
            <w:pPr>
              <w:spacing w:after="0"/>
              <w:rPr>
                <w:sz w:val="23"/>
                <w:szCs w:val="23"/>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9,849</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 Amounts as of April 30, 2020 include right-of-use operating lease assets and related liabilities required by adoption of Accounting Standards Codification 842, Leases.</w:t>
      </w:r>
    </w:p>
    <w:p>
      <w:pPr>
        <w:sectPr>
          <w:pgSz w:w="11900" w:h="16838" w:orient="portrait"/>
          <w:cols w:equalWidth="0" w:num="1">
            <w:col w:w="11240"/>
          </w:cols>
          <w:pgMar w:left="320" w:top="1440" w:right="339" w:bottom="1440" w:gutter="0" w:footer="0" w:header="0"/>
        </w:sectPr>
      </w:pPr>
    </w:p>
    <w:bookmarkStart w:id="9" w:name="page10"/>
    <w:bookmarkEnd w:id="9"/>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3037205</wp:posOffset>
            </wp:positionH>
            <wp:positionV relativeFrom="page">
              <wp:posOffset>208915</wp:posOffset>
            </wp:positionV>
            <wp:extent cx="1474470" cy="4889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9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0"/>
                <w:szCs w:val="20"/>
                <w:color w:val="auto"/>
              </w:rPr>
            </w:pPr>
            <w:r>
              <w:rPr>
                <w:rFonts w:ascii="Arial" w:cs="Arial" w:eastAsia="Arial" w:hAnsi="Arial"/>
                <w:sz w:val="18"/>
                <w:szCs w:val="18"/>
                <w:color w:val="auto"/>
              </w:rPr>
              <w:t>(in thousands)</w:t>
            </w:r>
          </w:p>
        </w:tc>
        <w:tc>
          <w:tcPr>
            <w:tcW w:w="1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0"/>
                <w:szCs w:val="20"/>
                <w:color w:val="auto"/>
              </w:rPr>
            </w:pPr>
            <w:r>
              <w:rPr>
                <w:rFonts w:ascii="Arial" w:cs="Arial" w:eastAsia="Arial" w:hAnsi="Arial"/>
                <w:sz w:val="18"/>
                <w:szCs w:val="18"/>
                <w:color w:val="auto"/>
              </w:rPr>
              <w:t>(unaudited)</w:t>
            </w:r>
          </w:p>
        </w:tc>
        <w:tc>
          <w:tcPr>
            <w:tcW w:w="1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3"/>
                <w:szCs w:val="23"/>
                <w:color w:val="auto"/>
              </w:rPr>
            </w:pPr>
          </w:p>
        </w:tc>
        <w:tc>
          <w:tcPr>
            <w:tcW w:w="322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For the Nine Months Ended</w:t>
            </w: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120" w:type="dxa"/>
            <w:vAlign w:val="bottom"/>
            <w:gridSpan w:val="3"/>
          </w:tcPr>
          <w:p>
            <w:pPr>
              <w:jc w:val="right"/>
              <w:ind w:right="850"/>
              <w:spacing w:after="0"/>
              <w:rPr>
                <w:sz w:val="20"/>
                <w:szCs w:val="20"/>
                <w:color w:val="auto"/>
              </w:rPr>
            </w:pPr>
            <w:r>
              <w:rPr>
                <w:rFonts w:ascii="Arial" w:cs="Arial" w:eastAsia="Arial" w:hAnsi="Arial"/>
                <w:sz w:val="18"/>
                <w:szCs w:val="18"/>
                <w:b w:val="1"/>
                <w:bCs w:val="1"/>
                <w:color w:val="auto"/>
              </w:rPr>
              <w:t>April 30</w:t>
            </w: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8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80" w:type="dxa"/>
            <w:vAlign w:val="bottom"/>
            <w:vMerge w:val="continue"/>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12,859</w:t>
            </w:r>
          </w:p>
        </w:tc>
        <w:tc>
          <w:tcPr>
            <w:tcW w:w="320" w:type="dxa"/>
            <w:vAlign w:val="bottom"/>
          </w:tcPr>
          <w:p>
            <w:pPr>
              <w:spacing w:after="0"/>
              <w:rPr>
                <w:sz w:val="23"/>
                <w:szCs w:val="23"/>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8,777</w:t>
            </w: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0"/>
                <w:szCs w:val="20"/>
                <w:color w:val="auto"/>
              </w:rPr>
            </w:pPr>
            <w:r>
              <w:rPr>
                <w:rFonts w:ascii="Arial" w:cs="Arial" w:eastAsia="Arial" w:hAnsi="Arial"/>
                <w:sz w:val="18"/>
                <w:szCs w:val="18"/>
                <w:b w:val="1"/>
                <w:bCs w:val="1"/>
                <w:color w:val="auto"/>
              </w:rPr>
              <w:t>Adjustments to reconcile net income to net cash</w:t>
            </w:r>
          </w:p>
        </w:tc>
        <w:tc>
          <w:tcPr>
            <w:tcW w:w="1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0"/>
                <w:szCs w:val="20"/>
                <w:color w:val="auto"/>
              </w:rPr>
            </w:pPr>
            <w:r>
              <w:rPr>
                <w:rFonts w:ascii="Arial" w:cs="Arial" w:eastAsia="Arial" w:hAnsi="Arial"/>
                <w:sz w:val="18"/>
                <w:szCs w:val="18"/>
                <w:b w:val="1"/>
                <w:bCs w:val="1"/>
                <w:color w:val="auto"/>
              </w:rPr>
              <w:t>provided by operating activities:</w:t>
            </w:r>
          </w:p>
        </w:tc>
        <w:tc>
          <w:tcPr>
            <w:tcW w:w="1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ind w:left="240"/>
              <w:spacing w:after="0"/>
              <w:rPr>
                <w:sz w:val="20"/>
                <w:szCs w:val="20"/>
                <w:color w:val="auto"/>
              </w:rPr>
            </w:pPr>
            <w:r>
              <w:rPr>
                <w:rFonts w:ascii="Arial" w:cs="Arial" w:eastAsia="Arial" w:hAnsi="Arial"/>
                <w:sz w:val="18"/>
                <w:szCs w:val="18"/>
                <w:b w:val="1"/>
                <w:bCs w:val="1"/>
                <w:color w:val="auto"/>
              </w:rPr>
              <w:t>Depreciation and Amortization</w:t>
            </w: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10,399</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9,849</w:t>
            </w:r>
          </w:p>
        </w:tc>
        <w:tc>
          <w:tcPr>
            <w:tcW w:w="0" w:type="dxa"/>
            <w:vAlign w:val="bottom"/>
          </w:tcPr>
          <w:p>
            <w:pPr>
              <w:spacing w:after="0"/>
              <w:rPr>
                <w:sz w:val="1"/>
                <w:szCs w:val="1"/>
                <w:color w:val="auto"/>
              </w:rPr>
            </w:pPr>
          </w:p>
        </w:tc>
      </w:tr>
      <w:tr>
        <w:trPr>
          <w:trHeight w:val="270"/>
        </w:trPr>
        <w:tc>
          <w:tcPr>
            <w:tcW w:w="7280" w:type="dxa"/>
            <w:vAlign w:val="bottom"/>
          </w:tcPr>
          <w:p>
            <w:pPr>
              <w:ind w:left="240"/>
              <w:spacing w:after="0"/>
              <w:rPr>
                <w:sz w:val="20"/>
                <w:szCs w:val="20"/>
                <w:color w:val="auto"/>
              </w:rPr>
            </w:pPr>
            <w:r>
              <w:rPr>
                <w:rFonts w:ascii="Arial" w:cs="Arial" w:eastAsia="Arial" w:hAnsi="Arial"/>
                <w:sz w:val="18"/>
                <w:szCs w:val="18"/>
                <w:b w:val="1"/>
                <w:bCs w:val="1"/>
                <w:color w:val="auto"/>
              </w:rPr>
              <w:t>Increase in Accounts Receivable</w:t>
            </w:r>
          </w:p>
        </w:tc>
        <w:tc>
          <w:tcPr>
            <w:tcW w:w="1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(7,296)</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70"/>
        </w:trPr>
        <w:tc>
          <w:tcPr>
            <w:tcW w:w="7280" w:type="dxa"/>
            <w:vAlign w:val="bottom"/>
          </w:tcPr>
          <w:p>
            <w:pPr>
              <w:ind w:left="240"/>
              <w:spacing w:after="0"/>
              <w:rPr>
                <w:sz w:val="20"/>
                <w:szCs w:val="20"/>
                <w:color w:val="auto"/>
              </w:rPr>
            </w:pPr>
            <w:r>
              <w:rPr>
                <w:rFonts w:ascii="Arial" w:cs="Arial" w:eastAsia="Arial" w:hAnsi="Arial"/>
                <w:sz w:val="18"/>
                <w:szCs w:val="18"/>
                <w:b w:val="1"/>
                <w:bCs w:val="1"/>
                <w:color w:val="auto"/>
              </w:rPr>
              <w:t>Increase in Inventories</w:t>
            </w:r>
          </w:p>
        </w:tc>
        <w:tc>
          <w:tcPr>
            <w:tcW w:w="1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(4,248)</w:t>
            </w:r>
          </w:p>
        </w:tc>
        <w:tc>
          <w:tcPr>
            <w:tcW w:w="0" w:type="dxa"/>
            <w:vAlign w:val="bottom"/>
          </w:tcPr>
          <w:p>
            <w:pPr>
              <w:spacing w:after="0"/>
              <w:rPr>
                <w:sz w:val="1"/>
                <w:szCs w:val="1"/>
                <w:color w:val="auto"/>
              </w:rPr>
            </w:pPr>
          </w:p>
        </w:tc>
      </w:tr>
      <w:tr>
        <w:trPr>
          <w:trHeight w:val="270"/>
        </w:trPr>
        <w:tc>
          <w:tcPr>
            <w:tcW w:w="7280" w:type="dxa"/>
            <w:vAlign w:val="bottom"/>
          </w:tcPr>
          <w:p>
            <w:pPr>
              <w:ind w:left="240"/>
              <w:spacing w:after="0"/>
              <w:rPr>
                <w:sz w:val="20"/>
                <w:szCs w:val="20"/>
                <w:color w:val="auto"/>
              </w:rPr>
            </w:pPr>
            <w:r>
              <w:rPr>
                <w:rFonts w:ascii="Arial" w:cs="Arial" w:eastAsia="Arial" w:hAnsi="Arial"/>
                <w:sz w:val="18"/>
                <w:szCs w:val="18"/>
                <w:b w:val="1"/>
                <w:bCs w:val="1"/>
                <w:color w:val="auto"/>
              </w:rPr>
              <w:t>Increase in Accounts Payable</w:t>
            </w: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3,859</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2,873</w:t>
            </w:r>
          </w:p>
        </w:tc>
        <w:tc>
          <w:tcPr>
            <w:tcW w:w="0" w:type="dxa"/>
            <w:vAlign w:val="bottom"/>
          </w:tcPr>
          <w:p>
            <w:pPr>
              <w:spacing w:after="0"/>
              <w:rPr>
                <w:sz w:val="1"/>
                <w:szCs w:val="1"/>
                <w:color w:val="auto"/>
              </w:rPr>
            </w:pPr>
          </w:p>
        </w:tc>
      </w:tr>
      <w:tr>
        <w:trPr>
          <w:trHeight w:val="270"/>
        </w:trPr>
        <w:tc>
          <w:tcPr>
            <w:tcW w:w="7280" w:type="dxa"/>
            <w:vAlign w:val="bottom"/>
          </w:tcPr>
          <w:p>
            <w:pPr>
              <w:ind w:left="240"/>
              <w:spacing w:after="0"/>
              <w:rPr>
                <w:sz w:val="20"/>
                <w:szCs w:val="20"/>
                <w:color w:val="auto"/>
              </w:rPr>
            </w:pPr>
            <w:r>
              <w:rPr>
                <w:rFonts w:ascii="Arial" w:cs="Arial" w:eastAsia="Arial" w:hAnsi="Arial"/>
                <w:sz w:val="18"/>
                <w:szCs w:val="18"/>
                <w:b w:val="1"/>
                <w:bCs w:val="1"/>
                <w:color w:val="auto"/>
              </w:rPr>
              <w:t>Increase (Decrease) in Accrued Expenses</w:t>
            </w: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4,612</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70"/>
        </w:trPr>
        <w:tc>
          <w:tcPr>
            <w:tcW w:w="7280" w:type="dxa"/>
            <w:vAlign w:val="bottom"/>
          </w:tcPr>
          <w:p>
            <w:pPr>
              <w:ind w:left="240"/>
              <w:spacing w:after="0"/>
              <w:rPr>
                <w:sz w:val="20"/>
                <w:szCs w:val="20"/>
                <w:color w:val="auto"/>
              </w:rPr>
            </w:pPr>
            <w:r>
              <w:rPr>
                <w:rFonts w:ascii="Arial" w:cs="Arial" w:eastAsia="Arial" w:hAnsi="Arial"/>
                <w:sz w:val="18"/>
                <w:szCs w:val="18"/>
                <w:b w:val="1"/>
                <w:bCs w:val="1"/>
                <w:color w:val="auto"/>
              </w:rPr>
              <w:t>(Decrease) Increase in Pension and Postretirement Benefits</w:t>
            </w:r>
          </w:p>
        </w:tc>
        <w:tc>
          <w:tcPr>
            <w:tcW w:w="1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(5,482)</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70"/>
        </w:trPr>
        <w:tc>
          <w:tcPr>
            <w:tcW w:w="7280" w:type="dxa"/>
            <w:vAlign w:val="bottom"/>
          </w:tcPr>
          <w:p>
            <w:pPr>
              <w:ind w:left="240"/>
              <w:spacing w:after="0"/>
              <w:rPr>
                <w:sz w:val="20"/>
                <w:szCs w:val="20"/>
                <w:color w:val="auto"/>
              </w:rPr>
            </w:pPr>
            <w:r>
              <w:rPr>
                <w:rFonts w:ascii="Arial" w:cs="Arial" w:eastAsia="Arial" w:hAnsi="Arial"/>
                <w:sz w:val="18"/>
                <w:szCs w:val="18"/>
                <w:b w:val="1"/>
                <w:bCs w:val="1"/>
                <w:color w:val="auto"/>
              </w:rPr>
              <w:t>Other</w:t>
            </w: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3,390</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7"/>
        </w:trPr>
        <w:tc>
          <w:tcPr>
            <w:tcW w:w="728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Total Adjustments</w:t>
            </w: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80" w:type="dxa"/>
            <w:vAlign w:val="bottom"/>
            <w:vMerge w:val="continue"/>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9,410</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6,587</w:t>
            </w:r>
          </w:p>
        </w:tc>
        <w:tc>
          <w:tcPr>
            <w:tcW w:w="0" w:type="dxa"/>
            <w:vAlign w:val="bottom"/>
          </w:tcPr>
          <w:p>
            <w:pPr>
              <w:spacing w:after="0"/>
              <w:rPr>
                <w:sz w:val="1"/>
                <w:szCs w:val="1"/>
                <w:color w:val="auto"/>
              </w:rPr>
            </w:pPr>
          </w:p>
        </w:tc>
      </w:tr>
      <w:tr>
        <w:trPr>
          <w:trHeight w:val="27"/>
        </w:trPr>
        <w:tc>
          <w:tcPr>
            <w:tcW w:w="7280" w:type="dxa"/>
            <w:vAlign w:val="bottom"/>
            <w:vMerge w:val="restart"/>
          </w:tcPr>
          <w:p>
            <w:pPr>
              <w:spacing w:after="0"/>
              <w:rPr>
                <w:sz w:val="20"/>
                <w:szCs w:val="20"/>
                <w:color w:val="auto"/>
              </w:rPr>
            </w:pPr>
            <w:r>
              <w:rPr>
                <w:rFonts w:ascii="Arial" w:cs="Arial" w:eastAsia="Arial" w:hAnsi="Arial"/>
                <w:sz w:val="20"/>
                <w:szCs w:val="20"/>
                <w:b w:val="1"/>
                <w:bCs w:val="1"/>
                <w:color w:val="auto"/>
              </w:rPr>
              <w:t>Net Cash Provided by Operating Activities</w:t>
            </w: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7280" w:type="dxa"/>
            <w:vAlign w:val="bottom"/>
            <w:vMerge w:val="continue"/>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22,269</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15,364</w:t>
            </w:r>
          </w:p>
        </w:tc>
        <w:tc>
          <w:tcPr>
            <w:tcW w:w="0" w:type="dxa"/>
            <w:vAlign w:val="bottom"/>
          </w:tcPr>
          <w:p>
            <w:pPr>
              <w:spacing w:after="0"/>
              <w:rPr>
                <w:sz w:val="1"/>
                <w:szCs w:val="1"/>
                <w:color w:val="auto"/>
              </w:rPr>
            </w:pPr>
          </w:p>
        </w:tc>
      </w:tr>
      <w:tr>
        <w:trPr>
          <w:trHeight w:val="23"/>
        </w:trPr>
        <w:tc>
          <w:tcPr>
            <w:tcW w:w="728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72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80" w:type="dxa"/>
            <w:vAlign w:val="bottom"/>
          </w:tcPr>
          <w:p>
            <w:pPr>
              <w:ind w:left="240"/>
              <w:spacing w:after="0"/>
              <w:rPr>
                <w:sz w:val="20"/>
                <w:szCs w:val="20"/>
                <w:color w:val="auto"/>
              </w:rPr>
            </w:pPr>
            <w:r>
              <w:rPr>
                <w:rFonts w:ascii="Arial" w:cs="Arial" w:eastAsia="Arial" w:hAnsi="Arial"/>
                <w:sz w:val="18"/>
                <w:szCs w:val="18"/>
                <w:b w:val="1"/>
                <w:bCs w:val="1"/>
                <w:color w:val="auto"/>
              </w:rPr>
              <w:t>Capital Expenditures</w:t>
            </w:r>
          </w:p>
        </w:tc>
        <w:tc>
          <w:tcPr>
            <w:tcW w:w="1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(10,870)</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(10,162)</w:t>
            </w:r>
          </w:p>
        </w:tc>
        <w:tc>
          <w:tcPr>
            <w:tcW w:w="0" w:type="dxa"/>
            <w:vAlign w:val="bottom"/>
          </w:tcPr>
          <w:p>
            <w:pPr>
              <w:spacing w:after="0"/>
              <w:rPr>
                <w:sz w:val="1"/>
                <w:szCs w:val="1"/>
                <w:color w:val="auto"/>
              </w:rPr>
            </w:pPr>
          </w:p>
        </w:tc>
      </w:tr>
      <w:tr>
        <w:trPr>
          <w:trHeight w:val="270"/>
        </w:trPr>
        <w:tc>
          <w:tcPr>
            <w:tcW w:w="7280" w:type="dxa"/>
            <w:vAlign w:val="bottom"/>
          </w:tcPr>
          <w:p>
            <w:pPr>
              <w:ind w:left="240"/>
              <w:spacing w:after="0"/>
              <w:rPr>
                <w:sz w:val="20"/>
                <w:szCs w:val="20"/>
                <w:color w:val="auto"/>
              </w:rPr>
            </w:pPr>
            <w:r>
              <w:rPr>
                <w:rFonts w:ascii="Arial" w:cs="Arial" w:eastAsia="Arial" w:hAnsi="Arial"/>
                <w:sz w:val="18"/>
                <w:szCs w:val="18"/>
                <w:b w:val="1"/>
                <w:bCs w:val="1"/>
                <w:color w:val="auto"/>
              </w:rPr>
              <w:t>Net Dispositions of Investment Securities</w:t>
            </w:r>
          </w:p>
        </w:tc>
        <w:tc>
          <w:tcPr>
            <w:tcW w:w="1100" w:type="dxa"/>
            <w:vAlign w:val="bottom"/>
          </w:tcPr>
          <w:p>
            <w:pPr>
              <w:spacing w:after="0"/>
              <w:rPr>
                <w:sz w:val="23"/>
                <w:szCs w:val="23"/>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6,404</w:t>
            </w:r>
          </w:p>
        </w:tc>
        <w:tc>
          <w:tcPr>
            <w:tcW w:w="0" w:type="dxa"/>
            <w:vAlign w:val="bottom"/>
          </w:tcPr>
          <w:p>
            <w:pPr>
              <w:spacing w:after="0"/>
              <w:rPr>
                <w:sz w:val="1"/>
                <w:szCs w:val="1"/>
                <w:color w:val="auto"/>
              </w:rPr>
            </w:pPr>
          </w:p>
        </w:tc>
      </w:tr>
      <w:tr>
        <w:trPr>
          <w:trHeight w:val="270"/>
        </w:trPr>
        <w:tc>
          <w:tcPr>
            <w:tcW w:w="7280" w:type="dxa"/>
            <w:vAlign w:val="bottom"/>
          </w:tcPr>
          <w:p>
            <w:pPr>
              <w:ind w:left="240"/>
              <w:spacing w:after="0"/>
              <w:rPr>
                <w:sz w:val="20"/>
                <w:szCs w:val="20"/>
                <w:color w:val="auto"/>
              </w:rPr>
            </w:pPr>
            <w:r>
              <w:rPr>
                <w:rFonts w:ascii="Arial" w:cs="Arial" w:eastAsia="Arial" w:hAnsi="Arial"/>
                <w:sz w:val="18"/>
                <w:szCs w:val="18"/>
                <w:b w:val="1"/>
                <w:bCs w:val="1"/>
                <w:color w:val="auto"/>
              </w:rPr>
              <w:t>Other</w:t>
            </w: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80" w:type="dxa"/>
            <w:vAlign w:val="bottom"/>
            <w:vMerge w:val="restart"/>
          </w:tcPr>
          <w:p>
            <w:pPr>
              <w:spacing w:after="0"/>
              <w:rPr>
                <w:sz w:val="20"/>
                <w:szCs w:val="20"/>
                <w:color w:val="auto"/>
              </w:rPr>
            </w:pPr>
            <w:r>
              <w:rPr>
                <w:rFonts w:ascii="Arial" w:cs="Arial" w:eastAsia="Arial" w:hAnsi="Arial"/>
                <w:sz w:val="20"/>
                <w:szCs w:val="20"/>
                <w:b w:val="1"/>
                <w:bCs w:val="1"/>
                <w:color w:val="auto"/>
              </w:rPr>
              <w:t>Net Cash Used in Investing Activities</w:t>
            </w: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7280" w:type="dxa"/>
            <w:vAlign w:val="bottom"/>
            <w:vMerge w:val="continue"/>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(10,758)</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(3,758)</w:t>
            </w:r>
          </w:p>
        </w:tc>
        <w:tc>
          <w:tcPr>
            <w:tcW w:w="0" w:type="dxa"/>
            <w:vAlign w:val="bottom"/>
          </w:tcPr>
          <w:p>
            <w:pPr>
              <w:spacing w:after="0"/>
              <w:rPr>
                <w:sz w:val="1"/>
                <w:szCs w:val="1"/>
                <w:color w:val="auto"/>
              </w:rPr>
            </w:pPr>
          </w:p>
        </w:tc>
      </w:tr>
      <w:tr>
        <w:trPr>
          <w:trHeight w:val="23"/>
        </w:trPr>
        <w:tc>
          <w:tcPr>
            <w:tcW w:w="728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3"/>
        </w:trPr>
        <w:tc>
          <w:tcPr>
            <w:tcW w:w="72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80" w:type="dxa"/>
            <w:vAlign w:val="bottom"/>
          </w:tcPr>
          <w:p>
            <w:pPr>
              <w:ind w:left="240"/>
              <w:spacing w:after="0"/>
              <w:rPr>
                <w:sz w:val="20"/>
                <w:szCs w:val="20"/>
                <w:color w:val="auto"/>
              </w:rPr>
            </w:pPr>
            <w:r>
              <w:rPr>
                <w:rFonts w:ascii="Arial" w:cs="Arial" w:eastAsia="Arial" w:hAnsi="Arial"/>
                <w:sz w:val="18"/>
                <w:szCs w:val="18"/>
                <w:b w:val="1"/>
                <w:bCs w:val="1"/>
                <w:color w:val="auto"/>
              </w:rPr>
              <w:t>Principal Payments on Notes Payable</w:t>
            </w:r>
          </w:p>
        </w:tc>
        <w:tc>
          <w:tcPr>
            <w:tcW w:w="1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(3,082)</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70"/>
        </w:trPr>
        <w:tc>
          <w:tcPr>
            <w:tcW w:w="7280" w:type="dxa"/>
            <w:vAlign w:val="bottom"/>
          </w:tcPr>
          <w:p>
            <w:pPr>
              <w:ind w:left="240"/>
              <w:spacing w:after="0"/>
              <w:rPr>
                <w:sz w:val="20"/>
                <w:szCs w:val="20"/>
                <w:color w:val="auto"/>
              </w:rPr>
            </w:pPr>
            <w:r>
              <w:rPr>
                <w:rFonts w:ascii="Arial" w:cs="Arial" w:eastAsia="Arial" w:hAnsi="Arial"/>
                <w:sz w:val="18"/>
                <w:szCs w:val="18"/>
                <w:b w:val="1"/>
                <w:bCs w:val="1"/>
                <w:color w:val="auto"/>
              </w:rPr>
              <w:t>Dividends Paid</w:t>
            </w:r>
          </w:p>
        </w:tc>
        <w:tc>
          <w:tcPr>
            <w:tcW w:w="1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(5,292)</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(4,967)</w:t>
            </w:r>
          </w:p>
        </w:tc>
        <w:tc>
          <w:tcPr>
            <w:tcW w:w="0" w:type="dxa"/>
            <w:vAlign w:val="bottom"/>
          </w:tcPr>
          <w:p>
            <w:pPr>
              <w:spacing w:after="0"/>
              <w:rPr>
                <w:sz w:val="1"/>
                <w:szCs w:val="1"/>
                <w:color w:val="auto"/>
              </w:rPr>
            </w:pPr>
          </w:p>
        </w:tc>
      </w:tr>
      <w:tr>
        <w:trPr>
          <w:trHeight w:val="270"/>
        </w:trPr>
        <w:tc>
          <w:tcPr>
            <w:tcW w:w="7280" w:type="dxa"/>
            <w:vAlign w:val="bottom"/>
          </w:tcPr>
          <w:p>
            <w:pPr>
              <w:ind w:left="240"/>
              <w:spacing w:after="0"/>
              <w:rPr>
                <w:sz w:val="20"/>
                <w:szCs w:val="20"/>
                <w:color w:val="auto"/>
              </w:rPr>
            </w:pPr>
            <w:r>
              <w:rPr>
                <w:rFonts w:ascii="Arial" w:cs="Arial" w:eastAsia="Arial" w:hAnsi="Arial"/>
                <w:sz w:val="18"/>
                <w:szCs w:val="18"/>
                <w:b w:val="1"/>
                <w:bCs w:val="1"/>
                <w:color w:val="auto"/>
              </w:rPr>
              <w:t>Purchase of Treasury Stock</w:t>
            </w:r>
          </w:p>
        </w:tc>
        <w:tc>
          <w:tcPr>
            <w:tcW w:w="1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(4,620)</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0"/>
        </w:trPr>
        <w:tc>
          <w:tcPr>
            <w:tcW w:w="7280" w:type="dxa"/>
            <w:vAlign w:val="bottom"/>
          </w:tcPr>
          <w:p>
            <w:pPr>
              <w:ind w:left="240"/>
              <w:spacing w:after="0"/>
              <w:rPr>
                <w:sz w:val="20"/>
                <w:szCs w:val="20"/>
                <w:color w:val="auto"/>
              </w:rPr>
            </w:pPr>
            <w:r>
              <w:rPr>
                <w:rFonts w:ascii="Arial" w:cs="Arial" w:eastAsia="Arial" w:hAnsi="Arial"/>
                <w:sz w:val="18"/>
                <w:szCs w:val="18"/>
                <w:b w:val="1"/>
                <w:bCs w:val="1"/>
                <w:color w:val="auto"/>
              </w:rPr>
              <w:t>Other</w:t>
            </w: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80" w:type="dxa"/>
            <w:vAlign w:val="bottom"/>
            <w:vMerge w:val="restart"/>
          </w:tcPr>
          <w:p>
            <w:pPr>
              <w:spacing w:after="0"/>
              <w:rPr>
                <w:sz w:val="20"/>
                <w:szCs w:val="20"/>
                <w:color w:val="auto"/>
              </w:rPr>
            </w:pPr>
            <w:r>
              <w:rPr>
                <w:rFonts w:ascii="Arial" w:cs="Arial" w:eastAsia="Arial" w:hAnsi="Arial"/>
                <w:sz w:val="20"/>
                <w:szCs w:val="20"/>
                <w:b w:val="1"/>
                <w:bCs w:val="1"/>
                <w:color w:val="auto"/>
              </w:rPr>
              <w:t>Net Cash Used in Financing Activities</w:t>
            </w: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7280" w:type="dxa"/>
            <w:vAlign w:val="bottom"/>
            <w:vMerge w:val="continue"/>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(12,852)</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(8,191)</w:t>
            </w:r>
          </w:p>
        </w:tc>
        <w:tc>
          <w:tcPr>
            <w:tcW w:w="0" w:type="dxa"/>
            <w:vAlign w:val="bottom"/>
          </w:tcPr>
          <w:p>
            <w:pPr>
              <w:spacing w:after="0"/>
              <w:rPr>
                <w:sz w:val="1"/>
                <w:szCs w:val="1"/>
                <w:color w:val="auto"/>
              </w:rPr>
            </w:pPr>
          </w:p>
        </w:tc>
      </w:tr>
      <w:tr>
        <w:trPr>
          <w:trHeight w:val="23"/>
        </w:trPr>
        <w:tc>
          <w:tcPr>
            <w:tcW w:w="7280" w:type="dxa"/>
            <w:vAlign w:val="bottom"/>
            <w:vMerge w:val="restart"/>
          </w:tcPr>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72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24"/>
        </w:trPr>
        <w:tc>
          <w:tcPr>
            <w:tcW w:w="7280" w:type="dxa"/>
            <w:vAlign w:val="bottom"/>
            <w:vMerge w:val="restart"/>
          </w:tcPr>
          <w:p>
            <w:pPr>
              <w:spacing w:after="0"/>
              <w:rPr>
                <w:sz w:val="20"/>
                <w:szCs w:val="20"/>
                <w:color w:val="auto"/>
              </w:rPr>
            </w:pPr>
            <w:r>
              <w:rPr>
                <w:rFonts w:ascii="Arial" w:cs="Arial" w:eastAsia="Arial" w:hAnsi="Arial"/>
                <w:sz w:val="20"/>
                <w:szCs w:val="20"/>
                <w:b w:val="1"/>
                <w:bCs w:val="1"/>
                <w:color w:val="auto"/>
              </w:rPr>
              <w:t>Net (Decrease) Increase in Cash and Cash Equivalents</w:t>
            </w:r>
          </w:p>
        </w:tc>
        <w:tc>
          <w:tcPr>
            <w:tcW w:w="1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280" w:type="dxa"/>
            <w:vAlign w:val="bottom"/>
            <w:vMerge w:val="continue"/>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(1,314)</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3,467</w:t>
            </w:r>
          </w:p>
        </w:tc>
        <w:tc>
          <w:tcPr>
            <w:tcW w:w="0" w:type="dxa"/>
            <w:vAlign w:val="bottom"/>
          </w:tcPr>
          <w:p>
            <w:pPr>
              <w:spacing w:after="0"/>
              <w:rPr>
                <w:sz w:val="1"/>
                <w:szCs w:val="1"/>
                <w:color w:val="auto"/>
              </w:rPr>
            </w:pPr>
          </w:p>
        </w:tc>
      </w:tr>
      <w:tr>
        <w:trPr>
          <w:trHeight w:val="266"/>
        </w:trPr>
        <w:tc>
          <w:tcPr>
            <w:tcW w:w="728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21,862</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12,757</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8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1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20,548</w:t>
            </w:r>
          </w:p>
        </w:tc>
        <w:tc>
          <w:tcPr>
            <w:tcW w:w="320" w:type="dxa"/>
            <w:vAlign w:val="bottom"/>
          </w:tcPr>
          <w:p>
            <w:pPr>
              <w:spacing w:after="0"/>
              <w:rPr>
                <w:sz w:val="22"/>
                <w:szCs w:val="22"/>
                <w:color w:val="auto"/>
              </w:rPr>
            </w:pPr>
          </w:p>
        </w:tc>
        <w:tc>
          <w:tcPr>
            <w:tcW w:w="11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16,224</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00"/>
      </w:cols>
      <w:pgMar w:left="36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2020-06-08T15:21:42Z</dcterms:created>
  <dcterms:modified xsi:type="dcterms:W3CDTF">2020-06-08T15:21:42Z</dcterms:modified>
</cp:coreProperties>
</file>