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pPr>
      <w:r>
        <w:rPr>
          <w:rFonts w:ascii="Times New Roman;sans-serif" w:hAnsi="Times New Roman;sans-serif"/>
          <w:b/>
          <w:color w:val="000000"/>
          <w:sz w:val="20"/>
        </w:rPr>
        <w:t>Pursuant to Section 13 or 15(d) of the Securities Exchange Act of 1934</w:t>
      </w:r>
      <w:r>
        <w:rPr>
          <w:color w:val="000000"/>
        </w:rPr>
        <w:t> </w:t>
      </w:r>
    </w:p>
    <w:tbl>
      <w:tblPr>
        <w:tblW w:w="5354" w:type="dxa"/>
        <w:jc w:val="left"/>
        <w:tblInd w:w="0" w:type="dxa"/>
        <w:tblLayout w:type="fixed"/>
        <w:tblCellMar>
          <w:top w:w="28" w:type="dxa"/>
          <w:left w:w="28" w:type="dxa"/>
          <w:bottom w:w="28" w:type="dxa"/>
          <w:right w:w="28" w:type="dxa"/>
        </w:tblCellMar>
      </w:tblPr>
      <w:tblGrid>
        <w:gridCol w:w="1411"/>
        <w:gridCol w:w="1239"/>
        <w:gridCol w:w="1249"/>
        <w:gridCol w:w="426"/>
        <w:gridCol w:w="426"/>
        <w:gridCol w:w="603"/>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4, 2023</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u w:val="single"/>
        </w:rPr>
        <w:t>Delaware</w:t>
      </w:r>
      <w:r>
        <w:rPr>
          <w:color w:val="000000"/>
        </w:rPr>
        <w:t xml:space="preserve"> </w:t>
      </w:r>
      <w:r>
        <w:rPr>
          <w:rFonts w:ascii="Times New Roman;sans-serif" w:hAnsi="Times New Roman;sans-serif"/>
          <w:b/>
          <w:color w:val="000000"/>
          <w:sz w:val="24"/>
        </w:rPr>
        <w:t xml:space="preserve">001-12622 </w:t>
      </w:r>
      <w:r>
        <w:rPr>
          <w:rFonts w:ascii="Times New Roman;sans-serif" w:hAnsi="Times New Roman;sans-serif"/>
          <w:b/>
          <w:color w:val="000000"/>
          <w:sz w:val="20"/>
          <w:u w:val="single"/>
        </w:rPr>
        <w:t>36-2048898</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79"/>
        <w:gridCol w:w="1476"/>
        <w:gridCol w:w="1480"/>
        <w:gridCol w:w="109"/>
        <w:gridCol w:w="109"/>
        <w:gridCol w:w="109"/>
        <w:gridCol w:w="688"/>
        <w:gridCol w:w="688"/>
        <w:gridCol w:w="690"/>
        <w:gridCol w:w="109"/>
        <w:gridCol w:w="109"/>
        <w:gridCol w:w="109"/>
        <w:gridCol w:w="833"/>
        <w:gridCol w:w="833"/>
        <w:gridCol w:w="1184"/>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u w:val="single"/>
        </w:rPr>
        <w:t>Chicago, Illinois</w:t>
      </w:r>
      <w:r>
        <w:rPr>
          <w:color w:val="000000"/>
        </w:rPr>
        <w:t xml:space="preserve"> </w:t>
      </w:r>
      <w:r>
        <w:rPr>
          <w:rFonts w:ascii="Times New Roman;sans-serif" w:hAnsi="Times New Roman;sans-serif"/>
          <w:b w:val="false"/>
          <w:color w:val="000000"/>
          <w:sz w:val="20"/>
        </w:rPr>
        <w:t>(Zip Code)</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(312) 321-1515 </w:t>
      </w:r>
    </w:p>
    <w:p>
      <w:pPr>
        <w:pStyle w:val="TextBody"/>
        <w:bidi w:val="0"/>
        <w:spacing w:before="0" w:after="0"/>
        <w:jc w:val="center"/>
        <w:rPr/>
      </w:pPr>
      <w:r>
        <w:rPr/>
      </w:r>
    </w:p>
    <w:p>
      <w:pPr>
        <w:pStyle w:val="TextBody"/>
        <w:bidi w:val="0"/>
        <w:spacing w:before="0" w:after="0"/>
        <w:jc w:val="left"/>
        <w:rPr/>
      </w:pPr>
      <w:r>
        <w:rPr/>
      </w:r>
    </w:p>
    <w:tbl>
      <w:tblPr>
        <w:tblW w:w="5115" w:type="dxa"/>
        <w:jc w:val="left"/>
        <w:tblInd w:w="0" w:type="dxa"/>
        <w:tblLayout w:type="fixed"/>
        <w:tblCellMar>
          <w:top w:w="28" w:type="dxa"/>
          <w:left w:w="28" w:type="dxa"/>
          <w:bottom w:w="28" w:type="dxa"/>
          <w:right w:w="28" w:type="dxa"/>
        </w:tblCellMar>
      </w:tblPr>
      <w:tblGrid>
        <w:gridCol w:w="1635"/>
        <w:gridCol w:w="1441"/>
        <w:gridCol w:w="2039"/>
      </w:tblGrid>
      <w:tr>
        <w:trPr/>
        <w:tc>
          <w:tcPr>
            <w:tcW w:w="163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547"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its regular meeting on October 4, 2023, the Board declared quarterly cash dividends of $0.29 per share of the Company’s Common Stock and $0.218 per share of the Company’s Class B Stock. The dividends will be payable on November 24, 2023, to stockholders of record at the close of business on November 10, 2023. A copy of the Company’s press release announcing these matters is attached as Exhibit 99.1 and the information contained therein is incorporated herein by reference.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pStyle w:val="TextBody"/>
        <w:bidi w:val="0"/>
        <w:spacing w:before="0" w:after="0"/>
        <w:jc w:val="both"/>
        <w:rPr/>
      </w:pPr>
      <w:r>
        <w:rPr/>
      </w:r>
    </w:p>
    <w:tbl>
      <w:tblPr>
        <w:tblW w:w="4318"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416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900"/>
        <w:gridCol w:w="900"/>
        <w:gridCol w:w="127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br/>
              <w:t> </w:t>
              <w:br/>
              <w:t>Description of Exhibits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q4xf23xdividends.htm">
              <w:r>
                <w:rPr>
                  <w:rStyle w:val="InternetLink"/>
                  <w:rFonts w:ascii="Times New Roman;sans-serif" w:hAnsi="Times New Roman;sans-serif"/>
                  <w:b w:val="false"/>
                  <w:color w:val="0000FF"/>
                  <w:sz w:val="20"/>
                  <w:u w:val="single"/>
                </w:rPr>
                <w:t>Press Release dated October 4, 2023</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286" w:type="dxa"/>
        <w:jc w:val="left"/>
        <w:tblInd w:w="0" w:type="dxa"/>
        <w:tblLayout w:type="fixed"/>
        <w:tblCellMar>
          <w:top w:w="28" w:type="dxa"/>
          <w:left w:w="28" w:type="dxa"/>
          <w:bottom w:w="28" w:type="dxa"/>
          <w:right w:w="28" w:type="dxa"/>
        </w:tblCellMar>
      </w:tblPr>
      <w:tblGrid>
        <w:gridCol w:w="124"/>
        <w:gridCol w:w="109"/>
        <w:gridCol w:w="109"/>
        <w:gridCol w:w="574"/>
        <w:gridCol w:w="574"/>
        <w:gridCol w:w="574"/>
        <w:gridCol w:w="1947"/>
        <w:gridCol w:w="1947"/>
        <w:gridCol w:w="19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Strategic Partnerships and General Counsel &amp; Secretary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2D69"/>
          <w:sz w:val="17"/>
        </w:rPr>
      </w:pPr>
      <w:r>
        <w:rPr>
          <w:rFonts w:ascii="Times New Roman;sans-serif" w:hAnsi="Times New Roman;sans-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2D69"/>
          <w:sz w:val="24"/>
        </w:rPr>
      </w:pPr>
      <w:r>
        <w:rPr>
          <w:rFonts w:ascii="Times New Roman;sans-serif" w:hAnsi="Times New Roman;sans-serif"/>
          <w:b/>
          <w:color w:val="002D69"/>
          <w:sz w:val="24"/>
        </w:rPr>
        <w:t>News Announcement</w:t>
      </w:r>
    </w:p>
    <w:p>
      <w:pPr>
        <w:pStyle w:val="TextBody"/>
        <w:bidi w:val="0"/>
        <w:spacing w:lineRule="auto" w:line="288" w:before="0" w:after="0"/>
        <w:jc w:val="center"/>
        <w:rPr>
          <w:rFonts w:ascii="Times New Roman;sans-serif" w:hAnsi="Times New Roman;sans-serif"/>
          <w:b w:val="false"/>
          <w:i/>
          <w:color w:val="002D69"/>
          <w:sz w:val="24"/>
        </w:rPr>
      </w:pPr>
      <w:r>
        <w:rPr>
          <w:rFonts w:ascii="Times New Roman;sans-serif" w:hAnsi="Times New Roman;sans-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99.1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Oil-Dri Board of Directors Declares Quarterly Dividends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CHICAGO—(October 4, 2023)— The Board of Directors of Oil-Dri Corporation of America (NYSE: ODC) today declared quarterly cash dividends of $0.29 per share of the Company’s Common Stock and $0.218 per share of the Company’s Class B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dividends declared will be payable on November 24, 2023 to stockholders of record at the close of business on November 10, 2023. The Company has paid cash dividends continuously since 1974 and has increased dividends annually for twenty consecutive years.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Oil-Dri Corporation of America is a leading manufacturer and supplier of specialty sorbent products for the pet care, animal health and nutrition, fluids purification, agricultural ingredients, sports field, industrial and automotive markets.</w:t>
      </w:r>
      <w:r>
        <w:rPr>
          <w:color w:val="000000"/>
        </w:rPr>
        <w:t xml:space="preserve"> </w:t>
      </w:r>
      <w:r>
        <w:rPr>
          <w:rFonts w:ascii="Times New Roman;sans-serif" w:hAnsi="Times New Roman;sans-serif"/>
          <w:b w:val="false"/>
          <w:i/>
          <w:color w:val="000000"/>
          <w:sz w:val="20"/>
        </w:rPr>
        <w:t>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r>
        <w:rPr>
          <w:color w:val="000000"/>
        </w:rPr>
        <w:t xml:space="preserve"> </w:t>
      </w:r>
      <w:r>
        <w:rPr>
          <w:rFonts w:ascii="Times New Roman;sans-serif" w:hAnsi="Times New Roman;sans-serif"/>
          <w:b w:val="false"/>
          <w:i/>
          <w:color w:val="000000"/>
          <w:sz w:val="20"/>
        </w:rPr>
        <w:t xml:space="preserve">To learn more about the Company, visit </w:t>
      </w:r>
      <w:r>
        <w:rPr>
          <w:rFonts w:ascii="Times New Roman;sans-serif" w:hAnsi="Times New Roman;sans-serif"/>
          <w:b w:val="false"/>
          <w:i/>
          <w:color w:val="0000FF"/>
          <w:sz w:val="20"/>
        </w:rPr>
        <w:t>oildri.com</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Category: Dividends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Leslie A. Garber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of Investor Relations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InvestorRelations@oildri.com</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93190"/>
                <wp:effectExtent l="0" t="0" r="0" b="0"/>
                <wp:wrapNone/>
                <wp:docPr id="5" name="Frame4"/>
                <a:graphic xmlns:a="http://schemas.openxmlformats.org/drawingml/2006/main">
                  <a:graphicData uri="http://schemas.microsoft.com/office/word/2010/wordprocessingShape">
                    <wps:wsp>
                      <wps:cNvSpPr txBox="1"/>
                      <wps:spPr>
                        <a:xfrm>
                          <a:off x="0" y="0"/>
                          <a:ext cx="6480175" cy="139319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2D69"/>
                                <w:sz w:val="16"/>
                              </w:rPr>
                            </w:pPr>
                            <w:r>
                              <w:rPr>
                                <w:rFonts w:ascii="Times New Roman;sans-serif" w:hAnsi="Times New Roman;sans-serif"/>
                                <w:b/>
                                <w:color w:val="002D69"/>
                                <w:sz w:val="16"/>
                              </w:rPr>
                              <w:t>Leslie A. Garber</w:t>
                            </w:r>
                          </w:p>
                          <w:p>
                            <w:pPr>
                              <w:pStyle w:val="TextBody"/>
                              <w:bidi w:val="0"/>
                              <w:spacing w:lineRule="auto" w:line="288" w:before="0" w:after="0"/>
                              <w:jc w:val="center"/>
                              <w:rPr>
                                <w:rFonts w:ascii="Times New Roman;sans-serif" w:hAnsi="Times New Roman;sans-serif"/>
                                <w:b w:val="false"/>
                                <w:i/>
                                <w:color w:val="002D69"/>
                                <w:sz w:val="16"/>
                              </w:rPr>
                            </w:pPr>
                            <w:r>
                              <w:rPr>
                                <w:rFonts w:ascii="Times New Roman;sans-serif" w:hAnsi="Times New Roman;sans-serif"/>
                                <w:b w:val="false"/>
                                <w:i/>
                                <w:color w:val="002D69"/>
                                <w:sz w:val="16"/>
                              </w:rPr>
                              <w:t>Investor Relations Manager</w:t>
                            </w:r>
                          </w:p>
                          <w:p>
                            <w:pPr>
                              <w:pStyle w:val="TextBody"/>
                              <w:bidi w:val="0"/>
                              <w:spacing w:lineRule="auto" w:line="288" w:before="0" w:after="0"/>
                              <w:jc w:val="center"/>
                              <w:rPr>
                                <w:rFonts w:ascii="Times New Roman;sans-serif" w:hAnsi="Times New Roman;sans-serif"/>
                                <w:b w:val="false"/>
                                <w:color w:val="002D69"/>
                                <w:sz w:val="16"/>
                                <w:u w:val="single"/>
                              </w:rPr>
                            </w:pPr>
                            <w:r>
                              <w:rPr>
                                <w:rFonts w:ascii="Times New Roman;sans-serif" w:hAnsi="Times New Roman;sans-serif"/>
                                <w:b w:val="false"/>
                                <w:color w:val="002D69"/>
                                <w:sz w:val="16"/>
                                <w:u w:val="single"/>
                              </w:rPr>
                              <w:t>InvestorRelations@oildri.com</w:t>
                            </w:r>
                          </w:p>
                          <w:p>
                            <w:pPr>
                              <w:pStyle w:val="TextBody"/>
                              <w:bidi w:val="0"/>
                              <w:spacing w:lineRule="auto" w:line="288" w:before="0" w:after="0"/>
                              <w:jc w:val="center"/>
                              <w:rPr>
                                <w:rFonts w:ascii="Times New Roman;sans-serif" w:hAnsi="Times New Roman;sans-serif"/>
                                <w:b w:val="false"/>
                                <w:color w:val="002D69"/>
                                <w:sz w:val="16"/>
                              </w:rPr>
                            </w:pPr>
                            <w:r>
                              <w:rPr>
                                <w:rFonts w:ascii="Times New Roman;sans-serif" w:hAnsi="Times New Roman;sans-serif"/>
                                <w:b w:val="false"/>
                                <w:color w:val="002D69"/>
                                <w:sz w:val="16"/>
                              </w:rPr>
                              <w:t>(312) 321-1515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7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2D69"/>
                          <w:sz w:val="16"/>
                        </w:rPr>
                      </w:pPr>
                      <w:r>
                        <w:rPr>
                          <w:rFonts w:ascii="Times New Roman;sans-serif" w:hAnsi="Times New Roman;sans-serif"/>
                          <w:b/>
                          <w:color w:val="002D69"/>
                          <w:sz w:val="16"/>
                        </w:rPr>
                        <w:t>Leslie A. Garber</w:t>
                      </w:r>
                    </w:p>
                    <w:p>
                      <w:pPr>
                        <w:pStyle w:val="TextBody"/>
                        <w:bidi w:val="0"/>
                        <w:spacing w:lineRule="auto" w:line="288" w:before="0" w:after="0"/>
                        <w:jc w:val="center"/>
                        <w:rPr>
                          <w:rFonts w:ascii="Times New Roman;sans-serif" w:hAnsi="Times New Roman;sans-serif"/>
                          <w:b w:val="false"/>
                          <w:i/>
                          <w:color w:val="002D69"/>
                          <w:sz w:val="16"/>
                        </w:rPr>
                      </w:pPr>
                      <w:r>
                        <w:rPr>
                          <w:rFonts w:ascii="Times New Roman;sans-serif" w:hAnsi="Times New Roman;sans-serif"/>
                          <w:b w:val="false"/>
                          <w:i/>
                          <w:color w:val="002D69"/>
                          <w:sz w:val="16"/>
                        </w:rPr>
                        <w:t>Investor Relations Manager</w:t>
                      </w:r>
                    </w:p>
                    <w:p>
                      <w:pPr>
                        <w:pStyle w:val="TextBody"/>
                        <w:bidi w:val="0"/>
                        <w:spacing w:lineRule="auto" w:line="288" w:before="0" w:after="0"/>
                        <w:jc w:val="center"/>
                        <w:rPr>
                          <w:rFonts w:ascii="Times New Roman;sans-serif" w:hAnsi="Times New Roman;sans-serif"/>
                          <w:b w:val="false"/>
                          <w:color w:val="002D69"/>
                          <w:sz w:val="16"/>
                          <w:u w:val="single"/>
                        </w:rPr>
                      </w:pPr>
                      <w:r>
                        <w:rPr>
                          <w:rFonts w:ascii="Times New Roman;sans-serif" w:hAnsi="Times New Roman;sans-serif"/>
                          <w:b w:val="false"/>
                          <w:color w:val="002D69"/>
                          <w:sz w:val="16"/>
                          <w:u w:val="single"/>
                        </w:rPr>
                        <w:t>InvestorRelations@oildri.com</w:t>
                      </w:r>
                    </w:p>
                    <w:p>
                      <w:pPr>
                        <w:pStyle w:val="TextBody"/>
                        <w:bidi w:val="0"/>
                        <w:spacing w:lineRule="auto" w:line="288" w:before="0" w:after="0"/>
                        <w:jc w:val="center"/>
                        <w:rPr>
                          <w:rFonts w:ascii="Times New Roman;sans-serif" w:hAnsi="Times New Roman;sans-serif"/>
                          <w:b w:val="false"/>
                          <w:color w:val="002D69"/>
                          <w:sz w:val="16"/>
                        </w:rPr>
                      </w:pPr>
                      <w:r>
                        <w:rPr>
                          <w:rFonts w:ascii="Times New Roman;sans-serif" w:hAnsi="Times New Roman;sans-serif"/>
                          <w:b w:val="false"/>
                          <w:color w:val="002D69"/>
                          <w:sz w:val="16"/>
                        </w:rPr>
                        <w:t>(312) 321-1515</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4280</Characters>
  <CharactersWithSpaces>5047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