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37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00" w:type="dxa"/>
            <w:vAlign w:val="bottom"/>
            <w:gridSpan w:val="3"/>
          </w:tcPr>
          <w:p>
            <w:pPr>
              <w:jc w:val="center"/>
              <w:ind w:right="820"/>
              <w:spacing w:after="0"/>
              <w:rPr>
                <w:sz w:val="20"/>
                <w:szCs w:val="20"/>
                <w:color w:val="auto"/>
              </w:rPr>
            </w:pPr>
            <w:r>
              <w:rPr>
                <w:rFonts w:ascii="Arial" w:cs="Arial" w:eastAsia="Arial" w:hAnsi="Arial"/>
                <w:sz w:val="18"/>
                <w:szCs w:val="18"/>
                <w:color w:val="auto"/>
                <w:w w:val="90"/>
              </w:rPr>
              <w:t>Date of Report (Date of earliest event reported)</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ind w:left="2440"/>
              <w:spacing w:after="0"/>
              <w:rPr>
                <w:sz w:val="20"/>
                <w:szCs w:val="20"/>
                <w:color w:val="auto"/>
              </w:rPr>
            </w:pPr>
            <w:r>
              <w:rPr>
                <w:rFonts w:ascii="Arial" w:cs="Arial" w:eastAsia="Arial" w:hAnsi="Arial"/>
                <w:sz w:val="18"/>
                <w:szCs w:val="18"/>
                <w:color w:val="auto"/>
                <w:w w:val="95"/>
              </w:rPr>
              <w:t>April 15, 2019</w:t>
            </w:r>
          </w:p>
        </w:tc>
      </w:tr>
      <w:tr>
        <w:trPr>
          <w:trHeight w:val="621"/>
        </w:trPr>
        <w:tc>
          <w:tcPr>
            <w:tcW w:w="3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0" w:type="dxa"/>
            <w:vAlign w:val="bottom"/>
            <w:gridSpan w:val="5"/>
          </w:tcPr>
          <w:p>
            <w:pPr>
              <w:jc w:val="center"/>
              <w:ind w:right="780"/>
              <w:spacing w:after="0"/>
              <w:rPr>
                <w:sz w:val="20"/>
                <w:szCs w:val="20"/>
                <w:color w:val="auto"/>
              </w:rPr>
            </w:pPr>
            <w:r>
              <w:rPr>
                <w:rFonts w:ascii="Arial" w:cs="Arial" w:eastAsia="Arial" w:hAnsi="Arial"/>
                <w:sz w:val="18"/>
                <w:szCs w:val="18"/>
                <w:b w:val="1"/>
                <w:bCs w:val="1"/>
                <w:color w:val="auto"/>
                <w:w w:val="94"/>
              </w:rPr>
              <w:t>Oil-Dri Corporation of America</w:t>
            </w:r>
          </w:p>
        </w:tc>
        <w:tc>
          <w:tcPr>
            <w:tcW w:w="3520" w:type="dxa"/>
            <w:vAlign w:val="bottom"/>
          </w:tcPr>
          <w:p>
            <w:pPr>
              <w:spacing w:after="0"/>
              <w:rPr>
                <w:sz w:val="24"/>
                <w:szCs w:val="24"/>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spacing w:after="0"/>
              <w:rPr>
                <w:sz w:val="20"/>
                <w:szCs w:val="20"/>
                <w:color w:val="auto"/>
              </w:rPr>
            </w:pPr>
          </w:p>
        </w:tc>
        <w:tc>
          <w:tcPr>
            <w:tcW w:w="4460" w:type="dxa"/>
            <w:vAlign w:val="bottom"/>
            <w:gridSpan w:val="7"/>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3520" w:type="dxa"/>
            <w:vAlign w:val="bottom"/>
          </w:tcPr>
          <w:p>
            <w:pPr>
              <w:spacing w:after="0"/>
              <w:rPr>
                <w:sz w:val="20"/>
                <w:szCs w:val="20"/>
                <w:color w:val="auto"/>
              </w:rPr>
            </w:pPr>
          </w:p>
        </w:tc>
      </w:tr>
      <w:tr>
        <w:trPr>
          <w:trHeight w:val="621"/>
        </w:trPr>
        <w:tc>
          <w:tcPr>
            <w:tcW w:w="430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91"/>
              </w:rPr>
              <w:t>Delaware</w:t>
            </w:r>
          </w:p>
        </w:tc>
        <w:tc>
          <w:tcPr>
            <w:tcW w:w="1760" w:type="dxa"/>
            <w:vAlign w:val="bottom"/>
            <w:gridSpan w:val="3"/>
          </w:tcPr>
          <w:p>
            <w:pPr>
              <w:jc w:val="center"/>
              <w:ind w:left="890"/>
              <w:spacing w:after="0"/>
              <w:rPr>
                <w:sz w:val="20"/>
                <w:szCs w:val="20"/>
                <w:color w:val="auto"/>
              </w:rPr>
            </w:pPr>
            <w:r>
              <w:rPr>
                <w:rFonts w:ascii="Arial" w:cs="Arial" w:eastAsia="Arial" w:hAnsi="Arial"/>
                <w:sz w:val="18"/>
                <w:szCs w:val="18"/>
                <w:b w:val="1"/>
                <w:bCs w:val="1"/>
                <w:color w:val="auto"/>
                <w:w w:val="90"/>
              </w:rPr>
              <w:t>001-12622</w:t>
            </w: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1"/>
              </w:rPr>
              <w:t>36-2048898</w:t>
            </w: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22"/>
        </w:trPr>
        <w:tc>
          <w:tcPr>
            <w:tcW w:w="4300" w:type="dxa"/>
            <w:vAlign w:val="bottom"/>
            <w:gridSpan w:val="3"/>
          </w:tcPr>
          <w:p>
            <w:pPr>
              <w:jc w:val="center"/>
              <w:ind w:right="860"/>
              <w:spacing w:after="0"/>
              <w:rPr>
                <w:sz w:val="20"/>
                <w:szCs w:val="20"/>
                <w:color w:val="auto"/>
              </w:rPr>
            </w:pPr>
            <w:r>
              <w:rPr>
                <w:rFonts w:ascii="Arial" w:cs="Arial" w:eastAsia="Arial" w:hAnsi="Arial"/>
                <w:sz w:val="18"/>
                <w:szCs w:val="18"/>
                <w:color w:val="auto"/>
                <w:w w:val="92"/>
              </w:rPr>
              <w:t>(State or other jurisdiction of</w:t>
            </w:r>
          </w:p>
        </w:tc>
        <w:tc>
          <w:tcPr>
            <w:tcW w:w="3600" w:type="dxa"/>
            <w:vAlign w:val="bottom"/>
            <w:gridSpan w:val="5"/>
          </w:tcPr>
          <w:p>
            <w:pPr>
              <w:jc w:val="center"/>
              <w:ind w:right="860"/>
              <w:spacing w:after="0"/>
              <w:rPr>
                <w:sz w:val="20"/>
                <w:szCs w:val="20"/>
                <w:color w:val="auto"/>
              </w:rPr>
            </w:pPr>
            <w:r>
              <w:rPr>
                <w:rFonts w:ascii="Arial" w:cs="Arial" w:eastAsia="Arial" w:hAnsi="Arial"/>
                <w:sz w:val="18"/>
                <w:szCs w:val="18"/>
                <w:color w:val="auto"/>
                <w:w w:val="93"/>
              </w:rPr>
              <w:t>(Commission File</w:t>
            </w:r>
          </w:p>
        </w:tc>
        <w:tc>
          <w:tcPr>
            <w:tcW w:w="3520" w:type="dxa"/>
            <w:vAlign w:val="bottom"/>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4300" w:type="dxa"/>
            <w:vAlign w:val="bottom"/>
            <w:gridSpan w:val="3"/>
          </w:tcPr>
          <w:p>
            <w:pPr>
              <w:jc w:val="center"/>
              <w:ind w:right="860"/>
              <w:spacing w:after="0"/>
              <w:rPr>
                <w:sz w:val="20"/>
                <w:szCs w:val="20"/>
                <w:color w:val="auto"/>
              </w:rPr>
            </w:pPr>
            <w:r>
              <w:rPr>
                <w:rFonts w:ascii="Arial" w:cs="Arial" w:eastAsia="Arial" w:hAnsi="Arial"/>
                <w:sz w:val="18"/>
                <w:szCs w:val="18"/>
                <w:color w:val="auto"/>
                <w:w w:val="94"/>
              </w:rPr>
              <w:t>incorporation)</w:t>
            </w:r>
          </w:p>
        </w:tc>
        <w:tc>
          <w:tcPr>
            <w:tcW w:w="3600" w:type="dxa"/>
            <w:vAlign w:val="bottom"/>
            <w:gridSpan w:val="5"/>
          </w:tcPr>
          <w:p>
            <w:pPr>
              <w:jc w:val="center"/>
              <w:ind w:right="860"/>
              <w:spacing w:after="0"/>
              <w:rPr>
                <w:sz w:val="20"/>
                <w:szCs w:val="20"/>
                <w:color w:val="auto"/>
              </w:rPr>
            </w:pPr>
            <w:r>
              <w:rPr>
                <w:rFonts w:ascii="Arial" w:cs="Arial" w:eastAsia="Arial" w:hAnsi="Arial"/>
                <w:sz w:val="18"/>
                <w:szCs w:val="18"/>
                <w:color w:val="auto"/>
                <w:w w:val="94"/>
              </w:rPr>
              <w:t>Number)</w:t>
            </w:r>
          </w:p>
        </w:tc>
        <w:tc>
          <w:tcPr>
            <w:tcW w:w="35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603"/>
        </w:trPr>
        <w:tc>
          <w:tcPr>
            <w:tcW w:w="430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1"/>
              </w:rPr>
              <w:t>410 North Michigan Avenue</w:t>
            </w: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16"/>
        </w:trPr>
        <w:tc>
          <w:tcPr>
            <w:tcW w:w="4300" w:type="dxa"/>
            <w:vAlign w:val="bottom"/>
            <w:gridSpan w:val="3"/>
          </w:tcPr>
          <w:p>
            <w:pPr>
              <w:jc w:val="center"/>
              <w:ind w:left="990"/>
              <w:spacing w:after="0"/>
              <w:rPr>
                <w:sz w:val="20"/>
                <w:szCs w:val="20"/>
                <w:color w:val="auto"/>
              </w:rPr>
            </w:pPr>
            <w:r>
              <w:rPr>
                <w:rFonts w:ascii="Arial" w:cs="Arial" w:eastAsia="Arial" w:hAnsi="Arial"/>
                <w:sz w:val="18"/>
                <w:szCs w:val="18"/>
                <w:b w:val="1"/>
                <w:bCs w:val="1"/>
                <w:color w:val="auto"/>
                <w:w w:val="88"/>
              </w:rPr>
              <w:t>Suite 400</w:t>
            </w: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34"/>
        </w:trPr>
        <w:tc>
          <w:tcPr>
            <w:tcW w:w="430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89"/>
              </w:rPr>
              <w:t>Chicago, Illinois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right"/>
              <w:ind w:right="2170"/>
              <w:spacing w:after="0"/>
              <w:rPr>
                <w:sz w:val="20"/>
                <w:szCs w:val="20"/>
                <w:color w:val="auto"/>
              </w:rPr>
            </w:pPr>
            <w:r>
              <w:rPr>
                <w:rFonts w:ascii="Arial" w:cs="Arial" w:eastAsia="Arial" w:hAnsi="Arial"/>
                <w:sz w:val="18"/>
                <w:szCs w:val="18"/>
                <w:b w:val="1"/>
                <w:bCs w:val="1"/>
                <w:color w:val="auto"/>
              </w:rPr>
              <w:t>60611-4213</w:t>
            </w:r>
          </w:p>
        </w:tc>
      </w:tr>
      <w:tr>
        <w:trPr>
          <w:trHeight w:val="27"/>
        </w:trPr>
        <w:tc>
          <w:tcPr>
            <w:tcW w:w="430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4300" w:type="dxa"/>
            <w:vAlign w:val="bottom"/>
            <w:gridSpan w:val="3"/>
          </w:tcPr>
          <w:p>
            <w:pPr>
              <w:jc w:val="center"/>
              <w:ind w:left="990"/>
              <w:spacing w:after="0"/>
              <w:rPr>
                <w:sz w:val="20"/>
                <w:szCs w:val="20"/>
                <w:color w:val="auto"/>
              </w:rPr>
            </w:pPr>
            <w:r>
              <w:rPr>
                <w:rFonts w:ascii="Arial" w:cs="Arial" w:eastAsia="Arial" w:hAnsi="Arial"/>
                <w:sz w:val="18"/>
                <w:szCs w:val="18"/>
                <w:color w:val="auto"/>
                <w:w w:val="92"/>
              </w:rPr>
              <w:t>(Address of principal executive offices)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center"/>
              <w:ind w:right="1750"/>
              <w:spacing w:after="0"/>
              <w:rPr>
                <w:sz w:val="20"/>
                <w:szCs w:val="20"/>
                <w:color w:val="auto"/>
              </w:rPr>
            </w:pPr>
            <w:r>
              <w:rPr>
                <w:rFonts w:ascii="Arial" w:cs="Arial" w:eastAsia="Arial" w:hAnsi="Arial"/>
                <w:sz w:val="18"/>
                <w:szCs w:val="18"/>
                <w:color w:val="auto"/>
                <w:w w:val="94"/>
              </w:rPr>
              <w:t>(Zip Code)</w:t>
            </w:r>
          </w:p>
        </w:tc>
      </w:tr>
      <w:tr>
        <w:trPr>
          <w:trHeight w:val="621"/>
        </w:trPr>
        <w:tc>
          <w:tcPr>
            <w:tcW w:w="4300" w:type="dxa"/>
            <w:vAlign w:val="bottom"/>
            <w:gridSpan w:val="3"/>
          </w:tcPr>
          <w:p>
            <w:pPr>
              <w:ind w:left="40"/>
              <w:spacing w:after="0"/>
              <w:rPr>
                <w:sz w:val="20"/>
                <w:szCs w:val="20"/>
                <w:color w:val="auto"/>
              </w:rPr>
            </w:pPr>
            <w:r>
              <w:rPr>
                <w:rFonts w:ascii="Arial" w:cs="Arial" w:eastAsia="Arial" w:hAnsi="Arial"/>
                <w:sz w:val="18"/>
                <w:szCs w:val="18"/>
                <w:color w:val="auto"/>
              </w:rPr>
              <w:t>Registrant’s telephone number, including area code</w:t>
            </w:r>
          </w:p>
        </w:tc>
        <w:tc>
          <w:tcPr>
            <w:tcW w:w="314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rPr>
              <w:t>(312) 321-1515</w:t>
            </w: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7"/>
        </w:trPr>
        <w:tc>
          <w:tcPr>
            <w:tcW w:w="3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6" w:lineRule="exact"/>
        <w:rPr>
          <w:sz w:val="24"/>
          <w:szCs w:val="24"/>
          <w:color w:val="auto"/>
        </w:rPr>
      </w:pPr>
    </w:p>
    <w:p>
      <w:pPr>
        <w:ind w:left="720" w:hanging="45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720" w:hanging="45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720" w:hanging="45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720" w:hanging="45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73660</wp:posOffset>
            </wp:positionV>
            <wp:extent cx="7229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 w:name="page2"/>
    <w:bookmarkEnd w:id="1"/>
    <w:p>
      <w:pPr>
        <w:ind w:left="1300" w:right="160" w:hanging="1025"/>
        <w:spacing w:after="0" w:line="282" w:lineRule="auto"/>
        <w:tabs>
          <w:tab w:leader="none" w:pos="1280" w:val="left"/>
        </w:tabs>
        <w:rPr>
          <w:sz w:val="20"/>
          <w:szCs w:val="20"/>
          <w:color w:val="auto"/>
        </w:rPr>
      </w:pPr>
      <w:r>
        <w:rPr>
          <w:rFonts w:ascii="Arial" w:cs="Arial" w:eastAsia="Arial" w:hAnsi="Arial"/>
          <w:sz w:val="18"/>
          <w:szCs w:val="18"/>
          <w:b w:val="1"/>
          <w:bCs w:val="1"/>
          <w:u w:val="single" w:color="auto"/>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(c)</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April 15, 2019, Oil-Dri Corporation of America (the “Company”) announced the appointment of Molly D. VandenHeuvel as Chief Operating Officer of the Company, effective immediately.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Ms. VandenHeuvel, 49, was most recently with Abbott Laboratories, where she served as an Integration and Supply Chain Head from 2017 to 2019 and Senior Director of Integrated Business Planning from 2015 to 2017. Prior to Abbott Laboratories, Ms. VandenHeuvel served as Senior Director of Product Supply - Beverages &amp; Snack Nuts for Kraft Foods Group and held previous supply chain positions for Procter &amp; Gamble. Ms. VandenHeuvel holds a bachelor’s degree in Industrial Engineering from Northwestern University.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Ms. VandenHeuvel will (i) receive an annual salary of $300,000, (ii) be eligible to participate in the Company’s bonus program, with a target bonus opportunity of 40% of her annual salary, dependent on the attainment of performance goals, (iii) be eligible to participate in the Company’s Executive Deferred Compensation Program, with a target bonus opportunity of 20% of her annual salary, based on Company performance, and (iv) be entitled to participate in benefit plans generally made available to executive officers and employees of the Company.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her appointment, the Company awarded Ms. VandenHeuvel a grant of 30,000 shares of restricted stock of the Company with the following vesting schedule: 7,000 shares will vest on each of the second, third and fourth anniversaries of April 15, 2019 and the remaining 9,000 shares will vest on the fifth anniversary of April 15, 2019. Such restricted stock was issued under the Company’s long-term incentive plan and is subject to the terms and conditions of such plan.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family relationships between Ms. VandenHeuvel and any of the directors and executive officers of the Company, nor are there any transactions in which Ms. VandenHeuvel has an interest requiring disclosure under Item 404(a) of Regulation S-K.</w:t>
      </w:r>
    </w:p>
    <w:p>
      <w:pPr>
        <w:spacing w:after="0" w:line="200" w:lineRule="exact"/>
        <w:rPr>
          <w:sz w:val="20"/>
          <w:szCs w:val="20"/>
          <w:color w:val="auto"/>
        </w:rPr>
      </w:pPr>
    </w:p>
    <w:p>
      <w:pPr>
        <w:spacing w:after="0" w:line="345" w:lineRule="exact"/>
        <w:rPr>
          <w:sz w:val="20"/>
          <w:szCs w:val="20"/>
          <w:color w:val="auto"/>
        </w:rPr>
      </w:pPr>
    </w:p>
    <w:p>
      <w:pPr>
        <w:ind w:left="260"/>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issued a press release on April 15, 2019 announcing the appointment of Ms. VandenHeuvel described in Item 5.02 above, which is furnished as Exhibit 99.1 to this report.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in this Item 7.01 and Exhibit 99.1 shall not be deemed “filed” for purposes of Section 18 of the Securities Exchange Act of 1934, as amended (the “Exchange Act”), or otherwise subject to the liabilities of that section. This information shall not be deemed to be incorporated by reference in any filing under the Securities Act of 1933, as amended, or the Exchange Act, except as shall be expressly set forth by specific reference to such disclosure in this Form 8-K in such a filing.</w:t>
      </w:r>
    </w:p>
    <w:p>
      <w:pPr>
        <w:spacing w:after="0" w:line="345" w:lineRule="exact"/>
        <w:rPr>
          <w:sz w:val="20"/>
          <w:szCs w:val="20"/>
          <w:color w:val="auto"/>
        </w:rPr>
      </w:pPr>
    </w:p>
    <w:p>
      <w:pPr>
        <w:ind w:left="260"/>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660" w:hanging="63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Exhibit</w:t>
      </w:r>
    </w:p>
    <w:p>
      <w:pPr>
        <w:spacing w:after="0" w:line="63"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ind w:left="840"/>
        <w:spacing w:after="0"/>
        <w:tabs>
          <w:tab w:leader="none" w:pos="17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FF"/>
        </w:rPr>
        <w:t>Press Release of the Company dated April 15, 2019</w:t>
      </w:r>
    </w:p>
    <w:p>
      <w:pPr>
        <w:sectPr>
          <w:pgSz w:w="11900" w:h="16838" w:orient="portrait"/>
          <w:cols w:equalWidth="0" w:num="1">
            <w:col w:w="11420"/>
          </w:cols>
          <w:pgMar w:left="240" w:top="742" w:right="239" w:bottom="1440" w:gutter="0" w:footer="0" w:header="0"/>
        </w:sectPr>
      </w:pPr>
    </w:p>
    <w:bookmarkStart w:id="2" w:name="page3"/>
    <w:bookmarkEnd w:id="2"/>
    <w:p>
      <w:pPr>
        <w:jc w:val="center"/>
        <w:ind w:right="-5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OIL-DRI CORPORATION OF AMERICA</w:t>
      </w:r>
    </w:p>
    <w:p>
      <w:pPr>
        <w:spacing w:after="0" w:line="333" w:lineRule="exact"/>
        <w:rPr>
          <w:sz w:val="20"/>
          <w:szCs w:val="20"/>
          <w:color w:val="auto"/>
        </w:rPr>
      </w:pPr>
    </w:p>
    <w:p>
      <w:pPr>
        <w:ind w:left="55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Laura G. Scheland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Laura G. Scheland</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Vice President and General Counsel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April 15, 2019</w:t>
      </w:r>
    </w:p>
    <w:p>
      <w:pPr>
        <w:sectPr>
          <w:pgSz w:w="11900" w:h="16838" w:orient="portrait"/>
          <w:cols w:equalWidth="0" w:num="1">
            <w:col w:w="10880"/>
          </w:cols>
          <w:pgMar w:left="240" w:top="580" w:right="779" w:bottom="1440" w:gutter="0" w:footer="0" w:header="0"/>
        </w:sectPr>
      </w:pPr>
    </w:p>
    <w:bookmarkStart w:id="3" w:name="page4"/>
    <w:bookmarkEnd w:id="3"/>
    <w:p>
      <w:pPr>
        <w:jc w:val="center"/>
        <w:spacing w:after="0"/>
        <w:rPr>
          <w:sz w:val="20"/>
          <w:szCs w:val="20"/>
          <w:color w:val="auto"/>
        </w:rPr>
      </w:pPr>
      <w:r>
        <w:rPr>
          <w:rFonts w:ascii="Arial" w:cs="Arial" w:eastAsia="Arial" w:hAnsi="Arial"/>
          <w:sz w:val="15"/>
          <w:szCs w:val="15"/>
          <w:i w:val="1"/>
          <w:iCs w:val="1"/>
          <w:color w:val="002D69"/>
        </w:rPr>
        <w:drawing>
          <wp:anchor simplePos="0" relativeHeight="251657728" behindDoc="1" locked="0" layoutInCell="0" allowOverlap="1">
            <wp:simplePos x="0" y="0"/>
            <wp:positionH relativeFrom="page">
              <wp:posOffset>3047365</wp:posOffset>
            </wp:positionH>
            <wp:positionV relativeFrom="page">
              <wp:posOffset>294640</wp:posOffset>
            </wp:positionV>
            <wp:extent cx="1475105" cy="488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t>410 N. Michigan Ave. Chicago, Illinois 60611, U.S.A</w:t>
      </w:r>
    </w:p>
    <w:p>
      <w:pPr>
        <w:spacing w:after="0" w:line="286"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002D69"/>
        </w:rPr>
        <w:t>News Announcement</w:t>
      </w:r>
    </w:p>
    <w:p>
      <w:pPr>
        <w:spacing w:after="0" w:line="28" w:lineRule="exact"/>
        <w:rPr>
          <w:sz w:val="20"/>
          <w:szCs w:val="20"/>
          <w:color w:val="auto"/>
        </w:rPr>
      </w:pPr>
    </w:p>
    <w:p>
      <w:pPr>
        <w:ind w:left="4700"/>
        <w:spacing w:after="0"/>
        <w:rPr>
          <w:sz w:val="20"/>
          <w:szCs w:val="20"/>
          <w:color w:val="auto"/>
        </w:rPr>
      </w:pPr>
      <w:r>
        <w:rPr>
          <w:rFonts w:ascii="Arial" w:cs="Arial" w:eastAsia="Arial" w:hAnsi="Arial"/>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99.1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Molly D. VandenHeuvel Announced as Chief Operating Officer</w:t>
      </w:r>
    </w:p>
    <w:p>
      <w:pPr>
        <w:spacing w:after="0" w:line="202" w:lineRule="exact"/>
        <w:rPr>
          <w:sz w:val="20"/>
          <w:szCs w:val="20"/>
          <w:color w:val="auto"/>
        </w:rPr>
      </w:pPr>
    </w:p>
    <w:p>
      <w:pPr>
        <w:ind w:right="40"/>
        <w:spacing w:after="0" w:line="248" w:lineRule="auto"/>
        <w:rPr>
          <w:sz w:val="20"/>
          <w:szCs w:val="20"/>
          <w:color w:val="auto"/>
        </w:rPr>
      </w:pPr>
      <w:r>
        <w:rPr>
          <w:rFonts w:ascii="Arial" w:cs="Arial" w:eastAsia="Arial" w:hAnsi="Arial"/>
          <w:sz w:val="22"/>
          <w:szCs w:val="22"/>
          <w:color w:val="auto"/>
        </w:rPr>
        <w:t>CHICAGO-(April 15, 2019)-Oil-Dri Corporation of America (NYSE: ODC) announced that effective today, Molly D. VandenHeuvel has been appointed Chief Operating Officer. In her role as COO, Ms. VandenHeuvel will report directly to Daniel S. Jaffee, Oil-Dri’s President and Chief Executive Officer. She will assume responsibility for our supply chain and oversee Oil-Dri’s manufacturing, procurement, logistics and customer service departments. In this role, Ms. VandenHeuvel will lead the development and implementation of our operational growth strategies.</w:t>
      </w:r>
    </w:p>
    <w:p>
      <w:pPr>
        <w:spacing w:after="0" w:line="192" w:lineRule="exact"/>
        <w:rPr>
          <w:sz w:val="20"/>
          <w:szCs w:val="20"/>
          <w:color w:val="auto"/>
        </w:rPr>
      </w:pPr>
    </w:p>
    <w:p>
      <w:pPr>
        <w:ind w:right="200"/>
        <w:spacing w:after="0" w:line="248" w:lineRule="auto"/>
        <w:rPr>
          <w:sz w:val="20"/>
          <w:szCs w:val="20"/>
          <w:color w:val="auto"/>
        </w:rPr>
      </w:pPr>
      <w:r>
        <w:rPr>
          <w:rFonts w:ascii="Arial" w:cs="Arial" w:eastAsia="Arial" w:hAnsi="Arial"/>
          <w:sz w:val="22"/>
          <w:szCs w:val="22"/>
          <w:color w:val="auto"/>
        </w:rPr>
        <w:t>“Molly is a seasoned and uniquely qualified leader who will be pivotal as we drive Oil-Dri’s next stage of growth,” said Daniel S. Jaffee. “With her background in supply chain management across several industries, including consumer products, I am confident that Molly will execute operational excellence throughout our organization. Her first challenge will be to lead the creation and implementation of a robust S&amp;OP (sales and operating plan). She has a stellar track record, and we are very fortunate to have her joining our team.”</w:t>
      </w:r>
    </w:p>
    <w:p>
      <w:pPr>
        <w:spacing w:after="0" w:line="192" w:lineRule="exact"/>
        <w:rPr>
          <w:sz w:val="20"/>
          <w:szCs w:val="20"/>
          <w:color w:val="auto"/>
        </w:rPr>
      </w:pPr>
    </w:p>
    <w:p>
      <w:pPr>
        <w:ind w:right="300"/>
        <w:spacing w:after="0" w:line="250" w:lineRule="auto"/>
        <w:rPr>
          <w:sz w:val="20"/>
          <w:szCs w:val="20"/>
          <w:color w:val="auto"/>
        </w:rPr>
      </w:pPr>
      <w:r>
        <w:rPr>
          <w:rFonts w:ascii="Arial" w:cs="Arial" w:eastAsia="Arial" w:hAnsi="Arial"/>
          <w:sz w:val="22"/>
          <w:szCs w:val="22"/>
          <w:color w:val="auto"/>
        </w:rPr>
        <w:t>Ms. VandenHeuvel was previously with Abbott Laboratories, where she served as an Integration and Supply Chain Head from 2017 to 2019, and Senior Director of Integrated Business Planning from 2015 to 2017. During her tenure, she successfully spearheaded supply chain optimization and maximized sales and operational efficiencies, all of which led to significant financial savings and growth for the company.</w:t>
      </w:r>
    </w:p>
    <w:p>
      <w:pPr>
        <w:spacing w:after="0" w:line="188" w:lineRule="exact"/>
        <w:rPr>
          <w:sz w:val="20"/>
          <w:szCs w:val="20"/>
          <w:color w:val="auto"/>
        </w:rPr>
      </w:pPr>
    </w:p>
    <w:p>
      <w:pPr>
        <w:ind w:right="160"/>
        <w:spacing w:after="0" w:line="263" w:lineRule="auto"/>
        <w:rPr>
          <w:sz w:val="20"/>
          <w:szCs w:val="20"/>
          <w:color w:val="auto"/>
        </w:rPr>
      </w:pPr>
      <w:r>
        <w:rPr>
          <w:rFonts w:ascii="Arial" w:cs="Arial" w:eastAsia="Arial" w:hAnsi="Arial"/>
          <w:sz w:val="22"/>
          <w:szCs w:val="22"/>
          <w:color w:val="auto"/>
        </w:rPr>
        <w:t>Prior to Abbott Laboratories, Ms. VandenHeuvel served as Senior Director of Product Supply - Beverages &amp; Snack Nuts for Kraft Foods Group and held previous supply chain positions for Procter &amp; Gamble.</w:t>
      </w:r>
    </w:p>
    <w:p>
      <w:pPr>
        <w:spacing w:after="0" w:line="175" w:lineRule="exact"/>
        <w:rPr>
          <w:sz w:val="20"/>
          <w:szCs w:val="20"/>
          <w:color w:val="auto"/>
        </w:rPr>
      </w:pPr>
    </w:p>
    <w:p>
      <w:pPr>
        <w:ind w:right="840"/>
        <w:spacing w:after="0" w:line="248" w:lineRule="auto"/>
        <w:rPr>
          <w:sz w:val="20"/>
          <w:szCs w:val="20"/>
          <w:color w:val="auto"/>
        </w:rPr>
      </w:pPr>
      <w:r>
        <w:rPr>
          <w:rFonts w:ascii="Arial" w:cs="Arial" w:eastAsia="Arial" w:hAnsi="Arial"/>
          <w:sz w:val="22"/>
          <w:szCs w:val="22"/>
          <w:color w:val="auto"/>
        </w:rPr>
        <w:t>Ms. VandenHeuvel earned her bachelor’s degree in Industrial Engineering from Northwestern University and has received numerous awards and honors throughout her career.</w:t>
      </w:r>
    </w:p>
    <w:p>
      <w:pPr>
        <w:jc w:val="center"/>
        <w:spacing w:after="0"/>
        <w:rPr>
          <w:sz w:val="20"/>
          <w:szCs w:val="20"/>
          <w:color w:val="auto"/>
        </w:rPr>
      </w:pPr>
      <w:r>
        <w:rPr>
          <w:rFonts w:ascii="Arial" w:cs="Arial" w:eastAsia="Arial" w:hAnsi="Arial"/>
          <w:sz w:val="18"/>
          <w:szCs w:val="18"/>
          <w:color w:val="auto"/>
        </w:rPr>
        <w:t>###</w:t>
      </w:r>
    </w:p>
    <w:p>
      <w:pPr>
        <w:spacing w:after="0" w:line="209"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i w:val="1"/>
          <w:iCs w:val="1"/>
          <w:color w:val="auto"/>
        </w:rPr>
        <w:t xml:space="preserve">While Oil-Dri’s founding product was granular clay floor absorbents, it has since greatly diversified its portfolio. The Company’s mission to “Create Value from Sorbent Minerals” is supported by its wide array of consumer and business to business product offerings. In 2016, Oil-Dri celebrated its seventy-fifth year of business and looks forward to the next milestone. To learn more about the Company, visit </w:t>
      </w:r>
      <w:r>
        <w:rPr>
          <w:rFonts w:ascii="Arial" w:cs="Arial" w:eastAsia="Arial" w:hAnsi="Arial"/>
          <w:sz w:val="18"/>
          <w:szCs w:val="18"/>
          <w:i w:val="1"/>
          <w:iCs w:val="1"/>
          <w:u w:val="single" w:color="auto"/>
          <w:color w:val="0000FF"/>
        </w:rPr>
        <w:t>oildri.com</w:t>
      </w:r>
      <w:r>
        <w:rPr>
          <w:rFonts w:ascii="Arial" w:cs="Arial" w:eastAsia="Arial" w:hAnsi="Arial"/>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441325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Leslie A. Garber</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InvestorRelations@oildri.com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321-1515</w:t>
      </w:r>
    </w:p>
    <w:sectPr>
      <w:pgSz w:w="11900" w:h="16838" w:orient="portrait"/>
      <w:cols w:equalWidth="0" w:num="1">
        <w:col w:w="11420"/>
      </w:cols>
      <w:pgMar w:left="240" w:top="12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2019-12-03T10:31:22Z</dcterms:created>
  <dcterms:modified xsi:type="dcterms:W3CDTF">2019-12-03T10:31:22Z</dcterms:modified>
</cp:coreProperties>
</file>