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17"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22"/>
          <w:szCs w:val="22"/>
          <w:color w:val="auto"/>
        </w:rPr>
        <w:t>DEFINITIVE PROXY STATEMENT</w:t>
      </w:r>
    </w:p>
    <w:p>
      <w:pPr>
        <w:spacing w:after="0" w:line="40"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SCHEDULE 14A</w:t>
      </w:r>
    </w:p>
    <w:p>
      <w:pPr>
        <w:spacing w:after="0" w:line="63"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(Rule 14a-101)</w:t>
      </w:r>
    </w:p>
    <w:p>
      <w:pPr>
        <w:spacing w:after="0" w:line="63"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1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1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 (Amendment No. )</w:t>
      </w:r>
    </w:p>
    <w:p>
      <w:pPr>
        <w:spacing w:after="0" w:line="33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9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ectPr>
          <w:pgSz w:w="11900" w:h="16838" w:orient="portrait"/>
          <w:cols w:equalWidth="0" w:num="1">
            <w:col w:w="11145"/>
          </w:cols>
          <w:pgMar w:left="355" w:top="850" w:right="399" w:bottom="1440" w:gutter="0" w:footer="0" w:header="0"/>
        </w:sectPr>
      </w:pPr>
    </w:p>
    <w:p>
      <w:pPr>
        <w:spacing w:after="0" w:line="387" w:lineRule="exact"/>
        <w:rPr>
          <w:sz w:val="24"/>
          <w:szCs w:val="24"/>
          <w:color w:val="auto"/>
        </w:rPr>
      </w:pPr>
    </w:p>
    <w:p>
      <w:pPr>
        <w:ind w:left="5"/>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5"/>
        <w:spacing w:after="0"/>
        <w:tabs>
          <w:tab w:leader="none" w:pos="1105"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2300"/>
        <w:spacing w:after="0"/>
        <w:tabs>
          <w:tab w:leader="none" w:pos="280"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Soliciting Material Under Rule 14a-12</w:t>
      </w:r>
    </w:p>
    <w:p>
      <w:pPr>
        <w:spacing w:after="0" w:line="200" w:lineRule="exact"/>
        <w:rPr>
          <w:sz w:val="24"/>
          <w:szCs w:val="24"/>
          <w:color w:val="auto"/>
        </w:rPr>
      </w:pPr>
    </w:p>
    <w:p>
      <w:pPr>
        <w:sectPr>
          <w:pgSz w:w="11900" w:h="16838" w:orient="portrait"/>
          <w:cols w:equalWidth="0" w:num="2">
            <w:col w:w="4905" w:space="720"/>
            <w:col w:w="5520"/>
          </w:cols>
          <w:pgMar w:left="355" w:top="850" w:right="399" w:bottom="1440" w:gutter="0" w:footer="0" w:header="0"/>
          <w:type w:val="continuous"/>
        </w:sectPr>
      </w:pPr>
    </w:p>
    <w:p>
      <w:pPr>
        <w:spacing w:after="0" w:line="12" w:lineRule="exact"/>
        <w:rPr>
          <w:sz w:val="24"/>
          <w:szCs w:val="24"/>
          <w:color w:val="auto"/>
        </w:rPr>
      </w:pPr>
    </w:p>
    <w:p>
      <w:pPr>
        <w:ind w:left="1125" w:right="5640"/>
        <w:spacing w:after="0" w:line="281" w:lineRule="auto"/>
        <w:rPr>
          <w:sz w:val="24"/>
          <w:szCs w:val="24"/>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 w:lineRule="exact"/>
        <w:rPr>
          <w:sz w:val="24"/>
          <w:szCs w:val="24"/>
          <w:color w:val="auto"/>
        </w:rPr>
      </w:pPr>
    </w:p>
    <w:p>
      <w:pPr>
        <w:ind w:left="1125" w:hanging="1125"/>
        <w:spacing w:after="0"/>
        <w:tabs>
          <w:tab w:leader="none" w:pos="11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90" w:lineRule="exact"/>
        <w:rPr>
          <w:sz w:val="24"/>
          <w:szCs w:val="24"/>
          <w:color w:val="auto"/>
        </w:rPr>
      </w:pPr>
    </w:p>
    <w:p>
      <w:pPr>
        <w:ind w:left="5"/>
        <w:spacing w:after="0"/>
        <w:rPr>
          <w:sz w:val="24"/>
          <w:szCs w:val="24"/>
          <w:color w:val="auto"/>
        </w:rPr>
      </w:pPr>
      <w:r>
        <w:rPr>
          <w:rFonts w:ascii="Times New Roman" w:cs="Times New Roman" w:eastAsia="Times New Roman" w:hAnsi="Times New Roman"/>
          <w:sz w:val="18"/>
          <w:szCs w:val="18"/>
          <w:color w:val="auto"/>
        </w:rPr>
        <w:t>Definitive Additional Materials</w:t>
      </w:r>
    </w:p>
    <w:p>
      <w:pPr>
        <w:spacing w:after="0" w:line="200" w:lineRule="exact"/>
        <w:rPr>
          <w:sz w:val="24"/>
          <w:szCs w:val="24"/>
          <w:color w:val="auto"/>
        </w:rPr>
      </w:pPr>
    </w:p>
    <w:p>
      <w:pPr>
        <w:spacing w:after="0" w:line="311"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41275</wp:posOffset>
            </wp:positionV>
            <wp:extent cx="6540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pacing w:after="0" w:line="81"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222885</wp:posOffset>
            </wp:positionV>
            <wp:extent cx="6540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367" w:lineRule="exact"/>
        <w:rPr>
          <w:sz w:val="24"/>
          <w:szCs w:val="24"/>
          <w:color w:val="auto"/>
        </w:rPr>
      </w:pPr>
    </w:p>
    <w:p>
      <w:pPr>
        <w:ind w:left="2925"/>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98" w:lineRule="exact"/>
        <w:rPr>
          <w:sz w:val="24"/>
          <w:szCs w:val="24"/>
          <w:color w:val="auto"/>
        </w:rPr>
      </w:pPr>
    </w:p>
    <w:p>
      <w:pPr>
        <w:ind w:left="5"/>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63" w:lineRule="exact"/>
        <w:rPr>
          <w:sz w:val="24"/>
          <w:szCs w:val="24"/>
          <w:color w:val="auto"/>
        </w:rPr>
      </w:pPr>
    </w:p>
    <w:p>
      <w:pPr>
        <w:ind w:left="465" w:hanging="465"/>
        <w:spacing w:after="0"/>
        <w:tabs>
          <w:tab w:leader="none" w:pos="4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279" w:lineRule="exact"/>
        <w:rPr>
          <w:sz w:val="24"/>
          <w:szCs w:val="24"/>
          <w:color w:val="auto"/>
        </w:rPr>
      </w:pPr>
    </w:p>
    <w:p>
      <w:pPr>
        <w:ind w:left="5"/>
        <w:spacing w:after="0"/>
        <w:rPr>
          <w:sz w:val="24"/>
          <w:szCs w:val="24"/>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239" w:lineRule="exact"/>
        <w:rPr>
          <w:sz w:val="24"/>
          <w:szCs w:val="24"/>
          <w:color w:val="auto"/>
        </w:rPr>
      </w:pPr>
    </w:p>
    <w:p>
      <w:pPr>
        <w:ind w:left="905" w:hanging="333"/>
        <w:spacing w:after="0"/>
        <w:tabs>
          <w:tab w:leader="none" w:pos="9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76" w:lineRule="exact"/>
        <w:rPr>
          <w:rFonts w:ascii="Times New Roman" w:cs="Times New Roman" w:eastAsia="Times New Roman" w:hAnsi="Times New Roman"/>
          <w:sz w:val="18"/>
          <w:szCs w:val="18"/>
          <w:color w:val="auto"/>
        </w:rPr>
      </w:pPr>
    </w:p>
    <w:p>
      <w:pPr>
        <w:ind w:left="5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556895</wp:posOffset>
            </wp:positionH>
            <wp:positionV relativeFrom="paragraph">
              <wp:posOffset>34290</wp:posOffset>
            </wp:positionV>
            <wp:extent cx="6557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-144780</wp:posOffset>
            </wp:positionV>
            <wp:extent cx="6557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5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w:t>
      </w:r>
    </w:p>
    <w:p>
      <w:pPr>
        <w:spacing w:after="0" w:line="39" w:lineRule="exact"/>
        <w:rPr>
          <w:sz w:val="24"/>
          <w:szCs w:val="24"/>
          <w:color w:val="auto"/>
        </w:rPr>
      </w:pPr>
    </w:p>
    <w:p>
      <w:pPr>
        <w:ind w:left="905" w:hanging="333"/>
        <w:spacing w:after="0"/>
        <w:tabs>
          <w:tab w:leader="none" w:pos="90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is calculated and state how it was determined):</w:t>
      </w:r>
    </w:p>
    <w:p>
      <w:pPr>
        <w:spacing w:after="0" w:line="58" w:lineRule="exact"/>
        <w:rPr>
          <w:rFonts w:ascii="Times New Roman" w:cs="Times New Roman" w:eastAsia="Times New Roman" w:hAnsi="Times New Roman"/>
          <w:sz w:val="18"/>
          <w:szCs w:val="18"/>
          <w:color w:val="auto"/>
        </w:rPr>
      </w:pPr>
    </w:p>
    <w:p>
      <w:pPr>
        <w:ind w:left="5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Proposed maximum aggregate value of transaction:</w:t>
      </w:r>
    </w:p>
    <w:p>
      <w:pPr>
        <w:spacing w:after="0" w:line="76" w:lineRule="exact"/>
        <w:rPr>
          <w:rFonts w:ascii="Times New Roman" w:cs="Times New Roman" w:eastAsia="Times New Roman" w:hAnsi="Times New Roman"/>
          <w:sz w:val="18"/>
          <w:szCs w:val="18"/>
          <w:color w:val="auto"/>
        </w:rPr>
      </w:pPr>
    </w:p>
    <w:p>
      <w:pPr>
        <w:ind w:left="5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Total fee paid:</w:t>
      </w:r>
    </w:p>
    <w:p>
      <w:pPr>
        <w:spacing w:after="0" w:line="63" w:lineRule="exact"/>
        <w:rPr>
          <w:rFonts w:ascii="Times New Roman" w:cs="Times New Roman" w:eastAsia="Times New Roman" w:hAnsi="Times New Roman"/>
          <w:sz w:val="18"/>
          <w:szCs w:val="18"/>
          <w:color w:val="auto"/>
        </w:rPr>
      </w:pPr>
    </w:p>
    <w:p>
      <w:pPr>
        <w:ind w:left="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Times New Roman" w:cs="Times New Roman" w:eastAsia="Times New Roman" w:hAnsi="Times New Roman"/>
          <w:sz w:val="18"/>
          <w:szCs w:val="18"/>
          <w:color w:val="auto"/>
        </w:rPr>
      </w:pPr>
    </w:p>
    <w:p>
      <w:pPr>
        <w:ind w:left="465"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556895</wp:posOffset>
            </wp:positionH>
            <wp:positionV relativeFrom="paragraph">
              <wp:posOffset>-579755</wp:posOffset>
            </wp:positionV>
            <wp:extent cx="6557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-759460</wp:posOffset>
            </wp:positionV>
            <wp:extent cx="6557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-939800</wp:posOffset>
            </wp:positionV>
            <wp:extent cx="6557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7" w:lineRule="exact"/>
        <w:rPr>
          <w:sz w:val="24"/>
          <w:szCs w:val="24"/>
          <w:color w:val="auto"/>
        </w:rPr>
      </w:pPr>
    </w:p>
    <w:p>
      <w:pPr>
        <w:ind w:left="905" w:hanging="333"/>
        <w:spacing w:after="0"/>
        <w:tabs>
          <w:tab w:leader="none" w:pos="9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556895</wp:posOffset>
            </wp:positionH>
            <wp:positionV relativeFrom="paragraph">
              <wp:posOffset>34290</wp:posOffset>
            </wp:positionV>
            <wp:extent cx="655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57" w:lineRule="exact"/>
        <w:rPr>
          <w:sz w:val="24"/>
          <w:szCs w:val="24"/>
          <w:color w:val="auto"/>
        </w:rPr>
      </w:pPr>
    </w:p>
    <w:p>
      <w:pPr>
        <w:ind w:left="905" w:hanging="333"/>
        <w:spacing w:after="0"/>
        <w:tabs>
          <w:tab w:leader="none" w:pos="9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76" w:lineRule="exact"/>
        <w:rPr>
          <w:rFonts w:ascii="Times New Roman" w:cs="Times New Roman" w:eastAsia="Times New Roman" w:hAnsi="Times New Roman"/>
          <w:sz w:val="18"/>
          <w:szCs w:val="18"/>
          <w:color w:val="auto"/>
        </w:rPr>
      </w:pPr>
    </w:p>
    <w:p>
      <w:pPr>
        <w:ind w:left="5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Filing Party:</w:t>
      </w:r>
    </w:p>
    <w:p>
      <w:pPr>
        <w:spacing w:after="0" w:line="76" w:lineRule="exact"/>
        <w:rPr>
          <w:rFonts w:ascii="Times New Roman" w:cs="Times New Roman" w:eastAsia="Times New Roman" w:hAnsi="Times New Roman"/>
          <w:sz w:val="18"/>
          <w:szCs w:val="18"/>
          <w:color w:val="auto"/>
        </w:rPr>
      </w:pPr>
    </w:p>
    <w:p>
      <w:pPr>
        <w:ind w:left="5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556895</wp:posOffset>
            </wp:positionH>
            <wp:positionV relativeFrom="paragraph">
              <wp:posOffset>34290</wp:posOffset>
            </wp:positionV>
            <wp:extent cx="6557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-144780</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556895</wp:posOffset>
            </wp:positionH>
            <wp:positionV relativeFrom="paragraph">
              <wp:posOffset>-325120</wp:posOffset>
            </wp:positionV>
            <wp:extent cx="65576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ectPr>
          <w:pgSz w:w="11900" w:h="16838" w:orient="portrait"/>
          <w:cols w:equalWidth="0" w:num="1">
            <w:col w:w="11145"/>
          </w:cols>
          <w:pgMar w:left="355" w:top="850" w:right="3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483235</wp:posOffset>
            </wp:positionV>
            <wp:extent cx="1748790" cy="591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48790" cy="5911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October 27, 2020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Stockholder: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Board of Directors and all of us on the management team of Oil-Dri Corporation of America cordially invite you to attend the 2020 Annual Meeting of Stockholders, which will be held virtually on Tuesday, December 8, 2020, at 9:30 a.m., local time. You will be able to attend and participate in the Annual Meeting online, vote your shares electronically, and submit your questions during the meeting by visiting www.virtualshareholdermeeting.com/ODC2020.</w:t>
      </w:r>
    </w:p>
    <w:p>
      <w:pPr>
        <w:spacing w:after="0" w:line="1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matters expected to be acted on at the meeting are described in the attached Proxy Statement. We are recommending a slate of eight directors to be elected to our Board of Directors. Their biographies and qualifications appear in the Proxy Statement. In addition, we ask that you ratify the appointment of Grant Thornton LLP as our independent auditor for the fiscal year ending July 31, 2021. We are also asking for your approval, on an advisory basis, of the compensation of the named executive officers disclosed in this Proxy Statement.</w:t>
      </w:r>
    </w:p>
    <w:p>
      <w:pPr>
        <w:spacing w:after="0" w:line="14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encourage you to read our Annual Report on Form 10-K for the fiscal year ending July 31, 2020 that is available at www.proxyvote.com. It includes information on our operations, markets, products, services, and known risk factors, as well as our audited consolidated financial statements.</w:t>
      </w:r>
    </w:p>
    <w:p>
      <w:pPr>
        <w:spacing w:after="0" w:line="1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Due to the uncertainty and concerns related to the coronavirus (COVID-19) pandemic, we have decided to hold the Annual Meeting virtually this year and there will not be a physical location for the 2020 Annual Meeting. In addition to supporting the health and well-being of our stockholders, employees, and their families, we believe that hosting a virtual Annual Meeting will enable greater stockholder attendance and participation, improve meeting efficiency and our ability to communicate effectively with our stockholders, and reduce the cost of the Annual Meeting.</w:t>
      </w:r>
    </w:p>
    <w:p>
      <w:pPr>
        <w:spacing w:after="0" w:line="14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Immediately following adjournment of the Annual Meeting, we will review with attendees the results of the past year and look at some of the potential opportunities that lie ahead.</w:t>
      </w:r>
    </w:p>
    <w:p>
      <w:pPr>
        <w:spacing w:after="0" w:line="11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look forward to your participation in the virtual Annual Meeting. Whether you plan to attend the virtual Annual Meeting or not, you can be sure your shares are represented at the virtual meeting by voting over the Internet or by telephone, as instructed in the Notice Regarding Availability of Proxy Materials or proxy card. If you received a Notice Regarding the Availability of Proxy Materials in the mail, you may also request a paper proxy card to submit your vote by mail if you prefer.</w:t>
      </w:r>
    </w:p>
    <w:p>
      <w:pPr>
        <w:spacing w:after="0" w:line="11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191135</wp:posOffset>
            </wp:positionV>
            <wp:extent cx="123444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2"/>
          <w:szCs w:val="22"/>
          <w:color w:val="auto"/>
        </w:rPr>
        <w:t>DANIEL S. JAFFEE</w:t>
      </w:r>
    </w:p>
    <w:p>
      <w:pPr>
        <w:spacing w:after="0" w:line="4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2"/>
          <w:szCs w:val="22"/>
          <w:i w:val="1"/>
          <w:iCs w:val="1"/>
          <w:color w:val="auto"/>
        </w:rPr>
        <w:t>Chairman of the Board of Directors and President</w:t>
      </w:r>
    </w:p>
    <w:p>
      <w:pPr>
        <w:spacing w:after="0" w:line="1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2"/>
          <w:szCs w:val="22"/>
          <w:i w:val="1"/>
          <w:iCs w:val="1"/>
          <w:color w:val="auto"/>
        </w:rPr>
        <w:t>and Chief Executive Officer</w:t>
      </w:r>
    </w:p>
    <w:p>
      <w:pPr>
        <w:sectPr>
          <w:pgSz w:w="11900" w:h="16838" w:orient="portrait"/>
          <w:cols w:equalWidth="0" w:num="1">
            <w:col w:w="11240"/>
          </w:cols>
          <w:pgMar w:left="320" w:top="1440" w:right="339" w:bottom="1440" w:gutter="0" w:footer="0" w:header="0"/>
        </w:sectPr>
      </w:pPr>
    </w:p>
    <w:bookmarkStart w:id="2" w:name="page3"/>
    <w:bookmarkEnd w:id="2"/>
    <w:p>
      <w:pPr>
        <w:ind w:firstLine="648"/>
        <w:spacing w:after="0" w:line="271" w:lineRule="auto"/>
        <w:rPr>
          <w:sz w:val="20"/>
          <w:szCs w:val="20"/>
          <w:color w:val="auto"/>
        </w:rPr>
      </w:pPr>
      <w:r>
        <w:rPr>
          <w:rFonts w:ascii="Times New Roman" w:cs="Times New Roman" w:eastAsia="Times New Roman" w:hAnsi="Times New Roman"/>
          <w:sz w:val="22"/>
          <w:szCs w:val="22"/>
          <w:color w:val="auto"/>
        </w:rPr>
        <w:t>This proxy statement is dated October 27, 2020 and is being made available to stockholders via the Internet on or about October 27, 2020.</w:t>
      </w:r>
    </w:p>
    <w:p>
      <w:pPr>
        <w:sectPr>
          <w:pgSz w:w="11900" w:h="16838" w:orient="portrait"/>
          <w:cols w:equalWidth="0" w:num="1">
            <w:col w:w="11240"/>
          </w:cols>
          <w:pgMar w:left="320" w:top="74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040" w:type="dxa"/>
            <w:vAlign w:val="bottom"/>
            <w:shd w:val="clear" w:color="auto" w:fill="BFE4FF"/>
          </w:tcPr>
          <w:p>
            <w:pPr>
              <w:ind w:left="40"/>
              <w:spacing w:after="0"/>
              <w:rPr>
                <w:sz w:val="20"/>
                <w:szCs w:val="20"/>
                <w:color w:val="auto"/>
              </w:rPr>
            </w:pPr>
            <w:r>
              <w:rPr>
                <w:rFonts w:ascii="Times New Roman" w:cs="Times New Roman" w:eastAsia="Times New Roman" w:hAnsi="Times New Roman"/>
                <w:sz w:val="20"/>
                <w:szCs w:val="20"/>
                <w:color w:val="auto"/>
              </w:rPr>
              <w:t>NOTICE OF ANNUAL MEETING OF STOCKHOLDERS</w:t>
            </w:r>
          </w:p>
        </w:tc>
        <w:tc>
          <w:tcPr>
            <w:tcW w:w="3200" w:type="dxa"/>
            <w:vAlign w:val="bottom"/>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5">
              <w:r>
                <w:rPr>
                  <w:rFonts w:ascii="Times New Roman" w:cs="Times New Roman" w:eastAsia="Times New Roman" w:hAnsi="Times New Roman"/>
                  <w:sz w:val="20"/>
                  <w:szCs w:val="20"/>
                  <w:u w:val="single" w:color="auto"/>
                  <w:color w:val="0000EE"/>
                </w:rPr>
                <w:t>ii</w:t>
              </w:r>
            </w:hyperlink>
          </w:p>
        </w:tc>
      </w:tr>
      <w:tr>
        <w:trPr>
          <w:trHeight w:val="263"/>
        </w:trPr>
        <w:tc>
          <w:tcPr>
            <w:tcW w:w="8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GENERAL INFORMATION</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7">
              <w:r>
                <w:rPr>
                  <w:rFonts w:ascii="Times New Roman" w:cs="Times New Roman" w:eastAsia="Times New Roman" w:hAnsi="Times New Roman"/>
                  <w:sz w:val="20"/>
                  <w:szCs w:val="20"/>
                  <w:u w:val="single" w:color="auto"/>
                  <w:color w:val="0000EE"/>
                </w:rPr>
                <w:t>1</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4"/>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Commonly Asked Questions and Answers</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8">
              <w:r>
                <w:rPr>
                  <w:rFonts w:ascii="Times New Roman" w:cs="Times New Roman" w:eastAsia="Times New Roman" w:hAnsi="Times New Roman"/>
                  <w:sz w:val="20"/>
                  <w:szCs w:val="20"/>
                  <w:u w:val="single" w:color="auto"/>
                  <w:color w:val="0000EE"/>
                </w:rPr>
                <w:t>2</w:t>
              </w:r>
            </w:hyperlink>
          </w:p>
        </w:tc>
      </w:tr>
      <w:tr>
        <w:trPr>
          <w:trHeight w:val="263"/>
        </w:trPr>
        <w:tc>
          <w:tcPr>
            <w:tcW w:w="8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PROPOSALS</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15">
              <w:r>
                <w:rPr>
                  <w:rFonts w:ascii="Times New Roman" w:cs="Times New Roman" w:eastAsia="Times New Roman" w:hAnsi="Times New Roman"/>
                  <w:sz w:val="20"/>
                  <w:szCs w:val="20"/>
                  <w:u w:val="single" w:color="auto"/>
                  <w:color w:val="0000EE"/>
                </w:rPr>
                <w:t>9</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3"/>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1. Election of Directors</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15">
              <w:r>
                <w:rPr>
                  <w:rFonts w:ascii="Times New Roman" w:cs="Times New Roman" w:eastAsia="Times New Roman" w:hAnsi="Times New Roman"/>
                  <w:sz w:val="20"/>
                  <w:szCs w:val="20"/>
                  <w:u w:val="single" w:color="auto"/>
                  <w:color w:val="0000EE"/>
                </w:rPr>
                <w:t>9</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 Ratification of Appointment of Independent Auditor</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20">
              <w:r>
                <w:rPr>
                  <w:rFonts w:ascii="Times New Roman" w:cs="Times New Roman" w:eastAsia="Times New Roman" w:hAnsi="Times New Roman"/>
                  <w:sz w:val="20"/>
                  <w:szCs w:val="20"/>
                  <w:u w:val="single" w:color="auto"/>
                  <w:color w:val="0000EE"/>
                </w:rPr>
                <w:t>14</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3"/>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3. Advisory Vote on Executive Compensation</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21">
              <w:r>
                <w:rPr>
                  <w:rFonts w:ascii="Times New Roman" w:cs="Times New Roman" w:eastAsia="Times New Roman" w:hAnsi="Times New Roman"/>
                  <w:sz w:val="20"/>
                  <w:szCs w:val="20"/>
                  <w:u w:val="single" w:color="auto"/>
                  <w:color w:val="0000EE"/>
                </w:rPr>
                <w:t>15</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4. Other Matters for the Annual Meeting</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22">
              <w:r>
                <w:rPr>
                  <w:rFonts w:ascii="Times New Roman" w:cs="Times New Roman" w:eastAsia="Times New Roman" w:hAnsi="Times New Roman"/>
                  <w:sz w:val="20"/>
                  <w:szCs w:val="20"/>
                  <w:u w:val="single" w:color="auto"/>
                  <w:color w:val="0000EE"/>
                </w:rPr>
                <w:t>16</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4"/>
        </w:trPr>
        <w:tc>
          <w:tcPr>
            <w:tcW w:w="804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20"/>
                <w:szCs w:val="20"/>
                <w:color w:val="auto"/>
              </w:rPr>
              <w:t>CORPORATE GOVERNANCE MATTERS</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22">
              <w:r>
                <w:rPr>
                  <w:rFonts w:ascii="Times New Roman" w:cs="Times New Roman" w:eastAsia="Times New Roman" w:hAnsi="Times New Roman"/>
                  <w:sz w:val="20"/>
                  <w:szCs w:val="20"/>
                  <w:u w:val="single" w:color="auto"/>
                  <w:color w:val="0000EE"/>
                </w:rPr>
                <w:t>16</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Controlled Company Status</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22">
              <w:r>
                <w:rPr>
                  <w:rFonts w:ascii="Times New Roman" w:cs="Times New Roman" w:eastAsia="Times New Roman" w:hAnsi="Times New Roman"/>
                  <w:sz w:val="20"/>
                  <w:szCs w:val="20"/>
                  <w:u w:val="single" w:color="auto"/>
                  <w:color w:val="0000EE"/>
                </w:rPr>
                <w:t>16</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3"/>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Director Independence</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23">
              <w:r>
                <w:rPr>
                  <w:rFonts w:ascii="Times New Roman" w:cs="Times New Roman" w:eastAsia="Times New Roman" w:hAnsi="Times New Roman"/>
                  <w:sz w:val="20"/>
                  <w:szCs w:val="20"/>
                  <w:u w:val="single" w:color="auto"/>
                  <w:color w:val="0000EE"/>
                </w:rPr>
                <w:t>17</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Executive Sessions of Non-Management Directors</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23">
              <w:r>
                <w:rPr>
                  <w:rFonts w:ascii="Times New Roman" w:cs="Times New Roman" w:eastAsia="Times New Roman" w:hAnsi="Times New Roman"/>
                  <w:sz w:val="20"/>
                  <w:szCs w:val="20"/>
                  <w:u w:val="single" w:color="auto"/>
                  <w:color w:val="0000EE"/>
                </w:rPr>
                <w:t>17</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3"/>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Board of Directors Committee Membership and Meetings</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24">
              <w:r>
                <w:rPr>
                  <w:rFonts w:ascii="Times New Roman" w:cs="Times New Roman" w:eastAsia="Times New Roman" w:hAnsi="Times New Roman"/>
                  <w:sz w:val="20"/>
                  <w:szCs w:val="20"/>
                  <w:u w:val="single" w:color="auto"/>
                  <w:color w:val="0000EE"/>
                </w:rPr>
                <w:t>18</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Director Nominations</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26">
              <w:r>
                <w:rPr>
                  <w:rFonts w:ascii="Times New Roman" w:cs="Times New Roman" w:eastAsia="Times New Roman" w:hAnsi="Times New Roman"/>
                  <w:sz w:val="20"/>
                  <w:szCs w:val="20"/>
                  <w:u w:val="single" w:color="auto"/>
                  <w:color w:val="0000EE"/>
                </w:rPr>
                <w:t>20</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3"/>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Board Leadership Structure and Role in Risk Oversight</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27">
              <w:r>
                <w:rPr>
                  <w:rFonts w:ascii="Times New Roman" w:cs="Times New Roman" w:eastAsia="Times New Roman" w:hAnsi="Times New Roman"/>
                  <w:sz w:val="20"/>
                  <w:szCs w:val="20"/>
                  <w:u w:val="single" w:color="auto"/>
                  <w:color w:val="0000EE"/>
                </w:rPr>
                <w:t>21</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Communication with the Board of Directors</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28">
              <w:r>
                <w:rPr>
                  <w:rFonts w:ascii="Times New Roman" w:cs="Times New Roman" w:eastAsia="Times New Roman" w:hAnsi="Times New Roman"/>
                  <w:sz w:val="20"/>
                  <w:szCs w:val="20"/>
                  <w:u w:val="single" w:color="auto"/>
                  <w:color w:val="0000EE"/>
                </w:rPr>
                <w:t>22</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3"/>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Director Compensation</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28">
              <w:r>
                <w:rPr>
                  <w:rFonts w:ascii="Times New Roman" w:cs="Times New Roman" w:eastAsia="Times New Roman" w:hAnsi="Times New Roman"/>
                  <w:sz w:val="20"/>
                  <w:szCs w:val="20"/>
                  <w:u w:val="single" w:color="auto"/>
                  <w:color w:val="0000EE"/>
                </w:rPr>
                <w:t>22</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Director Compensation Table</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29">
              <w:r>
                <w:rPr>
                  <w:rFonts w:ascii="Times New Roman" w:cs="Times New Roman" w:eastAsia="Times New Roman" w:hAnsi="Times New Roman"/>
                  <w:sz w:val="20"/>
                  <w:szCs w:val="20"/>
                  <w:u w:val="single" w:color="auto"/>
                  <w:color w:val="0000EE"/>
                </w:rPr>
                <w:t>23</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4"/>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Directors’ Option Awards Outstanding Table</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29">
              <w:r>
                <w:rPr>
                  <w:rFonts w:ascii="Times New Roman" w:cs="Times New Roman" w:eastAsia="Times New Roman" w:hAnsi="Times New Roman"/>
                  <w:sz w:val="20"/>
                  <w:szCs w:val="20"/>
                  <w:u w:val="single" w:color="auto"/>
                  <w:color w:val="0000EE"/>
                </w:rPr>
                <w:t>23</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Corporate Governance Guidelines and Code of Ethics</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30">
              <w:r>
                <w:rPr>
                  <w:rFonts w:ascii="Times New Roman" w:cs="Times New Roman" w:eastAsia="Times New Roman" w:hAnsi="Times New Roman"/>
                  <w:sz w:val="20"/>
                  <w:szCs w:val="20"/>
                  <w:u w:val="single" w:color="auto"/>
                  <w:color w:val="0000EE"/>
                </w:rPr>
                <w:t>24</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3"/>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Other Corporate Governance Matters - COVID-19 Response</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31">
              <w:r>
                <w:rPr>
                  <w:rFonts w:ascii="Times New Roman" w:cs="Times New Roman" w:eastAsia="Times New Roman" w:hAnsi="Times New Roman"/>
                  <w:sz w:val="20"/>
                  <w:szCs w:val="20"/>
                  <w:u w:val="single" w:color="auto"/>
                  <w:color w:val="0000EE"/>
                </w:rPr>
                <w:t>25</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Certain Relationships and Related Party Transactions</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31">
              <w:r>
                <w:rPr>
                  <w:rFonts w:ascii="Times New Roman" w:cs="Times New Roman" w:eastAsia="Times New Roman" w:hAnsi="Times New Roman"/>
                  <w:sz w:val="20"/>
                  <w:szCs w:val="20"/>
                  <w:u w:val="single" w:color="auto"/>
                  <w:color w:val="0000EE"/>
                </w:rPr>
                <w:t>25</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3"/>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Report of the Audit Committee of the Board of Directors</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33">
              <w:r>
                <w:rPr>
                  <w:rFonts w:ascii="Times New Roman" w:cs="Times New Roman" w:eastAsia="Times New Roman" w:hAnsi="Times New Roman"/>
                  <w:sz w:val="20"/>
                  <w:szCs w:val="20"/>
                  <w:u w:val="single" w:color="auto"/>
                  <w:color w:val="0000EE"/>
                </w:rPr>
                <w:t>27</w:t>
              </w:r>
            </w:hyperlink>
          </w:p>
        </w:tc>
      </w:tr>
      <w:tr>
        <w:trPr>
          <w:trHeight w:val="263"/>
        </w:trPr>
        <w:tc>
          <w:tcPr>
            <w:tcW w:w="8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EXECUTIVE OFFICERS</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34">
              <w:r>
                <w:rPr>
                  <w:rFonts w:ascii="Times New Roman" w:cs="Times New Roman" w:eastAsia="Times New Roman" w:hAnsi="Times New Roman"/>
                  <w:sz w:val="20"/>
                  <w:szCs w:val="20"/>
                  <w:u w:val="single" w:color="auto"/>
                  <w:color w:val="0000EE"/>
                </w:rPr>
                <w:t>28</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4"/>
        </w:trPr>
        <w:tc>
          <w:tcPr>
            <w:tcW w:w="804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20"/>
                <w:szCs w:val="20"/>
                <w:color w:val="auto"/>
              </w:rPr>
              <w:t>EXECUTIVE COMPENSATION</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35">
              <w:r>
                <w:rPr>
                  <w:rFonts w:ascii="Times New Roman" w:cs="Times New Roman" w:eastAsia="Times New Roman" w:hAnsi="Times New Roman"/>
                  <w:sz w:val="20"/>
                  <w:szCs w:val="20"/>
                  <w:u w:val="single" w:color="auto"/>
                  <w:color w:val="0000EE"/>
                </w:rPr>
                <w:t>29</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Summary Compensation Table</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35">
              <w:r>
                <w:rPr>
                  <w:rFonts w:ascii="Times New Roman" w:cs="Times New Roman" w:eastAsia="Times New Roman" w:hAnsi="Times New Roman"/>
                  <w:sz w:val="20"/>
                  <w:szCs w:val="20"/>
                  <w:u w:val="single" w:color="auto"/>
                  <w:color w:val="0000EE"/>
                </w:rPr>
                <w:t>29</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4"/>
        </w:trPr>
        <w:tc>
          <w:tcPr>
            <w:tcW w:w="8040" w:type="dxa"/>
            <w:vAlign w:val="bottom"/>
            <w:tcBorders>
              <w:bottom w:val="single" w:sz="8" w:color="BFE4FF"/>
            </w:tcBorders>
            <w:shd w:val="clear" w:color="auto" w:fill="BFE4FF"/>
          </w:tcPr>
          <w:p>
            <w:pPr>
              <w:ind w:left="420"/>
              <w:spacing w:after="0"/>
              <w:rPr>
                <w:sz w:val="20"/>
                <w:szCs w:val="20"/>
                <w:color w:val="auto"/>
              </w:rPr>
            </w:pPr>
            <w:r>
              <w:rPr>
                <w:rFonts w:ascii="Times New Roman" w:cs="Times New Roman" w:eastAsia="Times New Roman" w:hAnsi="Times New Roman"/>
                <w:sz w:val="20"/>
                <w:szCs w:val="20"/>
                <w:color w:val="auto"/>
              </w:rPr>
              <w:t>All Other Compensation Table</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36">
              <w:r>
                <w:rPr>
                  <w:rFonts w:ascii="Times New Roman" w:cs="Times New Roman" w:eastAsia="Times New Roman" w:hAnsi="Times New Roman"/>
                  <w:sz w:val="20"/>
                  <w:szCs w:val="20"/>
                  <w:u w:val="single" w:color="auto"/>
                  <w:color w:val="0000EE"/>
                </w:rPr>
                <w:t>30</w:t>
              </w:r>
            </w:hyperlink>
          </w:p>
        </w:tc>
      </w:tr>
      <w:tr>
        <w:trPr>
          <w:trHeight w:val="262"/>
        </w:trPr>
        <w:tc>
          <w:tcPr>
            <w:tcW w:w="80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Narrative Disclosure to Summary Compensation Table</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36">
              <w:r>
                <w:rPr>
                  <w:rFonts w:ascii="Times New Roman" w:cs="Times New Roman" w:eastAsia="Times New Roman" w:hAnsi="Times New Roman"/>
                  <w:sz w:val="20"/>
                  <w:szCs w:val="20"/>
                  <w:u w:val="single" w:color="auto"/>
                  <w:color w:val="0000EE"/>
                </w:rPr>
                <w:t>30</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3"/>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Outstanding Equity Awards at Fiscal 2020 Year End</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38">
              <w:r>
                <w:rPr>
                  <w:rFonts w:ascii="Times New Roman" w:cs="Times New Roman" w:eastAsia="Times New Roman" w:hAnsi="Times New Roman"/>
                  <w:sz w:val="20"/>
                  <w:szCs w:val="20"/>
                  <w:u w:val="single" w:color="auto"/>
                  <w:color w:val="0000EE"/>
                </w:rPr>
                <w:t>32</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Pension Benefits for Fiscal 2020</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39">
              <w:r>
                <w:rPr>
                  <w:rFonts w:ascii="Times New Roman" w:cs="Times New Roman" w:eastAsia="Times New Roman" w:hAnsi="Times New Roman"/>
                  <w:sz w:val="20"/>
                  <w:szCs w:val="20"/>
                  <w:u w:val="single" w:color="auto"/>
                  <w:color w:val="0000EE"/>
                </w:rPr>
                <w:t>33</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3"/>
        </w:trPr>
        <w:tc>
          <w:tcPr>
            <w:tcW w:w="8040" w:type="dxa"/>
            <w:vAlign w:val="bottom"/>
            <w:tcBorders>
              <w:bottom w:val="single" w:sz="8" w:color="BFE4FF"/>
            </w:tcBorders>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Nonqualified Deferred Compensation for Fiscal 2020</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40">
              <w:r>
                <w:rPr>
                  <w:rFonts w:ascii="Times New Roman" w:cs="Times New Roman" w:eastAsia="Times New Roman" w:hAnsi="Times New Roman"/>
                  <w:sz w:val="20"/>
                  <w:szCs w:val="20"/>
                  <w:u w:val="single" w:color="auto"/>
                  <w:color w:val="0000EE"/>
                </w:rPr>
                <w:t>34</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Benefits upon Termination or Change in Control</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40">
              <w:r>
                <w:rPr>
                  <w:rFonts w:ascii="Times New Roman" w:cs="Times New Roman" w:eastAsia="Times New Roman" w:hAnsi="Times New Roman"/>
                  <w:sz w:val="20"/>
                  <w:szCs w:val="20"/>
                  <w:u w:val="single" w:color="auto"/>
                  <w:color w:val="0000EE"/>
                </w:rPr>
                <w:t>34</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4"/>
        </w:trPr>
        <w:tc>
          <w:tcPr>
            <w:tcW w:w="804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20"/>
                <w:szCs w:val="20"/>
                <w:color w:val="auto"/>
              </w:rPr>
              <w:t>STOCK OWNERSHIP</w:t>
            </w:r>
          </w:p>
        </w:tc>
        <w:tc>
          <w:tcPr>
            <w:tcW w:w="3200" w:type="dxa"/>
            <w:vAlign w:val="bottom"/>
            <w:tcBorders>
              <w:bottom w:val="single" w:sz="8" w:color="BFE4FF"/>
            </w:tcBorders>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43">
              <w:r>
                <w:rPr>
                  <w:rFonts w:ascii="Times New Roman" w:cs="Times New Roman" w:eastAsia="Times New Roman" w:hAnsi="Times New Roman"/>
                  <w:sz w:val="20"/>
                  <w:szCs w:val="20"/>
                  <w:u w:val="single" w:color="auto"/>
                  <w:color w:val="0000EE"/>
                </w:rPr>
                <w:t>37</w:t>
              </w:r>
            </w:hyperlink>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Principal Stockholders</w:t>
            </w:r>
          </w:p>
        </w:tc>
        <w:tc>
          <w:tcPr>
            <w:tcW w:w="3200" w:type="dxa"/>
            <w:vAlign w:val="bottom"/>
          </w:tcPr>
          <w:p>
            <w:pPr>
              <w:jc w:val="right"/>
              <w:spacing w:after="0"/>
              <w:rPr>
                <w:rFonts w:ascii="Times New Roman" w:cs="Times New Roman" w:eastAsia="Times New Roman" w:hAnsi="Times New Roman"/>
                <w:sz w:val="20"/>
                <w:szCs w:val="20"/>
                <w:u w:val="single" w:color="auto"/>
                <w:color w:val="0000EE"/>
              </w:rPr>
            </w:pPr>
            <w:hyperlink w:anchor="page43">
              <w:r>
                <w:rPr>
                  <w:rFonts w:ascii="Times New Roman" w:cs="Times New Roman" w:eastAsia="Times New Roman" w:hAnsi="Times New Roman"/>
                  <w:sz w:val="20"/>
                  <w:szCs w:val="20"/>
                  <w:u w:val="single" w:color="auto"/>
                  <w:color w:val="0000EE"/>
                </w:rPr>
                <w:t>37</w:t>
              </w:r>
            </w:hyperlink>
          </w:p>
        </w:tc>
      </w:tr>
      <w:tr>
        <w:trPr>
          <w:trHeight w:val="21"/>
        </w:trPr>
        <w:tc>
          <w:tcPr>
            <w:tcW w:w="80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63"/>
        </w:trPr>
        <w:tc>
          <w:tcPr>
            <w:tcW w:w="8040" w:type="dxa"/>
            <w:vAlign w:val="bottom"/>
            <w:shd w:val="clear" w:color="auto" w:fill="BFE4FF"/>
          </w:tcPr>
          <w:p>
            <w:pPr>
              <w:ind w:left="240"/>
              <w:spacing w:after="0"/>
              <w:rPr>
                <w:sz w:val="20"/>
                <w:szCs w:val="20"/>
                <w:color w:val="auto"/>
              </w:rPr>
            </w:pPr>
            <w:r>
              <w:rPr>
                <w:rFonts w:ascii="Times New Roman" w:cs="Times New Roman" w:eastAsia="Times New Roman" w:hAnsi="Times New Roman"/>
                <w:sz w:val="20"/>
                <w:szCs w:val="20"/>
                <w:color w:val="auto"/>
              </w:rPr>
              <w:t>Security Ownership of Management</w:t>
            </w:r>
          </w:p>
        </w:tc>
        <w:tc>
          <w:tcPr>
            <w:tcW w:w="3200" w:type="dxa"/>
            <w:vAlign w:val="bottom"/>
            <w:shd w:val="clear" w:color="auto" w:fill="BFE4FF"/>
          </w:tcPr>
          <w:p>
            <w:pPr>
              <w:jc w:val="right"/>
              <w:spacing w:after="0"/>
              <w:rPr>
                <w:rFonts w:ascii="Times New Roman" w:cs="Times New Roman" w:eastAsia="Times New Roman" w:hAnsi="Times New Roman"/>
                <w:sz w:val="20"/>
                <w:szCs w:val="20"/>
                <w:u w:val="single" w:color="auto"/>
                <w:color w:val="0000EE"/>
              </w:rPr>
            </w:pPr>
            <w:hyperlink w:anchor="page46">
              <w:r>
                <w:rPr>
                  <w:rFonts w:ascii="Times New Roman" w:cs="Times New Roman" w:eastAsia="Times New Roman" w:hAnsi="Times New Roman"/>
                  <w:sz w:val="20"/>
                  <w:szCs w:val="20"/>
                  <w:u w:val="single" w:color="auto"/>
                  <w:color w:val="0000EE"/>
                </w:rPr>
                <w:t>40</w:t>
              </w:r>
            </w:hyperlink>
          </w:p>
        </w:tc>
      </w:tr>
      <w:tr>
        <w:trPr>
          <w:trHeight w:val="21"/>
        </w:trPr>
        <w:tc>
          <w:tcPr>
            <w:tcW w:w="8040" w:type="dxa"/>
            <w:vAlign w:val="bottom"/>
            <w:shd w:val="clear" w:color="auto" w:fill="BFE4FF"/>
          </w:tcPr>
          <w:p>
            <w:pPr>
              <w:spacing w:after="0" w:line="20" w:lineRule="exact"/>
              <w:rPr>
                <w:sz w:val="1"/>
                <w:szCs w:val="1"/>
                <w:color w:val="auto"/>
              </w:rPr>
            </w:pPr>
          </w:p>
        </w:tc>
        <w:tc>
          <w:tcPr>
            <w:tcW w:w="3200" w:type="dxa"/>
            <w:vAlign w:val="bottom"/>
            <w:shd w:val="clear" w:color="auto" w:fill="BFE4FF"/>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8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5"/>
          <w:szCs w:val="25"/>
          <w:b w:val="1"/>
          <w:bCs w:val="1"/>
          <w:color w:val="auto"/>
        </w:rPr>
        <w:t>OIL-DRI CORPORATION OF AMERICA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ANNUAL MEETING OF STOCKHOLDERS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virtually on December 8, 2020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Stockholders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Oil-Dri Corporation of America:</w:t>
      </w:r>
    </w:p>
    <w:p>
      <w:pPr>
        <w:spacing w:after="0" w:line="155"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The 2020 Annual Meeting of Stockholders of Oil-Dri Corporation of America, a Delaware corporation (the “Company”), will be held virtually at 9:30 a.m., local time, on Tuesday, December 8, 2020, at www.virtualshareholdermeeting.com/ODC2020.</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meeting will be held for the following purposes:</w:t>
      </w:r>
    </w:p>
    <w:p>
      <w:pPr>
        <w:spacing w:after="0" w:line="179" w:lineRule="exact"/>
        <w:rPr>
          <w:sz w:val="20"/>
          <w:szCs w:val="20"/>
          <w:color w:val="auto"/>
        </w:rPr>
      </w:pPr>
    </w:p>
    <w:p>
      <w:pPr>
        <w:ind w:left="1040" w:hanging="384"/>
        <w:spacing w:after="0"/>
        <w:tabs>
          <w:tab w:leader="none" w:pos="10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elect eight directors;</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08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ratify the appointment of Grant Thornton LLP as the Company’s independent auditor for the fiscal year ending July 31, 2021;</w:t>
      </w:r>
    </w:p>
    <w:p>
      <w:pPr>
        <w:spacing w:after="0" w:line="11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approve on an advisory basis, the compensation of the named executive officers disclosed in this Proxy Statement;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55"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transact such other business as may properly come before the meeting and any adjournment thereof.</w:t>
      </w:r>
    </w:p>
    <w:p>
      <w:pPr>
        <w:spacing w:after="0" w:line="2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Our Board of Directors has determined that only holders of record of outstanding shares of Common Stock and Class B Stock at the close of business on Friday, October 9, 2020, are entitled to notice of, and to vote at, the meeting and any adjournment thereof.</w:t>
      </w:r>
    </w:p>
    <w:p>
      <w:pPr>
        <w:spacing w:after="0" w:line="12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Your vote is very important. Whether you intend to attend the virtual meeting or not, you are encouraged to vote, as promptly as possible, over the Internet or by telephone, as instructed in the Notice Regarding the Availability of Proxy Materials or proxy card. If you received a Notice Regarding the Availability of Proxy Materials in the mail, you may also request a paper proxy card to submit your vote by mail if you prefer.</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further information relating to the meeting, please see the following pages.</w:t>
      </w:r>
    </w:p>
    <w:p>
      <w:pPr>
        <w:spacing w:after="0" w:line="32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113665</wp:posOffset>
            </wp:positionV>
            <wp:extent cx="1423035"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color w:val="auto"/>
        </w:rPr>
        <w:t>LAURA G. SCHELAND</w:t>
      </w:r>
    </w:p>
    <w:p>
      <w:pPr>
        <w:spacing w:after="0" w:line="4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2"/>
          <w:szCs w:val="22"/>
          <w:i w:val="1"/>
          <w:iCs w:val="1"/>
          <w:color w:val="auto"/>
        </w:rPr>
        <w:t>Secretary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27, 2020</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732" w:right="339" w:bottom="1440" w:gutter="0" w:footer="0" w:header="0"/>
        </w:sectPr>
      </w:pPr>
    </w:p>
    <w:bookmarkStart w:id="5" w:name="page6"/>
    <w:bookmarkEnd w:id="5"/>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Notice of Internet Availability of Proxy Materials: 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Annual Meeting. Our proxy materials, including our Proxy Statement, 2020 Annual Report on Form 10-K for the fiscal year ended July 31, 2020 and proxy card, are available on the Internet at http://www.oildri.com/2020proxymaterials. On or about October 27, 2020, we will mail to most of our stockholders a notice containing instructions on how to access this proxy statement and our annual report and to vote via the Internet or by telephone.</w:t>
      </w:r>
    </w:p>
    <w:p>
      <w:pPr>
        <w:spacing w:after="0" w:line="22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Online Attendance of the Annual Meeting: You are entitled to attend and participate in the meeting if you were a stockholder of record as of the close of business on October 9, 2020. To attend and participate in the meeting, you will need the 16-digit control number included on your Notice of Internet Availability of Proxy Materials, proxy card, or voting instruction form. You may also ask questions, vote online, and examine our stockholder list during the meeting by following the instructions provided at www.virtualshareholdermeeting.com/ODC2020 during the meeting. Please see “Virtual Meeting Format” beginning on page 1 of the accompanying Proxy Statement for details regarding the virtual annual meeting.</w:t>
      </w:r>
    </w:p>
    <w:p>
      <w:pPr>
        <w:sectPr>
          <w:pgSz w:w="11900" w:h="16838" w:orient="portrait"/>
          <w:cols w:equalWidth="0" w:num="1">
            <w:col w:w="11240"/>
          </w:cols>
          <w:pgMar w:left="320" w:top="74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5"/>
          <w:szCs w:val="25"/>
          <w:b w:val="1"/>
          <w:bCs w:val="1"/>
          <w:color w:val="auto"/>
        </w:rPr>
        <w:t>OIL-DRI CORPORATION OF AMERICA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410 North Michigan Avenue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Suite 400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Chicago, Illinois 60611-4213</w:t>
      </w:r>
    </w:p>
    <w:p>
      <w:pPr>
        <w:spacing w:after="0" w:line="15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______________</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PROXY STATEMENT</w:t>
      </w:r>
    </w:p>
    <w:p>
      <w:pPr>
        <w:spacing w:after="0" w:line="19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______________</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GENERAL INFORMATION</w:t>
      </w:r>
    </w:p>
    <w:p>
      <w:pPr>
        <w:spacing w:after="0" w:line="241" w:lineRule="exact"/>
        <w:rPr>
          <w:sz w:val="20"/>
          <w:szCs w:val="20"/>
          <w:color w:val="auto"/>
        </w:rPr>
      </w:pPr>
    </w:p>
    <w:p>
      <w:pPr>
        <w:jc w:val="both"/>
        <w:ind w:firstLine="379"/>
        <w:spacing w:after="0" w:line="248" w:lineRule="auto"/>
        <w:rPr>
          <w:sz w:val="20"/>
          <w:szCs w:val="20"/>
          <w:color w:val="auto"/>
        </w:rPr>
      </w:pPr>
      <w:r>
        <w:rPr>
          <w:rFonts w:ascii="Times New Roman" w:cs="Times New Roman" w:eastAsia="Times New Roman" w:hAnsi="Times New Roman"/>
          <w:sz w:val="22"/>
          <w:szCs w:val="22"/>
          <w:color w:val="auto"/>
        </w:rPr>
        <w:t>This Proxy Statement is delivered and solicited on behalf of the Board of Directors of Oil-Dri Corporation of America, a Delaware corporation, in connection with the virtual 2020 Annual Meeting of Stockholders (the “2020 Annual Meeting”) to be held at 9:30 a.m., local time, on Tuesday, December 8, 2020, notice of which accompanies this Proxy Statement, and at any adjournment of the meeting. The Notice Regarding the Availability of Proxy Materials (the “Notice”) is being distributed, and the Notice of Annual Meeting of Stockholders, this Proxy Statement and form of proxy are being made available on the Internet, on or about October 27, 2020. In addition, we encourage you to review our Annual Report on Form 10-K that was filed on October 13, 2020. Our Form 10-K should not be deemed to be part of this Proxy Statement.</w:t>
      </w:r>
    </w:p>
    <w:p>
      <w:pPr>
        <w:spacing w:after="0" w:line="14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As a stockholder, you are invited to attend the virtual 2020 Annual Meeting and are requested to vote on the items of business described in this Proxy Statement. This Proxy Statement includes information that we are required to provide to you under the United States Securities and Exchange Commission (“SEC”) rules and is designed to assist you in voting your shares. Whenever we refer in this Proxy Statement to the “2020 Annual Meeting,” we are also referring to any meeting that results from an adjournment of the 2020 Annual Meeting. Except as otherwise indicated herein or as the context otherwise requires, references to the “Company,” “we,” “us” or “our” refer to Oil-Dri Corporation of America.</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2018, the SEC adopted amendments that raised the threshold for qualifying as a “smaller reporting company” (“SRC”). Oil-Dri met the qualifications of an SRC as of January 31, 2020; therefore, this Proxy Statement reflects several of the scaled disclosure requirements that SRCs may utilize.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Virtual Meeting Format</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Due to the uncertainty and concerns relating to the COVID-19 pandemic, we have decided to hold the 2020 Annual Meeting virtually via live webcast. There will not be a physical location for the 2020 Annual Meeting and you will not be able to attend in person. In addition to supporting the health and well-being of our stockholders, employees and their families, we believe that hosting a virtual annual meeting will enable stockholders to attend and participate fully and equally, improve meeting efficiency and our ability to effectively communicate and engage with our stockholders and provide for cost savings to the company and our stockholders.</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have designed the virtual 2020 Annual Meeting to provide the same rights and opportunities to participate as you would have at an in-person meeting. Stockholders will be able to attend and participate online and submit questions during the 2020 Annual Meeting by visiting www.virtualshareholdermeeting.com/ODC2020.</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32" w:right="339" w:bottom="1440" w:gutter="0" w:footer="0" w:header="0"/>
        </w:sectPr>
      </w:pPr>
    </w:p>
    <w:bookmarkStart w:id="7" w:name="page8"/>
    <w:bookmarkEnd w:id="7"/>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To attend and participate in the 2020 Annual Meeting, you will need the 16-digit control number included on your Notice of Internet Availability of Proxy Materials, proxy card, or voting instruction form. The 2020 Annual Meeting will begin promptly at 9:30 a.m. local time. We encourage you to access the 2020 Annual Meeting prior to the start time. Online access will begin at 9:15 a.m. local time.</w:t>
      </w:r>
    </w:p>
    <w:p>
      <w:pPr>
        <w:spacing w:after="0" w:line="1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you do not have a 16-digit control number, you may still attend the meeting as a guest in “listen-only” mode. To attend as a guest, please access www.virtualshareholdermeeting.com/ODC2020 and enter the information requested on the screen to register as a guest. Please note that you will not have the ability to ask questions, vote, or examine the list of stockholders during the meeting if you participate as a guest. After the meeting, an archived copy of the audio webcast will be posted on our website at www.oildri.com/investors and will remain available for at least one year following the meeting.</w:t>
      </w:r>
    </w:p>
    <w:p>
      <w:pPr>
        <w:spacing w:after="0" w:line="14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virtual 2020 Annual Meeting platform is fully supported across browsers (Internet Explorer, Firefox, Chrome, and Safari) and devices (desktops, laptops, tablets, and cell phones) running the most updated version of applicable software and plugins. Stockholders should ensure that they have a strong internet connection if they intend to attend and/or participate in the 2020 Annual Meeting. Attendees should allow plenty of time to log in and ensure that they can hear streaming audio prior to the start of the 2020 Annual Meeting.</w:t>
      </w:r>
    </w:p>
    <w:p>
      <w:pPr>
        <w:spacing w:after="0" w:line="14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you encounter any difficulties accessing the virtual 2020 Annual Meeting during the check-in or meeting time, please call technical support at (800) 586-1548 (US) or (303) 562-9288 (International) for assistance. Technical support will be available beginning at 9:00 a.m. local time on December 8, 2020 through the conclusion of the 2020 Annual Meeting.</w:t>
      </w:r>
    </w:p>
    <w:p>
      <w:pPr>
        <w:spacing w:after="0" w:line="200" w:lineRule="exact"/>
        <w:rPr>
          <w:sz w:val="20"/>
          <w:szCs w:val="20"/>
          <w:color w:val="auto"/>
        </w:rPr>
      </w:pPr>
    </w:p>
    <w:p>
      <w:pPr>
        <w:spacing w:after="0" w:line="3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5"/>
          <w:szCs w:val="25"/>
          <w:b w:val="1"/>
          <w:bCs w:val="1"/>
          <w:color w:val="auto"/>
        </w:rPr>
        <w:t>Commonly Asked Questions and Answers</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Why am I receiving these materials?</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Notice is being delivered to all stockholders of record as of the close of business on October 9, 2020 (the “Record Date”) in connection with the solicitation of proxies on behalf of our Board of Directors for use at the 2020 Annual Meeting on December 8, 2020.</w:t>
      </w:r>
    </w:p>
    <w:p>
      <w:pPr>
        <w:spacing w:after="0" w:line="61" w:lineRule="exact"/>
        <w:rPr>
          <w:sz w:val="20"/>
          <w:szCs w:val="20"/>
          <w:color w:val="auto"/>
        </w:rPr>
      </w:pPr>
    </w:p>
    <w:p>
      <w:pPr>
        <w:ind w:left="660" w:right="20" w:hanging="652"/>
        <w:spacing w:after="0" w:line="275" w:lineRule="auto"/>
        <w:tabs>
          <w:tab w:leader="none" w:pos="66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Why did I receive a notice in the mail regarding the Internet availability of proxy materials instead of a full set of proxy materials?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Pursuant to “e-proxy” rules adopted by the SEC, we may furnish proxy materials, including this Proxy Statement and our Annual Report (collectively, “proxy materials”), to our stockholders by providing access to such documents on the Internet instead of mailing printed copies. Accordingly, we are mailing the Notice to our stockholders of record and beneficial owners as of the Record Date and making the proxy materials available on the Internet.</w:t>
      </w:r>
    </w:p>
    <w:p>
      <w:pPr>
        <w:spacing w:after="0" w:line="40"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How can I access the proxy materials over the Internet?</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Notice and proxy card or voting instruction card contain instructions on how to view the proxy materials on the Internet, vote your shares on the Internet, and request electronic delivery of future proxy materials. Electronic copies of this Proxy Statement and Annual Report are available at www.proxyvote.com. If you received a Notice and would like to receive a paper copy of the proxy materials free of charge, please follow the instructions in the Notice.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2" w:right="339" w:bottom="1440" w:gutter="0" w:footer="0" w:header="0"/>
        </w:sectPr>
      </w:pPr>
    </w:p>
    <w:bookmarkStart w:id="8" w:name="page9"/>
    <w:bookmarkEnd w:id="8"/>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Why is the Company holding a virtual annual meeting?</w:t>
      </w:r>
    </w:p>
    <w:p>
      <w:pPr>
        <w:spacing w:after="0" w:line="1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As part of our effort to maintain a safe and healthy environment during the current COVID-19 pandemic, we believe that hosting a virtual meeting is the best way to protect the health of our directors, management team, and stockholders who wish to attend the Annual Meeting. Hosting the annual meeting virtually will also allow for increased stockholder attendance and participation.</w:t>
      </w:r>
    </w:p>
    <w:p>
      <w:pPr>
        <w:spacing w:after="0" w:line="124" w:lineRule="exact"/>
        <w:rPr>
          <w:sz w:val="20"/>
          <w:szCs w:val="20"/>
          <w:color w:val="auto"/>
        </w:rPr>
      </w:pPr>
    </w:p>
    <w:p>
      <w:pPr>
        <w:ind w:right="5140" w:firstLine="8"/>
        <w:spacing w:after="0" w:line="362" w:lineRule="auto"/>
        <w:tabs>
          <w:tab w:leader="none" w:pos="378"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Do I need to register in advance to attend the virtual meeting? </w:t>
      </w:r>
      <w:r>
        <w:rPr>
          <w:rFonts w:ascii="Times New Roman" w:cs="Times New Roman" w:eastAsia="Times New Roman" w:hAnsi="Times New Roman"/>
          <w:sz w:val="21"/>
          <w:szCs w:val="21"/>
          <w:color w:val="auto"/>
        </w:rPr>
        <w:t>You do not have to register in advance to attend the virtual meeting.</w:t>
      </w:r>
    </w:p>
    <w:p>
      <w:pPr>
        <w:ind w:left="380" w:hanging="372"/>
        <w:spacing w:after="0"/>
        <w:tabs>
          <w:tab w:leader="none" w:pos="38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 is entitled to vote at the 2020 Annual Meeting?</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Our Board of Directors has established the close of business on Friday, October 9, 2020, as the Record Date for the 2020 Annual Meeting. Only stockholders of record as of the close of business on the Record Date are entitled to receive notice of, and to vote at, the 2020 Annual Meeting.</w:t>
      </w:r>
    </w:p>
    <w:p>
      <w:pPr>
        <w:spacing w:after="0" w:line="3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5,384,560 shares of Common Stock and 2,077,599 shares of Class B Stock were outstanding.</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i w:val="1"/>
          <w:iCs w:val="1"/>
          <w:color w:val="auto"/>
        </w:rPr>
        <w:t>Registered Stockholders</w:t>
      </w:r>
      <w:r>
        <w:rPr>
          <w:rFonts w:ascii="Times New Roman" w:cs="Times New Roman" w:eastAsia="Times New Roman" w:hAnsi="Times New Roman"/>
          <w:sz w:val="22"/>
          <w:szCs w:val="22"/>
          <w:color w:val="auto"/>
        </w:rPr>
        <w:t>. If your shares are registered directly in your name with our transfer agent, Computershare Trust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N.A. (“Computershare”), you are considered the stockholder of record with respect to those shares, and the Notice was provided to you directly by us. As the stockholder of record, you have the right to grant your voting proxy directly to the individuals listed on the proxy card or to vote at the virtual 2020 Annual Meeting.</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i w:val="1"/>
          <w:iCs w:val="1"/>
          <w:color w:val="auto"/>
        </w:rPr>
        <w:t>Beneficial Stockholders</w:t>
      </w:r>
      <w:r>
        <w:rPr>
          <w:rFonts w:ascii="Times New Roman" w:cs="Times New Roman" w:eastAsia="Times New Roman" w:hAnsi="Times New Roman"/>
          <w:sz w:val="22"/>
          <w:szCs w:val="22"/>
          <w:color w:val="auto"/>
        </w:rPr>
        <w:t>. If your shares are held in a stock brokerage account or by a bank or other nominee, you are considered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beneficial owner of shares held in “street name”, and the Notice was forwarded to you by your broker or nominee, who is considered, with respect to those shares, the stockholder of record. As the beneficial owner, you have the right to direct your broker or nominee how to vote your shares (see questions nine (“How do I cast my vote?”) and twelve (“How are broker non-votes and abstentions counted?”) below for more information). Beneficial owners are also invited to attend the 2020 Annual Meeting. However, because you are not the stockholder of record, you may not vote your shares or ask questions at the virtual 2020 Annual Meeting unless you follow your broker’s procedures for obtaining a legal proxy. If you request a printed copy of the proxy materials by mail, your broker or nominee will provide a voting instruction card for you to use.</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7.</w:t>
      </w:r>
      <w:r>
        <w:rPr>
          <w:sz w:val="20"/>
          <w:szCs w:val="20"/>
          <w:color w:val="auto"/>
        </w:rPr>
        <w:tab/>
      </w:r>
      <w:r>
        <w:rPr>
          <w:rFonts w:ascii="Times New Roman" w:cs="Times New Roman" w:eastAsia="Times New Roman" w:hAnsi="Times New Roman"/>
          <w:sz w:val="21"/>
          <w:szCs w:val="21"/>
          <w:b w:val="1"/>
          <w:bCs w:val="1"/>
          <w:color w:val="auto"/>
        </w:rPr>
        <w:t>What proposals are being voted on at the 2020 Annual Meeting?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Stockholders are being asked to vote upon the following items of business at the 2020 Annual Meeting:</w:t>
      </w:r>
    </w:p>
    <w:p>
      <w:pPr>
        <w:spacing w:after="0" w:line="85" w:lineRule="exact"/>
        <w:rPr>
          <w:sz w:val="20"/>
          <w:szCs w:val="20"/>
          <w:color w:val="auto"/>
        </w:rPr>
      </w:pPr>
    </w:p>
    <w:p>
      <w:pPr>
        <w:ind w:left="980" w:hanging="324"/>
        <w:spacing w:after="0" w:line="271" w:lineRule="auto"/>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of eight directors, each to hold office for a one-year term ending at our 2021 Annual Meeting of Stockholders;</w:t>
      </w:r>
    </w:p>
    <w:p>
      <w:pPr>
        <w:spacing w:after="0" w:line="22"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ratification of the appointment of Grant Thornton LLP (“Grant Thornton”) as our independent auditor for the fiscal year ending July 31, 2021 (“fiscal 2021”);</w:t>
      </w:r>
    </w:p>
    <w:p>
      <w:pPr>
        <w:spacing w:after="0" w:line="22" w:lineRule="exact"/>
        <w:rPr>
          <w:rFonts w:ascii="Times New Roman" w:cs="Times New Roman" w:eastAsia="Times New Roman" w:hAnsi="Times New Roman"/>
          <w:sz w:val="22"/>
          <w:szCs w:val="22"/>
          <w:color w:val="auto"/>
        </w:rPr>
      </w:pPr>
    </w:p>
    <w:p>
      <w:pPr>
        <w:ind w:left="980" w:right="20" w:hanging="324"/>
        <w:spacing w:after="0" w:line="271" w:lineRule="auto"/>
        <w:tabs>
          <w:tab w:leader="none" w:pos="9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on an advisory basis, of the compensation of the named executive officers disclosed in this Proxy Statement;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51" w:right="339" w:bottom="1440" w:gutter="0" w:footer="0" w:header="0"/>
        </w:sectPr>
      </w:pPr>
    </w:p>
    <w:bookmarkStart w:id="9" w:name="page10"/>
    <w:bookmarkEnd w:id="9"/>
    <w:p>
      <w:pPr>
        <w:jc w:val="both"/>
        <w:spacing w:after="0" w:line="252" w:lineRule="auto"/>
        <w:rPr>
          <w:sz w:val="20"/>
          <w:szCs w:val="20"/>
          <w:color w:val="auto"/>
        </w:rPr>
      </w:pPr>
      <w:r>
        <w:rPr>
          <w:rFonts w:ascii="Times New Roman" w:cs="Times New Roman" w:eastAsia="Times New Roman" w:hAnsi="Times New Roman"/>
          <w:sz w:val="22"/>
          <w:szCs w:val="22"/>
          <w:color w:val="auto"/>
        </w:rPr>
        <w:t>and to transact such other business as may properly come before the 2020 Annual Meeting. Our Board of Directors knows of no other items of business that will be presented for consideration at the 2020 Annual Meeting other than those described in this Proxy Statement. In addition, no stockholder proposal or nomination was received prior to the deadline specified in our Amended and Restated By-Laws (“By-Laws”), so no such matters may be brought to a vote at the 2020 Annual Meeting.</w:t>
      </w:r>
    </w:p>
    <w:p>
      <w:pPr>
        <w:spacing w:after="0" w:line="67" w:lineRule="exact"/>
        <w:rPr>
          <w:sz w:val="20"/>
          <w:szCs w:val="20"/>
          <w:color w:val="auto"/>
        </w:rPr>
      </w:pPr>
    </w:p>
    <w:p>
      <w:pPr>
        <w:ind w:right="3760" w:firstLine="8"/>
        <w:spacing w:after="0" w:line="350" w:lineRule="auto"/>
        <w:tabs>
          <w:tab w:leader="none" w:pos="374"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What are the voting recommendations of the Company’s Board of Directors? </w:t>
      </w:r>
      <w:r>
        <w:rPr>
          <w:rFonts w:ascii="Times New Roman" w:cs="Times New Roman" w:eastAsia="Times New Roman" w:hAnsi="Times New Roman"/>
          <w:sz w:val="21"/>
          <w:szCs w:val="21"/>
          <w:color w:val="auto"/>
        </w:rPr>
        <w:t>Our Board of Directors recommends that you vote your shares as follows:</w:t>
      </w:r>
    </w:p>
    <w:p>
      <w:pPr>
        <w:spacing w:after="0" w:line="1" w:lineRule="exact"/>
        <w:rPr>
          <w:rFonts w:ascii="Times New Roman" w:cs="Times New Roman" w:eastAsia="Times New Roman" w:hAnsi="Times New Roman"/>
          <w:sz w:val="21"/>
          <w:szCs w:val="21"/>
          <w:b w:val="1"/>
          <w:bCs w:val="1"/>
          <w:color w:val="auto"/>
        </w:rPr>
      </w:pPr>
    </w:p>
    <w:p>
      <w:pPr>
        <w:ind w:left="1060" w:hanging="323"/>
        <w:spacing w:after="0"/>
        <w:tabs>
          <w:tab w:leader="none" w:pos="10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election of each of the eight nominees to the Board of Directors;</w:t>
      </w:r>
    </w:p>
    <w:p>
      <w:pPr>
        <w:spacing w:after="0" w:line="84" w:lineRule="exact"/>
        <w:rPr>
          <w:rFonts w:ascii="Times New Roman" w:cs="Times New Roman" w:eastAsia="Times New Roman" w:hAnsi="Times New Roman"/>
          <w:sz w:val="22"/>
          <w:szCs w:val="22"/>
          <w:color w:val="auto"/>
        </w:rPr>
      </w:pPr>
    </w:p>
    <w:p>
      <w:pPr>
        <w:ind w:left="1060" w:hanging="323"/>
        <w:spacing w:after="0" w:line="271" w:lineRule="auto"/>
        <w:tabs>
          <w:tab w:leader="none" w:pos="10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ratification of the appointment of Grant Thornton as the Company’s independent auditor for fiscal 2021; and</w:t>
      </w:r>
    </w:p>
    <w:p>
      <w:pPr>
        <w:spacing w:after="0" w:line="22" w:lineRule="exact"/>
        <w:rPr>
          <w:rFonts w:ascii="Times New Roman" w:cs="Times New Roman" w:eastAsia="Times New Roman" w:hAnsi="Times New Roman"/>
          <w:sz w:val="22"/>
          <w:szCs w:val="22"/>
          <w:color w:val="auto"/>
        </w:rPr>
      </w:pPr>
    </w:p>
    <w:p>
      <w:pPr>
        <w:ind w:left="1060" w:hanging="323"/>
        <w:spacing w:after="0"/>
        <w:tabs>
          <w:tab w:leader="none" w:pos="10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approval of the compensation of the named executive officers disclosed in this Proxy Statement.</w:t>
      </w:r>
    </w:p>
    <w:p>
      <w:pPr>
        <w:spacing w:after="0" w:line="80"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How do I cast my vote?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are a stockholder of record, you may vote in several different ways: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Online at the 2020 Annual Meeting</w:t>
      </w:r>
    </w:p>
    <w:p>
      <w:pPr>
        <w:spacing w:after="0" w:line="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Registered stockholders and beneficial owners may vote online during the 2020 Annual Meeting. You will need the 16-digit control number included on your Notice of Internet Availability of Proxy Materials, proxy card or voting instruction form to log in to the virtual meeting platform at www.virtualshareholdermeeting.com/ODC2020. Beneficial owners will need to follow their brokers’ procedures for obtaining a legal proxy in order to vote online during the 2020 Annual Meeting. Voting electronically online during the 2020 Annual Meeting will replace any previous votes.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By Internet (prior to the 2020 Annual Meeting)</w:t>
      </w:r>
    </w:p>
    <w:p>
      <w:pPr>
        <w:spacing w:after="0" w:line="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7, 2020.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By Telephone</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may vote by calling 1-800-690-6903. Please have your proxy card in hand when you call and use any touch-tone phone to transmit your voting instructions. Telephone voting for stockholders of record will be available until 11:59 p.m., Eastern Time, on December 7, 2020.</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By Mail</w:t>
      </w:r>
    </w:p>
    <w:p>
      <w:pPr>
        <w:spacing w:after="0" w:line="6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jc w:val="both"/>
        <w:spacing w:after="0" w:line="247" w:lineRule="auto"/>
        <w:rPr>
          <w:sz w:val="20"/>
          <w:szCs w:val="20"/>
          <w:color w:val="auto"/>
        </w:rPr>
      </w:pPr>
      <w:r>
        <w:rPr>
          <w:rFonts w:ascii="Times New Roman" w:cs="Times New Roman" w:eastAsia="Times New Roman" w:hAnsi="Times New Roman"/>
          <w:sz w:val="22"/>
          <w:szCs w:val="22"/>
          <w:color w:val="auto"/>
        </w:rPr>
        <w:t>If you are a beneficial stockholder (see question number six “Who is entitled to vote at the 2020 Annual Meeting?”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Your shares may be voted on certain matters even if you do not provide voting instructions because banks, brokers and nominees generally have the authority under New York Stock Exchange (“NYSE”) rules to vote on “routine matters.” The proposal to ratify the appointment of our independent auditor is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47" w:right="339" w:bottom="1440" w:gutter="0" w:footer="0" w:header="0"/>
        </w:sectPr>
      </w:pPr>
    </w:p>
    <w:bookmarkStart w:id="10" w:name="page11"/>
    <w:bookmarkEnd w:id="10"/>
    <w:p>
      <w:pPr>
        <w:jc w:val="both"/>
        <w:spacing w:after="0" w:line="271" w:lineRule="auto"/>
        <w:rPr>
          <w:sz w:val="20"/>
          <w:szCs w:val="20"/>
          <w:color w:val="auto"/>
        </w:rPr>
      </w:pPr>
      <w:r>
        <w:rPr>
          <w:rFonts w:ascii="Times New Roman" w:cs="Times New Roman" w:eastAsia="Times New Roman" w:hAnsi="Times New Roman"/>
          <w:sz w:val="22"/>
          <w:szCs w:val="22"/>
          <w:color w:val="auto"/>
        </w:rPr>
        <w:t>considered a routine matter and the election of directors and the advisory approval of the compensation of the named executive officers disclosed in this Proxy Statement are considered non-routine matters.</w:t>
      </w:r>
    </w:p>
    <w:p>
      <w:pPr>
        <w:spacing w:after="0" w:line="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Unless you decide to change your vote, use only one method to send us your vote. If you requested a printed set of the proxy materials and voted by telephone or by Internet, you do not have to return your proxy card or voting instruction form. Even if you plan to virtually attend the 2020 Annual Meeting, we recommend that you vote your shares in advance so that your vote will be counted if you later decide not to attend the virtual meeting.</w:t>
      </w:r>
    </w:p>
    <w:p>
      <w:pPr>
        <w:spacing w:after="0" w:line="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If no contrary instructions are indicated in the proxy, each proxy will be voted “FOR” the election of the eight nominees to our Board of Directors named below; “FOR” the ratification of the appointment of Grant Thornton as our independent auditor for fiscal 2021; and “FOR” the approval of the compensation of the named executive officers disclosed in this Proxy Statement. In their discretion, the proxy holders named on the proxy are authorized to vote on any other matters that may properly come before the 2020 Annual Meeting.</w:t>
      </w:r>
    </w:p>
    <w:p>
      <w:pPr>
        <w:spacing w:after="0" w:line="69"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Can I change my vote?</w:t>
      </w:r>
    </w:p>
    <w:p>
      <w:pPr>
        <w:spacing w:after="0" w:line="1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Yes, if you vote by proxy, you may revoke that proxy at any time before it is voted at the 2020 Annual Meeting. If you are the stockholder of record, you may do this by:</w:t>
      </w:r>
    </w:p>
    <w:p>
      <w:pPr>
        <w:spacing w:after="0" w:line="50" w:lineRule="exact"/>
        <w:rPr>
          <w:sz w:val="20"/>
          <w:szCs w:val="20"/>
          <w:color w:val="auto"/>
        </w:rPr>
      </w:pPr>
    </w:p>
    <w:p>
      <w:pPr>
        <w:ind w:left="1060" w:hanging="323"/>
        <w:spacing w:after="0"/>
        <w:tabs>
          <w:tab w:leader="none" w:pos="10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again on the Internet or by telephone prior to 11:59 p.m., Eastern Time, on December 7, 2020;</w:t>
      </w:r>
    </w:p>
    <w:p>
      <w:pPr>
        <w:spacing w:after="0" w:line="111" w:lineRule="exact"/>
        <w:rPr>
          <w:rFonts w:ascii="Times New Roman" w:cs="Times New Roman" w:eastAsia="Times New Roman" w:hAnsi="Times New Roman"/>
          <w:sz w:val="22"/>
          <w:szCs w:val="22"/>
          <w:color w:val="auto"/>
        </w:rPr>
      </w:pPr>
    </w:p>
    <w:p>
      <w:pPr>
        <w:ind w:left="1060" w:hanging="323"/>
        <w:spacing w:after="0" w:line="271" w:lineRule="auto"/>
        <w:tabs>
          <w:tab w:leader="none" w:pos="10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signing another proxy card with a later date and delivering it to Broadridge Financial Solutions, Inc., 51 Mercedes Way, Edgewood, New York 11717, prior to the 2020 Annual Meeting; or</w:t>
      </w:r>
    </w:p>
    <w:p>
      <w:pPr>
        <w:spacing w:after="0" w:line="49" w:lineRule="exact"/>
        <w:rPr>
          <w:rFonts w:ascii="Times New Roman" w:cs="Times New Roman" w:eastAsia="Times New Roman" w:hAnsi="Times New Roman"/>
          <w:sz w:val="22"/>
          <w:szCs w:val="22"/>
          <w:color w:val="auto"/>
        </w:rPr>
      </w:pPr>
    </w:p>
    <w:p>
      <w:pPr>
        <w:ind w:left="1060" w:hanging="323"/>
        <w:spacing w:after="0"/>
        <w:tabs>
          <w:tab w:leader="none" w:pos="10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online at the 2020 Annual Meeting (see “How do I cast my vote?”, above).</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you are a beneficial stockholder and you have instructed your bank, broker or other nominee to vote your shares, you may revoke those instructions by following the directions received from your bank, broker or other nominee to change those instructions. Your attendance at the 2020 Annual Meeting itself will not revoke your proxy unless you vote online at the virtual 2020 Annual Meeting.</w:t>
      </w:r>
    </w:p>
    <w:p>
      <w:pPr>
        <w:spacing w:after="0" w:line="6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What constitutes a quorum at the 2020 Annual Meeting?</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 majority of all outstanding shares of Common Stock and Class B Stock entitled to vote at the 2020 Annual Meeting constitutes a quorum, which is the minimum number of shares that must be present or represented by proxy at the 2020 Annual Meeting to transact business. Once a share is represented for any purpose at the 2020 Annual Meeting, it will be deemed present for quorum purposes for the remainder of the meeting (including any meeting resulting from an adjournment of the 2020 Annual Meeting, unless a new record date is set).</w:t>
      </w:r>
    </w:p>
    <w:p>
      <w:pPr>
        <w:spacing w:after="0" w:line="69"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How are broker non-votes and abstentions counted?</w:t>
      </w:r>
    </w:p>
    <w:p>
      <w:pPr>
        <w:spacing w:after="0" w:line="1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as of record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 At the 2020 Annual Meeting, the only routine matter is the proposal to ratify the appointment of our independent auditor. Therefore, absent directions from you, your broker will not have discretion to vote on the election of directors or the non-binding approval of the compensation of the named executive officers disclosed in this Proxy Statement.</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Broker non-votes and abstentions by stockholders from voting will be counted towards determining whether or not a quorum is present at the 2020 Annual Meeting. However, because broker non-votes and abstentions are not voted affirmatively or negatively, they will have no effect on the approval of any of the proposals,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47" w:right="339" w:bottom="1440" w:gutter="0" w:footer="0" w:header="0"/>
        </w:sectPr>
      </w:pPr>
    </w:p>
    <w:bookmarkStart w:id="11" w:name="page12"/>
    <w:bookmarkEnd w:id="11"/>
    <w:p>
      <w:pPr>
        <w:jc w:val="both"/>
        <w:spacing w:after="0" w:line="257" w:lineRule="auto"/>
        <w:rPr>
          <w:sz w:val="20"/>
          <w:szCs w:val="20"/>
          <w:color w:val="auto"/>
        </w:rPr>
      </w:pPr>
      <w:r>
        <w:rPr>
          <w:rFonts w:ascii="Times New Roman" w:cs="Times New Roman" w:eastAsia="Times New Roman" w:hAnsi="Times New Roman"/>
          <w:sz w:val="22"/>
          <w:szCs w:val="22"/>
          <w:color w:val="auto"/>
        </w:rPr>
        <w:t>except (i) as to routine matters for which brokers exercise their discretion as discussed above and (ii) abstentions with respect to proposals that require an affirmative majority of the votes present at the 2020 Annual Meeting or represented by proxy, which have the same legal effect as a vote against the proposal as described below.</w:t>
      </w:r>
    </w:p>
    <w:p>
      <w:pPr>
        <w:spacing w:after="0" w:line="61"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How many votes are needed to approve the proposals?</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 director may only be elected by a plurality of votes cast. Accordingly, we count proxies and ballots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eight nominees who receive the largest number of votes will be elected. Shares for which authority is withheld to vote for director nominees and broker non-votes have no effect on the outcome of the election of directors.</w:t>
      </w:r>
    </w:p>
    <w:p>
      <w:pPr>
        <w:spacing w:after="0" w:line="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An affirmative majority of the votes present at the 2020 Annual Meeting or represented by proxy is necessary for ratification of the appointment of Grant Thornton as our independent auditor for fiscal 2021 and for the non-binding, advisory approval of the compensation of the named executive officers disclosed in this Proxy Statement. Any abstention by those present or represented by proxy has the same legal effect as a vote against this proposal. Because the proposal for ratification of the appointment of Grant Thornton as our independent auditor for fiscal 2021 is considered a routine matter under the rules of the NYSE, banks, brokers and other nominees are able to vote on this matter even if no voting instructions are provided by the beneficial owner.</w:t>
      </w:r>
    </w:p>
    <w:p>
      <w:pPr>
        <w:spacing w:after="0" w:line="5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Who will count the vote?</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How do I ask questions during the virtual 2020 Annual Meeting?</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Stockholders may submit questions during the 2020 Annual Meeting. If you wish to submit a question, you may do so by logging into the virtual meeting platform at www.virtualshareholdermeeting.com/ODC2020, typing your question into the “Ask a Question” field, and clicking “Submit.”</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Questions pertinent to the 2020 Annual Meeting that comply with the meeting Rules of Conduct will be answered during the 2020 Annual Meeting, subject to time constraints. Questions regarding personal matters or matters not relevant to meeting matters will not be answered.</w:t>
      </w:r>
    </w:p>
    <w:p>
      <w:pPr>
        <w:spacing w:after="0" w:line="6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Where can I find the voting results of the 2020 Annual Meeting?</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intend to announce preliminary voting results at the 2020 Annual Meeting. Within four business days following the adjournment of the 2020 Annual Meeting, we intend to disclose the final voting results of each proposal being voted on at the 2020 Annual Meeting in a Current Report on Form 8-K.</w:t>
      </w:r>
    </w:p>
    <w:p>
      <w:pPr>
        <w:spacing w:after="0" w:line="61"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How does a stockholder propose actions for consideration at next year’s annual meeting of stockholders?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your proposal to be considered for inclusion in our proxy statement for next year’s annual meeting, we must receive your written proposal no later than June 29, 2021. Your proposal should be addressed to the Corporate Secretary, Oil-Dri Corporation of America, at the Company’s principal executive offices at 410 North Michigan Avenue, Suite 400, Chicago, Illinois 60611-4213. In addition, be aware that your proposal must comply with SEC regulations regarding inclusion of stockholder proposals in company-sponsored proxy</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47" w:right="339" w:bottom="1440" w:gutter="0" w:footer="0" w:header="0"/>
        </w:sectPr>
      </w:pPr>
    </w:p>
    <w:bookmarkStart w:id="12" w:name="page13"/>
    <w:bookmarkEnd w:id="12"/>
    <w:p>
      <w:pPr>
        <w:jc w:val="both"/>
        <w:spacing w:after="0" w:line="248" w:lineRule="auto"/>
        <w:rPr>
          <w:sz w:val="20"/>
          <w:szCs w:val="20"/>
          <w:color w:val="auto"/>
        </w:rPr>
      </w:pPr>
      <w:r>
        <w:rPr>
          <w:rFonts w:ascii="Times New Roman" w:cs="Times New Roman" w:eastAsia="Times New Roman" w:hAnsi="Times New Roman"/>
          <w:sz w:val="22"/>
          <w:szCs w:val="22"/>
          <w:color w:val="auto"/>
        </w:rPr>
        <w:t>materials and other applicable laws. Although our Board of Directors will consider all proposals, it has the right to omit any proposals it is not required to include. Proposals submitted in writing between June 29, 2021 and July 29, 2021 (assuming the meeting is held not more than 30 days from December 8, 2021) may be considered at next year’s annual meeting but will not be included in our proxy statement. All proposals should be addressed to the Corporate Secretary, Oil-Dri Corporation of America, 410 North Michigan Avenue, Suite 400, Chicago, Illinois 60611-4213. In addition, the proposal must satisfy all of the other requirements set forth in our By-Laws and all applicable laws.</w:t>
      </w:r>
    </w:p>
    <w:p>
      <w:pPr>
        <w:spacing w:after="0" w:line="7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Can I elect to receive future proxy solicitations via mail or online?</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spacing w:after="0" w:line="70"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Why did I receive more than one package of proxy materials?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67" w:lineRule="exact"/>
        <w:rPr>
          <w:sz w:val="20"/>
          <w:szCs w:val="20"/>
          <w:color w:val="auto"/>
        </w:rPr>
      </w:pPr>
    </w:p>
    <w:p>
      <w:pPr>
        <w:ind w:left="660" w:hanging="652"/>
        <w:spacing w:after="0" w:line="275" w:lineRule="auto"/>
        <w:tabs>
          <w:tab w:leader="none" w:pos="6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Can I receive future proxy statements, annual reports and certain other stockholder information in a single package per household?</w:t>
      </w:r>
    </w:p>
    <w:p>
      <w:pPr>
        <w:spacing w:after="0" w:line="4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If you have elected to receive paper copies of the proxy materials and your household received more than one copy of the Company’s Annual Report on Form 10-K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may revoke your consent at any time by calling (866) 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61"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 may solicit proxies?</w:t>
      </w:r>
    </w:p>
    <w:p>
      <w:pPr>
        <w:spacing w:after="0" w:line="1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Our directors, officers and employees may solicit proxies on behalf of our Board of Directors via mail, telephone, facsimile, e-mail and personal contact. Our directors, officers and employees will receive no additional compensation for soliciting proxies.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747" w:right="339" w:bottom="1440" w:gutter="0" w:footer="0" w:header="0"/>
        </w:sectPr>
      </w:pPr>
    </w:p>
    <w:bookmarkStart w:id="13" w:name="page14"/>
    <w:bookmarkEnd w:id="13"/>
    <w:p>
      <w:pPr>
        <w:ind w:left="660" w:hanging="652"/>
        <w:spacing w:after="0"/>
        <w:tabs>
          <w:tab w:leader="none" w:pos="6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 pays for the cost of this proxy solicitation?</w:t>
      </w:r>
    </w:p>
    <w:p>
      <w:pPr>
        <w:spacing w:after="0" w:line="1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We will bear the cost of this proxy solicitation, including reimbursing banks, brokers and other nominees for reasonable expenses of sending out proxy materials to beneficial stockholders.</w:t>
      </w:r>
    </w:p>
    <w:p>
      <w:pPr>
        <w:spacing w:after="0" w:line="46"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if I have additional questions not addressed here?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call Investor Relations at (312) 321-1515 or e-mail InvestorRelations@oildri.com.</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743"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PROPOSALS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Proposal 1 - Election of Directors</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proposes that the following eight individuals be elected to our Board of Directors. Each nominee currently serves as a director. If any nominee should be unable or unwilling to serve, which is not now contemplated, the proxy holders may, but will not be bound to, vote for a substitute nominee.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BOARD OF DIRECTORS RECOMMENDS A VOTE “FOR”</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ELECTION OF THE FOLLOWING NOMINEES AS DIRECTORS.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80"/>
        <w:spacing w:after="0"/>
        <w:tabs>
          <w:tab w:leader="none" w:pos="6460" w:val="left"/>
          <w:tab w:leader="none" w:pos="8500" w:val="left"/>
        </w:tabs>
        <w:rPr>
          <w:sz w:val="20"/>
          <w:szCs w:val="20"/>
          <w:color w:val="auto"/>
        </w:rPr>
      </w:pPr>
      <w:r>
        <w:rPr>
          <w:rFonts w:ascii="Times New Roman" w:cs="Times New Roman" w:eastAsia="Times New Roman" w:hAnsi="Times New Roman"/>
          <w:sz w:val="22"/>
          <w:szCs w:val="22"/>
          <w:color w:val="auto"/>
        </w:rPr>
        <w:t>Daniel S. Jaffee</w:t>
      </w:r>
      <w:r>
        <w:rPr>
          <w:sz w:val="20"/>
          <w:szCs w:val="20"/>
          <w:color w:val="auto"/>
        </w:rPr>
        <w:tab/>
      </w:r>
      <w:r>
        <w:rPr>
          <w:rFonts w:ascii="Times New Roman" w:cs="Times New Roman" w:eastAsia="Times New Roman" w:hAnsi="Times New Roman"/>
          <w:sz w:val="22"/>
          <w:szCs w:val="22"/>
          <w:color w:val="auto"/>
        </w:rPr>
        <w:t>Age 56</w:t>
      </w:r>
      <w:r>
        <w:rPr>
          <w:sz w:val="20"/>
          <w:szCs w:val="20"/>
          <w:color w:val="auto"/>
        </w:rPr>
        <w:tab/>
      </w:r>
      <w:r>
        <w:rPr>
          <w:rFonts w:ascii="Times New Roman" w:cs="Times New Roman" w:eastAsia="Times New Roman" w:hAnsi="Times New Roman"/>
          <w:sz w:val="21"/>
          <w:szCs w:val="21"/>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-142875</wp:posOffset>
            </wp:positionV>
            <wp:extent cx="1097280" cy="1543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1543050"/>
                    </a:xfrm>
                    <a:prstGeom prst="rect">
                      <a:avLst/>
                    </a:prstGeom>
                    <a:noFill/>
                  </pic:spPr>
                </pic:pic>
              </a:graphicData>
            </a:graphic>
          </wp:anchor>
        </w:drawing>
      </w:r>
    </w:p>
    <w:p>
      <w:pPr>
        <w:spacing w:after="0" w:line="23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i w:val="1"/>
          <w:iCs w:val="1"/>
          <w:color w:val="auto"/>
        </w:rPr>
        <w:t>Chairman of the Board of Directors and</w:t>
      </w:r>
    </w:p>
    <w:p>
      <w:pPr>
        <w:spacing w:after="0" w:line="1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i w:val="1"/>
          <w:iCs w:val="1"/>
          <w:color w:val="auto"/>
        </w:rPr>
        <w:t>President and Chief Executive Officer of the Company</w:t>
      </w:r>
    </w:p>
    <w:p>
      <w:pPr>
        <w:spacing w:after="0" w:line="20" w:lineRule="exact"/>
        <w:rPr>
          <w:sz w:val="20"/>
          <w:szCs w:val="20"/>
          <w:color w:val="auto"/>
        </w:rPr>
      </w:pPr>
    </w:p>
    <w:p>
      <w:pPr>
        <w:jc w:val="both"/>
        <w:ind w:left="2880" w:right="1020"/>
        <w:spacing w:after="0" w:line="235" w:lineRule="auto"/>
        <w:rPr>
          <w:sz w:val="20"/>
          <w:szCs w:val="20"/>
          <w:color w:val="auto"/>
        </w:rPr>
      </w:pPr>
      <w:r>
        <w:rPr>
          <w:rFonts w:ascii="Times New Roman" w:cs="Times New Roman" w:eastAsia="Times New Roman" w:hAnsi="Times New Roman"/>
          <w:sz w:val="22"/>
          <w:szCs w:val="22"/>
          <w:color w:val="auto"/>
        </w:rPr>
        <w:t>Mr. Jaffee graduated from Georgetown University in 1986. Mr. Jaffee joined the Company in 1987 after a year with the accounting firm now known as PricewaterhouseCoopers LLP. He was a product manager in the Industrial and Agricultural divisions of the Company until 1989. In 1990, he became Chief Financial Officer of the Company, a position he held until 1995. From 1990 to 1995, he also held group vice presidential positions in the areas of Canadian and domestic operations,</w:t>
      </w:r>
    </w:p>
    <w:p>
      <w:pPr>
        <w:spacing w:after="0" w:line="21" w:lineRule="exact"/>
        <w:rPr>
          <w:sz w:val="20"/>
          <w:szCs w:val="20"/>
          <w:color w:val="auto"/>
        </w:rPr>
      </w:pPr>
    </w:p>
    <w:p>
      <w:pPr>
        <w:jc w:val="both"/>
        <w:ind w:left="1040" w:right="1020" w:firstLine="54"/>
        <w:spacing w:after="0" w:line="235" w:lineRule="auto"/>
        <w:rPr>
          <w:sz w:val="20"/>
          <w:szCs w:val="20"/>
          <w:color w:val="auto"/>
        </w:rPr>
      </w:pPr>
      <w:r>
        <w:rPr>
          <w:rFonts w:ascii="Times New Roman" w:cs="Times New Roman" w:eastAsia="Times New Roman" w:hAnsi="Times New Roman"/>
          <w:sz w:val="22"/>
          <w:szCs w:val="22"/>
          <w:color w:val="auto"/>
        </w:rPr>
        <w:t>finance, management, information systems and consumer products. He was Chief Operating Officer from 1995 to 1997. Mr. Jaffee became President in 1995, Chief Executive Officer in 1997 and Chairman of the Board of Directors in 2018. Mr. Jaffee received an M.B.A. from the Kellogg Graduate School of Management of Northwestern University in 2004. Mr. Jaffee’s civic activities include serving as a member of the Board of Directors of the Anti-Cruelty Society of Chicago and as a Trustee of the Chicago History Museum. He is also a member of the Board of Directors and the HR/Compensation Committee of Elkay Manufacturing Company (“Elkay”).</w:t>
      </w:r>
    </w:p>
    <w:p>
      <w:pPr>
        <w:spacing w:after="0" w:line="210" w:lineRule="exact"/>
        <w:rPr>
          <w:sz w:val="20"/>
          <w:szCs w:val="20"/>
          <w:color w:val="auto"/>
        </w:rPr>
      </w:pPr>
    </w:p>
    <w:p>
      <w:pPr>
        <w:jc w:val="both"/>
        <w:ind w:left="1040" w:right="1020"/>
        <w:spacing w:after="0" w:line="235" w:lineRule="auto"/>
        <w:rPr>
          <w:sz w:val="20"/>
          <w:szCs w:val="20"/>
          <w:color w:val="auto"/>
        </w:rPr>
      </w:pPr>
      <w:r>
        <w:rPr>
          <w:rFonts w:ascii="Times New Roman" w:cs="Times New Roman" w:eastAsia="Times New Roman" w:hAnsi="Times New Roman"/>
          <w:sz w:val="22"/>
          <w:szCs w:val="22"/>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third-generation family stockholder. In addition, his experience on the Board of Directors of Elkay and his active involvement in the local community in advisory roles for several not-for-profit organizations add to his perspective on effective management and strategy for the long-term success of the Company.</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732" w:right="339" w:bottom="1440" w:gutter="0" w:footer="0" w:header="0"/>
        </w:sectPr>
      </w:pPr>
    </w:p>
    <w:bookmarkStart w:id="15" w:name="page16"/>
    <w:bookmarkEnd w:id="15"/>
    <w:p>
      <w:pPr>
        <w:jc w:val="right"/>
        <w:spacing w:after="0"/>
        <w:tabs>
          <w:tab w:leader="none" w:pos="3720" w:val="left"/>
          <w:tab w:leader="none" w:pos="1680" w:val="left"/>
        </w:tabs>
        <w:rPr>
          <w:sz w:val="20"/>
          <w:szCs w:val="20"/>
          <w:color w:val="auto"/>
        </w:rPr>
      </w:pPr>
      <w:r>
        <w:rPr>
          <w:rFonts w:ascii="Times New Roman" w:cs="Times New Roman" w:eastAsia="Times New Roman" w:hAnsi="Times New Roman"/>
          <w:sz w:val="22"/>
          <w:szCs w:val="22"/>
          <w:color w:val="auto"/>
        </w:rPr>
        <w:t>Ellen-Blair Chube</w:t>
      </w:r>
      <w:r>
        <w:rPr>
          <w:sz w:val="20"/>
          <w:szCs w:val="20"/>
          <w:color w:val="auto"/>
        </w:rPr>
        <w:tab/>
      </w:r>
      <w:r>
        <w:rPr>
          <w:rFonts w:ascii="Times New Roman" w:cs="Times New Roman" w:eastAsia="Times New Roman" w:hAnsi="Times New Roman"/>
          <w:sz w:val="22"/>
          <w:szCs w:val="22"/>
          <w:color w:val="auto"/>
        </w:rPr>
        <w:t>Age 39</w:t>
      </w:r>
      <w:r>
        <w:rPr>
          <w:sz w:val="20"/>
          <w:szCs w:val="20"/>
          <w:color w:val="auto"/>
        </w:rPr>
        <w:tab/>
      </w:r>
      <w:r>
        <w:rPr>
          <w:rFonts w:ascii="Times New Roman" w:cs="Times New Roman" w:eastAsia="Times New Roman" w:hAnsi="Times New Roman"/>
          <w:sz w:val="21"/>
          <w:szCs w:val="21"/>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1071245" cy="1611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1245" cy="1611630"/>
                    </a:xfrm>
                    <a:prstGeom prst="rect">
                      <a:avLst/>
                    </a:prstGeom>
                    <a:noFill/>
                  </pic:spPr>
                </pic:pic>
              </a:graphicData>
            </a:graphic>
          </wp:anchor>
        </w:drawing>
      </w:r>
    </w:p>
    <w:p>
      <w:pPr>
        <w:spacing w:after="0" w:line="2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i w:val="1"/>
          <w:iCs w:val="1"/>
          <w:color w:val="auto"/>
        </w:rPr>
        <w:t>Managing Director &amp; Client Service Officer, William Blair &amp; Company</w:t>
      </w:r>
    </w:p>
    <w:p>
      <w:pPr>
        <w:spacing w:after="0" w:line="305" w:lineRule="exact"/>
        <w:rPr>
          <w:sz w:val="20"/>
          <w:szCs w:val="20"/>
          <w:color w:val="auto"/>
        </w:rPr>
      </w:pPr>
    </w:p>
    <w:p>
      <w:pPr>
        <w:jc w:val="both"/>
        <w:ind w:left="1840"/>
        <w:spacing w:after="0" w:line="248" w:lineRule="auto"/>
        <w:rPr>
          <w:sz w:val="20"/>
          <w:szCs w:val="20"/>
          <w:color w:val="auto"/>
        </w:rPr>
      </w:pPr>
      <w:r>
        <w:rPr>
          <w:rFonts w:ascii="Times New Roman" w:cs="Times New Roman" w:eastAsia="Times New Roman" w:hAnsi="Times New Roman"/>
          <w:sz w:val="21"/>
          <w:szCs w:val="21"/>
          <w:color w:val="auto"/>
        </w:rPr>
        <w:t>Ms. Chube graduated from Northwestern University in 2002 with a Bachelor of Arts in political science and earned a Juris Doctorate degree from Georgetown University in 2005. Ms. Chube began her career in public service working for Congressman Harold Ford Jr. as a senior advisor in the House of Representatives, as well as on the 2006 Senate campaign. Following her time with Congressman Ford, Ms. Chube became an associate in the government affairs practice of Brownstein Hyatt Farber Schreck, LLP. In 2009, Ms. Chube became the Staff Director for the Senate Banking</w:t>
      </w:r>
    </w:p>
    <w:p>
      <w:pPr>
        <w:spacing w:after="0" w:line="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Subcommittee on Security, International Trade and Finance. In this role, she was responsible for financial services and economic policy for former Senator Evan Bayh, including his legislative priorities in the Dodd-Frank financial regulatory reform bill enacted in July 2010. In 2011, Ms. Chube became the Vice President and Chief of Staff to John W. Rogers Jr., Chairman and CEO of Ariel Investments. After four years at Ariel Investments, Ms. Chube became the Managing Director and Client Service Officer at William Blair &amp; Company. She also serves as a member of the Board of Trustees and the Nominating and Corporate Governance Committee of Equity Commonwealth. Ms. Chube’s civic activities include serving as a member of the Board of Directors of the Chicago Children’s Choir and as a Trustee of the Museum of Contemporary Art in Chicago.</w:t>
      </w:r>
    </w:p>
    <w:p>
      <w:pPr>
        <w:spacing w:after="0" w:line="21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Ms. Chube’s individual qualifications include her expertise and commitment to delivering exceptional client service worldwide as well as her wealth of business and financial services knowledge she has acquired throughout her time at William Blair, Ariel Investments and her notable public service career. In addition, Ms. Chube brings to the Board finance, regulatory, audit committee and human resources committee experience.</w:t>
      </w:r>
    </w:p>
    <w:p>
      <w:pPr>
        <w:spacing w:after="0" w:line="325" w:lineRule="exact"/>
        <w:rPr>
          <w:sz w:val="20"/>
          <w:szCs w:val="20"/>
          <w:color w:val="auto"/>
        </w:rPr>
      </w:pPr>
    </w:p>
    <w:p>
      <w:pPr>
        <w:jc w:val="right"/>
        <w:spacing w:after="0"/>
        <w:tabs>
          <w:tab w:leader="none" w:pos="3720" w:val="left"/>
          <w:tab w:leader="none" w:pos="1680" w:val="left"/>
        </w:tabs>
        <w:rPr>
          <w:sz w:val="20"/>
          <w:szCs w:val="20"/>
          <w:color w:val="auto"/>
        </w:rPr>
      </w:pPr>
      <w:r>
        <w:rPr>
          <w:rFonts w:ascii="Times New Roman" w:cs="Times New Roman" w:eastAsia="Times New Roman" w:hAnsi="Times New Roman"/>
          <w:sz w:val="22"/>
          <w:szCs w:val="22"/>
          <w:color w:val="auto"/>
        </w:rPr>
        <w:t>Paul M. Hindsley</w:t>
      </w:r>
      <w:r>
        <w:rPr>
          <w:sz w:val="20"/>
          <w:szCs w:val="20"/>
          <w:color w:val="auto"/>
        </w:rPr>
        <w:tab/>
      </w:r>
      <w:r>
        <w:rPr>
          <w:rFonts w:ascii="Times New Roman" w:cs="Times New Roman" w:eastAsia="Times New Roman" w:hAnsi="Times New Roman"/>
          <w:sz w:val="22"/>
          <w:szCs w:val="22"/>
          <w:color w:val="auto"/>
        </w:rPr>
        <w:t>Age 61</w:t>
      </w:r>
      <w:r>
        <w:rPr>
          <w:sz w:val="20"/>
          <w:szCs w:val="20"/>
          <w:color w:val="auto"/>
        </w:rPr>
        <w:tab/>
      </w:r>
      <w:r>
        <w:rPr>
          <w:rFonts w:ascii="Times New Roman" w:cs="Times New Roman" w:eastAsia="Times New Roman" w:hAnsi="Times New Roman"/>
          <w:sz w:val="21"/>
          <w:szCs w:val="21"/>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1071245" cy="1482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1245" cy="1482725"/>
                    </a:xfrm>
                    <a:prstGeom prst="rect">
                      <a:avLst/>
                    </a:prstGeom>
                    <a:noFill/>
                  </pic:spPr>
                </pic:pic>
              </a:graphicData>
            </a:graphic>
          </wp:anchor>
        </w:drawing>
      </w:r>
    </w:p>
    <w:p>
      <w:pPr>
        <w:spacing w:after="0" w:line="19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i w:val="1"/>
          <w:iCs w:val="1"/>
          <w:color w:val="auto"/>
        </w:rPr>
        <w:t>Managing Director &amp; Partner, William Blair &amp; Company</w:t>
      </w:r>
    </w:p>
    <w:p>
      <w:pPr>
        <w:spacing w:after="0" w:line="224" w:lineRule="exact"/>
        <w:rPr>
          <w:sz w:val="20"/>
          <w:szCs w:val="20"/>
          <w:color w:val="auto"/>
        </w:rPr>
      </w:pPr>
    </w:p>
    <w:p>
      <w:pPr>
        <w:jc w:val="both"/>
        <w:ind w:left="1840"/>
        <w:spacing w:after="0" w:line="249" w:lineRule="auto"/>
        <w:rPr>
          <w:sz w:val="20"/>
          <w:szCs w:val="20"/>
          <w:color w:val="auto"/>
        </w:rPr>
      </w:pPr>
      <w:r>
        <w:rPr>
          <w:rFonts w:ascii="Times New Roman" w:cs="Times New Roman" w:eastAsia="Times New Roman" w:hAnsi="Times New Roman"/>
          <w:sz w:val="21"/>
          <w:szCs w:val="21"/>
          <w:color w:val="auto"/>
        </w:rPr>
        <w:t>Mr. Hindsley received a bachelor’s degree in Management Science from Duke University in 1981 and earned a Master of Management from the Kellogg Graduate School of Management of Northwestern University in 1986. He began his career at Harris Trust and Savings Bank and served as Vice President, Commercial Banking from 1981 to 1989. From 1989 to 1997, Mr. Hindsley was Director of Investment Banking at BMO Capital Markets. He joined William Blair &amp; Company in 1997 and</w:t>
      </w:r>
    </w:p>
    <w:p>
      <w:pPr>
        <w:spacing w:after="0" w:line="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is currently Managing Director and Partner, Investment Banking, specializing in mergers and acquisitions and equity and debt transactions.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Mr. Hindsley’s individual qualifications include his financial expertise and extensive experience in public and private mergers and acquisitions and equity and debt financing transactions, having closed over 275 transactions for a wide range of consumer and industrial-focused clients. From his experience, he brings to the Board a strong financial perspective on the consumer products and packaging industries. In addition, Mr. Hindsley is an “audit committee financial expert” within the meaning of SEC rules.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180"/>
          </w:cols>
          <w:pgMar w:left="1360" w:top="895" w:right="1359" w:bottom="1440" w:gutter="0" w:footer="0" w:header="0"/>
        </w:sectPr>
      </w:pPr>
    </w:p>
    <w:bookmarkStart w:id="16" w:name="page17"/>
    <w:bookmarkEnd w:id="16"/>
    <w:p>
      <w:pPr>
        <w:jc w:val="right"/>
        <w:spacing w:after="0"/>
        <w:tabs>
          <w:tab w:leader="none" w:pos="3720" w:val="left"/>
          <w:tab w:leader="none" w:pos="1680" w:val="left"/>
        </w:tabs>
        <w:rPr>
          <w:sz w:val="20"/>
          <w:szCs w:val="20"/>
          <w:color w:val="auto"/>
        </w:rPr>
      </w:pPr>
      <w:r>
        <w:rPr>
          <w:rFonts w:ascii="Times New Roman" w:cs="Times New Roman" w:eastAsia="Times New Roman" w:hAnsi="Times New Roman"/>
          <w:sz w:val="22"/>
          <w:szCs w:val="22"/>
          <w:color w:val="auto"/>
        </w:rPr>
        <w:t>Michael A. Nemeroff</w:t>
      </w:r>
      <w:r>
        <w:rPr>
          <w:sz w:val="20"/>
          <w:szCs w:val="20"/>
          <w:color w:val="auto"/>
        </w:rPr>
        <w:tab/>
      </w:r>
      <w:r>
        <w:rPr>
          <w:rFonts w:ascii="Times New Roman" w:cs="Times New Roman" w:eastAsia="Times New Roman" w:hAnsi="Times New Roman"/>
          <w:sz w:val="22"/>
          <w:szCs w:val="22"/>
          <w:color w:val="auto"/>
        </w:rPr>
        <w:t>Age 57</w:t>
      </w:r>
      <w:r>
        <w:rPr>
          <w:sz w:val="20"/>
          <w:szCs w:val="20"/>
          <w:color w:val="auto"/>
        </w:rPr>
        <w:tab/>
      </w:r>
      <w:r>
        <w:rPr>
          <w:rFonts w:ascii="Times New Roman" w:cs="Times New Roman" w:eastAsia="Times New Roman" w:hAnsi="Times New Roman"/>
          <w:sz w:val="21"/>
          <w:szCs w:val="21"/>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054100" cy="1543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4100" cy="1543050"/>
                    </a:xfrm>
                    <a:prstGeom prst="rect">
                      <a:avLst/>
                    </a:prstGeom>
                    <a:noFill/>
                  </pic:spPr>
                </pic:pic>
              </a:graphicData>
            </a:graphic>
          </wp:anchor>
        </w:drawing>
      </w:r>
    </w:p>
    <w:p>
      <w:pPr>
        <w:spacing w:after="0" w:line="196" w:lineRule="exact"/>
        <w:rPr>
          <w:sz w:val="20"/>
          <w:szCs w:val="20"/>
          <w:color w:val="auto"/>
        </w:rPr>
      </w:pPr>
    </w:p>
    <w:p>
      <w:pPr>
        <w:ind w:left="1846"/>
        <w:spacing w:after="0"/>
        <w:rPr>
          <w:sz w:val="20"/>
          <w:szCs w:val="20"/>
          <w:color w:val="auto"/>
        </w:rPr>
      </w:pPr>
      <w:r>
        <w:rPr>
          <w:rFonts w:ascii="Times New Roman" w:cs="Times New Roman" w:eastAsia="Times New Roman" w:hAnsi="Times New Roman"/>
          <w:sz w:val="22"/>
          <w:szCs w:val="22"/>
          <w:i w:val="1"/>
          <w:iCs w:val="1"/>
          <w:color w:val="auto"/>
        </w:rPr>
        <w:t>President and Chief Executive Officer, Vedder Price P.C.</w:t>
      </w:r>
    </w:p>
    <w:p>
      <w:pPr>
        <w:spacing w:after="0" w:line="224" w:lineRule="exact"/>
        <w:rPr>
          <w:sz w:val="20"/>
          <w:szCs w:val="20"/>
          <w:color w:val="auto"/>
        </w:rPr>
      </w:pPr>
    </w:p>
    <w:p>
      <w:pPr>
        <w:jc w:val="both"/>
        <w:ind w:left="1846"/>
        <w:spacing w:after="0" w:line="235" w:lineRule="auto"/>
        <w:rPr>
          <w:sz w:val="20"/>
          <w:szCs w:val="20"/>
          <w:color w:val="auto"/>
        </w:rPr>
      </w:pPr>
      <w:r>
        <w:rPr>
          <w:rFonts w:ascii="Times New Roman" w:cs="Times New Roman" w:eastAsia="Times New Roman" w:hAnsi="Times New Roman"/>
          <w:sz w:val="22"/>
          <w:szCs w:val="22"/>
          <w:color w:val="auto"/>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w:t>
      </w:r>
    </w:p>
    <w:p>
      <w:pPr>
        <w:spacing w:after="0" w:line="16" w:lineRule="exact"/>
        <w:rPr>
          <w:sz w:val="20"/>
          <w:szCs w:val="20"/>
          <w:color w:val="auto"/>
        </w:rPr>
      </w:pPr>
    </w:p>
    <w:p>
      <w:pPr>
        <w:jc w:val="both"/>
        <w:ind w:left="6"/>
        <w:spacing w:after="0" w:line="238" w:lineRule="auto"/>
        <w:rPr>
          <w:sz w:val="20"/>
          <w:szCs w:val="20"/>
          <w:color w:val="auto"/>
        </w:rPr>
      </w:pPr>
      <w:r>
        <w:rPr>
          <w:rFonts w:ascii="Times New Roman" w:cs="Times New Roman" w:eastAsia="Times New Roman" w:hAnsi="Times New Roman"/>
          <w:sz w:val="22"/>
          <w:szCs w:val="22"/>
          <w:color w:val="auto"/>
        </w:rPr>
        <w:t>services to the Company. Mr. Nemeroff serves as a legal advisor to the G100, an elite international organization of leading chief executive officers from Fortune 500 publicly traded corporations. He also serves as an Executive Committee and Board of Directors member of Chicago Children’s Choir, a not-for-profit organization making a difference in the lives of children through musical excellence, and Board Chair of The Wallis Annenberg Center for the Performing Arts in Beverly Hills, CA.</w:t>
      </w:r>
    </w:p>
    <w:p>
      <w:pPr>
        <w:spacing w:after="0" w:line="204" w:lineRule="exact"/>
        <w:rPr>
          <w:sz w:val="20"/>
          <w:szCs w:val="20"/>
          <w:color w:val="auto"/>
        </w:rPr>
      </w:pPr>
    </w:p>
    <w:p>
      <w:pPr>
        <w:jc w:val="both"/>
        <w:ind w:left="6"/>
        <w:spacing w:after="0" w:line="236" w:lineRule="auto"/>
        <w:rPr>
          <w:sz w:val="20"/>
          <w:szCs w:val="20"/>
          <w:color w:val="auto"/>
        </w:rPr>
      </w:pPr>
      <w:r>
        <w:rPr>
          <w:rFonts w:ascii="Times New Roman" w:cs="Times New Roman" w:eastAsia="Times New Roman" w:hAnsi="Times New Roman"/>
          <w:sz w:val="22"/>
          <w:szCs w:val="22"/>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pacing w:after="0" w:line="397" w:lineRule="exact"/>
        <w:rPr>
          <w:sz w:val="20"/>
          <w:szCs w:val="20"/>
          <w:color w:val="auto"/>
        </w:rPr>
      </w:pPr>
    </w:p>
    <w:p>
      <w:pPr>
        <w:jc w:val="right"/>
        <w:spacing w:after="0"/>
        <w:tabs>
          <w:tab w:leader="none" w:pos="3720" w:val="left"/>
          <w:tab w:leader="none" w:pos="1680" w:val="left"/>
        </w:tabs>
        <w:rPr>
          <w:sz w:val="20"/>
          <w:szCs w:val="20"/>
          <w:color w:val="auto"/>
        </w:rPr>
      </w:pPr>
      <w:r>
        <w:rPr>
          <w:rFonts w:ascii="Times New Roman" w:cs="Times New Roman" w:eastAsia="Times New Roman" w:hAnsi="Times New Roman"/>
          <w:sz w:val="22"/>
          <w:szCs w:val="22"/>
          <w:color w:val="auto"/>
        </w:rPr>
        <w:t>George C. Roeth</w:t>
      </w:r>
      <w:r>
        <w:rPr>
          <w:sz w:val="20"/>
          <w:szCs w:val="20"/>
          <w:color w:val="auto"/>
        </w:rPr>
        <w:tab/>
      </w:r>
      <w:r>
        <w:rPr>
          <w:rFonts w:ascii="Times New Roman" w:cs="Times New Roman" w:eastAsia="Times New Roman" w:hAnsi="Times New Roman"/>
          <w:sz w:val="22"/>
          <w:szCs w:val="22"/>
          <w:color w:val="auto"/>
        </w:rPr>
        <w:t>Age 59</w:t>
      </w:r>
      <w:r>
        <w:rPr>
          <w:sz w:val="20"/>
          <w:szCs w:val="20"/>
          <w:color w:val="auto"/>
        </w:rPr>
        <w:tab/>
      </w:r>
      <w:r>
        <w:rPr>
          <w:rFonts w:ascii="Times New Roman" w:cs="Times New Roman" w:eastAsia="Times New Roman" w:hAnsi="Times New Roman"/>
          <w:sz w:val="21"/>
          <w:szCs w:val="21"/>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028700" cy="1543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0" cy="1543050"/>
                    </a:xfrm>
                    <a:prstGeom prst="rect">
                      <a:avLst/>
                    </a:prstGeom>
                    <a:noFill/>
                  </pic:spPr>
                </pic:pic>
              </a:graphicData>
            </a:graphic>
          </wp:anchor>
        </w:drawing>
      </w:r>
    </w:p>
    <w:p>
      <w:pPr>
        <w:spacing w:after="0" w:line="196" w:lineRule="exact"/>
        <w:rPr>
          <w:sz w:val="20"/>
          <w:szCs w:val="20"/>
          <w:color w:val="auto"/>
        </w:rPr>
      </w:pPr>
    </w:p>
    <w:p>
      <w:pPr>
        <w:ind w:left="1846"/>
        <w:spacing w:after="0"/>
        <w:rPr>
          <w:sz w:val="20"/>
          <w:szCs w:val="20"/>
          <w:color w:val="auto"/>
        </w:rPr>
      </w:pPr>
      <w:r>
        <w:rPr>
          <w:rFonts w:ascii="Times New Roman" w:cs="Times New Roman" w:eastAsia="Times New Roman" w:hAnsi="Times New Roman"/>
          <w:sz w:val="22"/>
          <w:szCs w:val="22"/>
          <w:i w:val="1"/>
          <w:iCs w:val="1"/>
          <w:color w:val="auto"/>
        </w:rPr>
        <w:t>Lead Director of the Board of the Company</w:t>
      </w:r>
    </w:p>
    <w:p>
      <w:pPr>
        <w:spacing w:after="0" w:line="264" w:lineRule="exact"/>
        <w:rPr>
          <w:sz w:val="20"/>
          <w:szCs w:val="20"/>
          <w:color w:val="auto"/>
        </w:rPr>
      </w:pPr>
    </w:p>
    <w:p>
      <w:pPr>
        <w:jc w:val="both"/>
        <w:ind w:left="1846"/>
        <w:spacing w:after="0" w:line="235" w:lineRule="auto"/>
        <w:rPr>
          <w:sz w:val="20"/>
          <w:szCs w:val="20"/>
          <w:color w:val="auto"/>
        </w:rPr>
      </w:pPr>
      <w:r>
        <w:rPr>
          <w:rFonts w:ascii="Times New Roman" w:cs="Times New Roman" w:eastAsia="Times New Roman" w:hAnsi="Times New Roman"/>
          <w:sz w:val="22"/>
          <w:szCs w:val="22"/>
          <w:color w:val="auto"/>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 and General Manager, during which time he was</w:t>
      </w:r>
    </w:p>
    <w:p>
      <w:pPr>
        <w:spacing w:after="0" w:line="16" w:lineRule="exact"/>
        <w:rPr>
          <w:sz w:val="20"/>
          <w:szCs w:val="20"/>
          <w:color w:val="auto"/>
        </w:rPr>
      </w:pPr>
    </w:p>
    <w:p>
      <w:pPr>
        <w:jc w:val="both"/>
        <w:ind w:left="6"/>
        <w:spacing w:after="0" w:line="247" w:lineRule="auto"/>
        <w:rPr>
          <w:sz w:val="20"/>
          <w:szCs w:val="20"/>
          <w:color w:val="auto"/>
        </w:rPr>
      </w:pPr>
      <w:r>
        <w:rPr>
          <w:rFonts w:ascii="Times New Roman" w:cs="Times New Roman" w:eastAsia="Times New Roman" w:hAnsi="Times New Roman"/>
          <w:sz w:val="21"/>
          <w:szCs w:val="21"/>
          <w:color w:val="auto"/>
        </w:rPr>
        <w:t>also Chairman of the Board for the Clorox and Procter &amp; Gamble Glad Products Joint Venture. Prior to that, Mr. Roeth served in several senior-level marketing and operations roles at Clorox, including Senior Vice President and General Manager, Vice President of Growth and Marketing, and Vice President of Brand Development, among others. In 2015, Mr. Roeth joined the Board of Directors of Central Garden</w:t>
      </w:r>
    </w:p>
    <w:p>
      <w:pPr>
        <w:spacing w:after="0" w:line="2" w:lineRule="exact"/>
        <w:rPr>
          <w:sz w:val="20"/>
          <w:szCs w:val="20"/>
          <w:color w:val="auto"/>
        </w:rPr>
      </w:pPr>
    </w:p>
    <w:p>
      <w:pPr>
        <w:jc w:val="both"/>
        <w:ind w:left="6" w:hanging="6"/>
        <w:spacing w:after="0" w:line="233" w:lineRule="auto"/>
        <w:tabs>
          <w:tab w:leader="none" w:pos="23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Pet Company (“Central Garden &amp; Pet”) and served as President and Chief Executive Officer of Central Garden &amp; Pet from 2016 until his retirement on September 28, 2019. Mr. Roeth was appointed as Lead Director of the Oil-Dri Board of Directors on April 5, 2019. He currently serves as a Trustee of the Committee for Economic Development as part of The Conference Board and also serves on the Executive Advisory Board for Gryphon Investors.</w:t>
      </w:r>
    </w:p>
    <w:p>
      <w:pPr>
        <w:spacing w:after="0" w:line="206" w:lineRule="exact"/>
        <w:rPr>
          <w:sz w:val="20"/>
          <w:szCs w:val="20"/>
          <w:color w:val="auto"/>
        </w:rPr>
      </w:pPr>
    </w:p>
    <w:p>
      <w:pPr>
        <w:jc w:val="both"/>
        <w:ind w:left="6"/>
        <w:spacing w:after="0" w:line="238" w:lineRule="auto"/>
        <w:rPr>
          <w:sz w:val="20"/>
          <w:szCs w:val="20"/>
          <w:color w:val="auto"/>
        </w:rPr>
      </w:pPr>
      <w:r>
        <w:rPr>
          <w:rFonts w:ascii="Times New Roman" w:cs="Times New Roman" w:eastAsia="Times New Roman" w:hAnsi="Times New Roman"/>
          <w:sz w:val="22"/>
          <w:szCs w:val="22"/>
          <w:color w:val="auto"/>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 at Clorox and Central Garden &amp; Pet. He also brings to the Board his extensive experience in, and his comprehensive understanding of, the consumer products industry.</w:t>
      </w:r>
    </w:p>
    <w:p>
      <w:pPr>
        <w:sectPr>
          <w:pgSz w:w="11900" w:h="16838" w:orient="portrait"/>
          <w:cols w:equalWidth="0" w:num="1">
            <w:col w:w="9186"/>
          </w:cols>
          <w:pgMar w:left="1354" w:top="895" w:right="1359" w:bottom="1440" w:gutter="0" w:footer="0" w:header="0"/>
        </w:sectPr>
      </w:pPr>
    </w:p>
    <w:p>
      <w:pPr>
        <w:spacing w:after="0" w:line="38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186"/>
          </w:cols>
          <w:pgMar w:left="1354" w:top="895" w:right="1359" w:bottom="1440" w:gutter="0" w:footer="0" w:header="0"/>
          <w:type w:val="continuous"/>
        </w:sectPr>
      </w:pPr>
    </w:p>
    <w:bookmarkStart w:id="17" w:name="page18"/>
    <w:bookmarkEnd w:id="17"/>
    <w:p>
      <w:pPr>
        <w:jc w:val="right"/>
        <w:spacing w:after="0"/>
        <w:tabs>
          <w:tab w:leader="none" w:pos="3720" w:val="left"/>
          <w:tab w:leader="none" w:pos="1680" w:val="left"/>
        </w:tabs>
        <w:rPr>
          <w:sz w:val="20"/>
          <w:szCs w:val="20"/>
          <w:color w:val="auto"/>
        </w:rPr>
      </w:pPr>
      <w:r>
        <w:rPr>
          <w:rFonts w:ascii="Times New Roman" w:cs="Times New Roman" w:eastAsia="Times New Roman" w:hAnsi="Times New Roman"/>
          <w:sz w:val="22"/>
          <w:szCs w:val="22"/>
          <w:color w:val="auto"/>
        </w:rPr>
        <w:t>Allan H. Selig</w:t>
      </w:r>
      <w:r>
        <w:rPr>
          <w:sz w:val="20"/>
          <w:szCs w:val="20"/>
          <w:color w:val="auto"/>
        </w:rPr>
        <w:tab/>
      </w:r>
      <w:r>
        <w:rPr>
          <w:rFonts w:ascii="Times New Roman" w:cs="Times New Roman" w:eastAsia="Times New Roman" w:hAnsi="Times New Roman"/>
          <w:sz w:val="22"/>
          <w:szCs w:val="22"/>
          <w:color w:val="auto"/>
        </w:rPr>
        <w:t>Age 86</w:t>
      </w:r>
      <w:r>
        <w:rPr>
          <w:sz w:val="20"/>
          <w:szCs w:val="20"/>
          <w:color w:val="auto"/>
        </w:rPr>
        <w:tab/>
      </w:r>
      <w:r>
        <w:rPr>
          <w:rFonts w:ascii="Times New Roman" w:cs="Times New Roman" w:eastAsia="Times New Roman" w:hAnsi="Times New Roman"/>
          <w:sz w:val="21"/>
          <w:szCs w:val="21"/>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1045845" cy="1517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45845" cy="1517015"/>
                    </a:xfrm>
                    <a:prstGeom prst="rect">
                      <a:avLst/>
                    </a:prstGeom>
                    <a:noFill/>
                  </pic:spPr>
                </pic:pic>
              </a:graphicData>
            </a:graphic>
          </wp:anchor>
        </w:drawing>
      </w:r>
    </w:p>
    <w:p>
      <w:pPr>
        <w:spacing w:after="0" w:line="19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i w:val="1"/>
          <w:iCs w:val="1"/>
          <w:color w:val="auto"/>
        </w:rPr>
        <w:t>Commissioner Emeritus of Major League Baseball</w:t>
      </w:r>
    </w:p>
    <w:p>
      <w:pPr>
        <w:spacing w:after="0" w:line="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i w:val="1"/>
          <w:iCs w:val="1"/>
          <w:color w:val="auto"/>
        </w:rPr>
        <w:t>President and Chairman of the Board, Selig Leasing Company Inc.</w:t>
      </w:r>
    </w:p>
    <w:p>
      <w:pPr>
        <w:ind w:left="1840"/>
        <w:spacing w:after="0"/>
        <w:rPr>
          <w:sz w:val="20"/>
          <w:szCs w:val="20"/>
          <w:color w:val="auto"/>
        </w:rPr>
      </w:pPr>
      <w:r>
        <w:rPr>
          <w:rFonts w:ascii="Times New Roman" w:cs="Times New Roman" w:eastAsia="Times New Roman" w:hAnsi="Times New Roman"/>
          <w:sz w:val="22"/>
          <w:szCs w:val="22"/>
          <w:i w:val="1"/>
          <w:iCs w:val="1"/>
          <w:color w:val="auto"/>
        </w:rPr>
        <w:t>President, AHS Management Consulting Company</w:t>
      </w:r>
    </w:p>
    <w:p>
      <w:pPr>
        <w:spacing w:after="0" w:line="200" w:lineRule="exact"/>
        <w:rPr>
          <w:sz w:val="20"/>
          <w:szCs w:val="20"/>
          <w:color w:val="auto"/>
        </w:rPr>
      </w:pPr>
    </w:p>
    <w:p>
      <w:pPr>
        <w:spacing w:after="0" w:line="239" w:lineRule="exact"/>
        <w:rPr>
          <w:sz w:val="20"/>
          <w:szCs w:val="20"/>
          <w:color w:val="auto"/>
        </w:rPr>
      </w:pPr>
    </w:p>
    <w:p>
      <w:pPr>
        <w:jc w:val="both"/>
        <w:ind w:left="1840"/>
        <w:spacing w:after="0" w:line="251" w:lineRule="auto"/>
        <w:rPr>
          <w:sz w:val="20"/>
          <w:szCs w:val="20"/>
          <w:color w:val="auto"/>
        </w:rPr>
      </w:pPr>
      <w:r>
        <w:rPr>
          <w:rFonts w:ascii="Times New Roman" w:cs="Times New Roman" w:eastAsia="Times New Roman" w:hAnsi="Times New Roman"/>
          <w:sz w:val="21"/>
          <w:szCs w:val="21"/>
          <w:color w:val="auto"/>
        </w:rPr>
        <w:t>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 Leasing Company Inc. He became President and Chief Executive</w:t>
      </w:r>
    </w:p>
    <w:p>
      <w:pPr>
        <w:spacing w:after="0" w:line="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Officer of the Milwaukee Brewers Baseball Club, Inc. in 1970 and served in that capacity until 1998, when he was elected to the position of Commissioner of Major League Baseball (“MLB”). He also served as Chairman of the Executive Council of MLB from 1992 to 1998. He now holds the position of Commissioner Emeritus of MLB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 Mr. Selig was inducted into the Baseball Hall of Fame on July 30, 2017 in Cooperstown, NY.</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Commissioner Emeritus Selig’s individual qualifications include sound judgment, integrity and business management skills gained through his management of several businesses, including his long tenure in his positions as MLB Commissioner, as Chief Executive Officer of the Milwaukee Brewers Baseball Club and as President and Chairman of his family’s automobile businesses. His unique ability to manage by consensus brought change and growth in baseball despite economic and political challenges both inside and outside of baseball. In addition, he is a community leader and an active advisor to several philanthropic organizations.</w:t>
      </w:r>
    </w:p>
    <w:p>
      <w:pPr>
        <w:spacing w:after="0" w:line="332" w:lineRule="exact"/>
        <w:rPr>
          <w:sz w:val="20"/>
          <w:szCs w:val="20"/>
          <w:color w:val="auto"/>
        </w:rPr>
      </w:pPr>
    </w:p>
    <w:p>
      <w:pPr>
        <w:jc w:val="right"/>
        <w:spacing w:after="0"/>
        <w:tabs>
          <w:tab w:leader="none" w:pos="3720" w:val="left"/>
          <w:tab w:leader="none" w:pos="1680" w:val="left"/>
        </w:tabs>
        <w:rPr>
          <w:sz w:val="20"/>
          <w:szCs w:val="20"/>
          <w:color w:val="auto"/>
        </w:rPr>
      </w:pPr>
      <w:r>
        <w:rPr>
          <w:rFonts w:ascii="Times New Roman" w:cs="Times New Roman" w:eastAsia="Times New Roman" w:hAnsi="Times New Roman"/>
          <w:sz w:val="22"/>
          <w:szCs w:val="22"/>
          <w:color w:val="auto"/>
        </w:rPr>
        <w:t>Paul E. Suckow</w:t>
      </w:r>
      <w:r>
        <w:rPr>
          <w:sz w:val="20"/>
          <w:szCs w:val="20"/>
          <w:color w:val="auto"/>
        </w:rPr>
        <w:tab/>
      </w:r>
      <w:r>
        <w:rPr>
          <w:rFonts w:ascii="Times New Roman" w:cs="Times New Roman" w:eastAsia="Times New Roman" w:hAnsi="Times New Roman"/>
          <w:sz w:val="22"/>
          <w:szCs w:val="22"/>
          <w:color w:val="auto"/>
        </w:rPr>
        <w:t>Age 73</w:t>
      </w:r>
      <w:r>
        <w:rPr>
          <w:sz w:val="20"/>
          <w:szCs w:val="20"/>
          <w:color w:val="auto"/>
        </w:rPr>
        <w:tab/>
      </w:r>
      <w:r>
        <w:rPr>
          <w:rFonts w:ascii="Times New Roman" w:cs="Times New Roman" w:eastAsia="Times New Roman" w:hAnsi="Times New Roman"/>
          <w:sz w:val="21"/>
          <w:szCs w:val="21"/>
          <w:color w:val="auto"/>
        </w:rPr>
        <w:t>Director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1036955" cy="1525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36955" cy="1525905"/>
                    </a:xfrm>
                    <a:prstGeom prst="rect">
                      <a:avLst/>
                    </a:prstGeom>
                    <a:noFill/>
                  </pic:spPr>
                </pic:pic>
              </a:graphicData>
            </a:graphic>
          </wp:anchor>
        </w:drawing>
      </w:r>
    </w:p>
    <w:p>
      <w:pPr>
        <w:spacing w:after="0" w:line="196" w:lineRule="exact"/>
        <w:rPr>
          <w:sz w:val="20"/>
          <w:szCs w:val="20"/>
          <w:color w:val="auto"/>
        </w:rPr>
      </w:pPr>
    </w:p>
    <w:p>
      <w:pPr>
        <w:jc w:val="both"/>
        <w:ind w:left="1840"/>
        <w:spacing w:after="0" w:line="262" w:lineRule="auto"/>
        <w:rPr>
          <w:sz w:val="20"/>
          <w:szCs w:val="20"/>
          <w:color w:val="auto"/>
        </w:rPr>
      </w:pPr>
      <w:r>
        <w:rPr>
          <w:rFonts w:ascii="Times New Roman" w:cs="Times New Roman" w:eastAsia="Times New Roman" w:hAnsi="Times New Roman"/>
          <w:sz w:val="22"/>
          <w:szCs w:val="22"/>
          <w:i w:val="1"/>
          <w:iCs w:val="1"/>
          <w:color w:val="auto"/>
        </w:rPr>
        <w:t>Business Fellow and Adjunct Professor, Finance and Economics, Villanova University</w:t>
      </w:r>
    </w:p>
    <w:p>
      <w:pPr>
        <w:spacing w:after="0" w:line="167" w:lineRule="exact"/>
        <w:rPr>
          <w:sz w:val="20"/>
          <w:szCs w:val="20"/>
          <w:color w:val="auto"/>
        </w:rPr>
      </w:pPr>
    </w:p>
    <w:p>
      <w:pPr>
        <w:jc w:val="both"/>
        <w:ind w:left="1840"/>
        <w:spacing w:after="0" w:line="235" w:lineRule="auto"/>
        <w:rPr>
          <w:sz w:val="20"/>
          <w:szCs w:val="20"/>
          <w:color w:val="auto"/>
        </w:rPr>
      </w:pPr>
      <w:r>
        <w:rPr>
          <w:rFonts w:ascii="Times New Roman" w:cs="Times New Roman" w:eastAsia="Times New Roman" w:hAnsi="Times New Roman"/>
          <w:sz w:val="22"/>
          <w:szCs w:val="22"/>
          <w:color w:val="auto"/>
        </w:rPr>
        <w:t>Mr. Suckow received a B.S. degree in economics from Bradley University in 1969 and earned a Master of Business Administration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Inc. From</w:t>
      </w:r>
    </w:p>
    <w:p>
      <w:pPr>
        <w:spacing w:after="0" w:line="1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1985 to 1992, Mr. Suckow was Executive Vice President and Director of Fixed Income Securities for Oppenheimer Management Corporation, 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Since 1978, he has been a Chartered Financial Analyst and is a member of the CFA Institute.</w:t>
      </w:r>
    </w:p>
    <w:p>
      <w:pPr>
        <w:spacing w:after="0" w:line="20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and is an “audit committee financial expert” within the meaning of SEC rules.</w:t>
      </w:r>
    </w:p>
    <w:p>
      <w:pPr>
        <w:sectPr>
          <w:pgSz w:w="11900" w:h="16838" w:orient="portrait"/>
          <w:cols w:equalWidth="0" w:num="1">
            <w:col w:w="9180"/>
          </w:cols>
          <w:pgMar w:left="1360" w:top="895" w:right="135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180"/>
          </w:cols>
          <w:pgMar w:left="1360" w:top="895" w:right="1359" w:bottom="1440" w:gutter="0" w:footer="0" w:header="0"/>
          <w:type w:val="continuous"/>
        </w:sectPr>
      </w:pPr>
    </w:p>
    <w:bookmarkStart w:id="18" w:name="page19"/>
    <w:bookmarkEnd w:id="18"/>
    <w:p>
      <w:pPr>
        <w:spacing w:after="0" w:line="23" w:lineRule="exact"/>
        <w:rPr>
          <w:sz w:val="20"/>
          <w:szCs w:val="20"/>
          <w:color w:val="auto"/>
        </w:rPr>
      </w:pPr>
    </w:p>
    <w:p>
      <w:pPr>
        <w:jc w:val="right"/>
        <w:spacing w:after="0"/>
        <w:tabs>
          <w:tab w:leader="none" w:pos="3720" w:val="left"/>
          <w:tab w:leader="none" w:pos="1680" w:val="left"/>
        </w:tabs>
        <w:rPr>
          <w:sz w:val="20"/>
          <w:szCs w:val="20"/>
          <w:color w:val="auto"/>
        </w:rPr>
      </w:pPr>
      <w:r>
        <w:rPr>
          <w:rFonts w:ascii="Times New Roman" w:cs="Times New Roman" w:eastAsia="Times New Roman" w:hAnsi="Times New Roman"/>
          <w:sz w:val="22"/>
          <w:szCs w:val="22"/>
          <w:color w:val="auto"/>
        </w:rPr>
        <w:t>Lawrence E. Washow</w:t>
      </w:r>
      <w:r>
        <w:rPr>
          <w:sz w:val="20"/>
          <w:szCs w:val="20"/>
          <w:color w:val="auto"/>
        </w:rPr>
        <w:tab/>
      </w:r>
      <w:r>
        <w:rPr>
          <w:rFonts w:ascii="Times New Roman" w:cs="Times New Roman" w:eastAsia="Times New Roman" w:hAnsi="Times New Roman"/>
          <w:sz w:val="22"/>
          <w:szCs w:val="22"/>
          <w:color w:val="auto"/>
        </w:rPr>
        <w:t>Age 67</w:t>
      </w:r>
      <w:r>
        <w:rPr>
          <w:sz w:val="20"/>
          <w:szCs w:val="20"/>
          <w:color w:val="auto"/>
        </w:rPr>
        <w:tab/>
      </w:r>
      <w:r>
        <w:rPr>
          <w:rFonts w:ascii="Times New Roman" w:cs="Times New Roman" w:eastAsia="Times New Roman" w:hAnsi="Times New Roman"/>
          <w:sz w:val="21"/>
          <w:szCs w:val="21"/>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1002665" cy="1517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2665" cy="1517015"/>
                    </a:xfrm>
                    <a:prstGeom prst="rect">
                      <a:avLst/>
                    </a:prstGeom>
                    <a:noFill/>
                  </pic:spPr>
                </pic:pic>
              </a:graphicData>
            </a:graphic>
          </wp:anchor>
        </w:drawing>
      </w:r>
    </w:p>
    <w:p>
      <w:pPr>
        <w:spacing w:after="0" w:line="196" w:lineRule="exact"/>
        <w:rPr>
          <w:sz w:val="20"/>
          <w:szCs w:val="20"/>
          <w:color w:val="auto"/>
        </w:rPr>
      </w:pPr>
    </w:p>
    <w:p>
      <w:pPr>
        <w:ind w:left="1840" w:right="2860"/>
        <w:spacing w:after="0" w:line="246" w:lineRule="auto"/>
        <w:rPr>
          <w:sz w:val="20"/>
          <w:szCs w:val="20"/>
          <w:color w:val="auto"/>
        </w:rPr>
      </w:pPr>
      <w:r>
        <w:rPr>
          <w:rFonts w:ascii="Times New Roman" w:cs="Times New Roman" w:eastAsia="Times New Roman" w:hAnsi="Times New Roman"/>
          <w:sz w:val="22"/>
          <w:szCs w:val="22"/>
          <w:i w:val="1"/>
          <w:iCs w:val="1"/>
          <w:color w:val="auto"/>
        </w:rPr>
        <w:t>Vice Chairman of the Board of the Company Board Member and Partner of Eudora Global, LLC Board Member, Aspire Brands, Inc.</w:t>
      </w:r>
    </w:p>
    <w:p>
      <w:pPr>
        <w:spacing w:after="0" w:line="185" w:lineRule="exact"/>
        <w:rPr>
          <w:sz w:val="20"/>
          <w:szCs w:val="20"/>
          <w:color w:val="auto"/>
        </w:rPr>
      </w:pPr>
    </w:p>
    <w:p>
      <w:pPr>
        <w:jc w:val="both"/>
        <w:ind w:left="1840" w:right="20"/>
        <w:spacing w:after="0" w:line="236" w:lineRule="auto"/>
        <w:rPr>
          <w:sz w:val="20"/>
          <w:szCs w:val="20"/>
          <w:color w:val="auto"/>
        </w:rPr>
      </w:pPr>
      <w:r>
        <w:rPr>
          <w:rFonts w:ascii="Times New Roman" w:cs="Times New Roman" w:eastAsia="Times New Roman" w:hAnsi="Times New Roman"/>
          <w:sz w:val="22"/>
          <w:szCs w:val="22"/>
          <w:color w:val="auto"/>
        </w:rPr>
        <w:t>Mr. Washow received a bachelor’s degree from Miami University in Oxford, Ohio and earned a Master of Business Administration from the Kellogg Graduate School of Management of Northwestern University. Mr. Washow began his career at American Colloid Company (which subsequently became a subsidiary of AMCOL International Corporation (“AMCOL”), now Mineral Technologies Inc.) Mr. Washow became Chief</w:t>
      </w:r>
    </w:p>
    <w:p>
      <w:pPr>
        <w:spacing w:after="0" w:line="1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Operating Officer of AMCOL in 1998 and President and Chief Executive Officer of AMCOL in 2000 and served in these positions and as a director of AMCOL until 2010. He became Vice Chairman of the Board in October of 2020. He serves as a board member and partner of Eudora Global, LLC and a board member of Aspire Brands, Inc. In addition, he is a private investor and advisor for a number of early stage companies.</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Mr. Washow’s individual qualifications include his extensive global experience in minerals, mining, manufacturing and distribution. In addition, Mr. Washow is an “audit committee financial expert” within the meaning of SEC rules and brings to the Board his strong business acumen and broad experience in management, operations, public company governance and compliance obtained through the leadership positions that he has held with public corporations, including president, chief executive officer and board member.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180"/>
          </w:cols>
          <w:pgMar w:left="1360" w:top="1440" w:right="1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5"/>
          <w:szCs w:val="25"/>
          <w:b w:val="1"/>
          <w:bCs w:val="1"/>
          <w:color w:val="auto"/>
        </w:rPr>
        <w:t>Proposal 2 - Ratification of Appointment of Independent Auditor</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Audit Committee is directly responsible for the selection, appointment, evaluation and oversight of the independent auditor retained to audit the Company’s financial statements. The Audit Committee annually reviews its independent registered public accounting firm's performance and independence from management.</w:t>
      </w:r>
    </w:p>
    <w:p>
      <w:pPr>
        <w:spacing w:after="0" w:line="13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Audit Committee of the Board of Directors appointed Grant Thornton as the Company’s independent auditor for fiscal 2021 at its meeting on October 13, 2020 and has further directed that we submit the appointment of the independent auditor for ratification by the stockholders at the 2020 Annual Meeting. Grant Thornton audited the Company’s consolidated financial statements for the fiscal year ended July 31, 2020. A representative of Grant Thornton is expected to be present at the 2020 Annual Meeting and will have an opportunity to make a statement if he or she so desires and will be available to respond to appropriate questions.</w:t>
      </w:r>
    </w:p>
    <w:p>
      <w:pPr>
        <w:spacing w:after="0" w:line="14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Stockholder ratification of the appointment of Grant Thornton as the Company’s independent auditor is not required by the Company’s By-Laws or otherwise; however, our Board of Directors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BOARD OF DIRECTORS RECOMMENDS A VOTE “FOR” RATIFICATION OF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APPOINTMENT OF GRANT THORNTON LLP AS INDEPENDENT AUDITOR.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Other Matters Relating to the Independent Auditor</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Auditor Fees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following table shows the aggregate fees for professional services rendered by Grant Thornton for the audit of the Company’s annual financial statements for the years ended July 31, 2020 (“fiscal 2020”) and July 31, 2019 (“fiscal 2019”), and fees billed during those periods for other services rendered by Grant Thornton.</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b w:val="1"/>
                <w:bCs w:val="1"/>
                <w:color w:val="auto"/>
              </w:rPr>
              <w:t>Type of Fees</w:t>
            </w:r>
          </w:p>
        </w:tc>
        <w:tc>
          <w:tcPr>
            <w:tcW w:w="158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shd w:val="clear" w:color="auto" w:fill="CCEEFF"/>
              </w:rPr>
              <w:t>2019</w:t>
            </w:r>
          </w:p>
        </w:tc>
        <w:tc>
          <w:tcPr>
            <w:tcW w:w="1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2"/>
                <w:szCs w:val="22"/>
                <w:b w:val="1"/>
                <w:bCs w:val="1"/>
                <w:color w:val="auto"/>
                <w:shd w:val="clear" w:color="auto" w:fill="CCEEFF"/>
              </w:rPr>
              <w:t>2020</w:t>
            </w:r>
          </w:p>
        </w:tc>
        <w:tc>
          <w:tcPr>
            <w:tcW w:w="560" w:type="dxa"/>
            <w:vAlign w:val="bottom"/>
            <w:tcBorders>
              <w:bottom w:val="single" w:sz="8" w:color="CCEEFF"/>
            </w:tcBorders>
            <w:shd w:val="clear" w:color="auto" w:fill="CCEEFF"/>
          </w:tcPr>
          <w:p>
            <w:pPr>
              <w:spacing w:after="0"/>
              <w:rPr>
                <w:sz w:val="24"/>
                <w:szCs w:val="24"/>
                <w:color w:val="auto"/>
              </w:rPr>
            </w:pPr>
          </w:p>
        </w:tc>
      </w:tr>
      <w:tr>
        <w:trPr>
          <w:trHeight w:val="283"/>
        </w:trPr>
        <w:tc>
          <w:tcPr>
            <w:tcW w:w="5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Audit fees (1)</w:t>
            </w:r>
          </w:p>
        </w:tc>
        <w:tc>
          <w:tcPr>
            <w:tcW w:w="1220" w:type="dxa"/>
            <w:vAlign w:val="bottom"/>
          </w:tcPr>
          <w:p>
            <w:pPr>
              <w:spacing w:after="0"/>
              <w:rPr>
                <w:sz w:val="24"/>
                <w:szCs w:val="24"/>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$869,748</w:t>
            </w:r>
          </w:p>
        </w:tc>
        <w:tc>
          <w:tcPr>
            <w:tcW w:w="1220" w:type="dxa"/>
            <w:vAlign w:val="bottom"/>
          </w:tcPr>
          <w:p>
            <w:pPr>
              <w:spacing w:after="0"/>
              <w:rPr>
                <w:sz w:val="24"/>
                <w:szCs w:val="24"/>
                <w:color w:val="auto"/>
              </w:rPr>
            </w:pP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$678,135</w:t>
            </w:r>
          </w:p>
        </w:tc>
      </w:tr>
      <w:tr>
        <w:trPr>
          <w:trHeight w:val="304"/>
        </w:trPr>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Audit-related fees (2)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$5,500</w:t>
            </w:r>
          </w:p>
        </w:tc>
        <w:tc>
          <w:tcPr>
            <w:tcW w:w="1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Tax fees (3)</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$250,117</w:t>
            </w:r>
          </w:p>
        </w:tc>
        <w:tc>
          <w:tcPr>
            <w:tcW w:w="12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$368,314</w:t>
            </w:r>
          </w:p>
        </w:tc>
      </w:tr>
      <w:tr>
        <w:trPr>
          <w:trHeight w:val="304"/>
        </w:trPr>
        <w:tc>
          <w:tcPr>
            <w:tcW w:w="6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All other fees (4)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$918</w:t>
            </w:r>
          </w:p>
        </w:tc>
        <w:tc>
          <w:tcPr>
            <w:tcW w:w="122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$923</w:t>
            </w:r>
          </w:p>
        </w:tc>
      </w:tr>
      <w:tr>
        <w:trPr>
          <w:trHeight w:val="276"/>
        </w:trPr>
        <w:tc>
          <w:tcPr>
            <w:tcW w:w="5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Total</w:t>
            </w:r>
          </w:p>
        </w:tc>
        <w:tc>
          <w:tcPr>
            <w:tcW w:w="1220" w:type="dxa"/>
            <w:vAlign w:val="bottom"/>
          </w:tcPr>
          <w:p>
            <w:pPr>
              <w:spacing w:after="0"/>
              <w:rPr>
                <w:sz w:val="23"/>
                <w:szCs w:val="23"/>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$1,126,283</w:t>
            </w:r>
          </w:p>
        </w:tc>
        <w:tc>
          <w:tcPr>
            <w:tcW w:w="1220" w:type="dxa"/>
            <w:vAlign w:val="bottom"/>
          </w:tcPr>
          <w:p>
            <w:pPr>
              <w:spacing w:after="0"/>
              <w:rPr>
                <w:sz w:val="23"/>
                <w:szCs w:val="23"/>
                <w:color w:val="auto"/>
              </w:rPr>
            </w:pP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$1,047,372</w:t>
            </w:r>
          </w:p>
        </w:tc>
      </w:tr>
    </w:tbl>
    <w:p>
      <w:pPr>
        <w:spacing w:after="0" w:line="253" w:lineRule="exact"/>
        <w:rPr>
          <w:sz w:val="20"/>
          <w:szCs w:val="20"/>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audit services provided in connection with the audit of our annual financial statements and review of our quarterly financial statements and audit services provided in connection with other statutory or regulatory filings. Audit fees for fiscal 2019 reflect fees invoiced by Grant Thornton, after the completion of fiscal 2019, for services related to such fiscal year.</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 fiscal 2019 related to services provided in 2018 in connection with certain other matters.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732" w:right="339" w:bottom="1440" w:gutter="0" w:footer="0" w:header="0"/>
        </w:sectPr>
      </w:pPr>
    </w:p>
    <w:bookmarkStart w:id="20" w:name="page21"/>
    <w:bookmarkEnd w:id="20"/>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of research and advice regarding the effect of tax laws and regulations and transfer pricing.</w:t>
      </w:r>
    </w:p>
    <w:p>
      <w:pPr>
        <w:spacing w:after="0" w:line="1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 fiscal 2019 and 2020 consist of fees for iXBRL tagging of statutory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Pre-Approval of Independent Auditor Services</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 services specifically prohibited by the Sarbanes-Oxley Act of 2002 will be provided to the Company by the independent auditor. The Audit Committee has adopted a policy that requires the Audit Committee or a member of the Audit Committee to pre-approve all engagements with the Company’s independent auditor. These services include audit services, audit-related services and tax services. In accordance with its pre-approval policy, the Audit Committee or its chair pre-approved all services performed by the independent auditor during fiscal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Proposal 3 - Advisory Vote on Executive Compensation</w:t>
      </w:r>
    </w:p>
    <w:p>
      <w:pPr>
        <w:spacing w:after="0" w:line="3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Dodd-Frank Wall Street Reform and Consumer Protection Act (the “Dodd-Frank Act”) requires that we provide our stockholders with the opportunity to vote to approve or not approve, on an advisory and non-binding basis, our executive compensation program and practices, frequently referred to as the “say on pay” vote. This advisory vote, which we hold every three years, is not intended to address any specific element of executive compensation, but instead is intended to address the overall compensation of the named executive officers of the Company as disclosed in this proxy statement. This is an advisory vote, which means it is non-binding on the Company, our Board of Directors and our Compensation Committee. Although the vote is non-binding, the Compensation Committee will consider the outcome of the vote when making future executive compensation decisions.</w:t>
      </w:r>
    </w:p>
    <w:p>
      <w:pPr>
        <w:spacing w:after="0" w:line="3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current policy is to provide stockholders with an opportunity to approve, on an advisory basis, the compensation of our named executive officers every three years at the applicable annual meeting of stockholders, until the next required stockholder vote on the frequency of such votes. Stockholders last had the opportunity to cast an advisory vote on a “say-on-pay” proposal at the Company’s annual meeting of stockholders on December 12, 2017, at which time they approved the proposal by an affirmative vote of approximately 97% of shares cast.</w:t>
      </w:r>
    </w:p>
    <w:p>
      <w:pPr>
        <w:spacing w:after="0" w:line="14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We encourage stockholders to read the "Executive Compensation" section in this proxy statement, including the compensation tables and the related narrative disclosure, which describes the structure and amounts of the compensation of our named executive officers in fiscal year 2020. Our executive compensation program is designed to attract, retain and motivate the executives we need to carry out our strategic plan, mission, goals and values. We seek to align pay and performance by making a meaningful portion of the named executive officers’ incentive compensation at-risk, dependent on achievement of an annual corporate performance target shared by all employees. Additionally, our compensation practices are intended to ensure that our programs are aligned with our corporate goals and values.</w:t>
      </w:r>
    </w:p>
    <w:p>
      <w:pPr>
        <w:spacing w:after="0" w:line="150" w:lineRule="exact"/>
        <w:rPr>
          <w:sz w:val="20"/>
          <w:szCs w:val="20"/>
          <w:color w:val="auto"/>
        </w:rPr>
      </w:pPr>
    </w:p>
    <w:p>
      <w:pPr>
        <w:ind w:left="900" w:hanging="244"/>
        <w:spacing w:after="0"/>
        <w:tabs>
          <w:tab w:leader="none" w:pos="900" w:val="left"/>
        </w:tabs>
        <w:numPr>
          <w:ilvl w:val="0"/>
          <w:numId w:val="30"/>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We employ all our employees, including the named executive officers, “at will” without employment contracts.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42" w:right="339" w:bottom="1440" w:gutter="0" w:footer="0" w:header="0"/>
        </w:sectPr>
      </w:pPr>
    </w:p>
    <w:bookmarkStart w:id="21" w:name="page22"/>
    <w:bookmarkEnd w:id="21"/>
    <w:p>
      <w:pPr>
        <w:jc w:val="both"/>
        <w:ind w:left="900" w:hanging="244"/>
        <w:spacing w:after="0" w:line="276" w:lineRule="auto"/>
        <w:tabs>
          <w:tab w:leader="none" w:pos="900" w:val="left"/>
        </w:tabs>
        <w:numPr>
          <w:ilvl w:val="0"/>
          <w:numId w:val="31"/>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None of our employees, including the named executive officers, are entitled to any payment or accelerated benefit upon change in control of the Company unless such benefits are provided to all participants in the applicable compensation plans.</w:t>
      </w:r>
    </w:p>
    <w:p>
      <w:pPr>
        <w:spacing w:after="0" w:line="86" w:lineRule="exact"/>
        <w:rPr>
          <w:rFonts w:ascii="Times New Roman" w:cs="Times New Roman" w:eastAsia="Times New Roman" w:hAnsi="Times New Roman"/>
          <w:sz w:val="25"/>
          <w:szCs w:val="25"/>
          <w:color w:val="auto"/>
        </w:rPr>
      </w:pPr>
    </w:p>
    <w:p>
      <w:pPr>
        <w:ind w:left="900" w:hanging="244"/>
        <w:spacing w:after="0"/>
        <w:tabs>
          <w:tab w:leader="none" w:pos="900" w:val="left"/>
        </w:tabs>
        <w:numPr>
          <w:ilvl w:val="0"/>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We do not have a prospective severance plan that covers any of our employees, including the named executive officers.</w:t>
      </w:r>
    </w:p>
    <w:p>
      <w:pPr>
        <w:spacing w:after="0" w:line="129" w:lineRule="exact"/>
        <w:rPr>
          <w:rFonts w:ascii="Times New Roman" w:cs="Times New Roman" w:eastAsia="Times New Roman" w:hAnsi="Times New Roman"/>
          <w:sz w:val="24"/>
          <w:szCs w:val="24"/>
          <w:color w:val="auto"/>
        </w:rPr>
      </w:pPr>
    </w:p>
    <w:p>
      <w:pPr>
        <w:ind w:left="900" w:hanging="244"/>
        <w:spacing w:after="0" w:line="276" w:lineRule="auto"/>
        <w:tabs>
          <w:tab w:leader="none" w:pos="900" w:val="left"/>
        </w:tabs>
        <w:numPr>
          <w:ilvl w:val="0"/>
          <w:numId w:val="31"/>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We do not pay the tax liability associated with reimbursements for the relatively modest perquisites we provide the named executive officers (i.e., no gross-ups).</w:t>
      </w:r>
    </w:p>
    <w:p>
      <w:pPr>
        <w:spacing w:after="0" w:line="80" w:lineRule="exact"/>
        <w:rPr>
          <w:rFonts w:ascii="Times New Roman" w:cs="Times New Roman" w:eastAsia="Times New Roman" w:hAnsi="Times New Roman"/>
          <w:sz w:val="25"/>
          <w:szCs w:val="25"/>
          <w:color w:val="auto"/>
        </w:rPr>
      </w:pPr>
    </w:p>
    <w:p>
      <w:pPr>
        <w:ind w:left="900" w:hanging="244"/>
        <w:spacing w:after="0" w:line="276" w:lineRule="auto"/>
        <w:tabs>
          <w:tab w:leader="none" w:pos="900" w:val="left"/>
        </w:tabs>
        <w:numPr>
          <w:ilvl w:val="0"/>
          <w:numId w:val="31"/>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All U.S.-based salaried employees, including the named executive officers, receive equivalent benefits and those benefits are similar to the benefits provided to our hourly-paid manufacturing employees.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Accordingly, we are asking our stockholders to vote “FOR” the adoption of the following resolution:</w:t>
      </w:r>
    </w:p>
    <w:p>
      <w:pPr>
        <w:spacing w:after="0" w:line="179" w:lineRule="exact"/>
        <w:rPr>
          <w:sz w:val="20"/>
          <w:szCs w:val="20"/>
          <w:color w:val="auto"/>
        </w:rPr>
      </w:pPr>
    </w:p>
    <w:p>
      <w:pPr>
        <w:jc w:val="both"/>
        <w:ind w:left="900" w:right="20" w:firstLine="648"/>
        <w:spacing w:after="0" w:line="257" w:lineRule="auto"/>
        <w:rPr>
          <w:sz w:val="20"/>
          <w:szCs w:val="20"/>
          <w:color w:val="auto"/>
        </w:rPr>
      </w:pPr>
      <w:r>
        <w:rPr>
          <w:rFonts w:ascii="Times New Roman" w:cs="Times New Roman" w:eastAsia="Times New Roman" w:hAnsi="Times New Roman"/>
          <w:sz w:val="22"/>
          <w:szCs w:val="22"/>
          <w:color w:val="auto"/>
        </w:rPr>
        <w:t>“RESOLVED, that the stockholders approve, on an advisory basis, the compensation of the Company’s named executive officers, as disclosed in this Proxy Statement pursuant to Item 402 of Regulation S-K in the Compensation Discussion and Analysis, the compensation tables, and related narrative and tabular disclosures.”</w:t>
      </w:r>
    </w:p>
    <w:p>
      <w:pPr>
        <w:spacing w:after="0" w:line="12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THE BOARD OF DIRECTORS RECOMMENDS A VOTE “FOR” APPROVAL OF THE COMPENSATION OF THE NAMED EXECUTIVE OFFICERS AS DISCLOSED IN THE EXECUTIVE COMPENSATION SECTION OF THIS PROXY STATEMENT.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Other Matters for the Annual Meeting</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At this time, our Board of Directors is not aware of any matters not referred to herein that might be presented for action at the 2020 Annual Meeting; however, if any other business should properly come before the meeting, votes may be cast in respect to such matters in accordance with the best judgment of the person or persons acting under the proxies.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CORPORATE GOVERNANCE MATTERS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Controlled Company Status</w:t>
      </w:r>
    </w:p>
    <w:p>
      <w:pPr>
        <w:spacing w:after="0" w:line="20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Daniel S. Jaffee and the Jaffee Investment Partnership, L.P., a Delaware limited partnership of which Daniel S. Jaffee is a general partner. The remaining three general partners of the Jaffee Investment Partnership, L.P. are all siblings of Daniel S. Jaffee. Daniel S. Jaffee has 11 of the 20 total votes of the general partners.</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As a “controlled company” we are entitled to rely on exemptions from the NYSE Corporate Governance Standards that would otherwise require the Company to: (a) have a board of directors the majority of which is comprised of independent directors; (b) have a nominating and governance committee comprised entirely of independent directors with a written charter addressing the committee’s purpose and responsibilities; and (c) have a compensation committee comprised entirely of independent directors with 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760" w:right="339" w:bottom="1440" w:gutter="0" w:footer="0" w:header="0"/>
        </w:sectPr>
      </w:pPr>
    </w:p>
    <w:bookmarkStart w:id="22" w:name="page23"/>
    <w:bookmarkEnd w:id="22"/>
    <w:p>
      <w:pPr>
        <w:jc w:val="both"/>
        <w:spacing w:after="0" w:line="257" w:lineRule="auto"/>
        <w:rPr>
          <w:sz w:val="20"/>
          <w:szCs w:val="20"/>
          <w:color w:val="auto"/>
        </w:rPr>
      </w:pPr>
      <w:r>
        <w:rPr>
          <w:rFonts w:ascii="Times New Roman" w:cs="Times New Roman" w:eastAsia="Times New Roman" w:hAnsi="Times New Roman"/>
          <w:sz w:val="22"/>
          <w:szCs w:val="22"/>
          <w:color w:val="auto"/>
        </w:rPr>
        <w:t>written charter addressing the committee’s purpose and responsibilities. From time to time in the past, we have elected to rely on all of these exemptions. Currently, a majority of our Board of Directors is comprised of independent directors, so we are only relying on exemptions (b) and (c) above.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Director Independence</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Our Board of Directors has determined that the directors listed below are independent from our management within the meaning of the NYSE Corporate Governance Standards:</w:t>
      </w:r>
    </w:p>
    <w:p>
      <w:pPr>
        <w:sectPr>
          <w:pgSz w:w="11900" w:h="16838" w:orient="portrait"/>
          <w:cols w:equalWidth="0" w:num="1">
            <w:col w:w="11240"/>
          </w:cols>
          <w:pgMar w:left="320" w:top="747"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Ellen-Blair Chube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Allan H. Selig</w:t>
      </w:r>
    </w:p>
    <w:p>
      <w:pPr>
        <w:spacing w:after="0" w:line="200" w:lineRule="exact"/>
        <w:rPr>
          <w:sz w:val="20"/>
          <w:szCs w:val="20"/>
          <w:color w:val="auto"/>
        </w:rPr>
      </w:pPr>
    </w:p>
    <w:p>
      <w:pPr>
        <w:sectPr>
          <w:pgSz w:w="11900" w:h="16838" w:orient="portrait"/>
          <w:cols w:equalWidth="0" w:num="2">
            <w:col w:w="5080" w:space="580"/>
            <w:col w:w="5580"/>
          </w:cols>
          <w:pgMar w:left="320" w:top="747" w:right="339" w:bottom="1440" w:gutter="0" w:footer="0" w:header="0"/>
          <w:type w:val="continuous"/>
        </w:sectPr>
      </w:pPr>
    </w:p>
    <w:p>
      <w:pPr>
        <w:spacing w:after="0" w:line="7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Paul M. Hindsley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Paul E. Suckow</w:t>
      </w:r>
    </w:p>
    <w:p>
      <w:pPr>
        <w:spacing w:after="0" w:line="200" w:lineRule="exact"/>
        <w:rPr>
          <w:sz w:val="20"/>
          <w:szCs w:val="20"/>
          <w:color w:val="auto"/>
        </w:rPr>
      </w:pPr>
    </w:p>
    <w:p>
      <w:pPr>
        <w:sectPr>
          <w:pgSz w:w="11900" w:h="16838" w:orient="portrait"/>
          <w:cols w:equalWidth="0" w:num="2">
            <w:col w:w="5020" w:space="640"/>
            <w:col w:w="5580"/>
          </w:cols>
          <w:pgMar w:left="320" w:top="747" w:right="339" w:bottom="1440" w:gutter="0" w:footer="0" w:header="0"/>
          <w:type w:val="continuous"/>
        </w:sectPr>
      </w:pPr>
    </w:p>
    <w:p>
      <w:pPr>
        <w:spacing w:after="0" w:line="7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George C. Roeth</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Lawrence E. Washow</w:t>
      </w:r>
    </w:p>
    <w:p>
      <w:pPr>
        <w:spacing w:after="0" w:line="200" w:lineRule="exact"/>
        <w:rPr>
          <w:sz w:val="20"/>
          <w:szCs w:val="20"/>
          <w:color w:val="auto"/>
        </w:rPr>
      </w:pPr>
    </w:p>
    <w:p>
      <w:pPr>
        <w:sectPr>
          <w:pgSz w:w="11900" w:h="16838" w:orient="portrait"/>
          <w:cols w:equalWidth="0" w:num="2">
            <w:col w:w="4960" w:space="700"/>
            <w:col w:w="5580"/>
          </w:cols>
          <w:pgMar w:left="320" w:top="747"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While our Board of Directors has not adopted any categorical standards for independence, in making these determinations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of Directors noted that none of Ms. Chube and Messrs. Hindsley, Roeth, Selig, Suckow and Washow:</w:t>
      </w:r>
    </w:p>
    <w:p>
      <w:pPr>
        <w:spacing w:after="0" w:line="155" w:lineRule="exact"/>
        <w:rPr>
          <w:sz w:val="20"/>
          <w:szCs w:val="20"/>
          <w:color w:val="auto"/>
        </w:rPr>
      </w:pPr>
    </w:p>
    <w:p>
      <w:pPr>
        <w:ind w:left="980" w:hanging="324"/>
        <w:spacing w:after="0" w:line="271" w:lineRule="auto"/>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receives direct compensation from the Company other than director annual retainers and meeting fees (and expense reimbursement), and from time to time equity awards;</w:t>
      </w:r>
    </w:p>
    <w:p>
      <w:pPr>
        <w:spacing w:after="0" w:line="49" w:lineRule="exact"/>
        <w:rPr>
          <w:rFonts w:ascii="Times New Roman" w:cs="Times New Roman" w:eastAsia="Times New Roman" w:hAnsi="Times New Roman"/>
          <w:sz w:val="22"/>
          <w:szCs w:val="22"/>
          <w:color w:val="auto"/>
        </w:rPr>
      </w:pPr>
    </w:p>
    <w:p>
      <w:pPr>
        <w:ind w:left="980" w:hanging="324"/>
        <w:spacing w:after="0" w:line="271" w:lineRule="auto"/>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any relationship with the Company or a third party that would preclude independence under the NYSE Corporate Governance Standards; or</w:t>
      </w:r>
    </w:p>
    <w:p>
      <w:pPr>
        <w:spacing w:after="0" w:line="4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any other material relationship with the Company and its management.</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the last three years, we have not made any contributions in excess of $1 million or 2% of our consolidated gross revenues to any tax-exempt organization in which an independent director serves as an executive officer.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Executive Sessions of Non-Management Directors</w:t>
      </w:r>
    </w:p>
    <w:p>
      <w:pPr>
        <w:spacing w:after="0" w:line="20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Non-management directors meet in executive sessions of our Board of Directors in which Mr. Daniel S. Jaffee, a management director, and other members of management do not participate. These sessions are scheduled for non-management directors at all regular meetings of our Board of Directors. Under our Corporate Governance Guidelines, an independent lead director (the “Lead Director”) (or in the event there is no Lead Director, the director serving as Chairman of our Audit Committee) presides at all executive sessions of non-management and independent directors unless otherwise determined by the directors attending any given executive session.</w:t>
      </w:r>
    </w:p>
    <w:p>
      <w:pPr>
        <w:sectPr>
          <w:pgSz w:w="11900" w:h="16838" w:orient="portrait"/>
          <w:cols w:equalWidth="0" w:num="1">
            <w:col w:w="11240"/>
          </w:cols>
          <w:pgMar w:left="320" w:top="747"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25"/>
          <w:szCs w:val="25"/>
          <w:b w:val="1"/>
          <w:bCs w:val="1"/>
          <w:color w:val="auto"/>
        </w:rPr>
        <w:t>Board of Directors Committee Membership and Meetings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sets forth the current membership of the committees of our Board of Directors.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7"/>
              </w:rPr>
              <w:t>Retirement</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126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6"/>
              </w:rPr>
              <w:t>Audit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Compensation</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6"/>
              </w:rPr>
              <w:t>Pension Plan</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Plans</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Executive</w:t>
            </w:r>
          </w:p>
        </w:tc>
        <w:tc>
          <w:tcPr>
            <w:tcW w:w="0" w:type="dxa"/>
            <w:vAlign w:val="bottom"/>
          </w:tcPr>
          <w:p>
            <w:pPr>
              <w:spacing w:after="0"/>
              <w:rPr>
                <w:sz w:val="1"/>
                <w:szCs w:val="1"/>
                <w:color w:val="auto"/>
              </w:rPr>
            </w:pPr>
          </w:p>
        </w:tc>
      </w:tr>
      <w:tr>
        <w:trPr>
          <w:trHeight w:val="297"/>
        </w:trPr>
        <w:tc>
          <w:tcPr>
            <w:tcW w:w="2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Ellen-Blair Chube</w:t>
            </w:r>
          </w:p>
        </w:tc>
        <w:tc>
          <w:tcPr>
            <w:tcW w:w="1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5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22"/>
                <w:szCs w:val="22"/>
                <w:color w:val="auto"/>
              </w:rPr>
              <w:t>X</w:t>
            </w:r>
          </w:p>
        </w:tc>
        <w:tc>
          <w:tcPr>
            <w:tcW w:w="120" w:type="dxa"/>
            <w:vAlign w:val="bottom"/>
            <w:tcBorders>
              <w:top w:val="single" w:sz="8" w:color="CCEEFF"/>
            </w:tcBorders>
            <w:shd w:val="clear" w:color="auto" w:fill="CCEEFF"/>
          </w:tcPr>
          <w:p>
            <w:pPr>
              <w:spacing w:after="0"/>
              <w:rPr>
                <w:sz w:val="24"/>
                <w:szCs w:val="24"/>
                <w:color w:val="auto"/>
              </w:rPr>
            </w:pPr>
          </w:p>
        </w:tc>
        <w:tc>
          <w:tcPr>
            <w:tcW w:w="17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7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Paul M. Hindsley</w:t>
            </w:r>
          </w:p>
        </w:tc>
        <w:tc>
          <w:tcPr>
            <w:tcW w:w="1260" w:type="dxa"/>
            <w:vAlign w:val="bottom"/>
          </w:tcPr>
          <w:p>
            <w:pPr>
              <w:spacing w:after="0"/>
              <w:rPr>
                <w:sz w:val="24"/>
                <w:szCs w:val="24"/>
                <w:color w:val="auto"/>
              </w:rPr>
            </w:pPr>
          </w:p>
        </w:tc>
        <w:tc>
          <w:tcPr>
            <w:tcW w:w="2220" w:type="dxa"/>
            <w:vAlign w:val="bottom"/>
            <w:gridSpan w:val="4"/>
            <w:vMerge w:val="restart"/>
          </w:tcPr>
          <w:p>
            <w:pPr>
              <w:ind w:left="160"/>
              <w:spacing w:after="0"/>
              <w:rPr>
                <w:sz w:val="20"/>
                <w:szCs w:val="20"/>
                <w:color w:val="auto"/>
              </w:rPr>
            </w:pPr>
            <w:r>
              <w:rPr>
                <w:rFonts w:ascii="Times New Roman" w:cs="Times New Roman" w:eastAsia="Times New Roman" w:hAnsi="Times New Roman"/>
                <w:sz w:val="22"/>
                <w:szCs w:val="22"/>
                <w:color w:val="auto"/>
              </w:rPr>
              <w:t>X</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20" w:type="dxa"/>
            <w:vAlign w:val="bottom"/>
            <w:gridSpan w:val="4"/>
            <w:vMerge w:val="continue"/>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Daniel S. Jaffee</w:t>
            </w:r>
          </w:p>
        </w:tc>
        <w:tc>
          <w:tcPr>
            <w:tcW w:w="1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22"/>
                <w:szCs w:val="22"/>
                <w:color w:val="auto"/>
              </w:rPr>
              <w:t>X*</w:t>
            </w:r>
          </w:p>
        </w:tc>
        <w:tc>
          <w:tcPr>
            <w:tcW w:w="17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22"/>
                <w:szCs w:val="22"/>
                <w:color w:val="auto"/>
              </w:rPr>
              <w:t>X*</w:t>
            </w:r>
          </w:p>
        </w:tc>
        <w:tc>
          <w:tcPr>
            <w:tcW w:w="170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rPr>
                <w:sz w:val="1"/>
                <w:szCs w:val="1"/>
                <w:color w:val="auto"/>
              </w:rPr>
            </w:pPr>
          </w:p>
        </w:tc>
      </w:tr>
      <w:tr>
        <w:trPr>
          <w:trHeight w:val="282"/>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Michael A. Nemeroff</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color w:val="auto"/>
              </w:rPr>
              <w:t>X</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George C. Roeth</w:t>
            </w:r>
          </w:p>
        </w:tc>
        <w:tc>
          <w:tcPr>
            <w:tcW w:w="1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rPr>
                <w:sz w:val="1"/>
                <w:szCs w:val="1"/>
                <w:color w:val="auto"/>
              </w:rPr>
            </w:pPr>
          </w:p>
        </w:tc>
      </w:tr>
      <w:tr>
        <w:trPr>
          <w:trHeight w:val="282"/>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Allan H. Selig</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color w:val="auto"/>
              </w:rPr>
              <w:t>X*</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Paul E. Suckow</w:t>
            </w:r>
          </w:p>
        </w:tc>
        <w:tc>
          <w:tcPr>
            <w:tcW w:w="1260" w:type="dxa"/>
            <w:vAlign w:val="bottom"/>
            <w:shd w:val="clear" w:color="auto" w:fill="CCEEFF"/>
          </w:tcPr>
          <w:p>
            <w:pPr>
              <w:spacing w:after="0"/>
              <w:rPr>
                <w:sz w:val="24"/>
                <w:szCs w:val="24"/>
                <w:color w:val="auto"/>
              </w:rPr>
            </w:pPr>
          </w:p>
        </w:tc>
        <w:tc>
          <w:tcPr>
            <w:tcW w:w="22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22"/>
                <w:szCs w:val="22"/>
                <w:color w:val="auto"/>
              </w:rPr>
              <w:t>X*</w:t>
            </w:r>
          </w:p>
        </w:tc>
        <w:tc>
          <w:tcPr>
            <w:tcW w:w="186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22"/>
                <w:szCs w:val="22"/>
                <w:color w:val="auto"/>
              </w:rPr>
              <w:t>X</w:t>
            </w: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Lawrence E. Washow</w:t>
            </w:r>
          </w:p>
        </w:tc>
        <w:tc>
          <w:tcPr>
            <w:tcW w:w="1260" w:type="dxa"/>
            <w:vAlign w:val="bottom"/>
          </w:tcPr>
          <w:p>
            <w:pPr>
              <w:jc w:val="center"/>
              <w:ind w:left="312"/>
              <w:spacing w:after="0"/>
              <w:rPr>
                <w:sz w:val="20"/>
                <w:szCs w:val="20"/>
                <w:color w:val="auto"/>
              </w:rPr>
            </w:pPr>
            <w:r>
              <w:rPr>
                <w:rFonts w:ascii="Times New Roman" w:cs="Times New Roman" w:eastAsia="Times New Roman" w:hAnsi="Times New Roman"/>
                <w:sz w:val="22"/>
                <w:szCs w:val="22"/>
                <w:color w:val="auto"/>
              </w:rPr>
              <w:t>X</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rPr>
                <w:sz w:val="1"/>
                <w:szCs w:val="1"/>
                <w:color w:val="auto"/>
              </w:rPr>
            </w:pPr>
          </w:p>
        </w:tc>
      </w:tr>
      <w:tr>
        <w:trPr>
          <w:trHeight w:val="231"/>
        </w:trPr>
        <w:tc>
          <w:tcPr>
            <w:tcW w:w="22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60" w:type="dxa"/>
            <w:vAlign w:val="bottom"/>
            <w:shd w:val="clear" w:color="auto" w:fill="CCEEFF"/>
          </w:tcPr>
          <w:p>
            <w:pPr>
              <w:ind w:left="40"/>
              <w:spacing w:after="0" w:line="250" w:lineRule="exact"/>
              <w:rPr>
                <w:sz w:val="20"/>
                <w:szCs w:val="20"/>
                <w:color w:val="auto"/>
              </w:rPr>
            </w:pPr>
            <w:r>
              <w:rPr>
                <w:rFonts w:ascii="Times New Roman" w:cs="Times New Roman" w:eastAsia="Times New Roman" w:hAnsi="Times New Roman"/>
                <w:sz w:val="22"/>
                <w:szCs w:val="22"/>
                <w:color w:val="auto"/>
                <w:shd w:val="clear" w:color="auto" w:fill="CCEEFF"/>
              </w:rPr>
              <w:t>Number of Meetings in</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60" w:type="dxa"/>
            <w:vAlign w:val="bottom"/>
            <w:tcBorders>
              <w:bottom w:val="single" w:sz="8" w:color="CCEEFF"/>
            </w:tcBorders>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shd w:val="clear" w:color="auto" w:fill="CCEEFF"/>
              </w:rPr>
              <w:t>Fiscal 2020</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ind w:left="312"/>
              <w:spacing w:after="0" w:line="243" w:lineRule="exact"/>
              <w:rPr>
                <w:sz w:val="20"/>
                <w:szCs w:val="20"/>
                <w:color w:val="auto"/>
              </w:rPr>
            </w:pPr>
            <w:r>
              <w:rPr>
                <w:rFonts w:ascii="Times New Roman" w:cs="Times New Roman" w:eastAsia="Times New Roman" w:hAnsi="Times New Roman"/>
                <w:sz w:val="22"/>
                <w:szCs w:val="22"/>
                <w:color w:val="auto"/>
              </w:rPr>
              <w:t>4</w:t>
            </w:r>
          </w:p>
        </w:tc>
        <w:tc>
          <w:tcPr>
            <w:tcW w:w="2100" w:type="dxa"/>
            <w:vAlign w:val="bottom"/>
            <w:tcBorders>
              <w:bottom w:val="single" w:sz="8" w:color="CCEEFF"/>
            </w:tcBorders>
            <w:gridSpan w:val="3"/>
            <w:shd w:val="clear" w:color="auto" w:fill="CCEEFF"/>
          </w:tcPr>
          <w:p>
            <w:pPr>
              <w:ind w:left="126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w:t>
            </w:r>
          </w:p>
        </w:tc>
        <w:tc>
          <w:tcPr>
            <w:tcW w:w="0" w:type="dxa"/>
            <w:vAlign w:val="bottom"/>
          </w:tcPr>
          <w:p>
            <w:pPr>
              <w:spacing w:after="0"/>
              <w:rPr>
                <w:sz w:val="1"/>
                <w:szCs w:val="1"/>
                <w:color w:val="auto"/>
              </w:rPr>
            </w:pPr>
          </w:p>
        </w:tc>
      </w:tr>
      <w:tr>
        <w:trPr>
          <w:trHeight w:val="282"/>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 Chairman</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During fiscal 2020, our Board of Directors held four meetings. All directors attended 100% of the aggregate total number of meetings of our Board and the committees on which he or she served.</w:t>
      </w:r>
    </w:p>
    <w:p>
      <w:pPr>
        <w:spacing w:after="0" w:line="29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Board of Directors may, from time to time, establish other committees on a temporary or standing basis to conduct varying duties and services on behalf of the Board of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Audit Committee</w:t>
      </w:r>
    </w:p>
    <w:p>
      <w:pPr>
        <w:spacing w:after="0" w:line="18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Audit Committee Charter sets out the duties and responsibilities of our Audit Committee. Those duties include, without limitation:</w:t>
      </w:r>
    </w:p>
    <w:p>
      <w:pPr>
        <w:spacing w:after="0" w:line="23" w:lineRule="exact"/>
        <w:rPr>
          <w:sz w:val="20"/>
          <w:szCs w:val="20"/>
          <w:color w:val="auto"/>
        </w:rPr>
      </w:pPr>
    </w:p>
    <w:p>
      <w:pPr>
        <w:ind w:left="980" w:right="20" w:hanging="324"/>
        <w:spacing w:after="0" w:line="268" w:lineRule="auto"/>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selection and appointment of the independent auditor, review of its independence and of other services provided by it, and of the fees and other arrangements regarding its services;</w:t>
      </w:r>
    </w:p>
    <w:p>
      <w:pPr>
        <w:spacing w:after="0" w:line="2" w:lineRule="exact"/>
        <w:rPr>
          <w:rFonts w:ascii="Times New Roman" w:cs="Times New Roman" w:eastAsia="Times New Roman" w:hAnsi="Times New Roman"/>
          <w:sz w:val="22"/>
          <w:szCs w:val="22"/>
          <w:color w:val="auto"/>
        </w:rPr>
      </w:pPr>
    </w:p>
    <w:p>
      <w:pPr>
        <w:ind w:left="980" w:hanging="324"/>
        <w:spacing w:after="0" w:line="268" w:lineRule="auto"/>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with the independent auditor and management of the scope of the audit, and of significant financial reporting issues and judgments;</w:t>
      </w:r>
    </w:p>
    <w:p>
      <w:pPr>
        <w:spacing w:after="0" w:line="2" w:lineRule="exact"/>
        <w:rPr>
          <w:rFonts w:ascii="Times New Roman" w:cs="Times New Roman" w:eastAsia="Times New Roman" w:hAnsi="Times New Roman"/>
          <w:sz w:val="22"/>
          <w:szCs w:val="22"/>
          <w:color w:val="auto"/>
        </w:rPr>
      </w:pPr>
    </w:p>
    <w:p>
      <w:pPr>
        <w:ind w:left="980" w:hanging="324"/>
        <w:spacing w:after="0" w:line="268" w:lineRule="auto"/>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with the independent auditor and management of the annual audited financial statements and of the quarterly financial statements and press releases;</w:t>
      </w:r>
    </w:p>
    <w:p>
      <w:pPr>
        <w:spacing w:after="0" w:line="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with the independent auditor and management of the quality and adequacy of internal controls; and</w:t>
      </w:r>
    </w:p>
    <w:p>
      <w:pPr>
        <w:spacing w:after="0" w:line="5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preparation of the report required by SEC rules to be included in this Proxy Statement.</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13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Our Board of Directors has determined that each member of our Audit Committee meets the independence and experience requirements of the NYSE. Our Board of Directors also has determined that each member of our Audit Committee is an “audit committee financial expert” within the meaning of SEC rules and that each member meets the accounting or related financial management expertise standard required by NYSE rules.</w:t>
      </w:r>
    </w:p>
    <w:p>
      <w:pPr>
        <w:sectPr>
          <w:pgSz w:w="11900" w:h="16838" w:orient="portrait"/>
          <w:cols w:equalWidth="0" w:num="1">
            <w:col w:w="11240"/>
          </w:cols>
          <w:pgMar w:left="320" w:top="732"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732"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Committee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Our Compensation Committee is responsible for review and general oversight of our compensation programs, including all programs in which our executive officers participate. Specifically, our Compensation Committee is responsible for, without limitation:</w:t>
      </w:r>
    </w:p>
    <w:p>
      <w:pPr>
        <w:spacing w:after="0" w:line="38"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the compensation, including benefits, of our Chief Executive Officer (“CEO”);</w:t>
      </w:r>
    </w:p>
    <w:p>
      <w:pPr>
        <w:spacing w:after="0" w:line="111"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determining the reasonableness of and approving the compensation of our other executive officers as recommended by our CEO (subject to our CEO’s authority to make changes in compensation under certain circumstances during the course of a fiscal year);</w:t>
      </w:r>
    </w:p>
    <w:p>
      <w:pPr>
        <w:spacing w:after="0" w:line="64" w:lineRule="exact"/>
        <w:rPr>
          <w:rFonts w:ascii="Times New Roman" w:cs="Times New Roman" w:eastAsia="Times New Roman" w:hAnsi="Times New Roman"/>
          <w:sz w:val="22"/>
          <w:szCs w:val="22"/>
          <w:color w:val="auto"/>
        </w:rPr>
      </w:pPr>
    </w:p>
    <w:p>
      <w:pPr>
        <w:jc w:val="both"/>
        <w:ind w:left="980" w:hanging="324"/>
        <w:spacing w:after="0" w:line="252"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except as such apply to the CEO) and setting payout ranges for our CEO;</w:t>
      </w:r>
    </w:p>
    <w:p>
      <w:pPr>
        <w:spacing w:after="0" w:line="71"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administration of our equity incentive plans with assistance from our human resources staff, granting awards under those plans to employees, including our executive officers, and to non-employee directors, and determining whether performance goals for performance awards have been achieved; and</w:t>
      </w:r>
    </w:p>
    <w:p>
      <w:pPr>
        <w:spacing w:after="0" w:line="64"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recommendations to our Board of Directors or, as needed, to stockholders on compensation-related matters.</w:t>
      </w:r>
    </w:p>
    <w:p>
      <w:pPr>
        <w:spacing w:after="0" w:line="11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carrying out these responsibilities, our Compensation Committee acts on recommendations from and consults with our CEO. During fiscal 2020, our Compensation Committee did not retain an executive compensation consultant.</w:t>
      </w:r>
    </w:p>
    <w:p>
      <w:pPr>
        <w:spacing w:after="0" w:line="5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spacing w:after="0" w:line="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allowed by the “controlled company” exemption from the NYSE Corporate Governance Standards, our Compensation Committee is not comprised entirely of independent directors; one current member, Mr. Nemeroff and one former member, Mr. Miller, were not determined by our Board of Directors to be independent directors. As also allowed by this “controlled company” exemption, our Compensation Committee does not have a written charter.</w:t>
      </w:r>
    </w:p>
    <w:p>
      <w:pPr>
        <w:spacing w:after="0" w:line="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Two members of our Compensation Committee, Ms. Chube and Mr. Selig, are non-employee directors within the meaning of Rule 16b-3 under the Securities Exchange Act of 1934, as amended, and are authorized to act collectively with respect to awards made under our equity incentive plans to individuals subject to Section 16 of that Act, including our executive officers and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Pension Plan Committee</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Pension Plan Committee acts as an administrator and named fiduciary of the Oil-Dri Corporation of America Pension Plan and is responsible for the management of the plan portfolio. The committee meets semi-annually or as often as necessary to conduct a review of the performance of the portfolio and the individual portfolio managers. Two directors are currently on the committee. The committee also includes certain employees of the Company who do not receive additional compensation in connection with their service on the committee.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74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u w:val="single" w:color="auto"/>
          <w:color w:val="auto"/>
        </w:rPr>
        <w:t>Retirement Plans Committee</w:t>
      </w:r>
    </w:p>
    <w:p>
      <w:pPr>
        <w:spacing w:after="0" w:line="3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Our Retirement Plans Committee acts as administrator and named fiduciary of the Company’s defined contribution retirement plan. One director is currently on the committee. The committee also includes certain employees of the Company who do not receive additional compensation in connection with their service on the committee.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Committee</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Executive Committee has all of the powers and authority of our Board of Directors in the management of our business and other affairs, subject only to any limitations provided for in our Certificate of Incorporation and our By-Laws (each as amended from time to time) or imposed by applicable law or the NYSE Corporate Governance Standards. Our Executive Committee does not have a written charter. Our Executive Committee did not hold any meetings during fiscal 2020 and historically has only exercised its authority to act on behalf of the Board of Directors in limited circumstances.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Director Nominations</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As allowed by the “controlled company” exemption from the NYSE Corporate Governance Standards, we do not have a standing nominating committee or other committee of our Board of Directors performing a similar function. As a “controlled company,” and given our current director composition, the Board of Directors believes it is appropriate for the Company not to maintain a separate nominating committee at this time. It has been our practice, as reflected in our Corporate Governance Guidelines, that our Chairman recommends to the entire Board of Directors candidates for nomination to the Board of Directors. Directors Daniel S. Jaffee and Michael A. Nemeroff, who have not been determined by the Board of Directors to be independent, participate along with the independent directors in the nominating process. Our Board of Directors may also solicit ideas for possible candidates for formal recommendation by the Chairman from a number of sources, including our executives, individuals personally known to members of the Board of Directors and executive search firms.</w:t>
      </w:r>
    </w:p>
    <w:p>
      <w:pPr>
        <w:spacing w:after="0" w:line="15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Our Corporate Governance Guidelines fix the director retirement age at 85 at the date of election, absent a waiver by the Board of Directors. In connection with a director reaching such retirement age, the Board of Directors may, from time to time in its discretion, by majority vote, designate such director as a Director Emeritus or, in the case of a former Chairman of the Board, a Chairman Emeritus, in accordance with the terms of the Company’s By-Laws. The Board may make an exception to this requirement if it affirmatively determines that a director’s skills, experience or other relevant factors merit extended service as a director. At its meeting on October 14, 2020, the Board granted a waiver from the fixed retirement age to Mr. Selig due to his skills and experience, which the Board determined merited an extended service as a director.</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We also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743" w:right="339" w:bottom="1440" w:gutter="0" w:footer="0" w:header="0"/>
        </w:sectPr>
      </w:pPr>
    </w:p>
    <w:bookmarkStart w:id="26" w:name="page27"/>
    <w:bookmarkEnd w:id="26"/>
    <w:p>
      <w:pPr>
        <w:jc w:val="both"/>
        <w:spacing w:after="0" w:line="247" w:lineRule="auto"/>
        <w:rPr>
          <w:sz w:val="20"/>
          <w:szCs w:val="20"/>
          <w:color w:val="auto"/>
        </w:rPr>
      </w:pPr>
      <w:r>
        <w:rPr>
          <w:rFonts w:ascii="Times New Roman" w:cs="Times New Roman" w:eastAsia="Times New Roman" w:hAnsi="Times New Roman"/>
          <w:sz w:val="22"/>
          <w:szCs w:val="22"/>
          <w:color w:val="auto"/>
        </w:rPr>
        <w:t>potential conflicts of interest that might prevent or otherwise limit the candidate from serving as an effective member of our Board of Directors;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w:t>
      </w:r>
    </w:p>
    <w:p>
      <w:pPr>
        <w:spacing w:after="0" w:line="14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In evaluating candidates for director, our Board of Directors seeks directors who will best represent the long-term interests of our stockholders. The view of our Board of Directors is that all directors should possess the highest personal and professional ethics, integrity and values. In evaluating the suitability of the candidates, the Board of Directors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of Directors. Although we do not have a formal diversity policy, our Board of Directors considers diversity in evaluating candidates for membership to the Board of Directors. As outlined in our Corporate Governance Guidelines, the Board’s objective in choosing candidates is to assemble membership for each committee of the Board of Directors and our Board of Directors as a whole that represents diverse viewpoints that will guide the Company effectively in pursuit of its strategic goals.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Board Leadership Structure and Role in Risk Oversight</w:t>
      </w:r>
    </w:p>
    <w:p>
      <w:pPr>
        <w:spacing w:after="0" w:line="20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Our Board of Directors does not have a policy regarding the separation of the roles of Chairman of the Board and Chief Executive Officer. Currently the roles are combined, but have been separate in the past. Under our Corporate Governance Guidelines, we believe that the determination of the separation or combination of the role of Chairman and Chief Executive Officer is primarily a part of the larger succession planning process and that it is in the best interests of the Company for the Board of Directors to make a specific determination in light of an impending vacancy or in the event either office becomes vacant or the needs of the Company change.</w:t>
      </w:r>
    </w:p>
    <w:p>
      <w:pPr>
        <w:spacing w:after="0" w:line="22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Board of Directors has determined that it is in the best interests of the Company and its shareholders to designate an independent Lead Director at this time. In 2019, the Board of Directors appointed George Roeth, an independent director, as Lead Director. The Board of Directors believes that having a Lead Director allows Mr. Jaffee to focus on the Company’s strategy, business and operations, while retaining the benefits of having a single focal point for Company leadership in the combined Chairman of the Board and Chief Executive Officer. The Lead Director, who must be independent, is elected by the independent directors.</w:t>
      </w:r>
    </w:p>
    <w:p>
      <w:pPr>
        <w:spacing w:after="0" w:line="22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As noted above under “Executive Sessions of Non-Management Directors,” non-management directors meet in executive sessions of our Board of Directors in which Mr. Jaffee, a management director,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747" w:right="339" w:bottom="1440" w:gutter="0" w:footer="0" w:header="0"/>
        </w:sectPr>
      </w:pPr>
    </w:p>
    <w:bookmarkStart w:id="27" w:name="page28"/>
    <w:bookmarkEnd w:id="27"/>
    <w:p>
      <w:pPr>
        <w:jc w:val="both"/>
        <w:spacing w:after="0" w:line="257" w:lineRule="auto"/>
        <w:rPr>
          <w:sz w:val="20"/>
          <w:szCs w:val="20"/>
          <w:color w:val="auto"/>
        </w:rPr>
      </w:pPr>
      <w:r>
        <w:rPr>
          <w:rFonts w:ascii="Times New Roman" w:cs="Times New Roman" w:eastAsia="Times New Roman" w:hAnsi="Times New Roman"/>
          <w:sz w:val="21"/>
          <w:szCs w:val="21"/>
          <w:color w:val="auto"/>
        </w:rPr>
        <w:t>and other members of management do not participate and which are led by the Lead Director. Additionally, the Lead Director consults with the Chairman of the Board, oversees the flow of information to the Board and acts as a liaison between the non-management directors and management. These sessions are scheduled for non-management directors at all regular meetings of our Board of Directors. Under our Corporate Governance Guidelines, the Lead Director (or in the event there is no Lead Director, the director serving as Chairman of our Audit Committee) presides at all executive sessions of non-management and independent directors unless otherwise determined by the directors attending any given executive session. Our Board of Directors receives regular reports from our CEO, executive officers and other members of our senior management regarding areas of significant risk to the Company, including operational, strategic, legal, regulatory and financial risks. Certain risks that are under the purview of a committee are monitored by that committee, which then reports to the full Board of Directors as appropriate. For example, our internal audit function, which identifies and manages a wide area of risk company-wide, reports to both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both the Compensation Committee and senior management, who in turn report significant developments to the full Board of Directors.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Communication with the Board of Directors</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(and virtually at the 2020 Annual Meeting). All members of the then Board of Directors attended the 2019 annual meeting in person with the exception of two of the members (who did attend telephonically).</w:t>
      </w:r>
    </w:p>
    <w:p>
      <w:pPr>
        <w:spacing w:after="0" w:line="14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All communications directed to the “Board of Directors” are provided to the Chairman of the Board or Secretary. The Chairman and/or the Secretary, in turn, determines whether the communications should be forwarded to the appropriate members of the Board and, if so, forwards them accordingly. For communications addressed to a particular director, however, the Chairman or Secretary forwards those communications directly to the person in question.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Director Compensation</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We seek to provide a competitive compensation program to attract and retain quality non-management directors. The compensation received by our non-management directors consists of an annual cash retainer of $22,000 and a $3,000 fee for each Board or committee meeting attended in person or virtually when virtual attendance is the only option ($1,500 for attendance by phone). In addition, Mr. Suckow received an annual cash retainer of $15,000 as Chairman of our Audit Committee, and Mr. Selig received an annual cash retainer of $7,500 as Chairman of our Compensation Committee. Mr. Roeth received an annual retainer of $25,000 as Lead Director. Management directors do not receive additional compensation for their service on our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747" w:right="339" w:bottom="1440" w:gutter="0" w:footer="0" w:header="0"/>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22"/>
          <w:szCs w:val="22"/>
          <w:color w:val="auto"/>
        </w:rPr>
        <w:t>Board of Directors. Mr. Miller, who was a director for a portion of our fiscal 2020, also received a pension benefit under our pension plan earned during his years of service as an employee. Directors are also reimbursed for expenses incurred in connection with their services to the Company and their attendance at meetings.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following table sets forth information about compensation paid to our directors for their service in fiscal 2020.</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Director Compensation Table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Pension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Value and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Nonqualified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260" w:type="dxa"/>
            <w:vAlign w:val="bottom"/>
          </w:tcPr>
          <w:p>
            <w:pPr>
              <w:spacing w:after="0"/>
              <w:rPr>
                <w:sz w:val="17"/>
                <w:szCs w:val="17"/>
                <w:color w:val="auto"/>
              </w:rPr>
            </w:pP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0" w:type="dxa"/>
            <w:vAlign w:val="bottom"/>
          </w:tcPr>
          <w:p>
            <w:pPr>
              <w:spacing w:after="0"/>
              <w:rPr>
                <w:sz w:val="17"/>
                <w:szCs w:val="17"/>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40" w:type="dxa"/>
            <w:vAlign w:val="bottom"/>
          </w:tcPr>
          <w:p>
            <w:pPr>
              <w:spacing w:after="0"/>
              <w:rPr>
                <w:sz w:val="17"/>
                <w:szCs w:val="17"/>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8"/>
                <w:szCs w:val="18"/>
                <w:color w:val="auto"/>
              </w:rPr>
            </w:pPr>
          </w:p>
        </w:tc>
        <w:tc>
          <w:tcPr>
            <w:tcW w:w="820" w:type="dxa"/>
            <w:vAlign w:val="bottom"/>
          </w:tcPr>
          <w:p>
            <w:pPr>
              <w:jc w:val="center"/>
              <w:ind w:left="192"/>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6"/>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Daniel S. Jaffee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Ellen-Blair Chube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35,500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35,500</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Paul M Hindsley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44,500</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66,580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111,080</w:t>
            </w:r>
          </w:p>
        </w:tc>
      </w:tr>
      <w:tr>
        <w:trPr>
          <w:trHeight w:val="243"/>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Joseph C. Miller (5)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31,000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31,000</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A. Nemeroff</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35,500</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35,500</w:t>
            </w:r>
          </w:p>
        </w:tc>
      </w:tr>
      <w:tr>
        <w:trPr>
          <w:trHeight w:val="243"/>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George C. Roeth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65,000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68,751</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Allan H. Selig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38,500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38,500</w:t>
            </w:r>
          </w:p>
        </w:tc>
      </w:tr>
      <w:tr>
        <w:trPr>
          <w:trHeight w:val="243"/>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Paul E. Suckow</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67,000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67,000</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Lawrence E. Washow</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52,000</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52,000</w:t>
            </w:r>
          </w:p>
        </w:tc>
      </w:tr>
      <w:tr>
        <w:trPr>
          <w:trHeight w:val="27"/>
        </w:trPr>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grant date fair value of awards computed in accordance with Financial Accounting Standards Board Accounting Standards Codification Topic 718 (“ASC 718”). For stock awards, the grant date fair value is the number of shares granted multiplied by the closing price of our Common Stock on the award date. Mr. Hindsley received a grant of 2,000 shares on October 19, 2019.</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option awards to directors in fiscal 2020, and our directors did not hold any options to purchase shares of our Common Stock as of July 31, 2020.</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consists of interest earned in excess of 120% of the applicable federal rate on the aggregate balances in our executive deferred compensation plan. Deferrals under this plan earn a return equal to our long-term cost of borrowing plus 1%.</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Joseph Miller was a director, Vice Chairman of our Board of Directors, and a member of the Compensation Committee until his death on July 12, 2020.</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annual retainer of $25,000 for role of Lead Director.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annual retainer of $7,500 for role of Chairman of our Compensation Committee.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annual retainer of $15,000 for role of Chairman of our Audit Committee.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Directors’ Option Awards Outstanding Table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July 31, 2020, our directors did not hold any options to purchase shares of our Common Stock.</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74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5"/>
          <w:szCs w:val="25"/>
          <w:b w:val="1"/>
          <w:bCs w:val="1"/>
          <w:color w:val="auto"/>
        </w:rPr>
        <w:t>Corporate Governance Guidelines and Code of Ethics</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We have adopted Corporate Governance Guidelines and a Code of Ethics and Business Conduct. The Code of Ethics and Business Conduct applies to all of our employees, officers and directors. The Corporate Governance Guidelines and the Code of Ethics and Business Conduct are both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spacing w:after="0" w:line="1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take pride in being a company that emphasizes high moral and ethical values and conducts business with honesty, integrity and a passion for excellence. Our approach is centered on collaboration, communication, and transparency, and we believe in the value of an open and accessible corporate structure. We have a long history of operating under sound corporate governance practices, including the following:</w:t>
      </w:r>
    </w:p>
    <w:p>
      <w:pPr>
        <w:sectPr>
          <w:pgSz w:w="11900" w:h="16838" w:orient="portrait"/>
          <w:cols w:equalWidth="0" w:num="1">
            <w:col w:w="11240"/>
          </w:cols>
          <w:pgMar w:left="320" w:top="1083" w:right="339" w:bottom="1440" w:gutter="0" w:footer="0" w:header="0"/>
        </w:sectPr>
      </w:pPr>
    </w:p>
    <w:p>
      <w:pPr>
        <w:spacing w:after="0" w:line="216" w:lineRule="exact"/>
        <w:rPr>
          <w:sz w:val="20"/>
          <w:szCs w:val="20"/>
          <w:color w:val="auto"/>
        </w:rPr>
      </w:pPr>
    </w:p>
    <w:p>
      <w:pPr>
        <w:ind w:left="540" w:right="1820"/>
        <w:spacing w:after="0" w:line="512" w:lineRule="auto"/>
        <w:rPr>
          <w:sz w:val="20"/>
          <w:szCs w:val="20"/>
          <w:color w:val="auto"/>
        </w:rPr>
      </w:pPr>
      <w:r>
        <w:rPr>
          <w:rFonts w:ascii="Times New Roman" w:cs="Times New Roman" w:eastAsia="Times New Roman" w:hAnsi="Times New Roman"/>
          <w:sz w:val="22"/>
          <w:szCs w:val="22"/>
          <w:i w:val="1"/>
          <w:iCs w:val="1"/>
          <w:color w:val="auto"/>
        </w:rPr>
        <w:t>Annual Election of All Directors. A Majority of Board is Independent.</w:t>
      </w:r>
    </w:p>
    <w:p>
      <w:pPr>
        <w:ind w:left="540"/>
        <w:spacing w:after="0" w:line="262" w:lineRule="auto"/>
        <w:rPr>
          <w:sz w:val="20"/>
          <w:szCs w:val="20"/>
          <w:color w:val="auto"/>
        </w:rPr>
      </w:pPr>
      <w:r>
        <w:rPr>
          <w:rFonts w:ascii="Times New Roman" w:cs="Times New Roman" w:eastAsia="Times New Roman" w:hAnsi="Times New Roman"/>
          <w:sz w:val="22"/>
          <w:szCs w:val="22"/>
          <w:i w:val="1"/>
          <w:iCs w:val="1"/>
          <w:color w:val="auto"/>
        </w:rPr>
        <w:t>Non-Management Directors Meet Regularly in Executive Session Without Management.</w:t>
      </w:r>
    </w:p>
    <w:p>
      <w:pPr>
        <w:spacing w:after="0" w:line="230" w:lineRule="exact"/>
        <w:rPr>
          <w:sz w:val="20"/>
          <w:szCs w:val="20"/>
          <w:color w:val="auto"/>
        </w:rPr>
      </w:pPr>
    </w:p>
    <w:p>
      <w:pPr>
        <w:ind w:left="540" w:right="8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Board Meeting Attendance. </w:t>
      </w:r>
      <w:r>
        <w:rPr>
          <w:rFonts w:ascii="Times New Roman" w:cs="Times New Roman" w:eastAsia="Times New Roman" w:hAnsi="Times New Roman"/>
          <w:sz w:val="22"/>
          <w:szCs w:val="22"/>
          <w:color w:val="auto"/>
        </w:rPr>
        <w:t>All of our directors attended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100% of the meetings of the Board during the time such directors served in the fiscal year.</w:t>
      </w:r>
    </w:p>
    <w:p>
      <w:pPr>
        <w:spacing w:after="0" w:line="248" w:lineRule="exact"/>
        <w:rPr>
          <w:sz w:val="20"/>
          <w:szCs w:val="20"/>
          <w:color w:val="auto"/>
        </w:rPr>
      </w:pPr>
    </w:p>
    <w:p>
      <w:pPr>
        <w:ind w:left="540" w:right="400"/>
        <w:spacing w:after="0" w:line="246" w:lineRule="auto"/>
        <w:rPr>
          <w:sz w:val="20"/>
          <w:szCs w:val="20"/>
          <w:color w:val="auto"/>
        </w:rPr>
      </w:pPr>
      <w:r>
        <w:rPr>
          <w:rFonts w:ascii="Times New Roman" w:cs="Times New Roman" w:eastAsia="Times New Roman" w:hAnsi="Times New Roman"/>
          <w:sz w:val="22"/>
          <w:szCs w:val="22"/>
          <w:i w:val="1"/>
          <w:iCs w:val="1"/>
          <w:color w:val="auto"/>
        </w:rPr>
        <w:t>Qualifications of Audit Committee</w:t>
      </w:r>
      <w:r>
        <w:rPr>
          <w:rFonts w:ascii="Times New Roman" w:cs="Times New Roman" w:eastAsia="Times New Roman" w:hAnsi="Times New Roman"/>
          <w:sz w:val="22"/>
          <w:szCs w:val="22"/>
          <w:color w:val="auto"/>
        </w:rPr>
        <w:t>. All of the Audit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members are “financial experts,” as SEC rules define that term.</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i w:val="1"/>
          <w:iCs w:val="1"/>
          <w:color w:val="auto"/>
        </w:rPr>
        <w:t>Shareholders May Take Action by Written Consent.</w:t>
      </w:r>
    </w:p>
    <w:p>
      <w:pPr>
        <w:spacing w:after="0" w:line="273" w:lineRule="exact"/>
        <w:rPr>
          <w:sz w:val="20"/>
          <w:szCs w:val="20"/>
          <w:color w:val="auto"/>
        </w:rPr>
      </w:pPr>
    </w:p>
    <w:p>
      <w:pPr>
        <w:ind w:left="540" w:right="40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Special Meetings. </w:t>
      </w:r>
      <w:r>
        <w:rPr>
          <w:rFonts w:ascii="Times New Roman" w:cs="Times New Roman" w:eastAsia="Times New Roman" w:hAnsi="Times New Roman"/>
          <w:sz w:val="22"/>
          <w:szCs w:val="22"/>
          <w:color w:val="auto"/>
        </w:rPr>
        <w:t>Shareholders have the right to call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special meetings.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Confidential Voting.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 Independent Lead Director.</w:t>
      </w:r>
    </w:p>
    <w:p>
      <w:pPr>
        <w:spacing w:after="0" w:line="287" w:lineRule="exact"/>
        <w:rPr>
          <w:sz w:val="20"/>
          <w:szCs w:val="20"/>
          <w:color w:val="auto"/>
        </w:rPr>
      </w:pPr>
    </w:p>
    <w:p>
      <w:pPr>
        <w:ind w:left="340" w:right="26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Board Meeting Agenda. </w:t>
      </w:r>
      <w:r>
        <w:rPr>
          <w:rFonts w:ascii="Times New Roman" w:cs="Times New Roman" w:eastAsia="Times New Roman" w:hAnsi="Times New Roman"/>
          <w:sz w:val="22"/>
          <w:szCs w:val="22"/>
          <w:color w:val="auto"/>
        </w:rPr>
        <w:t>All directors may contribute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agenda for Board meetings.</w:t>
      </w:r>
    </w:p>
    <w:p>
      <w:pPr>
        <w:spacing w:after="0" w:line="230" w:lineRule="exact"/>
        <w:rPr>
          <w:sz w:val="20"/>
          <w:szCs w:val="20"/>
          <w:color w:val="auto"/>
        </w:rPr>
      </w:pPr>
    </w:p>
    <w:p>
      <w:pPr>
        <w:ind w:left="340" w:right="22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Regular Board and Audit Committee Self-Evaluation Process. </w:t>
      </w:r>
      <w:r>
        <w:rPr>
          <w:rFonts w:ascii="Times New Roman" w:cs="Times New Roman" w:eastAsia="Times New Roman" w:hAnsi="Times New Roman"/>
          <w:sz w:val="22"/>
          <w:szCs w:val="22"/>
          <w:color w:val="auto"/>
        </w:rPr>
        <w:t>The Board and the Audit Committee evaluates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performance each year.</w:t>
      </w:r>
    </w:p>
    <w:p>
      <w:pPr>
        <w:spacing w:after="0" w:line="248" w:lineRule="exact"/>
        <w:rPr>
          <w:sz w:val="20"/>
          <w:szCs w:val="20"/>
          <w:color w:val="auto"/>
        </w:rPr>
      </w:pPr>
    </w:p>
    <w:p>
      <w:pPr>
        <w:ind w:left="340" w:right="12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Strong Codes of Ethics and Commitment to Integrity. </w:t>
      </w:r>
      <w:r>
        <w:rPr>
          <w:rFonts w:ascii="Times New Roman" w:cs="Times New Roman" w:eastAsia="Times New Roman" w:hAnsi="Times New Roman"/>
          <w:sz w:val="22"/>
          <w:szCs w:val="22"/>
          <w:color w:val="auto"/>
        </w:rPr>
        <w:t>We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committed to operating our business with the highest level of integrity and have adopted a Code of Ethics and Business Conduct that applies to all of our employees, officers and directors.</w:t>
      </w:r>
    </w:p>
    <w:p>
      <w:pPr>
        <w:spacing w:after="0" w:line="1009" w:lineRule="exact"/>
        <w:rPr>
          <w:sz w:val="20"/>
          <w:szCs w:val="20"/>
          <w:color w:val="auto"/>
        </w:rPr>
      </w:pPr>
    </w:p>
    <w:p>
      <w:pPr>
        <w:sectPr>
          <w:pgSz w:w="11900" w:h="16838" w:orient="portrait"/>
          <w:cols w:equalWidth="0" w:num="2">
            <w:col w:w="5480" w:space="400"/>
            <w:col w:w="5360"/>
          </w:cols>
          <w:pgMar w:left="320" w:top="1083" w:right="339" w:bottom="1440" w:gutter="0" w:footer="0" w:header="0"/>
          <w:type w:val="continuous"/>
        </w:sectPr>
      </w:pPr>
    </w:p>
    <w:p>
      <w:pPr>
        <w:spacing w:after="0" w:line="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Company does not have formal policies regarding the ability of our officers, directors and employees to engage in transactions that hedge or offset, or are designed to hedge or offset, any decrease in the market value of our equity securities. However, historically, our management and directors have not engaged in hedging transactions with respect to our equity securities.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083"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25"/>
          <w:szCs w:val="25"/>
          <w:b w:val="1"/>
          <w:bCs w:val="1"/>
          <w:color w:val="auto"/>
        </w:rPr>
        <w:t>Other Corporate Governance Matters - COVID-19 Response</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Amid the COVID-19 global pandemic, the Company’s top priorities continue to be a commitment to protecting the health, safety and well-being of our employees and their families, while at the same time continuing to support our customers.</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Throughout the COVID-19 pandemic, we have continued operations as an essential business and our management team was able to keep our business operating due to the early implementation and adoption of robust safety measures for our workforce. Among other actions, the Company quickly adopted enhanced sanitizing and cleaning as well as social distancing protocols and provided personal protective equipment to our employees. The Company also implemented remote work arrangements where possible and suspended non-essential employee travel. Further, the Company recognized the contributions of our employees by providing interim premium pay for certain hourly essential workers.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Board of Directors has actively participated in the oversight of the Company’s response to the COVID-19 pandemic, through meetings and regular communications with management. As part of the Board’s oversight, the Board has and continues to, among other things, monitor the impact of COVID-19 on the Company's financial position and results of operations, and review management’s actions relating to health and safety policies and procedures.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Certain Relationships and Related Party Transactions</w:t>
      </w:r>
    </w:p>
    <w:p>
      <w:pPr>
        <w:spacing w:after="0" w:line="20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spacing w:after="0" w:line="14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083" w:right="339" w:bottom="1440" w:gutter="0" w:footer="0" w:header="0"/>
        </w:sectPr>
      </w:pPr>
    </w:p>
    <w:bookmarkStart w:id="31" w:name="page32"/>
    <w:bookmarkEnd w:id="31"/>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We employ Karen Jaffee Cofsky on a part-time basis as Vice President of Benefits. She is the daughter of Richard M. Jaffee, former chairman of our Board of Directors, and the sister of Daniel S. Jaffee, our current Chairman of our Board of Directors and President and CEO of the Company. Mrs. Cofsky’s compensation is based on her education, experience and the responsibilities of her position. For fiscal 2020, Mrs. Cofsky received a salary of $103,500, an annual incentive bonus award of $51,629 and an executive deferred bonus award of $20,652 under our annual incentive plan.</w:t>
      </w:r>
    </w:p>
    <w:p>
      <w:pPr>
        <w:spacing w:after="0" w:line="3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Michael A. Nemeroff, a member of our Board of Directors and of its Compensation Committee, is the President and Chief Executive Officer as well as a director and shareholder of Vedder Price P.C., a law firm that regularly provides services to the Company. During fiscal 2020, we paid Vedder Price P.C. $420,424 for fees and cost reimbursements in connection with services provided to the Company.</w:t>
      </w:r>
    </w:p>
    <w:p>
      <w:pPr>
        <w:spacing w:after="0" w:line="1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George C. Roeth, a member of our Board of Directors, retired from the role of President and Chief Executive Officer of Central Garden &amp; Pet Company (“Central Garden”), which is a customer of the Company, on September 28, 2019. Mr. Roeth is currently party to a post-employment consulting agreement with the company. Central Garden was a customer of the Company before Mr. Roeth joined Central Garden and before Mr. Roeth became a member of our Board of Directors. Total net sales to Central Garden and its subsidiaries were $388,447 in fiscal 2020.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74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5"/>
          <w:szCs w:val="25"/>
          <w:b w:val="1"/>
          <w:bCs w:val="1"/>
          <w:color w:val="auto"/>
        </w:rPr>
        <w:t>Report of the Audit Committee of the Board of Directors</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 practices, and our compliance with legal and regulatory requirements.</w:t>
      </w:r>
    </w:p>
    <w:p>
      <w:pPr>
        <w:spacing w:after="0" w:line="14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spacing w:after="0" w:line="145"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The Audit Committee reviewed and discussed our audited consolidated financial statements and related footnotes for fiscal 2020 and our independent auditor’s report on those financial statements with our management and internal audit manager.</w:t>
      </w:r>
    </w:p>
    <w:p>
      <w:pPr>
        <w:spacing w:after="0" w:line="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Auditing Standard No. 16 adopted by the PCAOB regarding “</w:t>
      </w:r>
      <w:r>
        <w:rPr>
          <w:rFonts w:ascii="Times New Roman" w:cs="Times New Roman" w:eastAsia="Times New Roman" w:hAnsi="Times New Roman"/>
          <w:sz w:val="22"/>
          <w:szCs w:val="22"/>
          <w:i w:val="1"/>
          <w:iCs w:val="1"/>
          <w:color w:val="auto"/>
        </w:rPr>
        <w:t>Communications with Audit Committees</w:t>
      </w:r>
      <w:r>
        <w:rPr>
          <w:rFonts w:ascii="Times New Roman" w:cs="Times New Roman" w:eastAsia="Times New Roman" w:hAnsi="Times New Roman"/>
          <w:sz w:val="22"/>
          <w:szCs w:val="22"/>
          <w:color w:val="auto"/>
        </w:rPr>
        <w:t>” requires certain matters to be discussed between the Audit Committee and the Company’s independent registered public accounting firm. The Audit Committee and Grant Thornton has satisfied this requirement.</w:t>
      </w:r>
    </w:p>
    <w:p>
      <w:pPr>
        <w:spacing w:after="0" w:line="1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spacing w:after="0" w:line="13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Based on the foregoing, the Audit Committee recommended to the Board of Directors that our audited consolidated financial statements for fiscal 2020 be included in our Annual Report on Form 10-K for fiscal 2020 filed with the SEC.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AUDIT COMMITTEE</w:t>
      </w:r>
    </w:p>
    <w:p>
      <w:pPr>
        <w:spacing w:after="0" w:line="200" w:lineRule="exact"/>
        <w:rPr>
          <w:sz w:val="20"/>
          <w:szCs w:val="20"/>
          <w:color w:val="auto"/>
        </w:rPr>
      </w:pPr>
    </w:p>
    <w:p>
      <w:pPr>
        <w:spacing w:after="0" w:line="34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Paul E. Suckow, Chairman</w:t>
      </w:r>
    </w:p>
    <w:p>
      <w:pPr>
        <w:spacing w:after="0" w:line="4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Paul M. Hindsley</w:t>
      </w:r>
    </w:p>
    <w:p>
      <w:pPr>
        <w:spacing w:after="0" w:line="4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2"/>
          <w:szCs w:val="22"/>
          <w:color w:val="auto"/>
        </w:rPr>
        <w:t>Lawrence E. Washow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732"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5"/>
          <w:szCs w:val="25"/>
          <w:b w:val="1"/>
          <w:bCs w:val="1"/>
          <w:color w:val="auto"/>
        </w:rPr>
        <w:t>EXECUTIVE OFFICERS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gives certain information with respect to our current executive officers.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7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2"/>
                <w:szCs w:val="22"/>
                <w:b w:val="1"/>
                <w:bCs w:val="1"/>
                <w:color w:val="auto"/>
              </w:rPr>
              <w:t>Principal Occupation for Last Five Years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Age</w:t>
            </w:r>
          </w:p>
        </w:tc>
      </w:tr>
      <w:tr>
        <w:trPr>
          <w:trHeight w:val="297"/>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Daniel S. Jaffee (1)</w:t>
            </w:r>
          </w:p>
        </w:tc>
        <w:tc>
          <w:tcPr>
            <w:tcW w:w="7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2"/>
                <w:szCs w:val="22"/>
                <w:color w:val="auto"/>
              </w:rPr>
              <w:t>President and Chief Executive Officer of the Company since 1997.</w:t>
            </w:r>
          </w:p>
        </w:tc>
        <w:tc>
          <w:tcPr>
            <w:tcW w:w="78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22"/>
                <w:szCs w:val="22"/>
                <w:color w:val="auto"/>
                <w:w w:val="99"/>
              </w:rPr>
              <w:t>56</w:t>
            </w:r>
          </w:p>
        </w:tc>
      </w:tr>
      <w:tr>
        <w:trPr>
          <w:trHeight w:val="243"/>
        </w:trPr>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Susan M. Kreh</w:t>
            </w:r>
          </w:p>
        </w:tc>
        <w:tc>
          <w:tcPr>
            <w:tcW w:w="78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Chief Financial Officer of the Company since December 2018; Chief Financial</w:t>
            </w:r>
          </w:p>
        </w:tc>
        <w:tc>
          <w:tcPr>
            <w:tcW w:w="7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9"/>
              </w:rPr>
              <w:t>58</w:t>
            </w:r>
          </w:p>
        </w:tc>
      </w:tr>
      <w:tr>
        <w:trPr>
          <w:trHeight w:val="243"/>
        </w:trPr>
        <w:tc>
          <w:tcPr>
            <w:tcW w:w="2620" w:type="dxa"/>
            <w:vAlign w:val="bottom"/>
          </w:tcPr>
          <w:p>
            <w:pPr>
              <w:spacing w:after="0"/>
              <w:rPr>
                <w:sz w:val="21"/>
                <w:szCs w:val="21"/>
                <w:color w:val="auto"/>
              </w:rPr>
            </w:pPr>
          </w:p>
        </w:tc>
        <w:tc>
          <w:tcPr>
            <w:tcW w:w="78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Officer and VP, Information Technology, of the Power Solutions business of</w:t>
            </w:r>
          </w:p>
        </w:tc>
        <w:tc>
          <w:tcPr>
            <w:tcW w:w="780" w:type="dxa"/>
            <w:vAlign w:val="bottom"/>
          </w:tcPr>
          <w:p>
            <w:pPr>
              <w:spacing w:after="0"/>
              <w:rPr>
                <w:sz w:val="21"/>
                <w:szCs w:val="21"/>
                <w:color w:val="auto"/>
              </w:rPr>
            </w:pPr>
          </w:p>
        </w:tc>
      </w:tr>
      <w:tr>
        <w:trPr>
          <w:trHeight w:val="290"/>
        </w:trPr>
        <w:tc>
          <w:tcPr>
            <w:tcW w:w="2620" w:type="dxa"/>
            <w:vAlign w:val="bottom"/>
          </w:tcPr>
          <w:p>
            <w:pPr>
              <w:spacing w:after="0"/>
              <w:rPr>
                <w:sz w:val="24"/>
                <w:szCs w:val="24"/>
                <w:color w:val="auto"/>
              </w:rPr>
            </w:pPr>
          </w:p>
        </w:tc>
        <w:tc>
          <w:tcPr>
            <w:tcW w:w="78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Johnson Controls International plc from 2010 to 2017.</w:t>
            </w:r>
          </w:p>
        </w:tc>
        <w:tc>
          <w:tcPr>
            <w:tcW w:w="780" w:type="dxa"/>
            <w:vAlign w:val="bottom"/>
          </w:tcPr>
          <w:p>
            <w:pPr>
              <w:spacing w:after="0"/>
              <w:rPr>
                <w:sz w:val="24"/>
                <w:szCs w:val="24"/>
                <w:color w:val="auto"/>
              </w:rPr>
            </w:pPr>
          </w:p>
        </w:tc>
      </w:tr>
      <w:tr>
        <w:trPr>
          <w:trHeight w:val="250"/>
        </w:trPr>
        <w:tc>
          <w:tcPr>
            <w:tcW w:w="2620" w:type="dxa"/>
            <w:vAlign w:val="bottom"/>
            <w:shd w:val="clear" w:color="auto" w:fill="CCEEFF"/>
          </w:tcPr>
          <w:p>
            <w:pPr>
              <w:ind w:left="40"/>
              <w:spacing w:after="0" w:line="250" w:lineRule="exact"/>
              <w:rPr>
                <w:sz w:val="20"/>
                <w:szCs w:val="20"/>
                <w:color w:val="auto"/>
              </w:rPr>
            </w:pPr>
            <w:r>
              <w:rPr>
                <w:rFonts w:ascii="Times New Roman" w:cs="Times New Roman" w:eastAsia="Times New Roman" w:hAnsi="Times New Roman"/>
                <w:sz w:val="22"/>
                <w:szCs w:val="22"/>
                <w:color w:val="auto"/>
              </w:rPr>
              <w:t>Molly D. VandenHeuvel</w:t>
            </w:r>
          </w:p>
        </w:tc>
        <w:tc>
          <w:tcPr>
            <w:tcW w:w="7840" w:type="dxa"/>
            <w:vAlign w:val="bottom"/>
            <w:shd w:val="clear" w:color="auto" w:fill="CCEEFF"/>
          </w:tcPr>
          <w:p>
            <w:pPr>
              <w:ind w:left="460"/>
              <w:spacing w:after="0" w:line="250" w:lineRule="exact"/>
              <w:rPr>
                <w:sz w:val="20"/>
                <w:szCs w:val="20"/>
                <w:color w:val="auto"/>
              </w:rPr>
            </w:pPr>
            <w:r>
              <w:rPr>
                <w:rFonts w:ascii="Times New Roman" w:cs="Times New Roman" w:eastAsia="Times New Roman" w:hAnsi="Times New Roman"/>
                <w:sz w:val="22"/>
                <w:szCs w:val="22"/>
                <w:color w:val="auto"/>
              </w:rPr>
              <w:t>Chief Operating Officer of the Company since April 2019; Integration and Supply</w:t>
            </w:r>
          </w:p>
        </w:tc>
        <w:tc>
          <w:tcPr>
            <w:tcW w:w="780" w:type="dxa"/>
            <w:vAlign w:val="bottom"/>
            <w:shd w:val="clear" w:color="auto" w:fill="CCEEFF"/>
          </w:tcPr>
          <w:p>
            <w:pPr>
              <w:jc w:val="center"/>
              <w:ind w:right="12"/>
              <w:spacing w:after="0" w:line="250" w:lineRule="exact"/>
              <w:rPr>
                <w:sz w:val="20"/>
                <w:szCs w:val="20"/>
                <w:color w:val="auto"/>
              </w:rPr>
            </w:pPr>
            <w:r>
              <w:rPr>
                <w:rFonts w:ascii="Times New Roman" w:cs="Times New Roman" w:eastAsia="Times New Roman" w:hAnsi="Times New Roman"/>
                <w:sz w:val="22"/>
                <w:szCs w:val="22"/>
                <w:color w:val="auto"/>
                <w:w w:val="99"/>
              </w:rPr>
              <w:t>50</w:t>
            </w:r>
          </w:p>
        </w:tc>
      </w:tr>
      <w:tr>
        <w:trPr>
          <w:trHeight w:val="243"/>
        </w:trPr>
        <w:tc>
          <w:tcPr>
            <w:tcW w:w="2620" w:type="dxa"/>
            <w:vAlign w:val="bottom"/>
            <w:shd w:val="clear" w:color="auto" w:fill="CCEEFF"/>
          </w:tcPr>
          <w:p>
            <w:pPr>
              <w:spacing w:after="0"/>
              <w:rPr>
                <w:sz w:val="21"/>
                <w:szCs w:val="21"/>
                <w:color w:val="auto"/>
              </w:rPr>
            </w:pPr>
          </w:p>
        </w:tc>
        <w:tc>
          <w:tcPr>
            <w:tcW w:w="7840" w:type="dxa"/>
            <w:vAlign w:val="bottom"/>
            <w:shd w:val="clear" w:color="auto" w:fill="CCEEFF"/>
          </w:tcPr>
          <w:p>
            <w:pPr>
              <w:ind w:left="460"/>
              <w:spacing w:after="0" w:line="243" w:lineRule="exact"/>
              <w:rPr>
                <w:sz w:val="20"/>
                <w:szCs w:val="20"/>
                <w:color w:val="auto"/>
              </w:rPr>
            </w:pPr>
            <w:r>
              <w:rPr>
                <w:rFonts w:ascii="Times New Roman" w:cs="Times New Roman" w:eastAsia="Times New Roman" w:hAnsi="Times New Roman"/>
                <w:sz w:val="22"/>
                <w:szCs w:val="22"/>
                <w:color w:val="auto"/>
              </w:rPr>
              <w:t>Chain Head - Business Unit, Abbott Laboratories, from 2017 to 2019; Senior</w:t>
            </w:r>
          </w:p>
        </w:tc>
        <w:tc>
          <w:tcPr>
            <w:tcW w:w="780" w:type="dxa"/>
            <w:vAlign w:val="bottom"/>
            <w:shd w:val="clear" w:color="auto" w:fill="CCEEFF"/>
          </w:tcPr>
          <w:p>
            <w:pPr>
              <w:spacing w:after="0"/>
              <w:rPr>
                <w:sz w:val="21"/>
                <w:szCs w:val="21"/>
                <w:color w:val="auto"/>
              </w:rPr>
            </w:pPr>
          </w:p>
        </w:tc>
      </w:tr>
      <w:tr>
        <w:trPr>
          <w:trHeight w:val="243"/>
        </w:trPr>
        <w:tc>
          <w:tcPr>
            <w:tcW w:w="2620" w:type="dxa"/>
            <w:vAlign w:val="bottom"/>
            <w:shd w:val="clear" w:color="auto" w:fill="CCEEFF"/>
          </w:tcPr>
          <w:p>
            <w:pPr>
              <w:spacing w:after="0"/>
              <w:rPr>
                <w:sz w:val="21"/>
                <w:szCs w:val="21"/>
                <w:color w:val="auto"/>
              </w:rPr>
            </w:pPr>
          </w:p>
        </w:tc>
        <w:tc>
          <w:tcPr>
            <w:tcW w:w="7840" w:type="dxa"/>
            <w:vAlign w:val="bottom"/>
            <w:shd w:val="clear" w:color="auto" w:fill="CCEEFF"/>
          </w:tcPr>
          <w:p>
            <w:pPr>
              <w:ind w:left="460"/>
              <w:spacing w:after="0" w:line="243" w:lineRule="exact"/>
              <w:rPr>
                <w:sz w:val="20"/>
                <w:szCs w:val="20"/>
                <w:color w:val="auto"/>
              </w:rPr>
            </w:pPr>
            <w:r>
              <w:rPr>
                <w:rFonts w:ascii="Times New Roman" w:cs="Times New Roman" w:eastAsia="Times New Roman" w:hAnsi="Times New Roman"/>
                <w:sz w:val="22"/>
                <w:szCs w:val="22"/>
                <w:color w:val="auto"/>
              </w:rPr>
              <w:t>Director of Integrated Business Planning, Abbott Laboratories, from 2015 to 2017;</w:t>
            </w:r>
          </w:p>
        </w:tc>
        <w:tc>
          <w:tcPr>
            <w:tcW w:w="780" w:type="dxa"/>
            <w:vAlign w:val="bottom"/>
            <w:shd w:val="clear" w:color="auto" w:fill="CCEEFF"/>
          </w:tcPr>
          <w:p>
            <w:pPr>
              <w:spacing w:after="0"/>
              <w:rPr>
                <w:sz w:val="21"/>
                <w:szCs w:val="21"/>
                <w:color w:val="auto"/>
              </w:rPr>
            </w:pPr>
          </w:p>
        </w:tc>
      </w:tr>
      <w:tr>
        <w:trPr>
          <w:trHeight w:val="243"/>
        </w:trPr>
        <w:tc>
          <w:tcPr>
            <w:tcW w:w="2620" w:type="dxa"/>
            <w:vAlign w:val="bottom"/>
            <w:shd w:val="clear" w:color="auto" w:fill="CCEEFF"/>
          </w:tcPr>
          <w:p>
            <w:pPr>
              <w:spacing w:after="0"/>
              <w:rPr>
                <w:sz w:val="21"/>
                <w:szCs w:val="21"/>
                <w:color w:val="auto"/>
              </w:rPr>
            </w:pPr>
          </w:p>
        </w:tc>
        <w:tc>
          <w:tcPr>
            <w:tcW w:w="7840" w:type="dxa"/>
            <w:vAlign w:val="bottom"/>
            <w:shd w:val="clear" w:color="auto" w:fill="CCEEFF"/>
          </w:tcPr>
          <w:p>
            <w:pPr>
              <w:ind w:left="460"/>
              <w:spacing w:after="0" w:line="243" w:lineRule="exact"/>
              <w:rPr>
                <w:sz w:val="20"/>
                <w:szCs w:val="20"/>
                <w:color w:val="auto"/>
              </w:rPr>
            </w:pPr>
            <w:r>
              <w:rPr>
                <w:rFonts w:ascii="Times New Roman" w:cs="Times New Roman" w:eastAsia="Times New Roman" w:hAnsi="Times New Roman"/>
                <w:sz w:val="22"/>
                <w:szCs w:val="22"/>
                <w:color w:val="auto"/>
              </w:rPr>
              <w:t>Senior Director of Product Supply - Beverages &amp; Snack Nuts, Kraft Foods Group,</w:t>
            </w:r>
          </w:p>
        </w:tc>
        <w:tc>
          <w:tcPr>
            <w:tcW w:w="780" w:type="dxa"/>
            <w:vAlign w:val="bottom"/>
            <w:shd w:val="clear" w:color="auto" w:fill="CCEEFF"/>
          </w:tcPr>
          <w:p>
            <w:pPr>
              <w:spacing w:after="0"/>
              <w:rPr>
                <w:sz w:val="21"/>
                <w:szCs w:val="21"/>
                <w:color w:val="auto"/>
              </w:rPr>
            </w:pPr>
          </w:p>
        </w:tc>
      </w:tr>
      <w:tr>
        <w:trPr>
          <w:trHeight w:val="297"/>
        </w:trPr>
        <w:tc>
          <w:tcPr>
            <w:tcW w:w="2620" w:type="dxa"/>
            <w:vAlign w:val="bottom"/>
            <w:shd w:val="clear" w:color="auto" w:fill="CCEEFF"/>
          </w:tcPr>
          <w:p>
            <w:pPr>
              <w:spacing w:after="0"/>
              <w:rPr>
                <w:sz w:val="24"/>
                <w:szCs w:val="24"/>
                <w:color w:val="auto"/>
              </w:rPr>
            </w:pPr>
          </w:p>
        </w:tc>
        <w:tc>
          <w:tcPr>
            <w:tcW w:w="7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2"/>
                <w:szCs w:val="22"/>
                <w:color w:val="auto"/>
              </w:rPr>
              <w:t>from 2012-2015.</w:t>
            </w:r>
          </w:p>
        </w:tc>
        <w:tc>
          <w:tcPr>
            <w:tcW w:w="780" w:type="dxa"/>
            <w:vAlign w:val="bottom"/>
            <w:shd w:val="clear" w:color="auto" w:fill="CCEEFF"/>
          </w:tcPr>
          <w:p>
            <w:pPr>
              <w:spacing w:after="0"/>
              <w:rPr>
                <w:sz w:val="24"/>
                <w:szCs w:val="24"/>
                <w:color w:val="auto"/>
              </w:rPr>
            </w:pPr>
          </w:p>
        </w:tc>
      </w:tr>
      <w:tr>
        <w:trPr>
          <w:trHeight w:val="243"/>
        </w:trPr>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Jessica D. Moskowitz</w:t>
            </w:r>
          </w:p>
        </w:tc>
        <w:tc>
          <w:tcPr>
            <w:tcW w:w="78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Vice President and General Manager, Consumer Products Division, of the</w:t>
            </w:r>
          </w:p>
        </w:tc>
        <w:tc>
          <w:tcPr>
            <w:tcW w:w="7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9"/>
              </w:rPr>
              <w:t>41</w:t>
            </w:r>
          </w:p>
        </w:tc>
      </w:tr>
      <w:tr>
        <w:trPr>
          <w:trHeight w:val="243"/>
        </w:trPr>
        <w:tc>
          <w:tcPr>
            <w:tcW w:w="2620" w:type="dxa"/>
            <w:vAlign w:val="bottom"/>
          </w:tcPr>
          <w:p>
            <w:pPr>
              <w:spacing w:after="0"/>
              <w:rPr>
                <w:sz w:val="21"/>
                <w:szCs w:val="21"/>
                <w:color w:val="auto"/>
              </w:rPr>
            </w:pPr>
          </w:p>
        </w:tc>
        <w:tc>
          <w:tcPr>
            <w:tcW w:w="78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Company since February 2019; Brand Manager, Consumer Packaged Goods, of the</w:t>
            </w:r>
          </w:p>
        </w:tc>
        <w:tc>
          <w:tcPr>
            <w:tcW w:w="780" w:type="dxa"/>
            <w:vAlign w:val="bottom"/>
          </w:tcPr>
          <w:p>
            <w:pPr>
              <w:spacing w:after="0"/>
              <w:rPr>
                <w:sz w:val="21"/>
                <w:szCs w:val="21"/>
                <w:color w:val="auto"/>
              </w:rPr>
            </w:pPr>
          </w:p>
        </w:tc>
      </w:tr>
      <w:tr>
        <w:trPr>
          <w:trHeight w:val="243"/>
        </w:trPr>
        <w:tc>
          <w:tcPr>
            <w:tcW w:w="2620" w:type="dxa"/>
            <w:vAlign w:val="bottom"/>
          </w:tcPr>
          <w:p>
            <w:pPr>
              <w:spacing w:after="0"/>
              <w:rPr>
                <w:sz w:val="21"/>
                <w:szCs w:val="21"/>
                <w:color w:val="auto"/>
              </w:rPr>
            </w:pPr>
          </w:p>
        </w:tc>
        <w:tc>
          <w:tcPr>
            <w:tcW w:w="78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Company from April 2017 to February 2019; Brand Manager at Kraft Foods from</w:t>
            </w:r>
          </w:p>
        </w:tc>
        <w:tc>
          <w:tcPr>
            <w:tcW w:w="780" w:type="dxa"/>
            <w:vAlign w:val="bottom"/>
          </w:tcPr>
          <w:p>
            <w:pPr>
              <w:spacing w:after="0"/>
              <w:rPr>
                <w:sz w:val="21"/>
                <w:szCs w:val="21"/>
                <w:color w:val="auto"/>
              </w:rPr>
            </w:pPr>
          </w:p>
        </w:tc>
      </w:tr>
      <w:tr>
        <w:trPr>
          <w:trHeight w:val="282"/>
        </w:trPr>
        <w:tc>
          <w:tcPr>
            <w:tcW w:w="2620" w:type="dxa"/>
            <w:vAlign w:val="bottom"/>
          </w:tcPr>
          <w:p>
            <w:pPr>
              <w:spacing w:after="0"/>
              <w:rPr>
                <w:sz w:val="24"/>
                <w:szCs w:val="24"/>
                <w:color w:val="auto"/>
              </w:rPr>
            </w:pPr>
          </w:p>
        </w:tc>
        <w:tc>
          <w:tcPr>
            <w:tcW w:w="78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2006-2012.</w:t>
            </w:r>
          </w:p>
        </w:tc>
        <w:tc>
          <w:tcPr>
            <w:tcW w:w="780" w:type="dxa"/>
            <w:vAlign w:val="bottom"/>
          </w:tcPr>
          <w:p>
            <w:pPr>
              <w:spacing w:after="0"/>
              <w:rPr>
                <w:sz w:val="24"/>
                <w:szCs w:val="24"/>
                <w:color w:val="auto"/>
              </w:rPr>
            </w:pPr>
          </w:p>
        </w:tc>
      </w:tr>
      <w:tr>
        <w:trPr>
          <w:trHeight w:val="258"/>
        </w:trPr>
        <w:tc>
          <w:tcPr>
            <w:tcW w:w="2620" w:type="dxa"/>
            <w:vAlign w:val="bottom"/>
          </w:tcPr>
          <w:p>
            <w:pPr>
              <w:spacing w:after="0"/>
              <w:rPr>
                <w:sz w:val="22"/>
                <w:szCs w:val="22"/>
                <w:color w:val="auto"/>
              </w:rPr>
            </w:pPr>
          </w:p>
        </w:tc>
        <w:tc>
          <w:tcPr>
            <w:tcW w:w="78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43"/>
        </w:trPr>
        <w:tc>
          <w:tcPr>
            <w:tcW w:w="2620" w:type="dxa"/>
            <w:vAlign w:val="bottom"/>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Laura G. Scheland</w:t>
            </w:r>
          </w:p>
        </w:tc>
        <w:tc>
          <w:tcPr>
            <w:tcW w:w="7840" w:type="dxa"/>
            <w:vAlign w:val="bottom"/>
            <w:shd w:val="clear" w:color="auto" w:fill="CCEEFF"/>
          </w:tcPr>
          <w:p>
            <w:pPr>
              <w:ind w:left="460"/>
              <w:spacing w:after="0" w:line="243" w:lineRule="exact"/>
              <w:rPr>
                <w:sz w:val="20"/>
                <w:szCs w:val="20"/>
                <w:color w:val="auto"/>
              </w:rPr>
            </w:pPr>
            <w:r>
              <w:rPr>
                <w:rFonts w:ascii="Times New Roman" w:cs="Times New Roman" w:eastAsia="Times New Roman" w:hAnsi="Times New Roman"/>
                <w:sz w:val="22"/>
                <w:szCs w:val="22"/>
                <w:color w:val="auto"/>
              </w:rPr>
              <w:t>Vice President, General Counsel and Secretary of the Company since December</w:t>
            </w:r>
          </w:p>
        </w:tc>
        <w:tc>
          <w:tcPr>
            <w:tcW w:w="780" w:type="dxa"/>
            <w:vAlign w:val="bottom"/>
            <w:shd w:val="clear" w:color="auto" w:fill="CCEEFF"/>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9"/>
              </w:rPr>
              <w:t>41</w:t>
            </w:r>
          </w:p>
        </w:tc>
      </w:tr>
      <w:tr>
        <w:trPr>
          <w:trHeight w:val="243"/>
        </w:trPr>
        <w:tc>
          <w:tcPr>
            <w:tcW w:w="2620" w:type="dxa"/>
            <w:vAlign w:val="bottom"/>
            <w:shd w:val="clear" w:color="auto" w:fill="CCEEFF"/>
          </w:tcPr>
          <w:p>
            <w:pPr>
              <w:spacing w:after="0"/>
              <w:rPr>
                <w:sz w:val="21"/>
                <w:szCs w:val="21"/>
                <w:color w:val="auto"/>
              </w:rPr>
            </w:pPr>
          </w:p>
        </w:tc>
        <w:tc>
          <w:tcPr>
            <w:tcW w:w="7840" w:type="dxa"/>
            <w:vAlign w:val="bottom"/>
            <w:shd w:val="clear" w:color="auto" w:fill="CCEEFF"/>
          </w:tcPr>
          <w:p>
            <w:pPr>
              <w:ind w:left="460"/>
              <w:spacing w:after="0" w:line="243" w:lineRule="exact"/>
              <w:rPr>
                <w:sz w:val="20"/>
                <w:szCs w:val="20"/>
                <w:color w:val="auto"/>
              </w:rPr>
            </w:pPr>
            <w:r>
              <w:rPr>
                <w:rFonts w:ascii="Times New Roman" w:cs="Times New Roman" w:eastAsia="Times New Roman" w:hAnsi="Times New Roman"/>
                <w:sz w:val="22"/>
                <w:szCs w:val="22"/>
                <w:color w:val="auto"/>
              </w:rPr>
              <w:t>2017; Assistant General Counsel and Assistant Secretary of the Company from</w:t>
            </w:r>
          </w:p>
        </w:tc>
        <w:tc>
          <w:tcPr>
            <w:tcW w:w="780" w:type="dxa"/>
            <w:vAlign w:val="bottom"/>
            <w:shd w:val="clear" w:color="auto" w:fill="CCEEFF"/>
          </w:tcPr>
          <w:p>
            <w:pPr>
              <w:spacing w:after="0"/>
              <w:rPr>
                <w:sz w:val="21"/>
                <w:szCs w:val="21"/>
                <w:color w:val="auto"/>
              </w:rPr>
            </w:pPr>
          </w:p>
        </w:tc>
      </w:tr>
      <w:tr>
        <w:trPr>
          <w:trHeight w:val="297"/>
        </w:trPr>
        <w:tc>
          <w:tcPr>
            <w:tcW w:w="2620" w:type="dxa"/>
            <w:vAlign w:val="bottom"/>
            <w:shd w:val="clear" w:color="auto" w:fill="CCEEFF"/>
          </w:tcPr>
          <w:p>
            <w:pPr>
              <w:spacing w:after="0"/>
              <w:rPr>
                <w:sz w:val="24"/>
                <w:szCs w:val="24"/>
                <w:color w:val="auto"/>
              </w:rPr>
            </w:pPr>
          </w:p>
        </w:tc>
        <w:tc>
          <w:tcPr>
            <w:tcW w:w="7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2"/>
                <w:szCs w:val="22"/>
                <w:color w:val="auto"/>
              </w:rPr>
              <w:t>April 2013 to November 2017.</w:t>
            </w:r>
          </w:p>
        </w:tc>
        <w:tc>
          <w:tcPr>
            <w:tcW w:w="780" w:type="dxa"/>
            <w:vAlign w:val="bottom"/>
            <w:shd w:val="clear" w:color="auto" w:fill="CCEEFF"/>
          </w:tcPr>
          <w:p>
            <w:pPr>
              <w:spacing w:after="0"/>
              <w:rPr>
                <w:sz w:val="24"/>
                <w:szCs w:val="24"/>
                <w:color w:val="auto"/>
              </w:rPr>
            </w:pPr>
          </w:p>
        </w:tc>
      </w:tr>
      <w:tr>
        <w:trPr>
          <w:trHeight w:val="243"/>
        </w:trPr>
        <w:tc>
          <w:tcPr>
            <w:tcW w:w="2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Mary E. Sullivan</w:t>
            </w:r>
          </w:p>
        </w:tc>
        <w:tc>
          <w:tcPr>
            <w:tcW w:w="78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Vice President, Human Resources of the Company since October 2016; Human</w:t>
            </w:r>
          </w:p>
        </w:tc>
        <w:tc>
          <w:tcPr>
            <w:tcW w:w="7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color w:val="auto"/>
                <w:w w:val="99"/>
              </w:rPr>
              <w:t>63</w:t>
            </w:r>
          </w:p>
        </w:tc>
      </w:tr>
      <w:tr>
        <w:trPr>
          <w:trHeight w:val="243"/>
        </w:trPr>
        <w:tc>
          <w:tcPr>
            <w:tcW w:w="2620" w:type="dxa"/>
            <w:vAlign w:val="bottom"/>
          </w:tcPr>
          <w:p>
            <w:pPr>
              <w:spacing w:after="0"/>
              <w:rPr>
                <w:sz w:val="21"/>
                <w:szCs w:val="21"/>
                <w:color w:val="auto"/>
              </w:rPr>
            </w:pPr>
          </w:p>
        </w:tc>
        <w:tc>
          <w:tcPr>
            <w:tcW w:w="78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Resources Director Central US and Canada at Staples, Inc. from 2007 to October</w:t>
            </w:r>
          </w:p>
        </w:tc>
        <w:tc>
          <w:tcPr>
            <w:tcW w:w="780" w:type="dxa"/>
            <w:vAlign w:val="bottom"/>
          </w:tcPr>
          <w:p>
            <w:pPr>
              <w:spacing w:after="0"/>
              <w:rPr>
                <w:sz w:val="21"/>
                <w:szCs w:val="21"/>
                <w:color w:val="auto"/>
              </w:rPr>
            </w:pPr>
          </w:p>
        </w:tc>
      </w:tr>
      <w:tr>
        <w:trPr>
          <w:trHeight w:val="282"/>
        </w:trPr>
        <w:tc>
          <w:tcPr>
            <w:tcW w:w="2620" w:type="dxa"/>
            <w:vAlign w:val="bottom"/>
          </w:tcPr>
          <w:p>
            <w:pPr>
              <w:spacing w:after="0"/>
              <w:rPr>
                <w:sz w:val="24"/>
                <w:szCs w:val="24"/>
                <w:color w:val="auto"/>
              </w:rPr>
            </w:pPr>
          </w:p>
        </w:tc>
        <w:tc>
          <w:tcPr>
            <w:tcW w:w="784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2016.</w:t>
            </w:r>
          </w:p>
        </w:tc>
        <w:tc>
          <w:tcPr>
            <w:tcW w:w="780" w:type="dxa"/>
            <w:vAlign w:val="bottom"/>
          </w:tcPr>
          <w:p>
            <w:pPr>
              <w:spacing w:after="0"/>
              <w:rPr>
                <w:sz w:val="24"/>
                <w:szCs w:val="24"/>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of our executive officers are appointed annually and serve at the pleasure of our Board of Directors.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Of the persons in this table, only Mr. Daniel Jaffee is also a director.</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73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5"/>
          <w:szCs w:val="25"/>
          <w:b w:val="1"/>
          <w:bCs w:val="1"/>
          <w:color w:val="auto"/>
        </w:rPr>
        <w:t>EXECUTIVE COMPENSATION</w:t>
      </w:r>
    </w:p>
    <w:p>
      <w:pPr>
        <w:spacing w:after="0" w:line="24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is a “smaller reporting company” (or SRC) under the rules promulgated by the SEC and complies with the disclosure requirements specifically applicable to SRCs. This section and the tables contained herein reflect the scaled disclosure available to SRCs.</w:t>
      </w:r>
    </w:p>
    <w:p>
      <w:pPr>
        <w:spacing w:after="0" w:line="13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this Executive Compensation section, we discuss compensation of the Company’s named executive officers. The Company’s named executive officers and their titles as of the end of fiscal year 2020 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79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Title</w:t>
            </w:r>
          </w:p>
        </w:tc>
      </w:tr>
      <w:tr>
        <w:trPr>
          <w:trHeight w:val="282"/>
        </w:trPr>
        <w:tc>
          <w:tcPr>
            <w:tcW w:w="3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Daniel S. Jaffee</w:t>
            </w:r>
          </w:p>
        </w:tc>
        <w:tc>
          <w:tcPr>
            <w:tcW w:w="240" w:type="dxa"/>
            <w:vAlign w:val="bottom"/>
          </w:tcPr>
          <w:p>
            <w:pPr>
              <w:spacing w:after="0"/>
              <w:rPr>
                <w:sz w:val="24"/>
                <w:szCs w:val="24"/>
                <w:color w:val="auto"/>
              </w:rPr>
            </w:pPr>
          </w:p>
        </w:tc>
        <w:tc>
          <w:tcPr>
            <w:tcW w:w="7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President and Chief Executive Officer (CEO)</w:t>
            </w: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Susan M. Kreh</w:t>
            </w:r>
          </w:p>
        </w:tc>
        <w:tc>
          <w:tcPr>
            <w:tcW w:w="7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Financial Officer (CFO)</w:t>
            </w:r>
          </w:p>
        </w:tc>
      </w:tr>
      <w:tr>
        <w:trPr>
          <w:trHeight w:val="297"/>
        </w:trPr>
        <w:tc>
          <w:tcPr>
            <w:tcW w:w="3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Molly D. VandenHeuvel</w:t>
            </w:r>
          </w:p>
        </w:tc>
        <w:tc>
          <w:tcPr>
            <w:tcW w:w="79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Operating Officer (COO)</w:t>
            </w:r>
          </w:p>
        </w:tc>
      </w:tr>
    </w:tbl>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Summary Compensation Table</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table summarizes the total compensation earned by the named executive officers for services provided to the Company during the years detailed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Nonqualified</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5"/>
        </w:trPr>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Non-Equity</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Fiscal</w:t>
            </w:r>
          </w:p>
        </w:tc>
        <w:tc>
          <w:tcPr>
            <w:tcW w:w="240" w:type="dxa"/>
            <w:vAlign w:val="bottom"/>
          </w:tcPr>
          <w:p>
            <w:pPr>
              <w:spacing w:after="0"/>
              <w:rPr>
                <w:sz w:val="11"/>
                <w:szCs w:val="11"/>
                <w:color w:val="auto"/>
              </w:rPr>
            </w:pPr>
          </w:p>
        </w:tc>
        <w:tc>
          <w:tcPr>
            <w:tcW w:w="9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Salary</w:t>
            </w:r>
          </w:p>
        </w:tc>
        <w:tc>
          <w:tcPr>
            <w:tcW w:w="120" w:type="dxa"/>
            <w:vAlign w:val="bottom"/>
          </w:tcPr>
          <w:p>
            <w:pPr>
              <w:spacing w:after="0"/>
              <w:rPr>
                <w:sz w:val="11"/>
                <w:szCs w:val="11"/>
                <w:color w:val="auto"/>
              </w:rPr>
            </w:pPr>
          </w:p>
        </w:tc>
        <w:tc>
          <w:tcPr>
            <w:tcW w:w="5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Bonus</w:t>
            </w:r>
          </w:p>
        </w:tc>
        <w:tc>
          <w:tcPr>
            <w:tcW w:w="1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Stock Awards</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80" w:type="dxa"/>
            <w:vAlign w:val="bottom"/>
          </w:tcPr>
          <w:p>
            <w:pPr>
              <w:spacing w:after="0"/>
              <w:rPr>
                <w:sz w:val="11"/>
                <w:szCs w:val="11"/>
                <w:color w:val="auto"/>
              </w:rPr>
            </w:pPr>
          </w:p>
        </w:tc>
        <w:tc>
          <w:tcPr>
            <w:tcW w:w="940" w:type="dxa"/>
            <w:vAlign w:val="bottom"/>
          </w:tcPr>
          <w:p>
            <w:pPr>
              <w:jc w:val="right"/>
              <w:ind w:right="404"/>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35"/>
        </w:trPr>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87"/>
              </w:rPr>
              <w:t>Year</w:t>
            </w:r>
          </w:p>
        </w:tc>
        <w:tc>
          <w:tcPr>
            <w:tcW w:w="240" w:type="dxa"/>
            <w:vAlign w:val="bottom"/>
          </w:tcPr>
          <w:p>
            <w:pPr>
              <w:spacing w:after="0"/>
              <w:rPr>
                <w:sz w:val="11"/>
                <w:szCs w:val="11"/>
                <w:color w:val="auto"/>
              </w:rPr>
            </w:pPr>
          </w:p>
        </w:tc>
        <w:tc>
          <w:tcPr>
            <w:tcW w:w="800" w:type="dxa"/>
            <w:vAlign w:val="bottom"/>
          </w:tcPr>
          <w:p>
            <w:pPr>
              <w:jc w:val="right"/>
              <w:ind w:right="364"/>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24"/>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405"/>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4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ind w:right="464"/>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76"/>
        </w:trPr>
        <w:tc>
          <w:tcPr>
            <w:tcW w:w="2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(1) (2)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(5)</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36"/>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Daniel S. Jaffee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742,630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1,336,734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16,613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140,094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2,236,071</w:t>
            </w:r>
          </w:p>
        </w:tc>
      </w:tr>
      <w:tr>
        <w:trPr>
          <w:trHeight w:val="237"/>
        </w:trPr>
        <w:tc>
          <w:tcPr>
            <w:tcW w:w="2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President and CEO</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721,000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4,932,500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501,275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7,931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123,590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6,286,296</w:t>
            </w:r>
          </w:p>
        </w:tc>
      </w:tr>
      <w:tr>
        <w:trPr>
          <w:trHeight w:val="3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2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7"/>
        </w:trPr>
        <w:tc>
          <w:tcPr>
            <w:tcW w:w="2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Susan M. Kreh (6)</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411,000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575,400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45,055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1,032,725</w:t>
            </w:r>
          </w:p>
        </w:tc>
      </w:tr>
      <w:tr>
        <w:trPr>
          <w:trHeight w:val="3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CFO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258,333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963,550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119,738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96,467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1,438,088</w:t>
            </w:r>
          </w:p>
        </w:tc>
      </w:tr>
      <w:tr>
        <w:trPr>
          <w:trHeight w:val="270"/>
        </w:trPr>
        <w:tc>
          <w:tcPr>
            <w:tcW w:w="2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Molly D. VandenHeuvel (6)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420,000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39,951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809,951</w:t>
            </w:r>
          </w:p>
        </w:tc>
      </w:tr>
      <w:tr>
        <w:trPr>
          <w:trHeight w:val="237"/>
        </w:trPr>
        <w:tc>
          <w:tcPr>
            <w:tcW w:w="2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COO</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88,636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1,008,000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27,389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8,700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1,132,725</w:t>
            </w:r>
          </w:p>
        </w:tc>
      </w:tr>
    </w:tbl>
    <w:p>
      <w:pPr>
        <w:spacing w:after="0" w:line="190" w:lineRule="exact"/>
        <w:rPr>
          <w:sz w:val="20"/>
          <w:szCs w:val="20"/>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grant date fair value of awards computed in accordance with ASC 718. The grant date fair value is the number of shares granted multiplied by the closing price of our Common Stock on the award date. The grant date fair value of an award reflects the accounting expense and may not represent the actual value that will be realized.</w:t>
      </w:r>
    </w:p>
    <w:p>
      <w:pPr>
        <w:spacing w:after="0" w:line="3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option awards granted to the named executive officers during fiscal 2020 or fiscal 2019.</w:t>
      </w:r>
    </w:p>
    <w:p>
      <w:pPr>
        <w:spacing w:after="0" w:line="31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2020 amounts reflect: (i) annual incentive awards equal to 200% of target cash bonuses; (ii) executive deferred bonuses equal to 200% of target bonus to our named executive officers (other than our CEO); and (iii) a cash award equal to 200% of target bonus to our CEO intended by our Compensation Committee to be an award comparable to the executive bonus award our CEO would have received had he been a participant in the executive deferred bonus award portion of our annual incentive plan for fiscal 2020. Cash bonuses earned are paid following completion of the specified fiscal year. Executive deferred bonuses are awarded based on performance during the specified fiscal year and generally vest (become payable) according to a vesting schedule established by our Compensation Committee for each fiscal year’s award. Executive deferred bonus awards awarded for fiscal 2020 performance are deferred and will be paid in full at the end of three years (July 31, 2023), provided the named executive officer is still employed by us at that time. The cash award referenced in item (iii) above was paid following the completion of the fiscal year.</w:t>
      </w:r>
    </w:p>
    <w:p>
      <w:pPr>
        <w:spacing w:after="0" w:line="10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earnings from our executive deferred compensation plan that exceed 120% of the applicable federal rate.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732"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color w:val="auto"/>
        </w:rPr>
        <w:t>(5) The amounts shown in this column for fiscal 2020 are described in the following table:</w:t>
      </w:r>
    </w:p>
    <w:p>
      <w:pPr>
        <w:spacing w:after="0" w:line="200" w:lineRule="exact"/>
        <w:rPr>
          <w:sz w:val="20"/>
          <w:szCs w:val="20"/>
          <w:color w:val="auto"/>
        </w:rPr>
      </w:pPr>
    </w:p>
    <w:p>
      <w:pPr>
        <w:spacing w:after="0" w:line="39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All Other Compensation Table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Interest Earned</w:t>
            </w: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401(k) Plan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Dividends on Unvested</w:t>
            </w:r>
          </w:p>
        </w:tc>
        <w:tc>
          <w:tcPr>
            <w:tcW w:w="120" w:type="dxa"/>
            <w:vAlign w:val="bottom"/>
          </w:tcPr>
          <w:p>
            <w:pPr>
              <w:spacing w:after="0"/>
              <w:rPr>
                <w:sz w:val="17"/>
                <w:szCs w:val="17"/>
                <w:color w:val="auto"/>
              </w:rPr>
            </w:pPr>
          </w:p>
        </w:tc>
        <w:tc>
          <w:tcPr>
            <w:tcW w:w="124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on Executive</w:t>
            </w: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Perquisites</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20" w:type="dxa"/>
            <w:vAlign w:val="bottom"/>
          </w:tcPr>
          <w:p>
            <w:pPr>
              <w:spacing w:after="0"/>
              <w:rPr>
                <w:sz w:val="17"/>
                <w:szCs w:val="17"/>
                <w:color w:val="auto"/>
              </w:rPr>
            </w:pPr>
          </w:p>
        </w:tc>
        <w:tc>
          <w:tcPr>
            <w:tcW w:w="124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Deferred Bonus</w:t>
            </w: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Matching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Contributions</w:t>
            </w:r>
          </w:p>
        </w:tc>
        <w:tc>
          <w:tcPr>
            <w:tcW w:w="240" w:type="dxa"/>
            <w:vAlign w:val="bottom"/>
          </w:tcPr>
          <w:p>
            <w:pPr>
              <w:spacing w:after="0"/>
              <w:rPr>
                <w:sz w:val="17"/>
                <w:szCs w:val="17"/>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20" w:type="dxa"/>
            <w:vAlign w:val="bottom"/>
          </w:tcPr>
          <w:p>
            <w:pPr>
              <w:spacing w:after="0"/>
              <w:rPr>
                <w:sz w:val="18"/>
                <w:szCs w:val="18"/>
                <w:color w:val="auto"/>
              </w:rPr>
            </w:pPr>
          </w:p>
        </w:tc>
        <w:tc>
          <w:tcPr>
            <w:tcW w:w="124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8"/>
              </w:rPr>
              <w:t>(C)</w:t>
            </w:r>
          </w:p>
        </w:tc>
        <w:tc>
          <w:tcPr>
            <w:tcW w:w="180" w:type="dxa"/>
            <w:vAlign w:val="bottom"/>
          </w:tcPr>
          <w:p>
            <w:pPr>
              <w:spacing w:after="0"/>
              <w:rPr>
                <w:sz w:val="18"/>
                <w:szCs w:val="18"/>
                <w:color w:val="auto"/>
              </w:rPr>
            </w:pPr>
          </w:p>
        </w:tc>
        <w:tc>
          <w:tcPr>
            <w:tcW w:w="12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Daniel S. Jaffee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140,094</w:t>
            </w:r>
          </w:p>
        </w:tc>
      </w:tr>
      <w:tr>
        <w:trPr>
          <w:trHeight w:val="243"/>
        </w:trPr>
        <w:tc>
          <w:tcPr>
            <w:tcW w:w="2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Susan M. Kreh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45,055</w:t>
            </w: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Molly D. VandenHeuvel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9,951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39,951</w:t>
            </w:r>
          </w:p>
        </w:tc>
      </w:tr>
      <w:tr>
        <w:trPr>
          <w:trHeight w:val="27"/>
        </w:trPr>
        <w:tc>
          <w:tcPr>
            <w:tcW w:w="2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ind w:left="980" w:hanging="324"/>
        <w:spacing w:after="0" w:line="261"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Perquisites for the named executive officers generally consist of auto allowances, paid parking, airline executive club memberships, remote Internet access costs and periodical subscriptions. The amounts shown reflect the actual cost to us for providing these perquisites. The perquisites received by Mr. Jaffee consisted of the following, which were paid by the Company: $5,948 as an auto allowance and $4,809 for parking, remote Internet access and related fees, airline club membership and periodical subscriptions.</w:t>
      </w:r>
    </w:p>
    <w:p>
      <w:pPr>
        <w:spacing w:after="0" w:line="31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dividend payments on unvested shares of restricted stock held by the named executive officers that are reportable as either dividends or ordinary income.</w:t>
      </w:r>
    </w:p>
    <w:p>
      <w:pPr>
        <w:spacing w:after="0" w:line="29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deferred bonuses awarded under our annual incentive plan earn interest at a rate equal to our long-term cost of borrowing plus 1%. Any amounts shown are the interest earned on all unvested executive deferred bonus awards that do not exceed 120% of the applicable federal rate, regardless of the fiscal year in which the awards were earned.</w:t>
      </w:r>
    </w:p>
    <w:p>
      <w:pPr>
        <w:spacing w:after="0" w:line="31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executives’ employment commenced during fiscal year 2019.</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Narrative Disclosure to Summary Compensation Table</w:t>
      </w:r>
    </w:p>
    <w:p>
      <w:pPr>
        <w:spacing w:after="0" w:line="2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Company’s NEOs’ compensation in fiscal year 2020 was comprised of base salary, an annual performance-based cash incentive award, executive deferred bonus award, retirement benefits, health and welfare benefits and perquisites. Additionally, the Company maintains a long-term equity incentive plan.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Employment Agreements and Base Salary.</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employ all executives at-will, without written employment agreements or a prospective severance plan. The base salaries of our NEOs are reviewed annually.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Annual Incentive Plan.</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Company’s annual incentive plan is comprised of opportunities for performance-based cash incentive awards and executive deferred bonus awards (with the latter available for senior managers, including the Company’s executive officers).</w:t>
      </w:r>
    </w:p>
    <w:p>
      <w:pPr>
        <w:spacing w:after="0" w:line="19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At the beginning of each fiscal year, our CEO presents to our Compensation Committee his proposal for the annual company-wide performance measures, targets and payout ranges that will determine the calculation of the performance-based cash incentive awards for that year. Our Compensation Committee has the general authority to review and determine the reasonableness of the performance measures, targets 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958" w:right="339" w:bottom="1440" w:gutter="0" w:footer="0" w:header="0"/>
        </w:sectPr>
      </w:pPr>
    </w:p>
    <w:bookmarkStart w:id="36" w:name="page37"/>
    <w:bookmarkEnd w:id="36"/>
    <w:p>
      <w:pPr>
        <w:jc w:val="both"/>
        <w:spacing w:after="0" w:line="250" w:lineRule="auto"/>
        <w:rPr>
          <w:sz w:val="20"/>
          <w:szCs w:val="20"/>
          <w:color w:val="auto"/>
        </w:rPr>
      </w:pPr>
      <w:r>
        <w:rPr>
          <w:rFonts w:ascii="Times New Roman" w:cs="Times New Roman" w:eastAsia="Times New Roman" w:hAnsi="Times New Roman"/>
          <w:sz w:val="22"/>
          <w:szCs w:val="22"/>
          <w:color w:val="auto"/>
        </w:rPr>
        <w:t>payout ranges (and any changes thereto) as they relate to the total compensation of our executive officers. If we do not fully achieve our corporate financial performance target but meet certain financial performance thresholds, a bonus of less than 100% of target bonus may be paid. If we exceed our corporate financial performance target, bonuses above 100% of target may be paid; however, no employee can receive a bonus greater than 200% of target under this plan. Non-exempt employees would earn 100% of target bonus at the threshold level and at the other applicable levels.</w:t>
      </w:r>
    </w:p>
    <w:p>
      <w:pPr>
        <w:spacing w:after="0" w:line="22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performance measure under the annual incentive plan for fiscal 2020 was our adjusted pre-tax, pre-bonus income as compared with our fiscal 2020 adjusted corporate budget. Our fiscal 2020 corporate financial performance met the threshold for payment of a performance-based cash incentive award and exceeded the target achievement level approved by the Compensation Committee. Our adjusted, pre-tax, pre-bonus income resulted in payment of cash incentive awards equal to 200% of target bonus, as adjusted by our CEO for certain individuals’ performance per the discretionary provisions of our annual incentive plan.</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Our annual incentive plan also provides the opportunity for our senior managers, including our executive officers, to earn an executive deferred bonus award. Our fiscal 2020 corporate financial performance also met the threshold level for earning executive deferred bonus awards and exceeded the approved target achievement level. Our adjusted, pre-tax, pre-bonus income resulted in executive deferred bonus awards to our executive officers (other than our CEO, who has elected not to participate in the executive deferred bonus award portion of the Company’s annual incentive plan) for fiscal year 2020 at 200% of target bonus. Executive deferred bonus awards awarded for fiscal 2020 performance are deferred and will be paid in full at the end of three years (July 31, 2023), provided the named executive officer is still employed by us at that time.</w:t>
      </w:r>
    </w:p>
    <w:p>
      <w:pPr>
        <w:spacing w:after="0" w:line="22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Although as in past years, our CEO chose not to be a participant in the executive deferred bonus award portion of our annual incentive plan for 2020, our Compensation Committee considered at its September 10, 2020 meeting the dollar value of an executive deferred bonus award that the CEO would have received had he been a participant in that portion of our annual incentive plan as a reference in awarding him a cash award equal to 200% of target bonus in order to provide him with a comparable award. The award fulfills the intention of the Compensation Committee to grant Mr. Jaffee an award equal to the executive deferred bonus award that he would have received had he not chosen to be excluded from that portion of our annual incentive plan for fiscal 2020. The award is reflected in the Summary Compensation Table but was paid following the completion of the fiscal year.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Equity Incentive Awards.</w:t>
      </w:r>
    </w:p>
    <w:p>
      <w:pPr>
        <w:spacing w:after="0" w:line="2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During fiscal 2020, none of our named executive officers received equity incentive awards under the terms of the Long Term Incentive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Retirement and Other Benefits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As described below, we provide to our executives a defined benefit pension plan (which was frozen in fiscal 2020) and have also previously provided a supplemental executive retirement plan (which was frozen and subsequently terminated in fiscal 2020), as well as a defined contribution retirement plan. Additionally, we provide health and welfare benefits, including medical and dental coverage and life and long-term disability insurance, which are available to our executive officers on the same terms as they are available to other employees. We provide limited perquisites to the NEOs to assist them in carrying out their duties. As noted in the “All Other Compensation” column of the Summary Compensation Table, these perquisites may include a car allowance and paid parking.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747" w:right="339" w:bottom="1440" w:gutter="0" w:footer="0" w:header="0"/>
        </w:sectPr>
      </w:pPr>
    </w:p>
    <w:bookmarkStart w:id="37" w:name="page38"/>
    <w:bookmarkEnd w:id="37"/>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fiscal 2020, the Company enhanced its 401(k) matching program. The Company maintains a 401(k) retirement savings plan in which its executive officers are eligible to participate. Under the plan, employees may contribute from 2% to 50% of eligible compensation on a tax-deferred basis, subject to Code limits. We make a matching contribution of one hundred percent (100%) of the first six percent (6%) of compensation contributed by an employee that vests twenty percent (20%) each year until fully vested after five (5) years of service with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Compensation Updates Following the 2020 Fiscal Year End - Fiscal Year 2021 Compensation Plan Changes</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At its September 10, 2020 meeting, our Compensation Committee conducted its annual review of our CEO’s performance. The review included a self-evaluation prepared by our CEO that was circulated to all of the members of our Board of Directors and confidential feedback to the Compensation Committee from the members of our Board regarding our CEO’s performance in fiscal 2020. The Compensation Committee’s annual review also included a review of the total direct compensation our CEO received in fiscal 2020 (base salary and cash incentive awards) and past stock incentive awards. Based on such review, our Compensation Committee desired to increase our CEO’s base salary effective September 1, 2020 to $787,188, a 6% increase, in line with the percentage increases for the other named executive officers and to reflect our Compensation Committee’s view of our CEO’s contributions to the Company.</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Although as in past years, our CEO has chosen not to be a participant in the executive deferred bonus award portion of our annual incentive plan for fiscal 2021, our Compensation Committee intends to grant him, at a meeting following the end of the Company’s fiscal year 2021, an award of either cash or restricted shares of the Company’s Class B Stock under the terms of the Long Term Incentive Plan in lieu of any award that Mr. Jaffee could receive under the executive deferred bonus portion of our annual incentive plan.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Outstanding Equity Awards at Fiscal 2020 Year End</w:t>
      </w:r>
    </w:p>
    <w:p>
      <w:pPr>
        <w:spacing w:after="0" w:line="20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table provides information on the unvested restricted stock held by the named executive officers as of July 31, 2020. None of the named executive officers held any unexercised stock options as of July 31,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3"/>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5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Value of Shares or Units of Stock That</w:t>
            </w: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gridSpan w:val="5"/>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Number of Shares or Units of Stock That Have</w:t>
            </w:r>
          </w:p>
        </w:tc>
        <w:tc>
          <w:tcPr>
            <w:tcW w:w="2560" w:type="dxa"/>
            <w:vAlign w:val="bottom"/>
          </w:tcPr>
          <w:p>
            <w:pPr>
              <w:jc w:val="center"/>
              <w:ind w:right="715"/>
              <w:spacing w:after="0"/>
              <w:rPr>
                <w:sz w:val="20"/>
                <w:szCs w:val="20"/>
                <w:color w:val="auto"/>
              </w:rPr>
            </w:pPr>
            <w:r>
              <w:rPr>
                <w:rFonts w:ascii="Times New Roman" w:cs="Times New Roman" w:eastAsia="Times New Roman" w:hAnsi="Times New Roman"/>
                <w:sz w:val="16"/>
                <w:szCs w:val="16"/>
                <w:b w:val="1"/>
                <w:bCs w:val="1"/>
                <w:color w:val="auto"/>
              </w:rPr>
              <w:t>Have Not Vested</w:t>
            </w: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jc w:val="center"/>
              <w:ind w:left="794"/>
              <w:spacing w:after="0"/>
              <w:rPr>
                <w:sz w:val="20"/>
                <w:szCs w:val="20"/>
                <w:color w:val="auto"/>
              </w:rPr>
            </w:pPr>
            <w:r>
              <w:rPr>
                <w:rFonts w:ascii="Times New Roman" w:cs="Times New Roman" w:eastAsia="Times New Roman" w:hAnsi="Times New Roman"/>
                <w:sz w:val="16"/>
                <w:szCs w:val="16"/>
                <w:b w:val="1"/>
                <w:bCs w:val="1"/>
                <w:color w:val="auto"/>
                <w:w w:val="98"/>
              </w:rPr>
              <w:t>Not Vested</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60" w:type="dxa"/>
            <w:vAlign w:val="bottom"/>
          </w:tcPr>
          <w:p>
            <w:pPr>
              <w:jc w:val="center"/>
              <w:ind w:right="7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540" w:type="dxa"/>
            <w:vAlign w:val="bottom"/>
          </w:tcPr>
          <w:p>
            <w:pPr>
              <w:jc w:val="center"/>
              <w:ind w:left="774"/>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60" w:type="dxa"/>
            <w:vAlign w:val="bottom"/>
          </w:tcPr>
          <w:p>
            <w:pPr>
              <w:jc w:val="center"/>
              <w:ind w:right="715"/>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Daniel S. Jaffee</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Borders>
              <w:bottom w:val="single" w:sz="8" w:color="CCEEFF"/>
            </w:tcBorders>
            <w:gridSpan w:val="3"/>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5,215,500</w:t>
            </w:r>
          </w:p>
        </w:tc>
      </w:tr>
      <w:tr>
        <w:trPr>
          <w:trHeight w:val="243"/>
        </w:trPr>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324"/>
        </w:trPr>
        <w:tc>
          <w:tcPr>
            <w:tcW w:w="4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r>
      <w:tr>
        <w:trPr>
          <w:trHeight w:val="24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Susan M. Kreh</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gridSpan w:val="3"/>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1,216,950</w:t>
            </w:r>
          </w:p>
        </w:tc>
      </w:tr>
      <w:tr>
        <w:trPr>
          <w:trHeight w:val="27"/>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324"/>
        </w:trPr>
        <w:tc>
          <w:tcPr>
            <w:tcW w:w="4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r>
      <w:tr>
        <w:trPr>
          <w:trHeight w:val="243"/>
        </w:trPr>
        <w:tc>
          <w:tcPr>
            <w:tcW w:w="4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Molly D. VandenHeuvel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gridSpan w:val="3"/>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1,043,100</w:t>
            </w:r>
          </w:p>
        </w:tc>
      </w:tr>
    </w:tbl>
    <w:p>
      <w:pPr>
        <w:spacing w:after="0" w:line="184" w:lineRule="exact"/>
        <w:rPr>
          <w:sz w:val="20"/>
          <w:szCs w:val="20"/>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our Class B Stock and Common Stock has been calculated using the closing sale price of our Common Stock on July 31, 2020, the last trading day of fiscal 2020, which was $34.77.</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of Class B Stock that vest in 25,000 share increments subject to performance restrictions no earlier than on each of the five subsequent anniversaries of October 19, 2015.</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003" w:right="339" w:bottom="1440" w:gutter="0" w:footer="0" w:header="0"/>
        </w:sectPr>
      </w:pPr>
    </w:p>
    <w:bookmarkStart w:id="38" w:name="page39"/>
    <w:bookmarkEnd w:id="38"/>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of Class B Stock that vest in 25,000 share increments starting on October 19, 2021 and on each of the four subsequent anniversaries.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of Common Stock that are scheduled to vest in increments of 12,000 shares on December 15, 2022 and 23,000 shares on December 15, 2023.</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of Common Stock that are scheduled to vest in 7,000 share increments starting on April 15, 2021 and on each of the two subsequent anniversaries and 9,000 shares scheduled to vest on April 15, 2024.</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Pension Benefits for Fiscal 2020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Defined Benefit Pension Plan.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Company has provided a non-contributory, tax-qualified, defined benefit pension plan to all U.S.-based employees. On January 9, 2020, the Company amended the pension plan to freeze participation, all future benefit accruals and accrual of benefit service, including consideration of compensation increases, effective March 1, 2020. Consequently, the Pension Plan is closed to new participants and current participants will no longer earn additional benefits on or after March 1, 2020.</w:t>
      </w:r>
    </w:p>
    <w:p>
      <w:pPr>
        <w:spacing w:after="0" w:line="13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Under this plan, employees were eligible to participate commencing on the first February 1st or August 1st that followed the date when an employee achieved one year of service and age 21. For salaried employees, including the named executive officers, the pension plan provides for pensions based on credited years of service (capped at 30 years) and Final Average Compensation.</w:t>
      </w:r>
    </w:p>
    <w:p>
      <w:pPr>
        <w:spacing w:after="0" w:line="1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p>
      <w:pPr>
        <w:sectPr>
          <w:pgSz w:w="11900" w:h="16838" w:orient="portrait"/>
          <w:cols w:equalWidth="0" w:num="1">
            <w:col w:w="11240"/>
          </w:cols>
          <w:pgMar w:left="320" w:top="742"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1"/>
          <w:szCs w:val="21"/>
          <w:color w:val="auto"/>
        </w:rPr>
        <w:t>(0.55% of Final Average</w:t>
      </w:r>
    </w:p>
    <w:p>
      <w:pPr>
        <w:spacing w:after="0" w:line="26"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hanging="256"/>
        <w:spacing w:after="0" w:line="282"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1"/>
          <w:szCs w:val="21"/>
          <w:color w:val="auto"/>
        </w:rPr>
        <w:t>(0.55% of Final Average Compensation that exceeds Social Security Covered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Years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Credited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Service</w:t>
      </w:r>
    </w:p>
    <w:p>
      <w:pPr>
        <w:spacing w:after="0" w:line="247" w:lineRule="exact"/>
        <w:rPr>
          <w:sz w:val="20"/>
          <w:szCs w:val="20"/>
          <w:color w:val="auto"/>
        </w:rPr>
      </w:pPr>
    </w:p>
    <w:p>
      <w:pPr>
        <w:sectPr>
          <w:pgSz w:w="11900" w:h="16838" w:orient="portrait"/>
          <w:cols w:equalWidth="0" w:num="4">
            <w:col w:w="2920" w:space="520"/>
            <w:col w:w="4200" w:space="140"/>
            <w:col w:w="120" w:space="500"/>
            <w:col w:w="2840"/>
          </w:cols>
          <w:pgMar w:left="320" w:top="742" w:right="339" w:bottom="1440" w:gutter="0" w:footer="0" w:header="0"/>
          <w:type w:val="continuous"/>
        </w:sectPr>
      </w:pPr>
    </w:p>
    <w:p>
      <w:pPr>
        <w:spacing w:after="0" w:line="1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w:t>
      </w:r>
    </w:p>
    <w:p>
      <w:pPr>
        <w:spacing w:after="0" w:line="14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 participant’s right to an accrued benefit becomes non-forfeitable after five years of vesting service. Normal retirement age under the plan is age 65, or the age of the participant when he or she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w:t>
      </w:r>
    </w:p>
    <w:p>
      <w:pPr>
        <w:spacing w:after="0" w:line="14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 married participant with a non-forfeitable benefit dies prior to commencement of benefit payments, the participant’s spouse will be entitled to a survivor annuity equal to the amount the spouse would have been entitled to receive under a 50% joint and survivor annuity.</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742"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2"/>
          <w:szCs w:val="22"/>
          <w:i w:val="1"/>
          <w:iCs w:val="1"/>
          <w:color w:val="auto"/>
        </w:rPr>
        <w:t>Supplemental Executive Retirement Plan (“SERP”).</w:t>
      </w:r>
    </w:p>
    <w:p>
      <w:pPr>
        <w:spacing w:after="0" w:line="18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Company also previously maintained a SERP, which provided benefits that would have been provided under our pension plan absent Code limitations on benefits and on compensation for purposes of calculating benefits, offset by the actual pension benefits. All employees whose pension plan benefits are limited by those Code limitations were eligible to participate in the SERP. On January 9, 2020, we amended the SERP to freeze participation and any excess benefit, supplemental benefit or additional benefit effective March 1, 2020. Consequently, the SERP is closed to new participants and current participants were no longer able to earn additional benefits on or after March 1, 2020. Further, on June 9, 2020, the Board of Directors approved the termination of the SERP effective as of June 30, 2020 (the “Termination Date”).</w:t>
      </w:r>
    </w:p>
    <w:p>
      <w:pPr>
        <w:spacing w:after="0" w:line="1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Daniel S. Jaffee, our CEO, was the only NEO participant in fiscal 2020. Prior to the termination of the SERP, benefits provided under the SERP were paid in five equal annual installments beginning six months after the participant’s separation from service; however, if upon termination of employment the present value of the participant’s accumulated benefits did not exceed $50,000, payment was made in a lump sum, as soon as administratively feasible after the first day of the calendar month that follows six months of separation from service.</w:t>
      </w:r>
    </w:p>
    <w:p>
      <w:pPr>
        <w:spacing w:after="0" w:line="14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connection with the termination of the SERP, benefits payable to participants or beneficiaries under the SERP will be distributed between 12 and 24 months following the Termination Date (provided, however, that payments due to participants or beneficiaries prior to such period shall be paid in accordance with the terms of the SERP).</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Nonqualified Deferred Compensation for Fiscal 2020</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We provide an executive deferred compensation plan in which all executive officers and other senior managers are eligible to participate. Participating executives may defer up to 50% of base salary and 100% of annual cash incentive bonus into the plan. Executives’ deferrals earn interest at a rate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w:t>
      </w:r>
    </w:p>
    <w:p>
      <w:pPr>
        <w:spacing w:after="0" w:line="14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June 2020, the Board adopted an amendment to the Company’s deferred compensation plan, which provides for discretionary employer contributions to the accounts of plan participants.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Benefits upon Termination or Change in Control</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spacing w:after="0" w:line="13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We do not have a prospective severance plan that covers any of the named executive officers and generally have no employment or prospective severance agreements with the named executive officers.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743" w:right="339" w:bottom="1440" w:gutter="0" w:footer="0" w:header="0"/>
        </w:sectPr>
      </w:pPr>
    </w:p>
    <w:bookmarkStart w:id="40" w:name="page41"/>
    <w:bookmarkEnd w:id="40"/>
    <w:p>
      <w:pPr>
        <w:ind w:firstLine="648"/>
        <w:spacing w:after="0" w:line="271" w:lineRule="auto"/>
        <w:rPr>
          <w:sz w:val="20"/>
          <w:szCs w:val="20"/>
          <w:color w:val="auto"/>
        </w:rPr>
      </w:pPr>
      <w:r>
        <w:rPr>
          <w:rFonts w:ascii="Times New Roman" w:cs="Times New Roman" w:eastAsia="Times New Roman" w:hAnsi="Times New Roman"/>
          <w:sz w:val="22"/>
          <w:szCs w:val="22"/>
          <w:color w:val="auto"/>
        </w:rPr>
        <w:t>The only other benefits upon termination of employment or change in control provided to our NEOs are set forth in existing compensation plans and apply to all participants in those plans.</w:t>
      </w:r>
    </w:p>
    <w:p>
      <w:pPr>
        <w:spacing w:after="0" w:line="131" w:lineRule="exact"/>
        <w:rPr>
          <w:sz w:val="20"/>
          <w:szCs w:val="20"/>
          <w:color w:val="auto"/>
        </w:rPr>
      </w:pPr>
    </w:p>
    <w:p>
      <w:pPr>
        <w:jc w:val="both"/>
        <w:ind w:left="980" w:hanging="324"/>
        <w:spacing w:after="0" w:line="279" w:lineRule="auto"/>
        <w:tabs>
          <w:tab w:leader="none" w:pos="980" w:val="left"/>
        </w:tabs>
        <w:numPr>
          <w:ilvl w:val="0"/>
          <w:numId w:val="43"/>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Our annual incentive plan provides for immediate vesting, as allowed by law, of a participant’s executive deferred bonus award account upon the participant’s death, disability, or change in control of the Company. Upon retirement, a participant’s executive deferred bonus award account shall become immediately vested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w:t>
      </w:r>
    </w:p>
    <w:p>
      <w:pPr>
        <w:spacing w:after="0" w:line="152" w:lineRule="exact"/>
        <w:rPr>
          <w:rFonts w:ascii="Times New Roman" w:cs="Times New Roman" w:eastAsia="Times New Roman" w:hAnsi="Times New Roman"/>
          <w:sz w:val="25"/>
          <w:szCs w:val="25"/>
          <w:color w:val="auto"/>
        </w:rPr>
      </w:pPr>
    </w:p>
    <w:p>
      <w:pPr>
        <w:jc w:val="both"/>
        <w:ind w:left="980" w:hanging="324"/>
        <w:spacing w:after="0" w:line="280" w:lineRule="auto"/>
        <w:tabs>
          <w:tab w:leader="none" w:pos="980" w:val="left"/>
        </w:tabs>
        <w:numPr>
          <w:ilvl w:val="0"/>
          <w:numId w:val="43"/>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Our Long Term Incentive Plan and the agreements issued under it provide for immediate vesting of restricted stock and immediate vesting and exercisability of stock options upon a participant’s death, disability or a change in control of the Company. Generally, upon retirement, all stock options or restricted stock, as applicable, become immediately vested and, in the case of stock options, exercisable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 With respect to stock options, upon any of these termination events, the participant, or his beneficiary in the case of the participant’s death, may exercise any outstanding stock options for a period of three years or until their expiration dates, whichever occurs first.</w:t>
      </w:r>
    </w:p>
    <w:p>
      <w:pPr>
        <w:spacing w:after="0" w:line="138" w:lineRule="exact"/>
        <w:rPr>
          <w:rFonts w:ascii="Times New Roman" w:cs="Times New Roman" w:eastAsia="Times New Roman" w:hAnsi="Times New Roman"/>
          <w:sz w:val="25"/>
          <w:szCs w:val="25"/>
          <w:color w:val="auto"/>
        </w:rPr>
      </w:pPr>
    </w:p>
    <w:p>
      <w:pPr>
        <w:jc w:val="both"/>
        <w:ind w:left="980"/>
        <w:spacing w:after="0" w:line="248" w:lineRule="auto"/>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In 2018, the Company granted restricted stock to Mr. Jaffee that is subject to immediate vesting upon Mr. Jaffee’s death or disability. Such restricted stock shall also immediately vest upon the following: (i) Mr. Jaffee’s termination without cause or termination of his employment for good reason (in which case, the next tranche of unvested restricted shares scheduled to vest shall vest and the remaining shall be forfeited), (ii) Mr. Jaffee’s retirement after having reached age 65, or (iii) a change of control followed by Mr. Jaffee’s termination due to his death or disability, or his termination without cause or for good reason.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2020” above.</w:t>
      </w:r>
    </w:p>
    <w:p>
      <w:pPr>
        <w:spacing w:after="0" w:line="1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table also does not include balances under our executive deferred compensation plan. The circumstances under which the named executive officers may receive distributions from that plan are disclosed in the Nonqualified Deferred Compensation section above.</w:t>
      </w:r>
    </w:p>
    <w:p>
      <w:pPr>
        <w:spacing w:after="0" w:line="13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Unless otherwise noted, the amounts shown below assume that each named executive officer’s employment terminated on July 31, 2020, the last day of our most recently completed fiscal year, and when applicable, the closing sale price of our Common Stock on July 31, 2020, the last trading day of fiscal 2020, which was $34.77.</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74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53"/>
        </w:trPr>
        <w:tc>
          <w:tcPr>
            <w:tcW w:w="4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80" w:type="dxa"/>
            <w:vAlign w:val="bottom"/>
            <w:gridSpan w:val="3"/>
          </w:tcPr>
          <w:p>
            <w:pPr>
              <w:jc w:val="center"/>
              <w:ind w:right="320"/>
              <w:spacing w:after="0"/>
              <w:rPr>
                <w:sz w:val="20"/>
                <w:szCs w:val="20"/>
                <w:color w:val="auto"/>
              </w:rPr>
            </w:pPr>
            <w:r>
              <w:rPr>
                <w:rFonts w:ascii="Times New Roman" w:cs="Times New Roman" w:eastAsia="Times New Roman" w:hAnsi="Times New Roman"/>
                <w:sz w:val="22"/>
                <w:szCs w:val="22"/>
                <w:b w:val="1"/>
                <w:bCs w:val="1"/>
                <w:color w:val="auto"/>
                <w:w w:val="97"/>
              </w:rPr>
              <w:t>Annual Incentive Plan</w:t>
            </w: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4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20" w:type="dxa"/>
            <w:vAlign w:val="bottom"/>
            <w:gridSpan w:val="2"/>
          </w:tcPr>
          <w:p>
            <w:pPr>
              <w:jc w:val="center"/>
              <w:ind w:right="5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Deferred Bonus</w:t>
            </w:r>
          </w:p>
        </w:tc>
        <w:tc>
          <w:tcPr>
            <w:tcW w:w="200" w:type="dxa"/>
            <w:vAlign w:val="bottom"/>
          </w:tcPr>
          <w:p>
            <w:pPr>
              <w:spacing w:after="0"/>
              <w:rPr>
                <w:sz w:val="21"/>
                <w:szCs w:val="21"/>
                <w:color w:val="auto"/>
              </w:rPr>
            </w:pPr>
          </w:p>
        </w:tc>
        <w:tc>
          <w:tcPr>
            <w:tcW w:w="2160" w:type="dxa"/>
            <w:vAlign w:val="bottom"/>
            <w:gridSpan w:val="2"/>
          </w:tcPr>
          <w:p>
            <w:pPr>
              <w:jc w:val="center"/>
              <w:ind w:right="5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2006 Long Term</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4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20" w:type="dxa"/>
            <w:vAlign w:val="bottom"/>
            <w:gridSpan w:val="2"/>
          </w:tcPr>
          <w:p>
            <w:pPr>
              <w:jc w:val="center"/>
              <w:ind w:right="6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Account</w:t>
            </w:r>
          </w:p>
        </w:tc>
        <w:tc>
          <w:tcPr>
            <w:tcW w:w="200" w:type="dxa"/>
            <w:vAlign w:val="bottom"/>
          </w:tcPr>
          <w:p>
            <w:pPr>
              <w:spacing w:after="0"/>
              <w:rPr>
                <w:sz w:val="21"/>
                <w:szCs w:val="21"/>
                <w:color w:val="auto"/>
              </w:rPr>
            </w:pPr>
          </w:p>
        </w:tc>
        <w:tc>
          <w:tcPr>
            <w:tcW w:w="2160" w:type="dxa"/>
            <w:vAlign w:val="bottom"/>
            <w:gridSpan w:val="2"/>
          </w:tcPr>
          <w:p>
            <w:pPr>
              <w:jc w:val="center"/>
              <w:ind w:right="5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Incentive Plan</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4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center"/>
              <w:ind w:right="152"/>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Total</w:t>
            </w:r>
          </w:p>
        </w:tc>
      </w:tr>
      <w:tr>
        <w:trPr>
          <w:trHeight w:val="295"/>
        </w:trPr>
        <w:tc>
          <w:tcPr>
            <w:tcW w:w="460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260" w:type="dxa"/>
            <w:vAlign w:val="bottom"/>
          </w:tcPr>
          <w:p>
            <w:pPr>
              <w:spacing w:after="0"/>
              <w:rPr>
                <w:sz w:val="24"/>
                <w:szCs w:val="24"/>
                <w:color w:val="auto"/>
              </w:rPr>
            </w:pPr>
          </w:p>
        </w:tc>
        <w:tc>
          <w:tcPr>
            <w:tcW w:w="2000" w:type="dxa"/>
            <w:vAlign w:val="bottom"/>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rPr>
              <w:t>(1)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rPr>
              <w:t>(2)</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97"/>
        </w:trPr>
        <w:tc>
          <w:tcPr>
            <w:tcW w:w="4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Daniel S. Jaffee</w:t>
            </w:r>
          </w:p>
        </w:tc>
        <w:tc>
          <w:tcPr>
            <w:tcW w:w="3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20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84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90"/>
        </w:trPr>
        <w:tc>
          <w:tcPr>
            <w:tcW w:w="4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Change in Control, Death, Disability</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32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5,215,500</w:t>
            </w:r>
          </w:p>
        </w:tc>
        <w:tc>
          <w:tcPr>
            <w:tcW w:w="32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5,215,500</w:t>
            </w:r>
          </w:p>
        </w:tc>
      </w:tr>
      <w:tr>
        <w:trPr>
          <w:trHeight w:val="345"/>
        </w:trPr>
        <w:tc>
          <w:tcPr>
            <w:tcW w:w="4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90"/>
        </w:trPr>
        <w:tc>
          <w:tcPr>
            <w:tcW w:w="4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Susan M. Kreh</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4"/>
        </w:trPr>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Change in Control, Death, Disability</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206,438</w:t>
            </w: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22"/>
                <w:szCs w:val="22"/>
                <w:color w:val="auto"/>
              </w:rPr>
              <w:t>1,216,950</w:t>
            </w: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22"/>
                <w:szCs w:val="22"/>
                <w:color w:val="auto"/>
              </w:rPr>
              <w:t>1,423,388</w:t>
            </w:r>
          </w:p>
        </w:tc>
      </w:tr>
      <w:tr>
        <w:trPr>
          <w:trHeight w:val="338"/>
        </w:trPr>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7"/>
        </w:trPr>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Molly D. VandenHeuvel</w:t>
            </w:r>
          </w:p>
        </w:tc>
        <w:tc>
          <w:tcPr>
            <w:tcW w:w="2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82"/>
        </w:trPr>
        <w:tc>
          <w:tcPr>
            <w:tcW w:w="4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Change in Control, Death, Disability</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20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140,000</w:t>
            </w: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1,043,100</w:t>
            </w:r>
          </w:p>
        </w:tc>
        <w:tc>
          <w:tcPr>
            <w:tcW w:w="320" w:type="dxa"/>
            <w:vAlign w:val="bottom"/>
          </w:tcPr>
          <w:p>
            <w:pPr>
              <w:spacing w:after="0"/>
              <w:rPr>
                <w:sz w:val="24"/>
                <w:szCs w:val="24"/>
                <w:color w:val="auto"/>
              </w:rPr>
            </w:pP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1,183,100</w:t>
            </w:r>
          </w:p>
        </w:tc>
      </w:tr>
    </w:tbl>
    <w:p>
      <w:pPr>
        <w:spacing w:after="0" w:line="172" w:lineRule="exact"/>
        <w:rPr>
          <w:sz w:val="20"/>
          <w:szCs w:val="20"/>
          <w:color w:val="auto"/>
        </w:rPr>
      </w:pPr>
    </w:p>
    <w:p>
      <w:pPr>
        <w:jc w:val="both"/>
        <w:ind w:left="66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each named executive officer’s balance in his or her executive deferred bonus account of our annual incentive plan. The amounts include executive deferred bonuses awarded for fiscal 2020 that were approved subsequent to July 31, 2020. As explained above, our annual incentive plan provides for immediate vesting and payment, as allowed by law, of a participant’s executive deferred bonus award account upon the participant’s death, disability, retirement under certain circumstances, or change in control of the Company.</w:t>
      </w:r>
    </w:p>
    <w:p>
      <w:pPr>
        <w:spacing w:after="0" w:line="13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market price of any unvested shares of restricted stock as of July 31, 2020. None of the named executive officers had any unvested stock options as of July 31, 2020. As explained above, previously unvested shares of restricted stock and stock options become immediately vested upon the events listed and subject to the conditions described above.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88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5"/>
          <w:szCs w:val="25"/>
          <w:b w:val="1"/>
          <w:bCs w:val="1"/>
          <w:color w:val="auto"/>
        </w:rPr>
        <w:t>STOCK OWNERSHIP</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Principal Stockholders</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following table sets forth information as of October 9, 2020,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named executive officers.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40" w:type="dxa"/>
            <w:vAlign w:val="bottom"/>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Amount and Nature of Beneficial Ownership (1)</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4"/>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Voting Power of</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Common Stock and</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r>
      <w:tr>
        <w:trPr>
          <w:trHeight w:val="238"/>
        </w:trPr>
        <w:tc>
          <w:tcPr>
            <w:tcW w:w="4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19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Class B Stock</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 of Class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B Stock</w:t>
            </w:r>
          </w:p>
        </w:tc>
      </w:tr>
      <w:tr>
        <w:trPr>
          <w:trHeight w:val="27"/>
        </w:trPr>
        <w:tc>
          <w:tcPr>
            <w:tcW w:w="4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Daniel S. Jaffee</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410 N. Michigan Avenue</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541,812</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Chicago, IL 60611</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97"/>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Jaffee Investment Partnership, L.P.</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410 N. Michigan Avenue</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1,250,000</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Chicago, IL 60611</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97"/>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BlackRock, Inc.</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287,030</w:t>
            </w:r>
          </w:p>
        </w:tc>
        <w:tc>
          <w:tcPr>
            <w:tcW w:w="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55 East 52nd Street</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York, NY 10055</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97"/>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Dimensional Fund Advisors LP</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410,919</w:t>
            </w:r>
          </w:p>
        </w:tc>
        <w:tc>
          <w:tcPr>
            <w:tcW w:w="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Building One</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6300 Bee Cave Road</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Austin, TX 78746</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7"/>
        </w:trPr>
        <w:tc>
          <w:tcPr>
            <w:tcW w:w="4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GAMCO Asset Management Inc. et al.</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670,935</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One Corporate Center</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Rye, NY 10580</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7"/>
        </w:trPr>
        <w:tc>
          <w:tcPr>
            <w:tcW w:w="4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Renaissance Technologies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395,304</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800 Third Avenue</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New York, NY 10022</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7"/>
        </w:trPr>
        <w:tc>
          <w:tcPr>
            <w:tcW w:w="4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 Rowe Price Associates, Inc.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702,302</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100 East Pratt Street</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Stock</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Baltimore, MD 21202</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715"/>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240"/>
          </w:cols>
          <w:pgMar w:left="320" w:top="732" w:right="339" w:bottom="1440" w:gutter="0" w:footer="0" w:header="0"/>
        </w:sectPr>
      </w:pPr>
    </w:p>
    <w:bookmarkStart w:id="43" w:name="page44"/>
    <w:bookmarkEnd w:id="43"/>
    <w:p>
      <w:pPr>
        <w:jc w:val="both"/>
        <w:ind w:left="328" w:hanging="328"/>
        <w:spacing w:after="0" w:line="254"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9, 2020,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5,384,560 shares of Common Stock and 2,077,599 shares of Class B Stock outstanding as of the close of business on October 9, 2020. Shares of Common Stock and Class B Stock subject to options, warrants or other rights that are exercisable or convertible within 60 days after October 9, 2020,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5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shares beneficially owned by Jaffee Investment Partnership, L.P.</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479,668 shares of Class B Stock directly owned by Daniel S. Jaffee (150,000 of which are restricted shares); 5,625 shares of Class B Stock he owns as trustee for his children; 24,893 shares of Class B Stock he owns as trustee for the Daniel Jaffee Children's GST Exempt Trust u/a/d 07/12/1993; and 31,626 shares of Class B Stock he owns as trustee for Daniel Jaffee GST Non-Exempt Trust u/a/d 06/21/1974. 250,000 of the shares of Class B Stock held directly by Mr. Jaffee are pledged to a bank as collateral for a personal loan. Of the 150,000 restricted shares of Class B Stock: (a) 25,000 shares became non-forfeitable on October 19, 2020 and (b) an additional 25,000 shares become non-forfeitable no earlier than on each of the subsequent anniversaries of October 19th during the years 2021-2025.</w:t>
      </w:r>
    </w:p>
    <w:p>
      <w:pPr>
        <w:spacing w:after="0" w:line="146"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Jaffee Investment Partnership, L.P. is managed by its general partners, generally acting by a majority vote. Daniel S. Jaffee has a majority of the general partner votes and therefore, generally has voting control of all of the Oil-Dri shares owned by the partnership. As a result, Mr. Jaffee, might be deemed to have, but disclaims, beneficial ownership of the partnership’s shares, which are not reflected in his share ownership shown in this table.</w:t>
      </w:r>
    </w:p>
    <w:p>
      <w:pPr>
        <w:spacing w:after="0" w:line="13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provided by the reporting persons in a Schedule 13G filed with the SEC on February 7, 2020. Such Schedule 13G filed by BlackRock, Inc. (“BlackRock”) reports that BlackRock has sole voting power over 277,983 shares of Common Stock and sole dispositive power over 287,030 shares of Common Stock.</w:t>
      </w:r>
    </w:p>
    <w:p>
      <w:pPr>
        <w:spacing w:after="0" w:line="135"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provided by the reporting persons in a Schedule 13G/A filed with the SEC on February 12, 2020. Based on such Schedule 13G/A, Dimensional Fund Advisors LP (“Dimensional”), a registered investment adviser, furnishes investment advice to four investment companies registered under the Investment Company Act of 1940 and serves as investment manager or sub-adviser to certain other commingled funds, group trusts and separate accounts. These investment companies, trusts and accounts are the “Funds.” In certain cases, subsidiaries of Dimensional may act as adviser or sub-adviser to certain Funds. In its role as investment advisor, sub-adviser and/or manager, Dimensional or its subsidiaries may possess voting and/or investment power over the shares of Common Stock owned by the Funds, and may be deemed to be the beneficial owner of those shares under applicable SEC rules. Although such Schedule 13G/A identifies Dimensional as having sole voting power over 401,113 shares of Common Stock and sole dispositive power over 410,919 shares of Common Stock, Dimensional disclaims beneficial ownership of such shares and reports that all of these shares are owned by the Funds.</w:t>
      </w:r>
    </w:p>
    <w:p>
      <w:pPr>
        <w:spacing w:after="0" w:line="147"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provided by the reporting persons in a Schedule 13D/A filed with the SEC on April 8, 2020. Such Schedule 13D/A filed by Gabelli Funds, LLC (“Gabelli Funds”), GAMCO Asset Management, Inc. (“GAMCO”), Teton Advisors, Inc. (“Teton Advisors”), GGCP, Inc. (“GGCP”), GAMCO Investors, Inc. (“GBL”), Associated Capital Group, Inc. (“AC”) and Mario J. Gabelli reports: (a) 98,300 shares of Common Stock beneficially owned by Gabelli Funds; (b) 517,135 shares of Common Stock beneficially owned by GAMCO; (c) 54,000 shares of Common Stock beneficially owned by Teton Advisors; and (d) 1,500 shares of Common Stock beneficially owned by AC. The Schedule 13D/A reports that each such entity has sole voting and sole dispositive power over the shares reported as beneficially owned by it, except that: (i) GAMCO does not have the authority to vote 29,700 of the reported shares; (ii) Gabelli Funds has sole dispositive and voting power with respect to the shares held by such funds so long as the aggregate voting interest of all joint filers does not exceed 25% of their total voting interest in the Company and, in that event, the proxy voting committee of each fund shall respectively vote that fund’s shares; (iii) at any time, the proxy voting committee of each fund shall of each such fund may take and exercise in its sole discretion the entire voting power with respect to the shares held by such fund under special circumstances such as regulatory considerations; and (iv) the power of Mario J. Gabelli, AC, GBL and GGCP is indirect with respect to securities beneficially owned directly by other reporting persons.</w:t>
      </w:r>
    </w:p>
    <w:p>
      <w:pPr>
        <w:spacing w:after="0" w:line="36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08"/>
          </w:cols>
          <w:pgMar w:left="652" w:top="918" w:right="339" w:bottom="1440" w:gutter="0" w:footer="0" w:header="0"/>
        </w:sectPr>
      </w:pPr>
    </w:p>
    <w:bookmarkStart w:id="44" w:name="page45"/>
    <w:bookmarkEnd w:id="44"/>
    <w:p>
      <w:pPr>
        <w:jc w:val="both"/>
        <w:ind w:left="328" w:right="20" w:hanging="328"/>
        <w:spacing w:after="0" w:line="261"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provided by the reporting persons in a Schedule 13G/A filed with the SEC on February 13, 2020. Such Schedule 13G/A filed by Renaissance Technologies LLC, an investment adviser (“RTC”), and Renaissance Technologies Holdings Corporation, majority owner of RTC (“RTHC”), reports that RTC and RTHC have sole voting power over 391,331 shares of Common Stock and sole dispositive power over 394,773 shares of Common Stock.</w:t>
      </w:r>
    </w:p>
    <w:p>
      <w:pPr>
        <w:spacing w:after="0" w:line="139"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as provided by the reporting persons in a Schedule 13G/A filed with the SEC on February 14, 2020. Such Schedule 13G/A filed by T. Rowe Price Associates, Inc., a registered investment adviser (“Price Associates”), and T. Rowe Price Small-Cap Value Fund, Inc. reports that Price Associates held sole voting power over 157,302 shares of Common Stock and sole dispositive power over 702,302 shares of Common Stock, and T. Rowe Price Small-Cap Value Fund, Inc. held sole voting power over 545,000 shares of Common Stock. Price Associates expressly denies that it is, in fact, the beneficial owner of such securities.</w:t>
      </w:r>
    </w:p>
    <w:p>
      <w:pPr>
        <w:spacing w:after="0" w:line="1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08"/>
          </w:cols>
          <w:pgMar w:left="652" w:top="742"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5"/>
          <w:szCs w:val="25"/>
          <w:b w:val="1"/>
          <w:bCs w:val="1"/>
          <w:color w:val="auto"/>
        </w:rPr>
        <w:t>Security Ownership of Management</w:t>
      </w:r>
    </w:p>
    <w:p>
      <w:pPr>
        <w:spacing w:after="0" w:line="20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table shows the number of shares of Common Stock and Class B Stock beneficially owned as of October 9, 2020 by our directors, by the named executive officers and by our directors and executive officers as a group.</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Percentage of</w:t>
            </w:r>
          </w:p>
        </w:tc>
        <w:tc>
          <w:tcPr>
            <w:tcW w:w="220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Percentage of</w:t>
            </w:r>
          </w:p>
        </w:tc>
      </w:tr>
      <w:tr>
        <w:trPr>
          <w:trHeight w:val="230"/>
        </w:trPr>
        <w:tc>
          <w:tcPr>
            <w:tcW w:w="306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auto"/>
              </w:rPr>
              <w:t>Name of Beneficial Owner</w:t>
            </w:r>
          </w:p>
        </w:tc>
        <w:tc>
          <w:tcPr>
            <w:tcW w:w="242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Number of Shares of</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220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of Class B Stock</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r>
      <w:tr>
        <w:trPr>
          <w:trHeight w:val="262"/>
        </w:trPr>
        <w:tc>
          <w:tcPr>
            <w:tcW w:w="2840" w:type="dxa"/>
            <w:vAlign w:val="bottom"/>
          </w:tcPr>
          <w:p>
            <w:pPr>
              <w:ind w:left="1320"/>
              <w:spacing w:after="0"/>
              <w:rPr>
                <w:sz w:val="20"/>
                <w:szCs w:val="20"/>
                <w:color w:val="auto"/>
              </w:rPr>
            </w:pPr>
            <w:r>
              <w:rPr>
                <w:rFonts w:ascii="Times New Roman" w:cs="Times New Roman" w:eastAsia="Times New Roman" w:hAnsi="Times New Roman"/>
                <w:sz w:val="20"/>
                <w:szCs w:val="20"/>
                <w:b w:val="1"/>
                <w:bCs w:val="1"/>
                <w:color w:val="auto"/>
              </w:rPr>
              <w:t>(1)</w:t>
            </w:r>
          </w:p>
        </w:tc>
        <w:tc>
          <w:tcPr>
            <w:tcW w:w="220" w:type="dxa"/>
            <w:vAlign w:val="bottom"/>
          </w:tcPr>
          <w:p>
            <w:pPr>
              <w:spacing w:after="0"/>
              <w:rPr>
                <w:sz w:val="22"/>
                <w:szCs w:val="22"/>
                <w:color w:val="auto"/>
              </w:rPr>
            </w:pPr>
          </w:p>
        </w:tc>
        <w:tc>
          <w:tcPr>
            <w:tcW w:w="242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8"/>
              </w:rPr>
              <w:t>Common Stock</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Common Stock</w:t>
            </w:r>
          </w:p>
        </w:tc>
        <w:tc>
          <w:tcPr>
            <w:tcW w:w="1340" w:type="dxa"/>
            <w:vAlign w:val="bottom"/>
          </w:tcPr>
          <w:p>
            <w:pPr>
              <w:jc w:val="center"/>
              <w:ind w:left="574"/>
              <w:spacing w:after="0"/>
              <w:rPr>
                <w:sz w:val="20"/>
                <w:szCs w:val="20"/>
                <w:color w:val="auto"/>
              </w:rPr>
            </w:pPr>
            <w:r>
              <w:rPr>
                <w:rFonts w:ascii="Times New Roman" w:cs="Times New Roman" w:eastAsia="Times New Roman" w:hAnsi="Times New Roman"/>
                <w:sz w:val="20"/>
                <w:szCs w:val="20"/>
                <w:b w:val="1"/>
                <w:bCs w:val="1"/>
                <w:color w:val="auto"/>
                <w:w w:val="94"/>
              </w:rPr>
              <w:t>(2)</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Class B Stock</w:t>
            </w:r>
          </w:p>
        </w:tc>
      </w:tr>
      <w:tr>
        <w:trPr>
          <w:trHeight w:val="21"/>
        </w:trPr>
        <w:tc>
          <w:tcPr>
            <w:tcW w:w="2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90"/>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Daniel S. Jaffee</w:t>
            </w: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22"/>
                <w:szCs w:val="22"/>
                <w:color w:val="auto"/>
              </w:rPr>
              <w:t>—</w:t>
            </w:r>
          </w:p>
        </w:tc>
        <w:tc>
          <w:tcPr>
            <w:tcW w:w="6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(3)</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541,812</w:t>
            </w:r>
          </w:p>
        </w:tc>
        <w:tc>
          <w:tcPr>
            <w:tcW w:w="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(3)</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26.08%</w:t>
            </w:r>
          </w:p>
        </w:tc>
      </w:tr>
      <w:tr>
        <w:trPr>
          <w:trHeight w:val="290"/>
        </w:trPr>
        <w:tc>
          <w:tcPr>
            <w:tcW w:w="3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Ellen-Blair Chube</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22"/>
                <w:szCs w:val="22"/>
                <w:color w:val="auto"/>
              </w:rPr>
              <w:t>2,660</w:t>
            </w: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w:t>
            </w:r>
          </w:p>
        </w:tc>
        <w:tc>
          <w:tcPr>
            <w:tcW w:w="220" w:type="dxa"/>
            <w:vAlign w:val="bottom"/>
          </w:tcPr>
          <w:p>
            <w:pPr>
              <w:spacing w:after="0"/>
              <w:rPr>
                <w:sz w:val="24"/>
                <w:szCs w:val="24"/>
                <w:color w:val="auto"/>
              </w:rPr>
            </w:pPr>
          </w:p>
        </w:tc>
        <w:tc>
          <w:tcPr>
            <w:tcW w:w="1660" w:type="dxa"/>
            <w:vAlign w:val="bottom"/>
          </w:tcPr>
          <w:p>
            <w:pPr>
              <w:jc w:val="right"/>
              <w:ind w:right="94"/>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Paul M. Hindsley</w:t>
            </w: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22"/>
                <w:szCs w:val="22"/>
                <w:color w:val="auto"/>
              </w:rPr>
              <w:t>5,000</w:t>
            </w:r>
          </w:p>
        </w:tc>
        <w:tc>
          <w:tcPr>
            <w:tcW w:w="6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22"/>
                <w:szCs w:val="22"/>
                <w:color w:val="auto"/>
              </w:rPr>
              <w:t>*</w:t>
            </w:r>
          </w:p>
        </w:tc>
      </w:tr>
      <w:tr>
        <w:trPr>
          <w:trHeight w:val="290"/>
        </w:trPr>
        <w:tc>
          <w:tcPr>
            <w:tcW w:w="3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Michael A. Nemeroff</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22"/>
                <w:szCs w:val="22"/>
                <w:color w:val="auto"/>
              </w:rPr>
              <w:t>23,901</w:t>
            </w: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w:t>
            </w:r>
          </w:p>
        </w:tc>
        <w:tc>
          <w:tcPr>
            <w:tcW w:w="220" w:type="dxa"/>
            <w:vAlign w:val="bottom"/>
          </w:tcPr>
          <w:p>
            <w:pPr>
              <w:spacing w:after="0"/>
              <w:rPr>
                <w:sz w:val="24"/>
                <w:szCs w:val="24"/>
                <w:color w:val="auto"/>
              </w:rPr>
            </w:pPr>
          </w:p>
        </w:tc>
        <w:tc>
          <w:tcPr>
            <w:tcW w:w="1660" w:type="dxa"/>
            <w:vAlign w:val="bottom"/>
          </w:tcPr>
          <w:p>
            <w:pPr>
              <w:jc w:val="right"/>
              <w:ind w:right="94"/>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George C. Roeth</w:t>
            </w: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22"/>
                <w:szCs w:val="22"/>
                <w:color w:val="auto"/>
              </w:rPr>
              <w:t>3,500</w:t>
            </w:r>
          </w:p>
        </w:tc>
        <w:tc>
          <w:tcPr>
            <w:tcW w:w="6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22"/>
                <w:szCs w:val="22"/>
                <w:color w:val="auto"/>
              </w:rPr>
              <w:t>*</w:t>
            </w:r>
          </w:p>
        </w:tc>
      </w:tr>
      <w:tr>
        <w:trPr>
          <w:trHeight w:val="290"/>
        </w:trPr>
        <w:tc>
          <w:tcPr>
            <w:tcW w:w="3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Allan H. Selig</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22"/>
                <w:szCs w:val="22"/>
                <w:color w:val="auto"/>
              </w:rPr>
              <w:t>41,000</w:t>
            </w: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w:t>
            </w:r>
          </w:p>
        </w:tc>
        <w:tc>
          <w:tcPr>
            <w:tcW w:w="220" w:type="dxa"/>
            <w:vAlign w:val="bottom"/>
          </w:tcPr>
          <w:p>
            <w:pPr>
              <w:spacing w:after="0"/>
              <w:rPr>
                <w:sz w:val="24"/>
                <w:szCs w:val="24"/>
                <w:color w:val="auto"/>
              </w:rPr>
            </w:pPr>
          </w:p>
        </w:tc>
        <w:tc>
          <w:tcPr>
            <w:tcW w:w="1660" w:type="dxa"/>
            <w:vAlign w:val="bottom"/>
          </w:tcPr>
          <w:p>
            <w:pPr>
              <w:jc w:val="right"/>
              <w:ind w:right="94"/>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Paul E. Suckow</w:t>
            </w: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22"/>
                <w:szCs w:val="22"/>
                <w:color w:val="auto"/>
              </w:rPr>
              <w:t>22,128</w:t>
            </w:r>
          </w:p>
        </w:tc>
        <w:tc>
          <w:tcPr>
            <w:tcW w:w="6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(4)</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22"/>
                <w:szCs w:val="22"/>
                <w:color w:val="auto"/>
              </w:rPr>
              <w:t>*</w:t>
            </w:r>
          </w:p>
        </w:tc>
      </w:tr>
      <w:tr>
        <w:trPr>
          <w:trHeight w:val="290"/>
        </w:trPr>
        <w:tc>
          <w:tcPr>
            <w:tcW w:w="3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Lawrence E. Washow</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22"/>
                <w:szCs w:val="22"/>
                <w:color w:val="auto"/>
              </w:rPr>
              <w:t>10,000</w:t>
            </w: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w:t>
            </w:r>
          </w:p>
        </w:tc>
        <w:tc>
          <w:tcPr>
            <w:tcW w:w="220" w:type="dxa"/>
            <w:vAlign w:val="bottom"/>
          </w:tcPr>
          <w:p>
            <w:pPr>
              <w:spacing w:after="0"/>
              <w:rPr>
                <w:sz w:val="24"/>
                <w:szCs w:val="24"/>
                <w:color w:val="auto"/>
              </w:rPr>
            </w:pPr>
          </w:p>
        </w:tc>
        <w:tc>
          <w:tcPr>
            <w:tcW w:w="1660" w:type="dxa"/>
            <w:vAlign w:val="bottom"/>
          </w:tcPr>
          <w:p>
            <w:pPr>
              <w:jc w:val="right"/>
              <w:ind w:right="94"/>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22"/>
                <w:szCs w:val="22"/>
                <w:color w:val="auto"/>
              </w:rPr>
              <w:t>*</w:t>
            </w:r>
          </w:p>
        </w:tc>
      </w:tr>
      <w:tr>
        <w:trPr>
          <w:trHeight w:val="304"/>
        </w:trPr>
        <w:tc>
          <w:tcPr>
            <w:tcW w:w="3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Susan M. Kreh</w:t>
            </w: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22"/>
                <w:szCs w:val="22"/>
                <w:color w:val="auto"/>
              </w:rPr>
              <w:t>35,000</w:t>
            </w:r>
          </w:p>
        </w:tc>
        <w:tc>
          <w:tcPr>
            <w:tcW w:w="6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(7)</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22"/>
                <w:szCs w:val="22"/>
                <w:color w:val="auto"/>
              </w:rPr>
              <w:t>*</w:t>
            </w:r>
          </w:p>
        </w:tc>
      </w:tr>
      <w:tr>
        <w:trPr>
          <w:trHeight w:val="290"/>
        </w:trPr>
        <w:tc>
          <w:tcPr>
            <w:tcW w:w="3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Molly D. VandenHeuvel</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22"/>
                <w:szCs w:val="22"/>
                <w:color w:val="auto"/>
              </w:rPr>
              <w:t>30,000</w:t>
            </w: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w:t>
            </w:r>
          </w:p>
        </w:tc>
        <w:tc>
          <w:tcPr>
            <w:tcW w:w="220" w:type="dxa"/>
            <w:vAlign w:val="bottom"/>
          </w:tcPr>
          <w:p>
            <w:pPr>
              <w:spacing w:after="0"/>
              <w:rPr>
                <w:sz w:val="24"/>
                <w:szCs w:val="24"/>
                <w:color w:val="auto"/>
              </w:rPr>
            </w:pPr>
          </w:p>
        </w:tc>
        <w:tc>
          <w:tcPr>
            <w:tcW w:w="1660" w:type="dxa"/>
            <w:vAlign w:val="bottom"/>
          </w:tcPr>
          <w:p>
            <w:pPr>
              <w:jc w:val="right"/>
              <w:ind w:right="94"/>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22"/>
                <w:szCs w:val="22"/>
                <w:color w:val="auto"/>
              </w:rPr>
              <w:t>*</w:t>
            </w:r>
          </w:p>
        </w:tc>
      </w:tr>
      <w:tr>
        <w:trPr>
          <w:trHeight w:val="250"/>
        </w:trPr>
        <w:tc>
          <w:tcPr>
            <w:tcW w:w="3060" w:type="dxa"/>
            <w:vAlign w:val="bottom"/>
            <w:gridSpan w:val="2"/>
            <w:shd w:val="clear" w:color="auto" w:fill="CCEEFF"/>
          </w:tcPr>
          <w:p>
            <w:pPr>
              <w:ind w:left="40"/>
              <w:spacing w:after="0" w:line="249" w:lineRule="exact"/>
              <w:rPr>
                <w:sz w:val="20"/>
                <w:szCs w:val="20"/>
                <w:color w:val="auto"/>
              </w:rPr>
            </w:pPr>
            <w:r>
              <w:rPr>
                <w:rFonts w:ascii="Times New Roman" w:cs="Times New Roman" w:eastAsia="Times New Roman" w:hAnsi="Times New Roman"/>
                <w:sz w:val="22"/>
                <w:szCs w:val="22"/>
                <w:color w:val="auto"/>
              </w:rPr>
              <w:t>All Directors and Executive</w:t>
            </w:r>
          </w:p>
        </w:tc>
        <w:tc>
          <w:tcPr>
            <w:tcW w:w="15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43"/>
        </w:trPr>
        <w:tc>
          <w:tcPr>
            <w:tcW w:w="3060" w:type="dxa"/>
            <w:vAlign w:val="bottom"/>
            <w:gridSpan w:val="2"/>
            <w:shd w:val="clear" w:color="auto" w:fill="CCEEFF"/>
          </w:tcPr>
          <w:p>
            <w:pPr>
              <w:ind w:left="40"/>
              <w:spacing w:after="0" w:line="243" w:lineRule="exact"/>
              <w:rPr>
                <w:sz w:val="20"/>
                <w:szCs w:val="20"/>
                <w:color w:val="auto"/>
              </w:rPr>
            </w:pPr>
            <w:r>
              <w:rPr>
                <w:rFonts w:ascii="Times New Roman" w:cs="Times New Roman" w:eastAsia="Times New Roman" w:hAnsi="Times New Roman"/>
                <w:sz w:val="22"/>
                <w:szCs w:val="22"/>
                <w:color w:val="auto"/>
              </w:rPr>
              <w:t>Officers as a Group (13</w:t>
            </w:r>
          </w:p>
        </w:tc>
        <w:tc>
          <w:tcPr>
            <w:tcW w:w="15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97"/>
        </w:trPr>
        <w:tc>
          <w:tcPr>
            <w:tcW w:w="30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persons)</w:t>
            </w: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22"/>
                <w:szCs w:val="22"/>
                <w:color w:val="auto"/>
              </w:rPr>
              <w:t>198,939</w:t>
            </w:r>
          </w:p>
        </w:tc>
        <w:tc>
          <w:tcPr>
            <w:tcW w:w="6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rPr>
              <w:t>(9)</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3.69%</w:t>
            </w: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22"/>
                <w:szCs w:val="22"/>
                <w:color w:val="auto"/>
              </w:rPr>
              <w:t>541,812</w:t>
            </w: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22"/>
                <w:szCs w:val="22"/>
                <w:color w:val="auto"/>
              </w:rPr>
              <w:t>(10)</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26.08%</w:t>
            </w:r>
          </w:p>
        </w:tc>
      </w:tr>
    </w:tbl>
    <w:p>
      <w:pPr>
        <w:spacing w:after="0" w:line="279" w:lineRule="exact"/>
        <w:rPr>
          <w:sz w:val="20"/>
          <w:szCs w:val="20"/>
          <w:color w:val="auto"/>
        </w:rPr>
      </w:pPr>
    </w:p>
    <w:p>
      <w:pPr>
        <w:ind w:left="640" w:hanging="128"/>
        <w:spacing w:after="0"/>
        <w:tabs>
          <w:tab w:leader="none" w:pos="6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exceed 1%</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9, 2020,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5,384,560 shares of Common Stock and 2,077,599 shares of Class B Stock outstanding as of the close of business on October 9, 2020. Shares of Common Stock and Class B Stock subject to options, warrants or other rights that are exercisable or convertible within 60 days after October 9, 2020,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4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Daniel S. Jaffee, none of our directors or named executive officers own any shares of Class B Stock.</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shares beneficially owned by Jaffee Investment Partnership, L.P. For information regarding the shares beneficially owned by Daniel S. Jaffee, see the table under “Principal Stockholders” above and the notes thereto.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restricted shares of Common Stock awarded on November 2, 2018, scheduled to “cliff” vest on December 15, 2020.</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restricted shares of Common Stock awarded on October 18, 2019, scheduled to “cliff” vest on October 19, 2021.</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 shares of Common Stock held in a trust for the benefit of Mr. Roeth and his spouse and 2,000 restricted shares of Common Stock awarded on November 2, 2018, scheduled to “cliff” vest on December 15, 2020.</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732" w:right="339" w:bottom="1440" w:gutter="0" w:footer="0" w:header="0"/>
        </w:sectPr>
      </w:pPr>
    </w:p>
    <w:bookmarkStart w:id="46" w:name="page47"/>
    <w:bookmarkEnd w:id="46"/>
    <w:p>
      <w:pPr>
        <w:ind w:left="328" w:right="20" w:hanging="328"/>
        <w:spacing w:after="0" w:line="282" w:lineRule="auto"/>
        <w:tabs>
          <w:tab w:leader="none" w:pos="3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35,000 restricted shares of Common Stock that are scheduled to vest in increments of 12,000 shares on December 15, 2022 and 23,000 shares on December 15, 2023.</w:t>
      </w:r>
    </w:p>
    <w:p>
      <w:pPr>
        <w:spacing w:after="0" w:line="12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30,000 restricted shares of Common Stock that are scheduled to vest in 7,000 share increments starting on April 15, 2021 and on each of the two subsequent anniversaries and 9,000 shares scheduled to vest on April 15, 2024.</w:t>
      </w:r>
    </w:p>
    <w:p>
      <w:pPr>
        <w:spacing w:after="0" w:line="121"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104,250 restricted shares of Common Stock: (a) 3,250 of which become non-forfeitable on October 19, 2020, (b) 12,000 of which become non-forfeitable on December 15, 2020, (c) 7,000 of which become non-forfeitable on April 15, 2021, (d) 2,000 of which become non-forfeitable on October 19, 2021, (e) 6,000 of which become non-forfeitable on October 31, 2021, (f) 1,800 of which become non-forfeitable on December 15, 2021, (g) 3,000 of which become non-forfeitable on February 1, 2022, (h) 7,000 of which become non-forfeitable on April 15, 2022, (i) 12,600 of which become non-forfeitable on December 15, 2022, (j) 7,000 of which become non-forfeitable on April 15, 2023,(k) 33,600 of which become non-forfeitable on December 15, 2023, and (l) 9,000 of which become non-forfeitable on April 15, 2024. The number of shares of Common Stock owned beneficially by our directors and executive officers as a group represents approximately 3.7% of the number of outstanding shares of Common Stock and approximately 0.8% of the aggregate voting power of the Common Stock and Class B Stock.</w:t>
      </w:r>
    </w:p>
    <w:p>
      <w:pPr>
        <w:spacing w:after="0" w:line="151"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150,000 restricted shares of Class B Stock: (a) 25,000 of which became non-forfeitable on October 19, 2020 and (b) an additional 25,000 shares become non-forfeitable no earlier than on each of the subsequent anniversaries of October 19th during the years 2021-2025.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executive officers as a group represents approximately 26.1% of the number of outstanding shares of Class B Stock and approximately 20.7% of the aggregate voting power of the Common Stock and Class B Stock.</w:t>
      </w:r>
    </w:p>
    <w:p>
      <w:pPr>
        <w:spacing w:after="0" w:line="1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08"/>
          </w:cols>
          <w:pgMar w:left="652" w:top="742" w:right="339" w:bottom="1440"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483235</wp:posOffset>
            </wp:positionV>
            <wp:extent cx="5863590" cy="7586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483235</wp:posOffset>
            </wp:positionV>
            <wp:extent cx="5863590" cy="7586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
      <w:numFmt w:val="bullet"/>
      <w:start w:val="1"/>
    </w:lvl>
  </w:abstractNum>
  <w:abstractNum w:abstractNumId="1">
    <w:nsid w:val="79838CB2"/>
    <w:multiLevelType w:val="hybridMultilevel"/>
    <w:lvl w:ilvl="0">
      <w:lvlJc w:val="left"/>
      <w:lvlText w:val="x"/>
      <w:numFmt w:val="bullet"/>
      <w:start w:val="1"/>
    </w:lvl>
  </w:abstractNum>
  <w:abstractNum w:abstractNumId="2">
    <w:nsid w:val="4353D0CD"/>
    <w:multiLevelType w:val="hybridMultilevel"/>
    <w:lvl w:ilvl="0">
      <w:lvlJc w:val="left"/>
      <w:lvlText w:val=" "/>
      <w:numFmt w:val="bullet"/>
      <w:start w:val="1"/>
    </w:lvl>
  </w:abstractNum>
  <w:abstractNum w:abstractNumId="3">
    <w:nsid w:val="B03E0C6"/>
    <w:multiLevelType w:val="hybridMultilevel"/>
    <w:lvl w:ilvl="0">
      <w:lvlJc w:val="left"/>
      <w:lvlText w:val="x"/>
      <w:numFmt w:val="bullet"/>
      <w:start w:val="1"/>
    </w:lvl>
  </w:abstractNum>
  <w:abstractNum w:abstractNumId="4">
    <w:nsid w:val="189A769B"/>
    <w:multiLevelType w:val="hybridMultilevel"/>
    <w:lvl w:ilvl="0">
      <w:lvlJc w:val="left"/>
      <w:lvlText w:val=" "/>
      <w:numFmt w:val="bullet"/>
      <w:start w:val="1"/>
    </w:lvl>
  </w:abstractNum>
  <w:abstractNum w:abstractNumId="5">
    <w:nsid w:val="54E49EB4"/>
    <w:multiLevelType w:val="hybridMultilevel"/>
    <w:lvl w:ilvl="0">
      <w:lvlJc w:val="left"/>
      <w:lvlText w:val="1"/>
      <w:numFmt w:val="bullet"/>
      <w:start w:val="1"/>
    </w:lvl>
  </w:abstractNum>
  <w:abstractNum w:abstractNumId="6">
    <w:nsid w:val="71F32454"/>
    <w:multiLevelType w:val="hybridMultilevel"/>
    <w:lvl w:ilvl="0">
      <w:lvlJc w:val="left"/>
      <w:lvlText w:val=" "/>
      <w:numFmt w:val="bullet"/>
      <w:start w:val="1"/>
    </w:lvl>
    <w:lvl w:ilvl="1">
      <w:lvlJc w:val="left"/>
      <w:lvlText w:val="3"/>
      <w:numFmt w:val="bullet"/>
      <w:start w:val="1"/>
    </w:lvl>
  </w:abstractNum>
  <w:abstractNum w:abstractNumId="7">
    <w:nsid w:val="2CA88611"/>
    <w:multiLevelType w:val="hybridMultilevel"/>
    <w:lvl w:ilvl="0">
      <w:lvlJc w:val="left"/>
      <w:lvlText w:val="1"/>
      <w:numFmt w:val="bullet"/>
      <w:start w:val="1"/>
    </w:lvl>
  </w:abstractNum>
  <w:abstractNum w:abstractNumId="8">
    <w:nsid w:val="836C40E"/>
    <w:multiLevelType w:val="hybridMultilevel"/>
    <w:lvl w:ilvl="0">
      <w:lvlJc w:val="left"/>
      <w:lvlText w:val="2"/>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2"/>
    </w:lvl>
  </w:abstractNum>
  <w:abstractNum w:abstractNumId="11">
    <w:nsid w:val="8138641"/>
    <w:multiLevelType w:val="hybridMultilevel"/>
    <w:lvl w:ilvl="0">
      <w:lvlJc w:val="left"/>
      <w:lvlText w:val="%1."/>
      <w:numFmt w:val="decimal"/>
      <w:start w:val="3"/>
    </w:lvl>
  </w:abstractNum>
  <w:abstractNum w:abstractNumId="12">
    <w:nsid w:val="1E7FF521"/>
    <w:multiLevelType w:val="hybridMultilevel"/>
    <w:lvl w:ilvl="0">
      <w:lvlJc w:val="left"/>
      <w:lvlText w:val="%1."/>
      <w:numFmt w:val="decimal"/>
      <w:start w:val="5"/>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8"/>
    </w:lvl>
    <w:lvl w:ilvl="1">
      <w:lvlJc w:val="left"/>
      <w:lvlText w:val="•"/>
      <w:numFmt w:val="bullet"/>
      <w:start w:val="1"/>
    </w:lvl>
  </w:abstractNum>
  <w:abstractNum w:abstractNumId="15">
    <w:nsid w:val="6CEAF087"/>
    <w:multiLevelType w:val="hybridMultilevel"/>
    <w:lvl w:ilvl="0">
      <w:lvlJc w:val="left"/>
      <w:lvlText w:val="%1."/>
      <w:numFmt w:val="decimal"/>
      <w:start w:val="10"/>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2"/>
    </w:lvl>
  </w:abstractNum>
  <w:abstractNum w:abstractNumId="18">
    <w:nsid w:val="3006C83E"/>
    <w:multiLevelType w:val="hybridMultilevel"/>
    <w:lvl w:ilvl="0">
      <w:lvlJc w:val="left"/>
      <w:lvlText w:val="%1."/>
      <w:numFmt w:val="decimal"/>
      <w:start w:val="13"/>
    </w:lvl>
  </w:abstractNum>
  <w:abstractNum w:abstractNumId="19">
    <w:nsid w:val="614FD4A1"/>
    <w:multiLevelType w:val="hybridMultilevel"/>
    <w:lvl w:ilvl="0">
      <w:lvlJc w:val="left"/>
      <w:lvlText w:val="%1."/>
      <w:numFmt w:val="decimal"/>
      <w:start w:val="17"/>
    </w:lvl>
  </w:abstractNum>
  <w:abstractNum w:abstractNumId="20">
    <w:nsid w:val="419AC241"/>
    <w:multiLevelType w:val="hybridMultilevel"/>
    <w:lvl w:ilvl="0">
      <w:lvlJc w:val="left"/>
      <w:lvlText w:val="%1."/>
      <w:numFmt w:val="decimal"/>
      <w:start w:val="18"/>
    </w:lvl>
  </w:abstractNum>
  <w:abstractNum w:abstractNumId="21">
    <w:nsid w:val="5577F8E1"/>
    <w:multiLevelType w:val="hybridMultilevel"/>
    <w:lvl w:ilvl="0">
      <w:lvlJc w:val="left"/>
      <w:lvlText w:val="%1."/>
      <w:numFmt w:val="decimal"/>
      <w:start w:val="19"/>
    </w:lvl>
  </w:abstractNum>
  <w:abstractNum w:abstractNumId="22">
    <w:nsid w:val="440BADFC"/>
    <w:multiLevelType w:val="hybridMultilevel"/>
    <w:lvl w:ilvl="0">
      <w:lvlJc w:val="left"/>
      <w:lvlText w:val="%1."/>
      <w:numFmt w:val="decimal"/>
      <w:start w:val="20"/>
    </w:lvl>
  </w:abstractNum>
  <w:abstractNum w:abstractNumId="23">
    <w:nsid w:val="5072367"/>
    <w:multiLevelType w:val="hybridMultilevel"/>
    <w:lvl w:ilvl="0">
      <w:lvlJc w:val="left"/>
      <w:lvlText w:val="%1."/>
      <w:numFmt w:val="decimal"/>
      <w:start w:val="21"/>
    </w:lvl>
  </w:abstractNum>
  <w:abstractNum w:abstractNumId="24">
    <w:nsid w:val="3804823E"/>
    <w:multiLevelType w:val="hybridMultilevel"/>
    <w:lvl w:ilvl="0">
      <w:lvlJc w:val="left"/>
      <w:lvlText w:val="%1."/>
      <w:numFmt w:val="decimal"/>
      <w:start w:val="22"/>
    </w:lvl>
  </w:abstractNum>
  <w:abstractNum w:abstractNumId="25">
    <w:nsid w:val="77465F01"/>
    <w:multiLevelType w:val="hybridMultilevel"/>
    <w:lvl w:ilvl="0">
      <w:lvlJc w:val="left"/>
      <w:lvlText w:val="%1."/>
      <w:numFmt w:val="decimal"/>
      <w:start w:val="23"/>
    </w:lvl>
  </w:abstractNum>
  <w:abstractNum w:abstractNumId="26">
    <w:nsid w:val="7724C67E"/>
    <w:multiLevelType w:val="hybridMultilevel"/>
    <w:lvl w:ilvl="0">
      <w:lvlJc w:val="left"/>
      <w:lvlText w:val="&amp;"/>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3"/>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 "/>
      <w:numFmt w:val="bullet"/>
      <w:start w:val="1"/>
    </w:lvl>
  </w:abstractNum>
  <w:abstractNum w:abstractNumId="36">
    <w:nsid w:val="6A2342EC"/>
    <w:multiLevelType w:val="hybridMultilevel"/>
    <w:lvl w:ilvl="0">
      <w:lvlJc w:val="left"/>
      <w:lvlText w:val=" "/>
      <w:numFmt w:val="bullet"/>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lvl w:ilvl="1">
      <w:lvlJc w:val="left"/>
      <w:lvlText w:val="(%2)"/>
      <w:numFmt w:val="upperLetter"/>
      <w:start w:val="1"/>
    </w:lvl>
  </w:abstractNum>
  <w:abstractNum w:abstractNumId="39">
    <w:nsid w:val="725A06FB"/>
    <w:multiLevelType w:val="hybridMultilevel"/>
    <w:lvl w:ilvl="0">
      <w:lvlJc w:val="left"/>
      <w:lvlText w:val="(%1)"/>
      <w:numFmt w:val="decimal"/>
      <w:start w:val="6"/>
    </w:lvl>
    <w:lvl w:ilvl="1">
      <w:lvlJc w:val="left"/>
      <w:lvlText w:val="%2"/>
      <w:numFmt w:val="upperLetter"/>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3"/>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8"/>
    </w:lvl>
  </w:abstractNum>
  <w:abstractNum w:abstractNumId="46">
    <w:nsid w:val="38437FDB"/>
    <w:multiLevelType w:val="hybridMultilevel"/>
    <w:lvl w:ilvl="0">
      <w:lvlJc w:val="left"/>
      <w:lvlText w:val="(%1)"/>
      <w:numFmt w:val="decimal"/>
    </w:lvl>
    <w:lvl w:ilvl="1">
      <w:lvlJc w:val="left"/>
      <w:lvlText w:val="*"/>
      <w:numFmt w:val="bullet"/>
      <w:start w:val="1"/>
    </w:lvl>
  </w:abstractNum>
  <w:abstractNum w:abstractNumId="47">
    <w:nsid w:val="7644A45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2020-10-27T15:22:00Z</dcterms:created>
  <dcterms:modified xsi:type="dcterms:W3CDTF">2020-10-27T15:22:00Z</dcterms:modified>
</cp:coreProperties>
</file>