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7010</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February 8, 2006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Andrew N. Peterson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Chief Financial Officer, Oil-Dri Corporation of America</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410 North Michigan Avenue</w:t>
      </w:r>
    </w:p>
    <w:p>
      <w:pPr>
        <w:sectPr>
          <w:pgSz w:w="11900" w:h="16853" w:orient="portrait"/>
          <w:cols w:equalWidth="0" w:num="1">
            <w:col w:w="10219"/>
          </w:cols>
          <w:pgMar w:left="240" w:top="1055" w:right="1440" w:bottom="0" w:gutter="0" w:footer="0" w:header="0"/>
        </w:sectPr>
      </w:pPr>
    </w:p>
    <w:p>
      <w:pPr>
        <w:spacing w:after="0" w:line="4"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Suite 400 Chicago, IL</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60611-4213</w:t>
      </w:r>
    </w:p>
    <w:p>
      <w:pPr>
        <w:spacing w:after="0" w:line="224" w:lineRule="exact"/>
        <w:rPr>
          <w:sz w:val="24"/>
          <w:szCs w:val="24"/>
          <w:color w:val="auto"/>
        </w:rPr>
      </w:pPr>
    </w:p>
    <w:p>
      <w:pPr>
        <w:sectPr>
          <w:pgSz w:w="11900" w:h="16853" w:orient="portrait"/>
          <w:cols w:equalWidth="0" w:num="2">
            <w:col w:w="1160" w:space="220"/>
            <w:col w:w="8839"/>
          </w:cols>
          <w:pgMar w:left="240" w:top="1055" w:right="1440" w:bottom="0" w:gutter="0" w:footer="0" w:header="0"/>
          <w:type w:val="continuous"/>
        </w:sectPr>
      </w:pPr>
    </w:p>
    <w:p>
      <w:pPr>
        <w:ind w:right="3359" w:firstLine="843"/>
        <w:spacing w:after="0" w:line="236" w:lineRule="auto"/>
        <w:rPr>
          <w:sz w:val="20"/>
          <w:szCs w:val="20"/>
          <w:color w:val="auto"/>
        </w:rPr>
      </w:pPr>
      <w:r>
        <w:rPr>
          <w:rFonts w:ascii="Courier New" w:cs="Courier New" w:eastAsia="Courier New" w:hAnsi="Courier New"/>
          <w:sz w:val="18"/>
          <w:szCs w:val="18"/>
          <w:color w:val="auto"/>
        </w:rPr>
        <w:t>RE: Form 10-K for the fiscal year ended July 31, 2005 Form 10-Q for the quarter ended October 31, 2005 File No. 1-12622</w:t>
      </w:r>
    </w:p>
    <w:p>
      <w:pPr>
        <w:sectPr>
          <w:pgSz w:w="11900" w:h="16853" w:orient="portrait"/>
          <w:cols w:equalWidth="0" w:num="1">
            <w:col w:w="10219"/>
          </w:cols>
          <w:pgMar w:left="240" w:top="1055" w:right="1440" w:bottom="0" w:gutter="0" w:footer="0" w:header="0"/>
          <w:type w:val="continuous"/>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Peterson:</w:t>
      </w:r>
    </w:p>
    <w:p>
      <w:pPr>
        <w:spacing w:after="0" w:line="207" w:lineRule="exact"/>
        <w:rPr>
          <w:sz w:val="24"/>
          <w:szCs w:val="24"/>
          <w:color w:val="auto"/>
        </w:rPr>
      </w:pPr>
    </w:p>
    <w:p>
      <w:pPr>
        <w:ind w:right="3259" w:firstLine="632"/>
        <w:spacing w:after="0" w:line="237" w:lineRule="auto"/>
        <w:rPr>
          <w:sz w:val="20"/>
          <w:szCs w:val="20"/>
          <w:color w:val="auto"/>
        </w:rPr>
      </w:pPr>
      <w:r>
        <w:rPr>
          <w:rFonts w:ascii="Courier New" w:cs="Courier New" w:eastAsia="Courier New" w:hAnsi="Courier New"/>
          <w:sz w:val="18"/>
          <w:szCs w:val="18"/>
          <w:color w:val="auto"/>
        </w:rPr>
        <w:t>We have reviewed your response and have the following additional comments. If you disagree with a comment, we will consider your explanation as to why our comment is inapplicable or a</w:t>
      </w:r>
    </w:p>
    <w:p>
      <w:pPr>
        <w:spacing w:after="0" w:line="5"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revision is unnecessary. Please be as detailed as necessary in your</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explanation. In some of our comments, we may ask you to provide us</w:t>
      </w:r>
    </w:p>
    <w:p>
      <w:pPr>
        <w:spacing w:after="0"/>
        <w:rPr>
          <w:sz w:val="20"/>
          <w:szCs w:val="20"/>
          <w:color w:val="auto"/>
        </w:rPr>
      </w:pPr>
      <w:r>
        <w:rPr>
          <w:rFonts w:ascii="Courier New" w:cs="Courier New" w:eastAsia="Courier New" w:hAnsi="Courier New"/>
          <w:sz w:val="18"/>
          <w:szCs w:val="18"/>
          <w:color w:val="auto"/>
        </w:rPr>
        <w:t>with information so we may better understand your disclosure.</w:t>
      </w:r>
    </w:p>
    <w:p>
      <w:pPr>
        <w:spacing w:after="0" w:line="238" w:lineRule="auto"/>
        <w:rPr>
          <w:sz w:val="20"/>
          <w:szCs w:val="20"/>
          <w:color w:val="auto"/>
        </w:rPr>
      </w:pPr>
      <w:r>
        <w:rPr>
          <w:rFonts w:ascii="Courier New" w:cs="Courier New" w:eastAsia="Courier New" w:hAnsi="Courier New"/>
          <w:sz w:val="18"/>
          <w:szCs w:val="18"/>
          <w:color w:val="auto"/>
        </w:rPr>
        <w:t>After</w:t>
      </w:r>
    </w:p>
    <w:p>
      <w:pPr>
        <w:spacing w:after="0" w:line="5"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reviewing this information, we may or may not raise additional comments.</w:t>
      </w:r>
    </w:p>
    <w:p>
      <w:pPr>
        <w:spacing w:after="0" w:line="203"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YEAR ENDED JULY 31,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4"/>
          <w:szCs w:val="24"/>
          <w:color w:val="auto"/>
        </w:rPr>
      </w:pPr>
    </w:p>
    <w:p>
      <w:pPr>
        <w:ind w:right="3359" w:firstLine="8"/>
        <w:spacing w:after="0" w:line="236"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a comment below requests additional disclosures or other revisions, please show us what the revisions will look like in your</w:t>
      </w:r>
    </w:p>
    <w:p>
      <w:pPr>
        <w:spacing w:after="0" w:line="6"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response. These revisions should be included in your future filings.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31</w:t>
      </w:r>
    </w:p>
    <w:p>
      <w:pPr>
        <w:spacing w:after="0" w:line="207" w:lineRule="exact"/>
        <w:rPr>
          <w:sz w:val="24"/>
          <w:szCs w:val="24"/>
          <w:color w:val="auto"/>
        </w:rPr>
      </w:pPr>
    </w:p>
    <w:p>
      <w:pPr>
        <w:ind w:right="335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reviewed your response to comment 19. Please make the following revisions in order to meet the requirements of Item 601(b)(31) of Regulation S-K:</w:t>
      </w:r>
    </w:p>
    <w:p>
      <w:pPr>
        <w:spacing w:after="0" w:line="203"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 "Oil-Dri" with "the registrant" in paragraph 3.</w:t>
      </w:r>
    </w:p>
    <w:p>
      <w:pPr>
        <w:spacing w:after="0" w:line="4" w:lineRule="exact"/>
        <w:rPr>
          <w:rFonts w:ascii="Courier New" w:cs="Courier New" w:eastAsia="Courier New" w:hAnsi="Courier New"/>
          <w:sz w:val="18"/>
          <w:szCs w:val="18"/>
          <w:color w:val="auto"/>
        </w:rPr>
      </w:pPr>
    </w:p>
    <w:p>
      <w:pPr>
        <w:ind w:right="347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 "July 31, 2005" with "the end of the period covered by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 in paragraph 4(c).</w:t>
      </w:r>
    </w:p>
    <w:p>
      <w:pPr>
        <w:spacing w:after="0" w:line="4" w:lineRule="exact"/>
        <w:rPr>
          <w:rFonts w:ascii="Courier New" w:cs="Courier New" w:eastAsia="Courier New" w:hAnsi="Courier New"/>
          <w:sz w:val="18"/>
          <w:szCs w:val="18"/>
          <w:color w:val="auto"/>
        </w:rPr>
      </w:pPr>
    </w:p>
    <w:p>
      <w:pPr>
        <w:ind w:right="325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 "fourth fiscal quarter" with "most recent fiscal quarter (the registrant`s fourth fiscal quarter in the case of an annual report)" in paragraph 4(d).</w:t>
      </w:r>
    </w:p>
    <w:p>
      <w:pPr>
        <w:spacing w:after="0" w:line="6" w:lineRule="exact"/>
        <w:rPr>
          <w:rFonts w:ascii="Courier New" w:cs="Courier New" w:eastAsia="Courier New" w:hAnsi="Courier New"/>
          <w:sz w:val="18"/>
          <w:szCs w:val="18"/>
          <w:color w:val="auto"/>
        </w:rPr>
      </w:pPr>
    </w:p>
    <w:p>
      <w:pPr>
        <w:ind w:right="367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"(or persons performing the equivalent functions)" after "board</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directors" in paragraph 5.</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10-Q FOR THE PERIOD ENDED OCTOBER 31,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 5 - Segment Reporting, page 11</w:t>
      </w:r>
    </w:p>
    <w:p>
      <w:pPr>
        <w:spacing w:after="0" w:line="207" w:lineRule="exact"/>
        <w:rPr>
          <w:sz w:val="24"/>
          <w:szCs w:val="24"/>
          <w:color w:val="auto"/>
        </w:rPr>
      </w:pPr>
    </w:p>
    <w:p>
      <w:pPr>
        <w:ind w:right="419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reviewed your responses to comments 22 and 23. According</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organization chart that you provided to us, it appears that four different group managers report to the chief executive officer.</w:t>
      </w:r>
    </w:p>
    <w:p>
      <w:pPr>
        <w:sectPr>
          <w:pgSz w:w="11900" w:h="16853" w:orient="portrait"/>
          <w:cols w:equalWidth="0" w:num="1">
            <w:col w:w="10219"/>
          </w:cols>
          <w:pgMar w:left="240" w:top="1055" w:right="1440" w:bottom="0" w:gutter="0" w:footer="0" w:header="0"/>
          <w:type w:val="continuous"/>
        </w:sectPr>
      </w:pPr>
    </w:p>
    <w:bookmarkStart w:id="1" w:name="page2"/>
    <w:bookmarkEnd w:id="1"/>
    <w:p>
      <w:pPr>
        <w:ind w:right="3259"/>
        <w:spacing w:after="0" w:line="237" w:lineRule="auto"/>
        <w:rPr>
          <w:sz w:val="20"/>
          <w:szCs w:val="20"/>
          <w:color w:val="auto"/>
        </w:rPr>
      </w:pPr>
      <w:r>
        <w:rPr>
          <w:rFonts w:ascii="Courier New" w:cs="Courier New" w:eastAsia="Courier New" w:hAnsi="Courier New"/>
          <w:sz w:val="18"/>
          <w:szCs w:val="18"/>
          <w:color w:val="auto"/>
        </w:rPr>
        <w:t>We assume the chief executive officer is your chief operating decision maker. It appears that discrete financial information is available for at least the four groups per your organization chart.</w:t>
      </w:r>
    </w:p>
    <w:p>
      <w:pPr>
        <w:spacing w:after="0" w:line="5"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It further appears that your chief operating decision maker reviews</w:t>
      </w:r>
    </w:p>
    <w:p>
      <w:pPr>
        <w:spacing w:after="0" w:line="6"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operating results and budget-to-actual comparisons on a more granular</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basis than Retail and Wholesale Products and Business-to-Business Products. Your website also highlights four different product groups: Agricultural/Sports, Pet Care, Fluids Purification, and Industrial and Automotive.</w:t>
      </w:r>
    </w:p>
    <w:p>
      <w:pPr>
        <w:spacing w:after="0" w:line="207"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8"/>
          <w:szCs w:val="18"/>
          <w:color w:val="auto"/>
        </w:rPr>
        <w:t>We understand that you believe you have two reportable segments composed of two operating segments. However, the basis for your conclusion that you have only two operating segments is unclear. It</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appears that, at a minimum, each of the four groups represents a separate operating segment as defined in paragraph 10 of SFAS 131. If you believe that each group does not represent an operating segment, please tell us in detail why not. If, after re-evaluation,</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you conclude that you have more than two operating segments, but they</w:t>
      </w:r>
    </w:p>
    <w:p>
      <w:pPr>
        <w:spacing w:after="0" w:line="6"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satisfy the requirements of paragraph 17 of SFAS 131 for aggregation</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into two reportable segments, please provide us with the analysis you</w:t>
      </w:r>
    </w:p>
    <w:p>
      <w:pPr>
        <w:spacing w:after="0" w:line="6"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performed in reaching this conclusion, including a comparison of long-term average gross margins. If after reassessing the criteria</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in SFAS 131, you conclude you have more than two reportable segments,</w:t>
      </w:r>
    </w:p>
    <w:p>
      <w:pPr>
        <w:spacing w:after="0" w:line="6"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please revise your financial statements accordingly. Please also refer to Questions 7 and 8 of the FASB Staff Implementation Guide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SFAS 131.</w:t>
      </w:r>
    </w:p>
    <w:p>
      <w:pPr>
        <w:spacing w:after="0" w:line="207" w:lineRule="exact"/>
        <w:rPr>
          <w:sz w:val="20"/>
          <w:szCs w:val="20"/>
          <w:color w:val="auto"/>
        </w:rPr>
      </w:pPr>
    </w:p>
    <w:p>
      <w:pPr>
        <w:ind w:right="419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us with a copy of the operating results information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to your directors at the most recent board meeting.</w:t>
      </w:r>
    </w:p>
    <w:p>
      <w:pPr>
        <w:spacing w:after="0" w:line="207"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 minimum, it appears that you should separately disclose your</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revenues from Agricultural/Sports, Pet Care, Fluids Purification, and</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Industrial and Automotive for each period presented in accordance with paragraph 37 of SFAS 131.</w:t>
      </w:r>
    </w:p>
    <w:p>
      <w:pPr>
        <w:spacing w:after="0" w:line="203" w:lineRule="exact"/>
        <w:rPr>
          <w:sz w:val="20"/>
          <w:szCs w:val="20"/>
          <w:color w:val="auto"/>
        </w:rPr>
      </w:pPr>
    </w:p>
    <w:p>
      <w:pPr>
        <w:spacing w:after="0"/>
        <w:tabs>
          <w:tab w:leader="none" w:pos="520" w:val="left"/>
          <w:tab w:leader="none" w:pos="1040" w:val="left"/>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right="3779" w:firstLine="632"/>
        <w:spacing w:after="0" w:line="236" w:lineRule="auto"/>
        <w:rPr>
          <w:sz w:val="20"/>
          <w:szCs w:val="20"/>
          <w:color w:val="auto"/>
        </w:rPr>
      </w:pPr>
      <w:r>
        <w:rPr>
          <w:rFonts w:ascii="Courier New" w:cs="Courier New" w:eastAsia="Courier New" w:hAnsi="Courier New"/>
          <w:sz w:val="18"/>
          <w:szCs w:val="18"/>
          <w:color w:val="auto"/>
        </w:rPr>
        <w:t>Please respond to these comments and file the requested amendments within 10 business days, or tell us when you will provide</w:t>
      </w:r>
    </w:p>
    <w:p>
      <w:pPr>
        <w:spacing w:after="0" w:line="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us with a response. Please provide us with a response letter that keys your responses to our comments and provides any requested information. Detailed letters greatly facilitate our review. Please</w:t>
      </w:r>
    </w:p>
    <w:p>
      <w:pPr>
        <w:spacing w:after="0" w:line="5"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file your supplemental response on EDGAR as a correspondence file. Please understand that we may have additional comments after reviewing your responses to our comments.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you have any questions regarding these comments, please</w:t>
      </w:r>
    </w:p>
    <w:p>
      <w:pPr>
        <w:spacing w:after="0" w:line="238" w:lineRule="auto"/>
        <w:rPr>
          <w:sz w:val="20"/>
          <w:szCs w:val="20"/>
          <w:color w:val="auto"/>
        </w:rPr>
      </w:pPr>
      <w:r>
        <w:rPr>
          <w:rFonts w:ascii="Courier New" w:cs="Courier New" w:eastAsia="Courier New" w:hAnsi="Courier New"/>
          <w:sz w:val="18"/>
          <w:szCs w:val="18"/>
          <w:color w:val="auto"/>
        </w:rPr>
        <w:t>direct them to Jeffrey Gordon, Staff Accountant, at (202) 551-3866</w:t>
      </w:r>
    </w:p>
    <w:p>
      <w:pPr>
        <w:spacing w:after="0"/>
        <w:rPr>
          <w:sz w:val="20"/>
          <w:szCs w:val="20"/>
          <w:color w:val="auto"/>
        </w:rPr>
      </w:pPr>
      <w:r>
        <w:rPr>
          <w:rFonts w:ascii="Courier New" w:cs="Courier New" w:eastAsia="Courier New" w:hAnsi="Courier New"/>
          <w:sz w:val="18"/>
          <w:szCs w:val="18"/>
          <w:color w:val="auto"/>
        </w:rPr>
        <w:t>or, in his absence, Scott Watkinson, Staff Accountant, at (202)</w:t>
      </w:r>
    </w:p>
    <w:p>
      <w:pPr>
        <w:spacing w:after="0" w:line="237" w:lineRule="auto"/>
        <w:rPr>
          <w:sz w:val="20"/>
          <w:szCs w:val="20"/>
          <w:color w:val="auto"/>
        </w:rPr>
      </w:pPr>
      <w:r>
        <w:rPr>
          <w:rFonts w:ascii="Courier New" w:cs="Courier New" w:eastAsia="Courier New" w:hAnsi="Courier New"/>
          <w:sz w:val="18"/>
          <w:szCs w:val="18"/>
          <w:color w:val="auto"/>
        </w:rPr>
        <w:t>551-</w:t>
      </w:r>
    </w:p>
    <w:p>
      <w:pPr>
        <w:spacing w:after="0" w:line="238" w:lineRule="auto"/>
        <w:rPr>
          <w:sz w:val="20"/>
          <w:szCs w:val="20"/>
          <w:color w:val="auto"/>
        </w:rPr>
      </w:pPr>
      <w:r>
        <w:rPr>
          <w:rFonts w:ascii="Courier New" w:cs="Courier New" w:eastAsia="Courier New" w:hAnsi="Courier New"/>
          <w:sz w:val="18"/>
          <w:szCs w:val="18"/>
          <w:color w:val="auto"/>
        </w:rPr>
        <w:t>3741.</w:t>
      </w:r>
    </w:p>
    <w:p>
      <w:pPr>
        <w:spacing w:after="0" w:line="20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Rufus Decker</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Accounting Branch Chief</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Andrew N. Peterson</w:t>
      </w:r>
    </w:p>
    <w:p>
      <w:pPr>
        <w:spacing w:after="0" w:line="238" w:lineRule="auto"/>
        <w:rPr>
          <w:sz w:val="20"/>
          <w:szCs w:val="20"/>
          <w:color w:val="auto"/>
        </w:rPr>
      </w:pPr>
      <w:r>
        <w:rPr>
          <w:rFonts w:ascii="Courier New" w:cs="Courier New" w:eastAsia="Courier New" w:hAnsi="Courier New"/>
          <w:sz w:val="18"/>
          <w:szCs w:val="18"/>
          <w:color w:val="auto"/>
        </w:rPr>
        <w:t>Oil-Dri Corporation of America</w:t>
      </w:r>
    </w:p>
    <w:p>
      <w:pPr>
        <w:spacing w:after="0"/>
        <w:rPr>
          <w:sz w:val="20"/>
          <w:szCs w:val="20"/>
          <w:color w:val="auto"/>
        </w:rPr>
      </w:pPr>
      <w:r>
        <w:rPr>
          <w:rFonts w:ascii="Courier New" w:cs="Courier New" w:eastAsia="Courier New" w:hAnsi="Courier New"/>
          <w:sz w:val="18"/>
          <w:szCs w:val="18"/>
          <w:color w:val="auto"/>
        </w:rPr>
        <w:t>February 8, 2006</w:t>
      </w:r>
    </w:p>
    <w:p>
      <w:pPr>
        <w:spacing w:after="0" w:line="237" w:lineRule="auto"/>
        <w:rPr>
          <w:sz w:val="20"/>
          <w:szCs w:val="20"/>
          <w:color w:val="auto"/>
        </w:rPr>
      </w:pPr>
      <w:r>
        <w:rPr>
          <w:rFonts w:ascii="Courier New" w:cs="Courier New" w:eastAsia="Courier New" w:hAnsi="Courier New"/>
          <w:sz w:val="18"/>
          <w:szCs w:val="18"/>
          <w:color w:val="auto"/>
        </w:rPr>
        <w:t>Page 3 of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 20549-7010</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DIVISION OF</w:t>
      </w:r>
    </w:p>
    <w:p>
      <w:pPr>
        <w:spacing w:after="0" w:line="238" w:lineRule="auto"/>
        <w:rPr>
          <w:sz w:val="20"/>
          <w:szCs w:val="20"/>
          <w:color w:val="auto"/>
        </w:rPr>
      </w:pPr>
      <w:r>
        <w:rPr>
          <w:rFonts w:ascii="Courier New" w:cs="Courier New" w:eastAsia="Courier New" w:hAnsi="Courier New"/>
          <w:sz w:val="18"/>
          <w:szCs w:val="18"/>
          <w:color w:val="auto"/>
        </w:rPr>
        <w:t>CORPORATION FINANCE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2020-02-17T23:41:55Z</dcterms:created>
  <dcterms:modified xsi:type="dcterms:W3CDTF">2020-02-17T23:41:55Z</dcterms:modified>
</cp:coreProperties>
</file>