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160"/>
              <w:spacing w:after="0"/>
              <w:rPr>
                <w:sz w:val="20"/>
                <w:szCs w:val="20"/>
                <w:color w:val="auto"/>
              </w:rPr>
            </w:pPr>
            <w:r>
              <w:rPr>
                <w:rFonts w:ascii="Arial" w:cs="Arial" w:eastAsia="Arial" w:hAnsi="Arial"/>
                <w:sz w:val="18"/>
                <w:szCs w:val="18"/>
                <w:color w:val="auto"/>
                <w:w w:val="90"/>
              </w:rPr>
              <w:t>December 6, 2019</w:t>
            </w:r>
          </w:p>
        </w:tc>
      </w:tr>
      <w:tr>
        <w:trPr>
          <w:trHeight w:val="621"/>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603"/>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621"/>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661" w:right="239" w:bottom="1440" w:gutter="0" w:footer="0" w:header="0"/>
        </w:sectPr>
      </w:pPr>
    </w:p>
    <w:p>
      <w:pPr>
        <w:spacing w:after="0" w:line="171" w:lineRule="exact"/>
        <w:rPr>
          <w:sz w:val="24"/>
          <w:szCs w:val="24"/>
          <w:color w:val="auto"/>
        </w:rPr>
      </w:pPr>
    </w:p>
    <w:p>
      <w:pPr>
        <w:ind w:left="7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86" w:lineRule="exact"/>
        <w:rPr>
          <w:sz w:val="24"/>
          <w:szCs w:val="24"/>
          <w:color w:val="auto"/>
        </w:rPr>
      </w:pPr>
    </w:p>
    <w:p>
      <w:pPr>
        <w:sectPr>
          <w:pgSz w:w="11900" w:h="16838" w:orient="portrait"/>
          <w:cols w:equalWidth="0" w:num="3">
            <w:col w:w="3920" w:space="720"/>
            <w:col w:w="1360" w:space="560"/>
            <w:col w:w="4860"/>
          </w:cols>
          <w:pgMar w:left="240" w:top="661" w:right="2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3920" w:space="720"/>
            <w:col w:w="1200" w:space="720"/>
            <w:col w:w="4860"/>
          </w:cols>
          <w:pgMar w:left="240" w:top="661" w:right="239" w:bottom="1440" w:gutter="0" w:footer="0" w:header="0"/>
          <w:type w:val="continuous"/>
        </w:sectPr>
      </w:pPr>
    </w:p>
    <w:p>
      <w:pPr>
        <w:spacing w:after="0" w:line="6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720" w:hanging="45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Arial" w:cs="Arial" w:eastAsia="Arial" w:hAnsi="Arial"/>
          <w:sz w:val="18"/>
          <w:szCs w:val="18"/>
          <w:color w:val="auto"/>
        </w:rPr>
      </w:pPr>
    </w:p>
    <w:p>
      <w:pPr>
        <w:ind w:left="720" w:hanging="45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720" w:hanging="45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720" w:hanging="45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1" w:name="page2"/>
    <w:bookmarkEnd w:id="1"/>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6, 2019, Oil-Dri Corporation of America (the “Registrant”) issued a press release announcing its results of operations for its first quarter ended October 31, 2019.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6" w:lineRule="exact"/>
        <w:rPr>
          <w:sz w:val="20"/>
          <w:szCs w:val="20"/>
          <w:color w:val="auto"/>
        </w:rPr>
      </w:pPr>
    </w:p>
    <w:p>
      <w:pPr>
        <w:ind w:left="260"/>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660" w:hanging="63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5640" w:type="dxa"/>
            <w:vAlign w:val="bottom"/>
          </w:tcPr>
          <w:p>
            <w:pPr>
              <w:spacing w:after="0"/>
              <w:rPr>
                <w:sz w:val="20"/>
                <w:szCs w:val="20"/>
                <w:color w:val="auto"/>
              </w:rPr>
            </w:pPr>
          </w:p>
        </w:tc>
      </w:tr>
      <w:tr>
        <w:trPr>
          <w:trHeight w:val="270"/>
        </w:trPr>
        <w:tc>
          <w:tcPr>
            <w:tcW w:w="17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40" w:type="dxa"/>
            <w:vAlign w:val="bottom"/>
          </w:tcPr>
          <w:p>
            <w:pPr>
              <w:spacing w:after="0"/>
              <w:rPr>
                <w:sz w:val="23"/>
                <w:szCs w:val="23"/>
                <w:color w:val="auto"/>
              </w:rPr>
            </w:pPr>
          </w:p>
        </w:tc>
        <w:tc>
          <w:tcPr>
            <w:tcW w:w="9660" w:type="dxa"/>
            <w:vAlign w:val="bottom"/>
            <w:gridSpan w:val="2"/>
          </w:tcPr>
          <w:p>
            <w:pPr>
              <w:ind w:left="398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r>
      <w:tr>
        <w:trPr>
          <w:trHeight w:val="466"/>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Arial" w:cs="Arial" w:eastAsia="Arial" w:hAnsi="Arial"/>
                <w:sz w:val="18"/>
                <w:szCs w:val="18"/>
                <w:color w:val="0000FF"/>
              </w:rPr>
              <w:t>Press Release of the Registrant dated December 6, 2019</w:t>
            </w:r>
          </w:p>
        </w:tc>
      </w:tr>
      <w:tr>
        <w:trPr>
          <w:trHeight w:val="20"/>
        </w:trPr>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r>
    </w:tbl>
    <w:p>
      <w:pPr>
        <w:sectPr>
          <w:pgSz w:w="11900" w:h="16838" w:orient="portrait"/>
          <w:cols w:equalWidth="0" w:num="1">
            <w:col w:w="11420"/>
          </w:cols>
          <w:pgMar w:left="240" w:top="715" w:right="239" w:bottom="1440" w:gutter="0" w:footer="0" w:header="0"/>
        </w:sectPr>
      </w:pPr>
    </w:p>
    <w:bookmarkStart w:id="2" w:name="page3"/>
    <w:bookmarkEnd w:id="2"/>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5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2019</w:t>
      </w:r>
    </w:p>
    <w:p>
      <w:pPr>
        <w:sectPr>
          <w:pgSz w:w="11900" w:h="16838" w:orient="portrait"/>
          <w:cols w:equalWidth="0" w:num="1">
            <w:col w:w="10880"/>
          </w:cols>
          <w:pgMar w:left="240" w:top="553" w:right="77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3047365</wp:posOffset>
            </wp:positionH>
            <wp:positionV relativeFrom="page">
              <wp:posOffset>294640</wp:posOffset>
            </wp:positionV>
            <wp:extent cx="1475105" cy="488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t>410 N. Michigan Ave. Chicago, Illinois 60611, U.S.A</w:t>
      </w:r>
    </w:p>
    <w:p>
      <w:pPr>
        <w:spacing w:after="0" w:line="259"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First Quarter of Fiscal 2020 Results</w:t>
      </w:r>
    </w:p>
    <w:p>
      <w:pPr>
        <w:spacing w:after="0" w:line="242" w:lineRule="exact"/>
        <w:rPr>
          <w:sz w:val="20"/>
          <w:szCs w:val="20"/>
          <w:color w:val="auto"/>
        </w:rPr>
      </w:pPr>
    </w:p>
    <w:p>
      <w:pPr>
        <w:ind w:right="740"/>
        <w:spacing w:after="0" w:line="263" w:lineRule="auto"/>
        <w:rPr>
          <w:sz w:val="20"/>
          <w:szCs w:val="20"/>
          <w:color w:val="auto"/>
        </w:rPr>
      </w:pPr>
      <w:r>
        <w:rPr>
          <w:rFonts w:ascii="Arial" w:cs="Arial" w:eastAsia="Arial" w:hAnsi="Arial"/>
          <w:sz w:val="22"/>
          <w:szCs w:val="22"/>
          <w:color w:val="auto"/>
        </w:rPr>
        <w:t>CHICAGO-(December 6, 2019)-Oil-Dri Corporation of America (NYSE: ODC), producer and marketer of sorbent mineral products, today announced its first quarter fiscal 2020 earnings.</w:t>
      </w:r>
    </w:p>
    <w:p>
      <w:pPr>
        <w:spacing w:after="0" w:line="110" w:lineRule="exact"/>
        <w:rPr>
          <w:sz w:val="20"/>
          <w:szCs w:val="20"/>
          <w:color w:val="auto"/>
        </w:rPr>
      </w:pPr>
    </w:p>
    <w:tbl>
      <w:tblPr>
        <w:tblLayout w:type="fixed"/>
        <w:tblInd w:w="171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40" w:type="dxa"/>
            <w:vAlign w:val="bottom"/>
          </w:tcPr>
          <w:p>
            <w:pPr>
              <w:jc w:val="right"/>
              <w:ind w:right="392"/>
              <w:spacing w:after="0"/>
              <w:rPr>
                <w:sz w:val="20"/>
                <w:szCs w:val="20"/>
                <w:color w:val="auto"/>
              </w:rPr>
            </w:pPr>
            <w:r>
              <w:rPr>
                <w:rFonts w:ascii="Arial" w:cs="Arial" w:eastAsia="Arial" w:hAnsi="Arial"/>
                <w:sz w:val="18"/>
                <w:szCs w:val="18"/>
                <w:b w:val="1"/>
                <w:bCs w:val="1"/>
                <w:color w:val="auto"/>
                <w:w w:val="95"/>
              </w:rPr>
              <w:t>First Quarter</w:t>
            </w:r>
          </w:p>
        </w:tc>
        <w:tc>
          <w:tcPr>
            <w:tcW w:w="1040" w:type="dxa"/>
            <w:vAlign w:val="bottom"/>
          </w:tcPr>
          <w:p>
            <w:pPr>
              <w:spacing w:after="0"/>
              <w:rPr>
                <w:sz w:val="20"/>
                <w:szCs w:val="20"/>
                <w:color w:val="auto"/>
              </w:rPr>
            </w:pPr>
          </w:p>
        </w:tc>
      </w:tr>
      <w:tr>
        <w:trPr>
          <w:trHeight w:val="291"/>
        </w:trPr>
        <w:tc>
          <w:tcPr>
            <w:tcW w:w="40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i w:val="1"/>
                <w:iCs w:val="1"/>
                <w:color w:val="auto"/>
                <w:w w:val="93"/>
              </w:rPr>
              <w:t>Ended October 31</w:t>
            </w:r>
          </w:p>
        </w:tc>
        <w:tc>
          <w:tcPr>
            <w:tcW w:w="1040" w:type="dxa"/>
            <w:vAlign w:val="bottom"/>
            <w:tcBorders>
              <w:bottom w:val="single" w:sz="8" w:color="auto"/>
            </w:tcBorders>
          </w:tcPr>
          <w:p>
            <w:pPr>
              <w:spacing w:after="0"/>
              <w:rPr>
                <w:sz w:val="24"/>
                <w:szCs w:val="24"/>
                <w:color w:val="auto"/>
              </w:rPr>
            </w:pPr>
          </w:p>
        </w:tc>
      </w:tr>
      <w:tr>
        <w:trPr>
          <w:trHeight w:val="243"/>
        </w:trPr>
        <w:tc>
          <w:tcPr>
            <w:tcW w:w="4060" w:type="dxa"/>
            <w:vAlign w:val="bottom"/>
            <w:tcBorders>
              <w:left w:val="single" w:sz="8" w:color="auto"/>
              <w:right w:val="single" w:sz="8" w:color="auto"/>
            </w:tcBorders>
          </w:tcPr>
          <w:p>
            <w:pPr>
              <w:spacing w:after="0"/>
              <w:rPr>
                <w:sz w:val="21"/>
                <w:szCs w:val="21"/>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F20</w:t>
            </w:r>
          </w:p>
        </w:tc>
        <w:tc>
          <w:tcPr>
            <w:tcW w:w="1540" w:type="dxa"/>
            <w:vAlign w:val="bottom"/>
          </w:tcPr>
          <w:p>
            <w:pPr>
              <w:jc w:val="right"/>
              <w:ind w:right="592"/>
              <w:spacing w:after="0"/>
              <w:rPr>
                <w:sz w:val="20"/>
                <w:szCs w:val="20"/>
                <w:color w:val="auto"/>
              </w:rPr>
            </w:pPr>
            <w:r>
              <w:rPr>
                <w:rFonts w:ascii="Arial" w:cs="Arial" w:eastAsia="Arial" w:hAnsi="Arial"/>
                <w:sz w:val="18"/>
                <w:szCs w:val="18"/>
                <w:b w:val="1"/>
                <w:bCs w:val="1"/>
                <w:color w:val="auto"/>
              </w:rPr>
              <w:t>F19</w:t>
            </w:r>
          </w:p>
        </w:tc>
        <w:tc>
          <w:tcPr>
            <w:tcW w:w="10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Change</w:t>
            </w:r>
          </w:p>
        </w:tc>
      </w:tr>
      <w:tr>
        <w:trPr>
          <w:trHeight w:val="27"/>
        </w:trPr>
        <w:tc>
          <w:tcPr>
            <w:tcW w:w="4060" w:type="dxa"/>
            <w:vAlign w:val="bottom"/>
            <w:tcBorders>
              <w:left w:val="single" w:sz="8" w:color="auto"/>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r>
      <w:tr>
        <w:trPr>
          <w:trHeight w:val="250"/>
        </w:trPr>
        <w:tc>
          <w:tcPr>
            <w:tcW w:w="406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Consolidated Results</w:t>
            </w:r>
          </w:p>
        </w:tc>
        <w:tc>
          <w:tcPr>
            <w:tcW w:w="1420" w:type="dxa"/>
            <w:vAlign w:val="bottom"/>
            <w:tcBorders>
              <w:bottom w:val="single" w:sz="8" w:color="auto"/>
            </w:tcBorders>
            <w:shd w:val="clear" w:color="auto" w:fill="000000"/>
          </w:tcPr>
          <w:p>
            <w:pPr>
              <w:spacing w:after="0"/>
              <w:rPr>
                <w:sz w:val="21"/>
                <w:szCs w:val="21"/>
                <w:color w:val="auto"/>
              </w:rPr>
            </w:pPr>
          </w:p>
        </w:tc>
        <w:tc>
          <w:tcPr>
            <w:tcW w:w="1540" w:type="dxa"/>
            <w:vAlign w:val="bottom"/>
            <w:tcBorders>
              <w:bottom w:val="single" w:sz="8" w:color="auto"/>
            </w:tcBorders>
            <w:shd w:val="clear" w:color="auto" w:fill="000000"/>
          </w:tcPr>
          <w:p>
            <w:pPr>
              <w:spacing w:after="0"/>
              <w:rPr>
                <w:sz w:val="21"/>
                <w:szCs w:val="21"/>
                <w:color w:val="auto"/>
              </w:rPr>
            </w:pPr>
          </w:p>
        </w:tc>
        <w:tc>
          <w:tcPr>
            <w:tcW w:w="104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420" w:type="dxa"/>
            <w:vAlign w:val="bottom"/>
          </w:tcPr>
          <w:p>
            <w:pPr>
              <w:jc w:val="right"/>
              <w:spacing w:after="0"/>
              <w:rPr>
                <w:sz w:val="20"/>
                <w:szCs w:val="20"/>
                <w:color w:val="auto"/>
              </w:rPr>
            </w:pPr>
            <w:r>
              <w:rPr>
                <w:rFonts w:ascii="Arial" w:cs="Arial" w:eastAsia="Arial" w:hAnsi="Arial"/>
                <w:sz w:val="18"/>
                <w:szCs w:val="18"/>
                <w:color w:val="auto"/>
              </w:rPr>
              <w:t>$71,122,000</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$66,143,000</w:t>
            </w:r>
          </w:p>
        </w:tc>
        <w:tc>
          <w:tcPr>
            <w:tcW w:w="10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2"/>
              </w:rPr>
              <w:t>8%</w:t>
            </w:r>
          </w:p>
        </w:tc>
      </w:tr>
      <w:tr>
        <w:trPr>
          <w:trHeight w:val="270"/>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Income Attributable to Oil-Dri</w:t>
            </w:r>
          </w:p>
        </w:tc>
        <w:tc>
          <w:tcPr>
            <w:tcW w:w="1420" w:type="dxa"/>
            <w:vAlign w:val="bottom"/>
          </w:tcPr>
          <w:p>
            <w:pPr>
              <w:jc w:val="right"/>
              <w:spacing w:after="0"/>
              <w:rPr>
                <w:sz w:val="20"/>
                <w:szCs w:val="20"/>
                <w:color w:val="auto"/>
              </w:rPr>
            </w:pPr>
            <w:r>
              <w:rPr>
                <w:rFonts w:ascii="Arial" w:cs="Arial" w:eastAsia="Arial" w:hAnsi="Arial"/>
                <w:sz w:val="18"/>
                <w:szCs w:val="18"/>
                <w:color w:val="auto"/>
              </w:rPr>
              <w:t>$3,536,000</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$906,000</w:t>
            </w:r>
          </w:p>
        </w:tc>
        <w:tc>
          <w:tcPr>
            <w:tcW w:w="10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290%</w:t>
            </w:r>
          </w:p>
        </w:tc>
      </w:tr>
      <w:tr>
        <w:trPr>
          <w:trHeight w:val="270"/>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Earnings per Diluted Share</w:t>
            </w:r>
          </w:p>
        </w:tc>
        <w:tc>
          <w:tcPr>
            <w:tcW w:w="1420" w:type="dxa"/>
            <w:vAlign w:val="bottom"/>
          </w:tcPr>
          <w:p>
            <w:pPr>
              <w:jc w:val="right"/>
              <w:spacing w:after="0"/>
              <w:rPr>
                <w:sz w:val="20"/>
                <w:szCs w:val="20"/>
                <w:color w:val="auto"/>
              </w:rPr>
            </w:pPr>
            <w:r>
              <w:rPr>
                <w:rFonts w:ascii="Arial" w:cs="Arial" w:eastAsia="Arial" w:hAnsi="Arial"/>
                <w:sz w:val="18"/>
                <w:szCs w:val="18"/>
                <w:color w:val="auto"/>
              </w:rPr>
              <w:t>$0.46</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$0.12</w:t>
            </w:r>
          </w:p>
        </w:tc>
        <w:tc>
          <w:tcPr>
            <w:tcW w:w="104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283%</w:t>
            </w:r>
          </w:p>
        </w:tc>
      </w:tr>
      <w:tr>
        <w:trPr>
          <w:trHeight w:val="27"/>
        </w:trPr>
        <w:tc>
          <w:tcPr>
            <w:tcW w:w="4060" w:type="dxa"/>
            <w:vAlign w:val="bottom"/>
            <w:tcBorders>
              <w:left w:val="single" w:sz="8" w:color="auto"/>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r>
      <w:tr>
        <w:trPr>
          <w:trHeight w:val="250"/>
        </w:trPr>
        <w:tc>
          <w:tcPr>
            <w:tcW w:w="406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Business to Business</w:t>
            </w:r>
          </w:p>
        </w:tc>
        <w:tc>
          <w:tcPr>
            <w:tcW w:w="1420" w:type="dxa"/>
            <w:vAlign w:val="bottom"/>
            <w:tcBorders>
              <w:bottom w:val="single" w:sz="8" w:color="auto"/>
            </w:tcBorders>
            <w:shd w:val="clear" w:color="auto" w:fill="000000"/>
          </w:tcPr>
          <w:p>
            <w:pPr>
              <w:spacing w:after="0"/>
              <w:rPr>
                <w:sz w:val="21"/>
                <w:szCs w:val="21"/>
                <w:color w:val="auto"/>
              </w:rPr>
            </w:pPr>
          </w:p>
        </w:tc>
        <w:tc>
          <w:tcPr>
            <w:tcW w:w="1540" w:type="dxa"/>
            <w:vAlign w:val="bottom"/>
            <w:tcBorders>
              <w:bottom w:val="single" w:sz="8" w:color="auto"/>
            </w:tcBorders>
            <w:shd w:val="clear" w:color="auto" w:fill="000000"/>
          </w:tcPr>
          <w:p>
            <w:pPr>
              <w:spacing w:after="0"/>
              <w:rPr>
                <w:sz w:val="21"/>
                <w:szCs w:val="21"/>
                <w:color w:val="auto"/>
              </w:rPr>
            </w:pPr>
          </w:p>
        </w:tc>
        <w:tc>
          <w:tcPr>
            <w:tcW w:w="104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420" w:type="dxa"/>
            <w:vAlign w:val="bottom"/>
          </w:tcPr>
          <w:p>
            <w:pPr>
              <w:jc w:val="right"/>
              <w:spacing w:after="0"/>
              <w:rPr>
                <w:sz w:val="20"/>
                <w:szCs w:val="20"/>
                <w:color w:val="auto"/>
              </w:rPr>
            </w:pPr>
            <w:r>
              <w:rPr>
                <w:rFonts w:ascii="Arial" w:cs="Arial" w:eastAsia="Arial" w:hAnsi="Arial"/>
                <w:sz w:val="18"/>
                <w:szCs w:val="18"/>
                <w:color w:val="auto"/>
              </w:rPr>
              <w:t>$26,478,000</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$25,326,000</w:t>
            </w:r>
          </w:p>
        </w:tc>
        <w:tc>
          <w:tcPr>
            <w:tcW w:w="10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2"/>
              </w:rPr>
              <w:t>5%</w:t>
            </w:r>
          </w:p>
        </w:tc>
      </w:tr>
      <w:tr>
        <w:trPr>
          <w:trHeight w:val="270"/>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$8,296,000</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$7,032,000</w:t>
            </w:r>
          </w:p>
        </w:tc>
        <w:tc>
          <w:tcPr>
            <w:tcW w:w="10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88"/>
              </w:rPr>
              <w:t>18%</w:t>
            </w:r>
          </w:p>
        </w:tc>
      </w:tr>
      <w:tr>
        <w:trPr>
          <w:trHeight w:val="27"/>
        </w:trPr>
        <w:tc>
          <w:tcPr>
            <w:tcW w:w="4060" w:type="dxa"/>
            <w:vAlign w:val="bottom"/>
            <w:tcBorders>
              <w:left w:val="single" w:sz="8" w:color="auto"/>
              <w:right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r>
      <w:tr>
        <w:trPr>
          <w:trHeight w:val="250"/>
        </w:trPr>
        <w:tc>
          <w:tcPr>
            <w:tcW w:w="4060" w:type="dxa"/>
            <w:vAlign w:val="bottom"/>
            <w:tcBorders>
              <w:left w:val="single" w:sz="8" w:color="auto"/>
              <w:bottom w:val="single" w:sz="8" w:color="auto"/>
              <w:right w:val="single" w:sz="8" w:color="auto"/>
            </w:tcBorders>
            <w:shd w:val="clear" w:color="auto" w:fill="000000"/>
          </w:tcPr>
          <w:p>
            <w:pPr>
              <w:ind w:left="40"/>
              <w:spacing w:after="0"/>
              <w:rPr>
                <w:sz w:val="20"/>
                <w:szCs w:val="20"/>
                <w:color w:val="auto"/>
              </w:rPr>
            </w:pPr>
            <w:r>
              <w:rPr>
                <w:rFonts w:ascii="Arial" w:cs="Arial" w:eastAsia="Arial" w:hAnsi="Arial"/>
                <w:sz w:val="18"/>
                <w:szCs w:val="18"/>
                <w:color w:val="FFFFFF"/>
              </w:rPr>
              <w:t>Retail and Wholesale</w:t>
            </w:r>
          </w:p>
        </w:tc>
        <w:tc>
          <w:tcPr>
            <w:tcW w:w="1420" w:type="dxa"/>
            <w:vAlign w:val="bottom"/>
            <w:tcBorders>
              <w:bottom w:val="single" w:sz="8" w:color="auto"/>
            </w:tcBorders>
            <w:shd w:val="clear" w:color="auto" w:fill="000000"/>
          </w:tcPr>
          <w:p>
            <w:pPr>
              <w:spacing w:after="0"/>
              <w:rPr>
                <w:sz w:val="21"/>
                <w:szCs w:val="21"/>
                <w:color w:val="auto"/>
              </w:rPr>
            </w:pPr>
          </w:p>
        </w:tc>
        <w:tc>
          <w:tcPr>
            <w:tcW w:w="1540" w:type="dxa"/>
            <w:vAlign w:val="bottom"/>
            <w:tcBorders>
              <w:bottom w:val="single" w:sz="8" w:color="auto"/>
            </w:tcBorders>
            <w:shd w:val="clear" w:color="auto" w:fill="000000"/>
          </w:tcPr>
          <w:p>
            <w:pPr>
              <w:spacing w:after="0"/>
              <w:rPr>
                <w:sz w:val="21"/>
                <w:szCs w:val="21"/>
                <w:color w:val="auto"/>
              </w:rPr>
            </w:pPr>
          </w:p>
        </w:tc>
        <w:tc>
          <w:tcPr>
            <w:tcW w:w="1040" w:type="dxa"/>
            <w:vAlign w:val="bottom"/>
            <w:tcBorders>
              <w:bottom w:val="single" w:sz="8" w:color="auto"/>
              <w:right w:val="single" w:sz="8" w:color="auto"/>
            </w:tcBorders>
            <w:shd w:val="clear" w:color="auto" w:fill="000000"/>
          </w:tcPr>
          <w:p>
            <w:pPr>
              <w:spacing w:after="0"/>
              <w:rPr>
                <w:sz w:val="21"/>
                <w:szCs w:val="21"/>
                <w:color w:val="auto"/>
              </w:rPr>
            </w:pPr>
          </w:p>
        </w:tc>
      </w:tr>
      <w:tr>
        <w:trPr>
          <w:trHeight w:val="243"/>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Sales</w:t>
            </w:r>
          </w:p>
        </w:tc>
        <w:tc>
          <w:tcPr>
            <w:tcW w:w="1420" w:type="dxa"/>
            <w:vAlign w:val="bottom"/>
          </w:tcPr>
          <w:p>
            <w:pPr>
              <w:jc w:val="right"/>
              <w:spacing w:after="0"/>
              <w:rPr>
                <w:sz w:val="20"/>
                <w:szCs w:val="20"/>
                <w:color w:val="auto"/>
              </w:rPr>
            </w:pPr>
            <w:r>
              <w:rPr>
                <w:rFonts w:ascii="Arial" w:cs="Arial" w:eastAsia="Arial" w:hAnsi="Arial"/>
                <w:sz w:val="18"/>
                <w:szCs w:val="18"/>
                <w:color w:val="auto"/>
              </w:rPr>
              <w:t>$44,644,000</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$40,817,000</w:t>
            </w:r>
          </w:p>
        </w:tc>
        <w:tc>
          <w:tcPr>
            <w:tcW w:w="10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2"/>
              </w:rPr>
              <w:t>9%</w:t>
            </w:r>
          </w:p>
        </w:tc>
      </w:tr>
      <w:tr>
        <w:trPr>
          <w:trHeight w:val="270"/>
        </w:trPr>
        <w:tc>
          <w:tcPr>
            <w:tcW w:w="40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Segment Operating Income</w:t>
            </w:r>
          </w:p>
        </w:tc>
        <w:tc>
          <w:tcPr>
            <w:tcW w:w="1420" w:type="dxa"/>
            <w:vAlign w:val="bottom"/>
          </w:tcPr>
          <w:p>
            <w:pPr>
              <w:jc w:val="right"/>
              <w:spacing w:after="0"/>
              <w:rPr>
                <w:sz w:val="20"/>
                <w:szCs w:val="20"/>
                <w:color w:val="auto"/>
              </w:rPr>
            </w:pPr>
            <w:r>
              <w:rPr>
                <w:rFonts w:ascii="Arial" w:cs="Arial" w:eastAsia="Arial" w:hAnsi="Arial"/>
                <w:sz w:val="18"/>
                <w:szCs w:val="18"/>
                <w:color w:val="auto"/>
              </w:rPr>
              <w:t>$3,360,000</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$9,000</w:t>
            </w:r>
          </w:p>
        </w:tc>
        <w:tc>
          <w:tcPr>
            <w:tcW w:w="10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rPr>
              <w:t>NMF*</w:t>
            </w:r>
          </w:p>
        </w:tc>
      </w:tr>
      <w:tr>
        <w:trPr>
          <w:trHeight w:val="27"/>
        </w:trPr>
        <w:tc>
          <w:tcPr>
            <w:tcW w:w="4060" w:type="dxa"/>
            <w:vAlign w:val="bottom"/>
            <w:tcBorders>
              <w:left w:val="single" w:sz="8" w:color="auto"/>
              <w:bottom w:val="single" w:sz="8" w:color="auto"/>
              <w:right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ind w:left="660"/>
        <w:spacing w:after="0"/>
        <w:rPr>
          <w:sz w:val="20"/>
          <w:szCs w:val="20"/>
          <w:color w:val="auto"/>
        </w:rPr>
      </w:pPr>
      <w:r>
        <w:rPr>
          <w:rFonts w:ascii="Arial" w:cs="Arial" w:eastAsia="Arial" w:hAnsi="Arial"/>
          <w:sz w:val="18"/>
          <w:szCs w:val="18"/>
          <w:i w:val="1"/>
          <w:iCs w:val="1"/>
          <w:color w:val="auto"/>
        </w:rPr>
        <w:t>*Not Meaningful</w:t>
      </w:r>
    </w:p>
    <w:p>
      <w:pPr>
        <w:spacing w:after="0" w:line="258" w:lineRule="exact"/>
        <w:rPr>
          <w:sz w:val="20"/>
          <w:szCs w:val="20"/>
          <w:color w:val="auto"/>
        </w:rPr>
      </w:pPr>
    </w:p>
    <w:p>
      <w:pPr>
        <w:ind w:right="120"/>
        <w:spacing w:after="0" w:line="297" w:lineRule="auto"/>
        <w:rPr>
          <w:sz w:val="20"/>
          <w:szCs w:val="20"/>
          <w:color w:val="auto"/>
        </w:rPr>
      </w:pPr>
      <w:r>
        <w:rPr>
          <w:rFonts w:ascii="Arial" w:cs="Arial" w:eastAsia="Arial" w:hAnsi="Arial"/>
          <w:sz w:val="19"/>
          <w:szCs w:val="19"/>
          <w:color w:val="auto"/>
        </w:rPr>
        <w:t>Daniel S. Jaffee, President and CEO, stated, “Our financial results for the first quarter of fiscal 2020 were extremely strong and reflect the successful impact of our prior year’s investments. We achieved record consolidated net sales for the quarter which demonstrates meaningful progress in the execution of our strategies. Increases in customer purchasing trends as well as margin expansion occurred both within our Retail &amp; Wholesale and Business to Business Products Groups. Our new Sales and Operations Process (S&amp;OP) is underway, and our team is focused on its implementation in order to reap the numerous related benefits.</w:t>
      </w:r>
    </w:p>
    <w:p>
      <w:pPr>
        <w:spacing w:after="0" w:line="188"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Reductions in freight costs, due in part to increased truck availability, and lower natural gas costs, helped to improve margins in all business sectors. Furthermore, the first quarter of the prior year included one-time freight expenses and other costs associated with operational inefficiencies that occurred as a result of the implementation of our Enterprise Resource Planning System as well as disruptions due to Hurricane Michael.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261" w:right="239" w:bottom="1440" w:gutter="0" w:footer="0" w:header="0"/>
        </w:sectPr>
      </w:pPr>
    </w:p>
    <w:bookmarkStart w:id="4" w:name="page5"/>
    <w:bookmarkEnd w:id="4"/>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20"/>
        <w:spacing w:after="0" w:line="312" w:lineRule="auto"/>
        <w:rPr>
          <w:sz w:val="20"/>
          <w:szCs w:val="20"/>
          <w:color w:val="auto"/>
        </w:rPr>
      </w:pPr>
      <w:r>
        <w:rPr>
          <w:rFonts w:ascii="Arial" w:cs="Arial" w:eastAsia="Arial" w:hAnsi="Arial"/>
          <w:sz w:val="19"/>
          <w:szCs w:val="19"/>
          <w:color w:val="auto"/>
        </w:rPr>
        <w:t>benefits were partially offset by slight increases in packaging and non-fuel related manufacturing costs. Although total Selling, General and Administrative (SG&amp;A) and income tax expenses were higher in the first quarter of fiscal 2020 versus the same period last year, our net income attributable to Oil-Dri reached $3.5 million which reflects a 290% increase over the prior year.</w:t>
      </w:r>
    </w:p>
    <w:p>
      <w:pPr>
        <w:spacing w:after="0" w:line="174"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Our Business to Business Products Group’s first quarter revenues increased 5% compared to the same quarter last year. The Animal Health &amp; Nutrition division delivered topline growth of 16% versus the prior year due to higher sales of our Calibrin and ConditionAde animal health products. While the African Swine Flu continues to impede our sales efforts in China, we achieved significant revenue growth in our Latin American, Asian, and African animal health markets. Our Fluids Purification business once again delivered increased sales of bleaching clay products used to filter edible oil, although these gains were partially offset by softer domestic sales to biodiesel producers. Sales within our Agricultural products division declined by 6% in the first quarter compared to last year, due to the loss of a large customer who purchased our traditional agricultural carrier products. Considerable momentum of our engineered granules and higher traditional agricultural carrier sales to an existing customer helped offset the negative impact. Finally, first quarter sales of our coarse cat litter from our Co-Packaging division surpassed revenues from the same period last year by 15%.</w:t>
      </w:r>
    </w:p>
    <w:p>
      <w:pPr>
        <w:spacing w:after="0" w:line="227"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Operating Income in the Business to Business segment was up 18% in the first quarter versus the prior year. Although SG&amp;A expenses increased slightly, improved revenues and decreases in freight costs helped raise the overall profitability of the Business to Business Products Group.</w:t>
      </w:r>
    </w:p>
    <w:p>
      <w:pPr>
        <w:spacing w:after="0" w:line="186"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 xml:space="preserve">The Retail &amp; Wholesale Products Group experienced a sales increase of 9% over the prior year, primarily due to higher demand of private label litter in our Consumer Division. Not only did sales of our private label </w:t>
      </w:r>
      <w:r>
        <w:rPr>
          <w:rFonts w:ascii="Arial" w:cs="Arial" w:eastAsia="Arial" w:hAnsi="Arial"/>
          <w:sz w:val="22"/>
          <w:szCs w:val="22"/>
          <w:i w:val="1"/>
          <w:iCs w:val="1"/>
          <w:color w:val="auto"/>
        </w:rPr>
        <w:t>scoopable</w:t>
      </w:r>
      <w:r>
        <w:rPr>
          <w:rFonts w:ascii="Arial" w:cs="Arial" w:eastAsia="Arial" w:hAnsi="Arial"/>
          <w:sz w:val="22"/>
          <w:szCs w:val="22"/>
          <w:color w:val="auto"/>
        </w:rPr>
        <w:t xml:space="preserve"> products increase this quarter as a result of organic growth, but private label </w:t>
      </w:r>
      <w:r>
        <w:rPr>
          <w:rFonts w:ascii="Arial" w:cs="Arial" w:eastAsia="Arial" w:hAnsi="Arial"/>
          <w:sz w:val="22"/>
          <w:szCs w:val="22"/>
          <w:i w:val="1"/>
          <w:iCs w:val="1"/>
          <w:color w:val="auto"/>
        </w:rPr>
        <w:t>coarse</w:t>
      </w:r>
      <w:r>
        <w:rPr>
          <w:rFonts w:ascii="Arial" w:cs="Arial" w:eastAsia="Arial" w:hAnsi="Arial"/>
          <w:sz w:val="22"/>
          <w:szCs w:val="22"/>
          <w:color w:val="auto"/>
        </w:rPr>
        <w:t xml:space="preserve"> revenues grew significantly due to new distribution and price increases. Our private label unit share of the total cat litter market, according to third party data</w:t>
      </w:r>
      <w:r>
        <w:rPr>
          <w:rFonts w:ascii="Arial" w:cs="Arial" w:eastAsia="Arial" w:hAnsi="Arial"/>
          <w:sz w:val="25"/>
          <w:szCs w:val="25"/>
          <w:color w:val="auto"/>
          <w:vertAlign w:val="superscript"/>
        </w:rPr>
        <w:t>1</w:t>
      </w:r>
      <w:r>
        <w:rPr>
          <w:rFonts w:ascii="Arial" w:cs="Arial" w:eastAsia="Arial" w:hAnsi="Arial"/>
          <w:sz w:val="22"/>
          <w:szCs w:val="22"/>
          <w:color w:val="auto"/>
        </w:rPr>
        <w:t>, increased by 18.7% in the 12 weeks ending November 3, 2019 compared to the same period the prior year. Our branded and private label lightweight litter continues to gain traction in the marketplace.</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00"/>
          </w:cols>
          <w:pgMar w:left="240" w:top="1440" w:right="259" w:bottom="1440" w:gutter="0" w:footer="0" w:header="0"/>
        </w:sectPr>
      </w:pPr>
    </w:p>
    <w:bookmarkStart w:id="5" w:name="page6"/>
    <w:bookmarkEnd w:id="5"/>
    <w:p>
      <w:pPr>
        <w:spacing w:after="0" w:line="1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ind w:right="120"/>
        <w:spacing w:after="0" w:line="302" w:lineRule="auto"/>
        <w:rPr>
          <w:sz w:val="20"/>
          <w:szCs w:val="20"/>
          <w:color w:val="auto"/>
        </w:rPr>
      </w:pPr>
      <w:r>
        <w:rPr>
          <w:rFonts w:ascii="Arial" w:cs="Arial" w:eastAsia="Arial" w:hAnsi="Arial"/>
          <w:sz w:val="19"/>
          <w:szCs w:val="19"/>
          <w:color w:val="auto"/>
        </w:rPr>
        <w:t>Operating Income for the Retail &amp; Wholesale Products group reached $3.4 million versus $9,000 for the first quarter last year. Higher sales, improved freight costs, and lower SG&amp;A expenses, including a slight reduction in advertising costs, all enhanced the bottom line. We continue to refine our advertising spending to increase our return on investment by focusing on digital and geographically targeted media. We expect total advertising expenses in fiscal 2020 to be higher than in fiscal 2019.</w:t>
      </w:r>
    </w:p>
    <w:p>
      <w:pPr>
        <w:spacing w:after="0" w:line="183" w:lineRule="exact"/>
        <w:rPr>
          <w:sz w:val="20"/>
          <w:szCs w:val="20"/>
          <w:color w:val="auto"/>
        </w:rPr>
      </w:pPr>
    </w:p>
    <w:p>
      <w:pPr>
        <w:jc w:val="both"/>
        <w:ind w:right="320"/>
        <w:spacing w:after="0" w:line="250" w:lineRule="auto"/>
        <w:rPr>
          <w:sz w:val="20"/>
          <w:szCs w:val="20"/>
          <w:color w:val="auto"/>
        </w:rPr>
      </w:pPr>
      <w:r>
        <w:rPr>
          <w:rFonts w:ascii="Arial" w:cs="Arial" w:eastAsia="Arial" w:hAnsi="Arial"/>
          <w:sz w:val="22"/>
          <w:szCs w:val="22"/>
          <w:color w:val="auto"/>
        </w:rPr>
        <w:t xml:space="preserve">In October, Oil-Dri was pleased to be featured in an episode of “EARTH” with John Holden on the Fox Business Network. The program highlighted how Oil-Dri created lightweight cat litter from its unique clay mineral and revolutionized the industry. This media coverage reached national audiences and generated additional awareness of our brand. To view the video segment, please visit our website’s </w:t>
      </w:r>
      <w:r>
        <w:rPr>
          <w:rFonts w:ascii="Arial" w:cs="Arial" w:eastAsia="Arial" w:hAnsi="Arial"/>
          <w:sz w:val="22"/>
          <w:szCs w:val="22"/>
          <w:u w:val="single" w:color="auto"/>
          <w:color w:val="0000FF"/>
        </w:rPr>
        <w:t>home page.</w:t>
      </w:r>
      <w:r>
        <w:rPr>
          <w:rFonts w:ascii="Arial" w:cs="Arial" w:eastAsia="Arial" w:hAnsi="Arial"/>
          <w:sz w:val="22"/>
          <w:szCs w:val="22"/>
          <w:color w:val="auto"/>
        </w:rPr>
        <w:t>”</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Oil-Dri will combine its first quarter of fiscal 2020 earnings teleconference with its Annual Meeting of Stockholders on Wednesday, December 11, 2019 at 9:30 am Central Time. The meeting will be held at The University of Chicago Booth School of Business, Gleacher Center, 450 Cityfront Plaza Drive, Chicago, IL 60611. Participation details are available on our website’s </w:t>
      </w:r>
      <w:r>
        <w:rPr>
          <w:rFonts w:ascii="Arial" w:cs="Arial" w:eastAsia="Arial" w:hAnsi="Arial"/>
          <w:sz w:val="22"/>
          <w:szCs w:val="22"/>
          <w:u w:val="single" w:color="auto"/>
          <w:color w:val="0000FF"/>
        </w:rPr>
        <w:t>events</w:t>
      </w:r>
      <w:r>
        <w:rPr>
          <w:rFonts w:ascii="Arial" w:cs="Arial" w:eastAsia="Arial" w:hAnsi="Arial"/>
          <w:sz w:val="22"/>
          <w:szCs w:val="22"/>
          <w:color w:val="auto"/>
        </w:rPr>
        <w:t xml:space="preserve"> page.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17"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i w:val="1"/>
          <w:iCs w:val="1"/>
          <w:color w:val="auto"/>
        </w:rPr>
        <w:t xml:space="preserve">While Oil-Dri’s founding product was granular clay floor absorbents, it has since greatly diversified its portfolio. The Company’s mission to </w:t>
      </w:r>
      <w:r>
        <w:rPr>
          <w:rFonts w:ascii="Arial" w:cs="Arial" w:eastAsia="Arial" w:hAnsi="Arial"/>
          <w:sz w:val="16"/>
          <w:szCs w:val="16"/>
          <w:i w:val="1"/>
          <w:iCs w:val="1"/>
          <w:color w:val="auto"/>
        </w:rPr>
        <w:t>“</w:t>
      </w:r>
      <w:r>
        <w:rPr>
          <w:rFonts w:ascii="Arial" w:cs="Arial" w:eastAsia="Arial" w:hAnsi="Arial"/>
          <w:sz w:val="18"/>
          <w:szCs w:val="18"/>
          <w:i w:val="1"/>
          <w:iCs w:val="1"/>
          <w:color w:val="auto"/>
        </w:rPr>
        <w:t>Create Value from Sorbent Minerals</w:t>
      </w:r>
      <w:r>
        <w:rPr>
          <w:rFonts w:ascii="Arial" w:cs="Arial" w:eastAsia="Arial" w:hAnsi="Arial"/>
          <w:sz w:val="16"/>
          <w:szCs w:val="16"/>
          <w:i w:val="1"/>
          <w:iCs w:val="1"/>
          <w:color w:val="auto"/>
        </w:rPr>
        <w:t>”</w:t>
      </w:r>
      <w:r>
        <w:rPr>
          <w:rFonts w:ascii="Arial" w:cs="Arial" w:eastAsia="Arial" w:hAnsi="Arial"/>
          <w:sz w:val="18"/>
          <w:szCs w:val="18"/>
          <w:i w:val="1"/>
          <w:iCs w:val="1"/>
          <w:color w:val="auto"/>
        </w:rPr>
        <w:t xml:space="preserve"> is supported by its wide array of consumer and business to business product offerings. In 2016, Oil-Dri celebrated its seventy-fifth year of business and looks forward to the next milestone.</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vertAlign w:val="superscript"/>
        </w:rPr>
        <w:t>1</w:t>
      </w:r>
      <w:r>
        <w:rPr>
          <w:rFonts w:ascii="Arial" w:cs="Arial" w:eastAsia="Arial" w:hAnsi="Arial"/>
          <w:sz w:val="16"/>
          <w:szCs w:val="16"/>
          <w:i w:val="1"/>
          <w:iCs w:val="1"/>
          <w:color w:val="auto"/>
        </w:rPr>
        <w:t>Based in part on data reported by Nielsen through its Nielsen Answers Core Service for the Pet Care Category for the 12 week period ended November 3,</w:t>
      </w:r>
    </w:p>
    <w:p>
      <w:pPr>
        <w:spacing w:after="0"/>
        <w:rPr>
          <w:sz w:val="20"/>
          <w:szCs w:val="20"/>
          <w:color w:val="auto"/>
        </w:rPr>
      </w:pPr>
      <w:r>
        <w:rPr>
          <w:rFonts w:ascii="Arial" w:cs="Arial" w:eastAsia="Arial" w:hAnsi="Arial"/>
          <w:sz w:val="18"/>
          <w:szCs w:val="18"/>
          <w:i w:val="1"/>
          <w:iCs w:val="1"/>
          <w:color w:val="auto"/>
        </w:rPr>
        <w:t>2019, for the U.S. market. Copyright © 2019 Nielsen.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“Calibrin”, and “ConditionAde” are registered trademarks of Oil-Dri Corporation of America.</w:t>
      </w:r>
    </w:p>
    <w:p>
      <w:pPr>
        <w:spacing w:after="0" w:line="35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420"/>
          </w:cols>
          <w:pgMar w:left="240" w:top="1440"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line="340" w:lineRule="exact"/>
        <w:rPr>
          <w:sz w:val="20"/>
          <w:szCs w:val="20"/>
          <w:color w:val="auto"/>
        </w:rPr>
      </w:pPr>
    </w:p>
    <w:p>
      <w:pPr>
        <w:spacing w:after="0" w:line="269" w:lineRule="auto"/>
        <w:rPr>
          <w:sz w:val="20"/>
          <w:szCs w:val="20"/>
          <w:color w:val="auto"/>
        </w:rPr>
      </w:pPr>
      <w:r>
        <w:rPr>
          <w:rFonts w:ascii="Arial" w:cs="Arial" w:eastAsia="Arial" w:hAnsi="Arial"/>
          <w:sz w:val="15"/>
          <w:szCs w:val="15"/>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340"/>
          </w:cols>
          <w:pgMar w:left="240" w:top="1440" w:right="319" w:bottom="1440" w:gutter="0" w:footer="0" w:header="0"/>
        </w:sectPr>
      </w:pPr>
    </w:p>
    <w:bookmarkStart w:id="7" w:name="page8"/>
    <w:bookmarkEnd w:id="7"/>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color w:val="auto"/>
              </w:rPr>
              <w:t>(unaudited)</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20" w:type="dxa"/>
            <w:vAlign w:val="bottom"/>
            <w:gridSpan w:val="5"/>
          </w:tcPr>
          <w:p>
            <w:pPr>
              <w:ind w:left="340"/>
              <w:spacing w:after="0"/>
              <w:rPr>
                <w:sz w:val="20"/>
                <w:szCs w:val="20"/>
                <w:color w:val="auto"/>
              </w:rPr>
            </w:pPr>
            <w:r>
              <w:rPr>
                <w:rFonts w:ascii="Arial" w:cs="Arial" w:eastAsia="Arial" w:hAnsi="Arial"/>
                <w:sz w:val="18"/>
                <w:szCs w:val="18"/>
                <w:b w:val="1"/>
                <w:bCs w:val="1"/>
                <w:color w:val="auto"/>
              </w:rPr>
              <w:t>First Quarter Ended October 31</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320" w:type="dxa"/>
            <w:vAlign w:val="bottom"/>
            <w:vMerge w:val="restart"/>
          </w:tcPr>
          <w:p>
            <w:pPr>
              <w:spacing w:after="0"/>
              <w:rPr>
                <w:sz w:val="20"/>
                <w:szCs w:val="20"/>
                <w:color w:val="auto"/>
              </w:rPr>
            </w:pPr>
            <w:r>
              <w:rPr>
                <w:rFonts w:ascii="Arial" w:cs="Arial" w:eastAsia="Arial" w:hAnsi="Arial"/>
                <w:sz w:val="18"/>
                <w:szCs w:val="18"/>
                <w:color w:val="auto"/>
              </w:rPr>
              <w:t>(in thousands, except per share amounts)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6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 of Sales</w:t>
            </w:r>
          </w:p>
        </w:tc>
        <w:tc>
          <w:tcPr>
            <w:tcW w:w="280" w:type="dxa"/>
            <w:vAlign w:val="bottom"/>
          </w:tcPr>
          <w:p>
            <w:pPr>
              <w:spacing w:after="0"/>
              <w:rPr>
                <w:sz w:val="19"/>
                <w:szCs w:val="19"/>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4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71,122</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100.0 %</w:t>
            </w:r>
          </w:p>
        </w:tc>
        <w:tc>
          <w:tcPr>
            <w:tcW w:w="2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66,143</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(51,187)</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(50,133)</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19,935</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28.0 %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16,010</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(15,814)</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(15,007)</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4,121</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0.1 %</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4,077</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b w:val="1"/>
                <w:bCs w:val="1"/>
                <w:color w:val="auto"/>
              </w:rPr>
              <w:t>Income Tax (Expense) Benefit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7"/>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3,460</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4.9 %</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3"/>
                <w:szCs w:val="23"/>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0"/>
                <w:szCs w:val="20"/>
                <w:color w:val="auto"/>
              </w:rPr>
            </w:pPr>
            <w:r>
              <w:rPr>
                <w:rFonts w:ascii="Arial" w:cs="Arial" w:eastAsia="Arial" w:hAnsi="Arial"/>
                <w:sz w:val="18"/>
                <w:szCs w:val="18"/>
                <w:b w:val="1"/>
                <w:bCs w:val="1"/>
                <w:color w:val="auto"/>
              </w:rPr>
              <w:t>Net Income Attributable to Oil-Dri</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3,536</w:t>
            </w:r>
          </w:p>
        </w:tc>
        <w:tc>
          <w:tcPr>
            <w:tcW w:w="220" w:type="dxa"/>
            <w:vAlign w:val="bottom"/>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5.0 %</w:t>
            </w:r>
          </w:p>
        </w:tc>
        <w:tc>
          <w:tcPr>
            <w:tcW w:w="2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 Basic Common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2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00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00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spacing w:after="0"/>
              <w:rPr>
                <w:sz w:val="20"/>
                <w:szCs w:val="20"/>
                <w:color w:val="auto"/>
              </w:rPr>
            </w:pPr>
            <w:r>
              <w:rPr>
                <w:rFonts w:ascii="Arial" w:cs="Arial" w:eastAsia="Arial" w:hAnsi="Arial"/>
                <w:sz w:val="18"/>
                <w:szCs w:val="18"/>
                <w:b w:val="1"/>
                <w:bCs w:val="1"/>
                <w:color w:val="auto"/>
              </w:rPr>
              <w:t>Avg Shares Outstanding: Basic Common</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5,149</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5,076</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000"/>
              <w:spacing w:after="0"/>
              <w:rPr>
                <w:sz w:val="20"/>
                <w:szCs w:val="20"/>
                <w:color w:val="auto"/>
              </w:rPr>
            </w:pPr>
            <w:r>
              <w:rPr>
                <w:rFonts w:ascii="Arial" w:cs="Arial" w:eastAsia="Arial" w:hAnsi="Arial"/>
                <w:sz w:val="18"/>
                <w:szCs w:val="18"/>
                <w:b w:val="1"/>
                <w:bCs w:val="1"/>
                <w:color w:val="auto"/>
              </w:rPr>
              <w:t>Basic Class B Common</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2,050</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2,069</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2000"/>
              <w:spacing w:after="0"/>
              <w:rPr>
                <w:sz w:val="20"/>
                <w:szCs w:val="20"/>
                <w:color w:val="auto"/>
              </w:rPr>
            </w:pPr>
            <w:r>
              <w:rPr>
                <w:rFonts w:ascii="Arial" w:cs="Arial" w:eastAsia="Arial" w:hAnsi="Arial"/>
                <w:sz w:val="18"/>
                <w:szCs w:val="18"/>
                <w:b w:val="1"/>
                <w:bCs w:val="1"/>
                <w:color w:val="auto"/>
              </w:rPr>
              <w:t>Diluted Common</w:t>
            </w: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7,306</w:t>
            </w: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7,243</w:t>
            </w: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172720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380"/>
          </w:cols>
          <w:pgMar w:left="280" w:top="1440" w:right="239" w:bottom="1440" w:gutter="0" w:footer="0" w:header="0"/>
        </w:sectPr>
      </w:pPr>
    </w:p>
    <w:bookmarkStart w:id="8" w:name="page9"/>
    <w:bookmarkEnd w:id="8"/>
    <w:p>
      <w:pPr>
        <w:spacing w:after="0" w:line="270" w:lineRule="auto"/>
        <w:framePr w:w="3200" w:h="701" w:wrap="auto" w:vAnchor="page" w:hAnchor="page" w:x="240" w:y="1749"/>
        <w:rPr>
          <w:rFonts w:ascii="Arial" w:cs="Arial" w:eastAsia="Arial" w:hAnsi="Arial"/>
          <w:sz w:val="18"/>
          <w:szCs w:val="18"/>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color w:val="auto"/>
        </w:rPr>
        <w:t>(in thousands, except per share amounts) (unaudited)</w:t>
      </w:r>
    </w:p>
    <w:p>
      <w:pPr>
        <w:spacing w:after="0" w:line="20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9"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As of October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318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19,260</w:t>
            </w:r>
          </w:p>
        </w:tc>
        <w:tc>
          <w:tcPr>
            <w:tcW w:w="340" w:type="dxa"/>
            <w:vAlign w:val="bottom"/>
          </w:tcPr>
          <w:p>
            <w:pPr>
              <w:spacing w:after="0"/>
              <w:rPr>
                <w:sz w:val="23"/>
                <w:szCs w:val="23"/>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Short-term Investments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2,652</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Accounts Receivable, Net</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36,269</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39,935</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Inventories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23,803</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Prepaid Expenses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6,213</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8,200</w:t>
            </w:r>
          </w:p>
        </w:tc>
        <w:tc>
          <w:tcPr>
            <w:tcW w:w="0" w:type="dxa"/>
            <w:vAlign w:val="bottom"/>
          </w:tcPr>
          <w:p>
            <w:pPr>
              <w:spacing w:after="0"/>
              <w:rPr>
                <w:sz w:val="1"/>
                <w:szCs w:val="1"/>
                <w:color w:val="auto"/>
              </w:rPr>
            </w:pPr>
          </w:p>
        </w:tc>
      </w:tr>
      <w:tr>
        <w:trPr>
          <w:trHeight w:val="27"/>
        </w:trPr>
        <w:tc>
          <w:tcPr>
            <w:tcW w:w="42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85,545</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85,219</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90,206</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87,338</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b w:val="1"/>
                <w:bCs w:val="1"/>
                <w:color w:val="auto"/>
              </w:rPr>
              <w:t>Other Assets (1)</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33,991</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24,394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18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209,742</w:t>
            </w:r>
          </w:p>
        </w:tc>
        <w:tc>
          <w:tcPr>
            <w:tcW w:w="34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196,951</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2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Current Maturities of Notes Payable</w:t>
            </w:r>
          </w:p>
        </w:tc>
        <w:tc>
          <w:tcPr>
            <w:tcW w:w="3180" w:type="dxa"/>
            <w:vAlign w:val="bottom"/>
          </w:tcPr>
          <w:p>
            <w:pPr>
              <w:spacing w:after="0"/>
              <w:rPr>
                <w:sz w:val="23"/>
                <w:szCs w:val="23"/>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3,059</w:t>
            </w:r>
          </w:p>
        </w:tc>
        <w:tc>
          <w:tcPr>
            <w:tcW w:w="340" w:type="dxa"/>
            <w:vAlign w:val="bottom"/>
          </w:tcPr>
          <w:p>
            <w:pPr>
              <w:spacing w:after="0"/>
              <w:rPr>
                <w:sz w:val="23"/>
                <w:szCs w:val="23"/>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Accounts Payable</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7,942</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13,287</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Dividends Payable</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1,766</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17,235</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17,691</w:t>
            </w:r>
          </w:p>
        </w:tc>
        <w:tc>
          <w:tcPr>
            <w:tcW w:w="0" w:type="dxa"/>
            <w:vAlign w:val="bottom"/>
          </w:tcPr>
          <w:p>
            <w:pPr>
              <w:spacing w:after="0"/>
              <w:rPr>
                <w:sz w:val="1"/>
                <w:szCs w:val="1"/>
                <w:color w:val="auto"/>
              </w:rPr>
            </w:pPr>
          </w:p>
        </w:tc>
      </w:tr>
      <w:tr>
        <w:trPr>
          <w:trHeight w:val="27"/>
        </w:trPr>
        <w:tc>
          <w:tcPr>
            <w:tcW w:w="42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30,002</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35,717</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Noncurrent Liabilities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Notes Payable</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270"/>
        </w:trPr>
        <w:tc>
          <w:tcPr>
            <w:tcW w:w="4220" w:type="dxa"/>
            <w:vAlign w:val="bottom"/>
          </w:tcPr>
          <w:p>
            <w:pPr>
              <w:ind w:left="340"/>
              <w:spacing w:after="0"/>
              <w:rPr>
                <w:sz w:val="20"/>
                <w:szCs w:val="20"/>
                <w:color w:val="auto"/>
              </w:rPr>
            </w:pPr>
            <w:r>
              <w:rPr>
                <w:rFonts w:ascii="Arial" w:cs="Arial" w:eastAsia="Arial" w:hAnsi="Arial"/>
                <w:sz w:val="18"/>
                <w:szCs w:val="18"/>
                <w:b w:val="1"/>
                <w:bCs w:val="1"/>
                <w:color w:val="auto"/>
              </w:rPr>
              <w:t>Other Noncurrent Liabilities (1)</w:t>
            </w:r>
          </w:p>
        </w:tc>
        <w:tc>
          <w:tcPr>
            <w:tcW w:w="3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41,804</w:t>
            </w: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26,416</w:t>
            </w:r>
          </w:p>
        </w:tc>
        <w:tc>
          <w:tcPr>
            <w:tcW w:w="0" w:type="dxa"/>
            <w:vAlign w:val="bottom"/>
          </w:tcPr>
          <w:p>
            <w:pPr>
              <w:spacing w:after="0"/>
              <w:rPr>
                <w:sz w:val="1"/>
                <w:szCs w:val="1"/>
                <w:color w:val="auto"/>
              </w:rPr>
            </w:pPr>
          </w:p>
        </w:tc>
      </w:tr>
      <w:tr>
        <w:trPr>
          <w:trHeight w:val="27"/>
        </w:trPr>
        <w:tc>
          <w:tcPr>
            <w:tcW w:w="422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Noncurrent Liabilities</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41,804</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29,447</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3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137,936</w:t>
            </w: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131,787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180" w:type="dxa"/>
            <w:vAlign w:val="bottom"/>
          </w:tcPr>
          <w:p>
            <w:pPr>
              <w:spacing w:after="0"/>
              <w:rPr>
                <w:sz w:val="22"/>
                <w:szCs w:val="22"/>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209,742</w:t>
            </w:r>
          </w:p>
        </w:tc>
        <w:tc>
          <w:tcPr>
            <w:tcW w:w="340" w:type="dxa"/>
            <w:vAlign w:val="bottom"/>
          </w:tcPr>
          <w:p>
            <w:pPr>
              <w:spacing w:after="0"/>
              <w:rPr>
                <w:sz w:val="22"/>
                <w:szCs w:val="22"/>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196,951</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2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19.16</w:t>
            </w:r>
          </w:p>
        </w:tc>
        <w:tc>
          <w:tcPr>
            <w:tcW w:w="340" w:type="dxa"/>
            <w:vAlign w:val="bottom"/>
          </w:tcPr>
          <w:p>
            <w:pPr>
              <w:spacing w:after="0"/>
              <w:rPr>
                <w:sz w:val="24"/>
                <w:szCs w:val="24"/>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567"/>
        </w:trPr>
        <w:tc>
          <w:tcPr>
            <w:tcW w:w="422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3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First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3,900</w:t>
            </w:r>
          </w:p>
        </w:tc>
        <w:tc>
          <w:tcPr>
            <w:tcW w:w="340" w:type="dxa"/>
            <w:vAlign w:val="bottom"/>
          </w:tcPr>
          <w:p>
            <w:pPr>
              <w:spacing w:after="0"/>
              <w:rPr>
                <w:sz w:val="23"/>
                <w:szCs w:val="23"/>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3,900</w:t>
            </w:r>
          </w:p>
        </w:tc>
        <w:tc>
          <w:tcPr>
            <w:tcW w:w="340" w:type="dxa"/>
            <w:vAlign w:val="bottom"/>
          </w:tcPr>
          <w:p>
            <w:pPr>
              <w:spacing w:after="0"/>
              <w:rPr>
                <w:sz w:val="23"/>
                <w:szCs w:val="23"/>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First Quarter</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3,469</w:t>
            </w:r>
          </w:p>
        </w:tc>
        <w:tc>
          <w:tcPr>
            <w:tcW w:w="340" w:type="dxa"/>
            <w:vAlign w:val="bottom"/>
          </w:tcPr>
          <w:p>
            <w:pPr>
              <w:spacing w:after="0"/>
              <w:rPr>
                <w:sz w:val="23"/>
                <w:szCs w:val="23"/>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3"/>
                <w:szCs w:val="23"/>
                <w:color w:val="auto"/>
              </w:rPr>
            </w:pPr>
          </w:p>
        </w:tc>
        <w:tc>
          <w:tcPr>
            <w:tcW w:w="3180" w:type="dxa"/>
            <w:vAlign w:val="bottom"/>
          </w:tcPr>
          <w:p>
            <w:pPr>
              <w:ind w:left="1020"/>
              <w:spacing w:after="0"/>
              <w:rPr>
                <w:sz w:val="20"/>
                <w:szCs w:val="20"/>
                <w:color w:val="auto"/>
              </w:rPr>
            </w:pPr>
            <w:r>
              <w:rPr>
                <w:rFonts w:ascii="Arial" w:cs="Arial" w:eastAsia="Arial" w:hAnsi="Arial"/>
                <w:sz w:val="18"/>
                <w:szCs w:val="18"/>
                <w:b w:val="1"/>
                <w:bCs w:val="1"/>
                <w:color w:val="auto"/>
              </w:rPr>
              <w:t>Year To Date</w:t>
            </w:r>
          </w:p>
        </w:tc>
        <w:tc>
          <w:tcPr>
            <w:tcW w:w="1100" w:type="dxa"/>
            <w:vAlign w:val="bottom"/>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3,469</w:t>
            </w:r>
          </w:p>
        </w:tc>
        <w:tc>
          <w:tcPr>
            <w:tcW w:w="340" w:type="dxa"/>
            <w:vAlign w:val="bottom"/>
          </w:tcPr>
          <w:p>
            <w:pPr>
              <w:spacing w:after="0"/>
              <w:rPr>
                <w:sz w:val="23"/>
                <w:szCs w:val="23"/>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bl>
    <w:p>
      <w:pPr>
        <w:spacing w:after="0" w:line="13" w:lineRule="exact"/>
        <w:rPr>
          <w:rFonts w:ascii="Arial" w:cs="Arial" w:eastAsia="Arial" w:hAnsi="Arial"/>
          <w:sz w:val="18"/>
          <w:szCs w:val="18"/>
          <w:color w:val="auto"/>
        </w:rPr>
      </w:pPr>
    </w:p>
    <w:p>
      <w:pPr>
        <w:ind w:left="540" w:right="480" w:hanging="248"/>
        <w:spacing w:after="0" w:line="277" w:lineRule="auto"/>
        <w:tabs>
          <w:tab w:leader="none" w:pos="552"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as of October 31, 2019 include right-of-use operating lease assets and related liabilities required by adoption of Accounting Standards Codification 842, Leases.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8"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6"/>
          <w:szCs w:val="16"/>
          <w:color w:val="auto"/>
        </w:rPr>
        <w:t>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-19685</wp:posOffset>
            </wp:positionH>
            <wp:positionV relativeFrom="paragraph">
              <wp:posOffset>172720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4"/>
          <w:szCs w:val="14"/>
          <w:color w:val="002D69"/>
        </w:rPr>
        <w:t>Oil-Dri Corporation of America</w:t>
      </w:r>
    </w:p>
    <w:p>
      <w:pPr>
        <w:spacing w:after="0" w:line="1"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rFonts w:ascii="Arial" w:cs="Arial" w:eastAsia="Arial" w:hAnsi="Arial"/>
          <w:sz w:val="18"/>
          <w:szCs w:val="18"/>
          <w:color w:val="auto"/>
        </w:rPr>
      </w:pPr>
    </w:p>
    <w:p>
      <w:pPr>
        <w:jc w:val="center"/>
        <w:ind w:right="40"/>
        <w:spacing w:after="0"/>
        <w:rPr>
          <w:sz w:val="20"/>
          <w:szCs w:val="20"/>
          <w:color w:val="auto"/>
        </w:rPr>
      </w:pPr>
      <w:r>
        <w:rPr>
          <w:rFonts w:ascii="Arial" w:cs="Arial" w:eastAsia="Arial" w:hAnsi="Arial"/>
          <w:sz w:val="14"/>
          <w:szCs w:val="14"/>
          <w:color w:val="002D69"/>
        </w:rPr>
        <w:t>(312) 321-1515</w:t>
      </w:r>
    </w:p>
    <w:p>
      <w:pPr>
        <w:sectPr>
          <w:pgSz w:w="11900" w:h="16838" w:orient="portrait"/>
          <w:cols w:equalWidth="0" w:num="1">
            <w:col w:w="11380"/>
          </w:cols>
          <w:pgMar w:left="280" w:top="1440" w:right="239" w:bottom="1440" w:gutter="0" w:footer="0" w:header="0"/>
        </w:sectPr>
      </w:pPr>
    </w:p>
    <w:bookmarkStart w:id="9" w:name="page10"/>
    <w:bookmarkEnd w:id="9"/>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860425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3047365</wp:posOffset>
            </wp:positionH>
            <wp:positionV relativeFrom="page">
              <wp:posOffset>208915</wp:posOffset>
            </wp:positionV>
            <wp:extent cx="1475105" cy="488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4889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33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 Three Months Ended</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16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October 31</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3,460</w:t>
            </w:r>
          </w:p>
        </w:tc>
        <w:tc>
          <w:tcPr>
            <w:tcW w:w="340" w:type="dxa"/>
            <w:vAlign w:val="bottom"/>
          </w:tcPr>
          <w:p>
            <w:pPr>
              <w:spacing w:after="0"/>
              <w:rPr>
                <w:sz w:val="23"/>
                <w:szCs w:val="23"/>
                <w:color w:val="auto"/>
              </w:rPr>
            </w:pP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Depreciation and Amortization</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3,469</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Increase in Accounts Receivable</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(980)</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(6,367)</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Decrease (Increase) in Inventories</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Increase in Accounts Payable</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Decrease in Accrued Expenses</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(3,812)</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Increase in Pension and Postretirement Benefits</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621</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Other</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2,728</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74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3,232</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20"/>
                <w:szCs w:val="20"/>
                <w:b w:val="1"/>
                <w:bCs w:val="1"/>
                <w:color w:val="auto"/>
              </w:rPr>
              <w:t>Net Cash Provided by Operating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6,692</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3"/>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4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Capital Expenditures</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(3,900)</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Net Dispositions of Investment Securities</w:t>
            </w:r>
          </w:p>
        </w:tc>
        <w:tc>
          <w:tcPr>
            <w:tcW w:w="1160" w:type="dxa"/>
            <w:vAlign w:val="bottom"/>
          </w:tcPr>
          <w:p>
            <w:pPr>
              <w:spacing w:after="0"/>
              <w:rPr>
                <w:sz w:val="23"/>
                <w:szCs w:val="2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20"/>
                <w:szCs w:val="20"/>
                <w:b w:val="1"/>
                <w:bCs w:val="1"/>
                <w:color w:val="auto"/>
              </w:rPr>
              <w:t>Net Cash (Used in) Provided by Investing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(3,900)</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3"/>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4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Principal Payments on Long-Term Debt</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Dividends Paid</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(1,761)</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70"/>
        </w:trPr>
        <w:tc>
          <w:tcPr>
            <w:tcW w:w="7400" w:type="dxa"/>
            <w:vAlign w:val="bottom"/>
          </w:tcPr>
          <w:p>
            <w:pPr>
              <w:ind w:left="240"/>
              <w:spacing w:after="0"/>
              <w:rPr>
                <w:sz w:val="20"/>
                <w:szCs w:val="20"/>
                <w:color w:val="auto"/>
              </w:rPr>
            </w:pPr>
            <w:r>
              <w:rPr>
                <w:rFonts w:ascii="Arial" w:cs="Arial" w:eastAsia="Arial" w:hAnsi="Arial"/>
                <w:sz w:val="18"/>
                <w:szCs w:val="18"/>
                <w:b w:val="1"/>
                <w:bCs w:val="1"/>
                <w:color w:val="auto"/>
              </w:rPr>
              <w:t>Purchase of Treasury Stock</w:t>
            </w: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7400" w:type="dxa"/>
            <w:vAlign w:val="bottom"/>
            <w:vMerge w:val="restart"/>
          </w:tcPr>
          <w:p>
            <w:pPr>
              <w:spacing w:after="0"/>
              <w:rPr>
                <w:sz w:val="20"/>
                <w:szCs w:val="20"/>
                <w:color w:val="auto"/>
              </w:rPr>
            </w:pPr>
            <w:r>
              <w:rPr>
                <w:rFonts w:ascii="Arial" w:cs="Arial" w:eastAsia="Arial" w:hAnsi="Arial"/>
                <w:sz w:val="20"/>
                <w:szCs w:val="20"/>
                <w:b w:val="1"/>
                <w:bCs w:val="1"/>
                <w:color w:val="auto"/>
              </w:rPr>
              <w:t>Net Cash Used in Financing Activities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(5,344)</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3"/>
        </w:trPr>
        <w:tc>
          <w:tcPr>
            <w:tcW w:w="7400" w:type="dxa"/>
            <w:vAlign w:val="bottom"/>
            <w:vMerge w:val="restart"/>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4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7400" w:type="dxa"/>
            <w:vAlign w:val="bottom"/>
            <w:vMerge w:val="restart"/>
          </w:tcPr>
          <w:p>
            <w:pPr>
              <w:spacing w:after="0"/>
              <w:rPr>
                <w:sz w:val="20"/>
                <w:szCs w:val="20"/>
                <w:color w:val="auto"/>
              </w:rPr>
            </w:pPr>
            <w:r>
              <w:rPr>
                <w:rFonts w:ascii="Arial" w:cs="Arial" w:eastAsia="Arial" w:hAnsi="Arial"/>
                <w:sz w:val="20"/>
                <w:szCs w:val="20"/>
                <w:b w:val="1"/>
                <w:bCs w:val="1"/>
                <w:color w:val="auto"/>
              </w:rPr>
              <w:t>Net Decrease in Cash and Cash Equivalents</w:t>
            </w: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4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(2,602)</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66"/>
        </w:trPr>
        <w:tc>
          <w:tcPr>
            <w:tcW w:w="74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21,862</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12,757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19,260</w:t>
            </w:r>
          </w:p>
        </w:tc>
        <w:tc>
          <w:tcPr>
            <w:tcW w:w="340" w:type="dxa"/>
            <w:vAlign w:val="bottom"/>
          </w:tcPr>
          <w:p>
            <w:pPr>
              <w:spacing w:after="0"/>
              <w:rPr>
                <w:sz w:val="22"/>
                <w:szCs w:val="22"/>
                <w:color w:val="auto"/>
              </w:rPr>
            </w:pPr>
          </w:p>
        </w:tc>
        <w:tc>
          <w:tcPr>
            <w:tcW w:w="11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9,019</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172720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002D69"/>
        </w:rPr>
        <w:t>Leslie A. Garber</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002D69"/>
        </w:rPr>
        <w:t>InvestorRelations@oildri.com</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380"/>
      </w:cols>
      <w:pgMar w:left="28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2019-12-06T16:05:52Z</dcterms:created>
  <dcterms:modified xsi:type="dcterms:W3CDTF">2019-12-06T16:05:52Z</dcterms:modified>
</cp:coreProperties>
</file>