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389" w:lineRule="exact"/>
        <w:rPr>
          <w:sz w:val="24"/>
          <w:szCs w:val="24"/>
          <w:color w:val="auto"/>
        </w:rPr>
      </w:pPr>
    </w:p>
    <w:p>
      <w:pPr>
        <w:ind w:left="40"/>
        <w:spacing w:after="0"/>
        <w:tabs>
          <w:tab w:leader="none" w:pos="1036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June 14, 2017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jc w:val="center"/>
              <w:ind w:right="1030"/>
              <w:spacing w:after="0"/>
              <w:rPr>
                <w:sz w:val="20"/>
                <w:szCs w:val="20"/>
                <w:color w:val="auto"/>
              </w:rPr>
            </w:pPr>
            <w:r>
              <w:rPr>
                <w:rFonts w:ascii="Arial" w:cs="Arial" w:eastAsia="Arial" w:hAnsi="Arial"/>
                <w:sz w:val="18"/>
                <w:szCs w:val="18"/>
                <w:b w:val="1"/>
                <w:bCs w:val="1"/>
                <w:color w:val="auto"/>
                <w:w w:val="91"/>
              </w:rPr>
              <w:t>Delaware</w:t>
            </w:r>
          </w:p>
        </w:tc>
        <w:tc>
          <w:tcPr>
            <w:tcW w:w="1620" w:type="dxa"/>
            <w:vAlign w:val="bottom"/>
          </w:tcPr>
          <w:p>
            <w:pPr>
              <w:jc w:val="right"/>
              <w:ind w:right="30"/>
              <w:spacing w:after="0"/>
              <w:rPr>
                <w:sz w:val="20"/>
                <w:szCs w:val="20"/>
                <w:color w:val="auto"/>
              </w:rPr>
            </w:pPr>
            <w:r>
              <w:rPr>
                <w:rFonts w:ascii="Arial" w:cs="Arial" w:eastAsia="Arial" w:hAnsi="Arial"/>
                <w:sz w:val="18"/>
                <w:szCs w:val="18"/>
                <w:b w:val="1"/>
                <w:bCs w:val="1"/>
                <w:color w:val="auto"/>
              </w:rPr>
              <w:t>001-12622</w:t>
            </w:r>
          </w:p>
        </w:tc>
        <w:tc>
          <w:tcPr>
            <w:tcW w:w="1700" w:type="dxa"/>
            <w:vAlign w:val="bottom"/>
          </w:tcPr>
          <w:p>
            <w:pPr>
              <w:spacing w:after="0"/>
              <w:rPr>
                <w:sz w:val="20"/>
                <w:szCs w:val="20"/>
                <w:color w:val="auto"/>
              </w:rPr>
            </w:pPr>
          </w:p>
        </w:tc>
        <w:tc>
          <w:tcPr>
            <w:tcW w:w="3540" w:type="dxa"/>
            <w:vAlign w:val="bottom"/>
          </w:tcPr>
          <w:p>
            <w:pPr>
              <w:jc w:val="right"/>
              <w:ind w:right="1230"/>
              <w:spacing w:after="0"/>
              <w:rPr>
                <w:sz w:val="20"/>
                <w:szCs w:val="20"/>
                <w:color w:val="auto"/>
              </w:rPr>
            </w:pPr>
            <w:r>
              <w:rPr>
                <w:rFonts w:ascii="Arial" w:cs="Arial" w:eastAsia="Arial" w:hAnsi="Arial"/>
                <w:sz w:val="18"/>
                <w:szCs w:val="18"/>
                <w:b w:val="1"/>
                <w:bCs w:val="1"/>
                <w:color w:val="auto"/>
              </w:rPr>
              <w:t>36-2048898</w:t>
            </w:r>
          </w:p>
        </w:tc>
      </w:tr>
      <w:tr>
        <w:trPr>
          <w:trHeight w:val="27"/>
        </w:trPr>
        <w:tc>
          <w:tcPr>
            <w:tcW w:w="4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222"/>
        </w:trPr>
        <w:tc>
          <w:tcPr>
            <w:tcW w:w="456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w:t>
            </w:r>
          </w:p>
        </w:tc>
        <w:tc>
          <w:tcPr>
            <w:tcW w:w="16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30"/>
        </w:trPr>
        <w:tc>
          <w:tcPr>
            <w:tcW w:w="4560" w:type="dxa"/>
            <w:vAlign w:val="bottom"/>
          </w:tcPr>
          <w:p>
            <w:pPr>
              <w:jc w:val="center"/>
              <w:ind w:right="1030"/>
              <w:spacing w:after="0"/>
              <w:rPr>
                <w:sz w:val="20"/>
                <w:szCs w:val="20"/>
                <w:color w:val="auto"/>
              </w:rPr>
            </w:pPr>
            <w:r>
              <w:rPr>
                <w:rFonts w:ascii="Arial" w:cs="Arial" w:eastAsia="Arial" w:hAnsi="Arial"/>
                <w:sz w:val="18"/>
                <w:szCs w:val="18"/>
                <w:color w:val="auto"/>
                <w:w w:val="94"/>
              </w:rPr>
              <w:t>incorporation)</w:t>
            </w:r>
          </w:p>
        </w:tc>
        <w:tc>
          <w:tcPr>
            <w:tcW w:w="3320" w:type="dxa"/>
            <w:vAlign w:val="bottom"/>
            <w:gridSpan w:val="2"/>
          </w:tcPr>
          <w:p>
            <w:pPr>
              <w:jc w:val="center"/>
              <w:ind w:right="1100"/>
              <w:spacing w:after="0"/>
              <w:rPr>
                <w:sz w:val="20"/>
                <w:szCs w:val="20"/>
                <w:color w:val="auto"/>
              </w:rPr>
            </w:pPr>
            <w:r>
              <w:rPr>
                <w:rFonts w:ascii="Arial" w:cs="Arial" w:eastAsia="Arial" w:hAnsi="Arial"/>
                <w:sz w:val="18"/>
                <w:szCs w:val="18"/>
                <w:color w:val="auto"/>
                <w:w w:val="92"/>
              </w:rPr>
              <w:t>(Commission File Number)</w:t>
            </w: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819"/>
        </w:trPr>
        <w:tc>
          <w:tcPr>
            <w:tcW w:w="78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410 North Michigan Avenue</w:t>
            </w:r>
          </w:p>
        </w:tc>
        <w:tc>
          <w:tcPr>
            <w:tcW w:w="3540" w:type="dxa"/>
            <w:vAlign w:val="bottom"/>
          </w:tcPr>
          <w:p>
            <w:pPr>
              <w:spacing w:after="0"/>
              <w:rPr>
                <w:sz w:val="24"/>
                <w:szCs w:val="24"/>
                <w:color w:val="auto"/>
              </w:rPr>
            </w:pPr>
          </w:p>
        </w:tc>
      </w:tr>
      <w:tr>
        <w:trPr>
          <w:trHeight w:val="216"/>
        </w:trPr>
        <w:tc>
          <w:tcPr>
            <w:tcW w:w="4560" w:type="dxa"/>
            <w:vAlign w:val="bottom"/>
          </w:tcPr>
          <w:p>
            <w:pPr>
              <w:jc w:val="center"/>
              <w:ind w:left="3010"/>
              <w:spacing w:after="0"/>
              <w:rPr>
                <w:sz w:val="20"/>
                <w:szCs w:val="20"/>
                <w:color w:val="auto"/>
              </w:rPr>
            </w:pPr>
            <w:r>
              <w:rPr>
                <w:rFonts w:ascii="Arial" w:cs="Arial" w:eastAsia="Arial" w:hAnsi="Arial"/>
                <w:sz w:val="18"/>
                <w:szCs w:val="18"/>
                <w:b w:val="1"/>
                <w:bCs w:val="1"/>
                <w:color w:val="auto"/>
                <w:w w:val="88"/>
              </w:rPr>
              <w:t>Suite 400</w:t>
            </w:r>
          </w:p>
        </w:tc>
        <w:tc>
          <w:tcPr>
            <w:tcW w:w="1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34"/>
        </w:trPr>
        <w:tc>
          <w:tcPr>
            <w:tcW w:w="4560" w:type="dxa"/>
            <w:vAlign w:val="bottom"/>
          </w:tcPr>
          <w:p>
            <w:pPr>
              <w:jc w:val="center"/>
              <w:ind w:left="3030"/>
              <w:spacing w:after="0"/>
              <w:rPr>
                <w:sz w:val="20"/>
                <w:szCs w:val="20"/>
                <w:color w:val="auto"/>
              </w:rPr>
            </w:pPr>
            <w:r>
              <w:rPr>
                <w:rFonts w:ascii="Arial" w:cs="Arial" w:eastAsia="Arial" w:hAnsi="Arial"/>
                <w:sz w:val="18"/>
                <w:szCs w:val="18"/>
                <w:b w:val="1"/>
                <w:bCs w:val="1"/>
                <w:color w:val="auto"/>
                <w:w w:val="89"/>
              </w:rPr>
              <w:t>Chicago, Illinois</w:t>
            </w:r>
          </w:p>
        </w:tc>
        <w:tc>
          <w:tcPr>
            <w:tcW w:w="1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540" w:type="dxa"/>
            <w:vAlign w:val="bottom"/>
          </w:tcPr>
          <w:p>
            <w:pPr>
              <w:jc w:val="right"/>
              <w:ind w:right="135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618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237"/>
        </w:trPr>
        <w:tc>
          <w:tcPr>
            <w:tcW w:w="788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jc w:val="center"/>
              <w:ind w:right="130"/>
              <w:spacing w:after="0"/>
              <w:rPr>
                <w:sz w:val="20"/>
                <w:szCs w:val="20"/>
                <w:color w:val="auto"/>
              </w:rPr>
            </w:pPr>
            <w:r>
              <w:rPr>
                <w:rFonts w:ascii="Arial" w:cs="Arial" w:eastAsia="Arial" w:hAnsi="Arial"/>
                <w:sz w:val="18"/>
                <w:szCs w:val="18"/>
                <w:color w:val="auto"/>
                <w:w w:val="94"/>
              </w:rPr>
              <w:t>(Zip Code)</w:t>
            </w:r>
          </w:p>
        </w:tc>
      </w:tr>
      <w:tr>
        <w:trPr>
          <w:trHeight w:val="837"/>
        </w:trPr>
        <w:tc>
          <w:tcPr>
            <w:tcW w:w="4560" w:type="dxa"/>
            <w:vAlign w:val="bottom"/>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(312) 321-1515</w:t>
            </w:r>
          </w:p>
        </w:tc>
        <w:tc>
          <w:tcPr>
            <w:tcW w:w="3540" w:type="dxa"/>
            <w:vAlign w:val="bottom"/>
          </w:tcPr>
          <w:p>
            <w:pPr>
              <w:spacing w:after="0"/>
              <w:rPr>
                <w:sz w:val="24"/>
                <w:szCs w:val="24"/>
                <w:color w:val="auto"/>
              </w:rPr>
            </w:pPr>
          </w:p>
        </w:tc>
      </w:tr>
      <w:tr>
        <w:trPr>
          <w:trHeight w:val="27"/>
        </w:trPr>
        <w:tc>
          <w:tcPr>
            <w:tcW w:w="4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6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33" w:lineRule="exact"/>
        <w:rPr>
          <w:sz w:val="24"/>
          <w:szCs w:val="24"/>
          <w:color w:val="auto"/>
        </w:rPr>
      </w:pPr>
    </w:p>
    <w:p>
      <w:pPr>
        <w:ind w:left="460" w:hanging="24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460" w:hanging="24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460" w:hanging="24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460" w:hanging="24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88" w:right="239" w:bottom="1440" w:gutter="0" w:footer="0" w:header="0"/>
        </w:sectPr>
      </w:pPr>
    </w:p>
    <w:bookmarkStart w:id="1" w:name="page2"/>
    <w:bookmarkEnd w:id="1"/>
    <w:p>
      <w:pPr>
        <w:ind w:left="200"/>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56" w:lineRule="exact"/>
        <w:rPr>
          <w:sz w:val="20"/>
          <w:szCs w:val="20"/>
          <w:color w:val="auto"/>
        </w:rPr>
      </w:pPr>
    </w:p>
    <w:p>
      <w:pPr>
        <w:jc w:val="both"/>
        <w:ind w:firstLine="716"/>
        <w:spacing w:after="0" w:line="259" w:lineRule="auto"/>
        <w:rPr>
          <w:sz w:val="20"/>
          <w:szCs w:val="20"/>
          <w:color w:val="auto"/>
        </w:rPr>
      </w:pPr>
      <w:r>
        <w:rPr>
          <w:rFonts w:ascii="Arial" w:cs="Arial" w:eastAsia="Arial" w:hAnsi="Arial"/>
          <w:sz w:val="18"/>
          <w:szCs w:val="18"/>
          <w:color w:val="auto"/>
        </w:rPr>
        <w:t>At its regular June meeting, the Board of Directors of Oil-Dri Corporation of America (the “Registrant”) declared quarterly cash dividends of $0.23 per share of the Registrant’s Common Stock and 0.173 per share of the Registrant’s Class B Stock. The dividends will be payable on September 1, 2017, to stockholders of record at the close of business on August 18, 2017. A copy of the Registrant’s press release announcing these matters is attached as Exhibit 99.1 and the information contained therein is incorporated herein by reference.</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800" w:type="dxa"/>
            <w:vAlign w:val="bottom"/>
          </w:tcPr>
          <w:p>
            <w:pPr>
              <w:spacing w:after="0"/>
              <w:rPr>
                <w:sz w:val="18"/>
                <w:szCs w:val="18"/>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800" w:type="dxa"/>
            <w:vAlign w:val="bottom"/>
          </w:tcPr>
          <w:p>
            <w:pPr>
              <w:ind w:left="406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dated June 14, 2017 (Cash Dividends)</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Douglas A. Graham</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 President and General Counsel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June 14, 2017</w:t>
      </w:r>
    </w:p>
    <w:p>
      <w:pPr>
        <w:sectPr>
          <w:pgSz w:w="11900" w:h="16838" w:orient="portrait"/>
          <w:cols w:equalWidth="0" w:num="1">
            <w:col w:w="11060"/>
          </w:cols>
          <w:pgMar w:left="240" w:top="580" w:right="5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800" w:type="dxa"/>
            <w:vAlign w:val="bottom"/>
          </w:tcPr>
          <w:p>
            <w:pPr>
              <w:spacing w:after="0"/>
              <w:rPr>
                <w:sz w:val="18"/>
                <w:szCs w:val="18"/>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800" w:type="dxa"/>
            <w:vAlign w:val="bottom"/>
          </w:tcPr>
          <w:p>
            <w:pPr>
              <w:ind w:left="406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dated June 14, 2017 (Cash Dividends)</w:t>
            </w:r>
          </w:p>
        </w:tc>
      </w:tr>
    </w:tbl>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410 N. Michigan Ave. Chicago, Illinois 60611, U.S.A</w:t>
      </w:r>
    </w:p>
    <w:p>
      <w:pPr>
        <w:spacing w:after="0" w:line="17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Board of Directors Declares Increased Quarterly Dividends</w:t>
      </w:r>
    </w:p>
    <w:p>
      <w:pPr>
        <w:spacing w:after="0" w:line="266" w:lineRule="exact"/>
        <w:rPr>
          <w:sz w:val="20"/>
          <w:szCs w:val="20"/>
          <w:color w:val="auto"/>
        </w:rPr>
      </w:pPr>
    </w:p>
    <w:p>
      <w:pPr>
        <w:ind w:right="380"/>
        <w:spacing w:after="0" w:line="253" w:lineRule="auto"/>
        <w:rPr>
          <w:sz w:val="20"/>
          <w:szCs w:val="20"/>
          <w:color w:val="auto"/>
        </w:rPr>
      </w:pPr>
      <w:r>
        <w:rPr>
          <w:rFonts w:ascii="Arial" w:cs="Arial" w:eastAsia="Arial" w:hAnsi="Arial"/>
          <w:sz w:val="22"/>
          <w:szCs w:val="22"/>
          <w:color w:val="auto"/>
        </w:rPr>
        <w:t>CHICAGO-(June 14, 2017)-The Board of Directors of Oil-Dri Corporation of America (NYSE: ODC) today declared quarterly cash dividends of $0.23 per share of the Company’s Common Stock and $0.173 per share of the Company’s Class B Stock, an approximate 5% increase for both classes of stock.</w:t>
      </w:r>
    </w:p>
    <w:p>
      <w:pPr>
        <w:spacing w:after="0" w:line="186"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The dividends declared today will be payable on September 1, 2017 to stockholders of record at the close of business on August 18, 2017. The Company has paid cash dividends continuously since 1974. Today’s declaration marks the fourteenth consecutive year Oil-Dri has increased dividends.</w:t>
      </w:r>
    </w:p>
    <w:p>
      <w:pPr>
        <w:spacing w:after="0" w:line="186" w:lineRule="exact"/>
        <w:rPr>
          <w:sz w:val="20"/>
          <w:szCs w:val="20"/>
          <w:color w:val="auto"/>
        </w:rPr>
      </w:pPr>
    </w:p>
    <w:p>
      <w:pPr>
        <w:ind w:right="260"/>
        <w:spacing w:after="0" w:line="253" w:lineRule="auto"/>
        <w:rPr>
          <w:sz w:val="20"/>
          <w:szCs w:val="20"/>
          <w:color w:val="auto"/>
        </w:rPr>
      </w:pPr>
      <w:r>
        <w:rPr>
          <w:rFonts w:ascii="Arial" w:cs="Arial" w:eastAsia="Arial" w:hAnsi="Arial"/>
          <w:sz w:val="22"/>
          <w:szCs w:val="22"/>
          <w:color w:val="auto"/>
        </w:rPr>
        <w:t>The Company expects to release earnings for its fourth quarter of fiscal 2017 after the close of the U.S. stock market on Tuesday, October 10, 2017 and to host an Investor Teleconference on Wednesday, October 11, 2017. Teleconference details will be communicated via web alert approximately one week prior to the call.</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3" w:lineRule="exact"/>
        <w:rPr>
          <w:sz w:val="20"/>
          <w:szCs w:val="20"/>
          <w:color w:val="auto"/>
        </w:rPr>
      </w:pPr>
    </w:p>
    <w:p>
      <w:pPr>
        <w:jc w:val="center"/>
        <w:ind w:left="260"/>
        <w:spacing w:after="0" w:line="261" w:lineRule="auto"/>
        <w:rPr>
          <w:sz w:val="20"/>
          <w:szCs w:val="20"/>
          <w:color w:val="auto"/>
        </w:rPr>
      </w:pPr>
      <w:r>
        <w:rPr>
          <w:rFonts w:ascii="Arial" w:cs="Arial" w:eastAsia="Arial" w:hAnsi="Arial"/>
          <w:sz w:val="16"/>
          <w:szCs w:val="16"/>
          <w:i w:val="1"/>
          <w:iCs w:val="1"/>
          <w:color w:val="auto"/>
        </w:rPr>
        <w:t>While granular clay floor absorbents were Oil-Dri’s founding product, it has since diversified its portfolio to include both consumer and business to business product offerings that supply pet care, animal health, fluids purification, agricultural ingredient, sports field, industrial and automotive markets. In 2016, Oil-Dri celebrated its seventy-fifth year of business and looks forward to the next milestone.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sectPr>
      <w:pgSz w:w="11900" w:h="16838" w:orient="portrait"/>
      <w:cols w:equalWidth="0" w:num="1">
        <w:col w:w="11420"/>
      </w:cols>
      <w:pgMar w:left="240" w:top="8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2020-01-17T14:26:50Z</dcterms:created>
  <dcterms:modified xsi:type="dcterms:W3CDTF">2020-01-17T14:26:50Z</dcterms:modified>
</cp:coreProperties>
</file>