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440"/>
              <w:spacing w:after="0"/>
              <w:rPr>
                <w:sz w:val="20"/>
                <w:szCs w:val="20"/>
                <w:color w:val="auto"/>
              </w:rPr>
            </w:pPr>
            <w:r>
              <w:rPr>
                <w:rFonts w:ascii="Arial" w:cs="Arial" w:eastAsia="Arial" w:hAnsi="Arial"/>
                <w:sz w:val="18"/>
                <w:szCs w:val="18"/>
                <w:color w:val="auto"/>
                <w:w w:val="92"/>
              </w:rPr>
              <w:t>March 9, 2016</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9, 2016, Oil-Dri Corporation of America (the “Registrant”) issued a press release announcing its results of operations for its second quarter ended January 31, 2016.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7, 2016, the Registrant issued a press release announcing a national media campaign. A copy of the press release is attached as Exhibit 99.2 and the information contained therein is incorporated herein by reference. The information presented herein under Item 7.01, including Exhibit 99.2, shall not be deemed “filed” under the Exchange Act nor shall it be deemed incorporated by reference in any filing under the Securities Act of 1933, as amended, except as may be expressly set forth by specific reference in such a filing.</w:t>
      </w:r>
    </w:p>
    <w:p>
      <w:pPr>
        <w:spacing w:after="0" w:line="345"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3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8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3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88"/>
              </w:rPr>
              <w:t>Press Release of the Registrant dated March 9,</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2016</w:t>
            </w:r>
          </w:p>
        </w:tc>
        <w:tc>
          <w:tcPr>
            <w:tcW w:w="5880" w:type="dxa"/>
            <w:vAlign w:val="bottom"/>
          </w:tcPr>
          <w:p>
            <w:pPr>
              <w:ind w:left="20"/>
              <w:spacing w:after="0"/>
              <w:rPr>
                <w:sz w:val="20"/>
                <w:szCs w:val="20"/>
                <w:color w:val="auto"/>
              </w:rPr>
            </w:pPr>
            <w:r>
              <w:rPr>
                <w:rFonts w:ascii="Arial" w:cs="Arial" w:eastAsia="Arial" w:hAnsi="Arial"/>
                <w:sz w:val="18"/>
                <w:szCs w:val="18"/>
                <w:color w:val="auto"/>
              </w:rPr>
              <w:t>(Quarterly Earnings)</w:t>
            </w:r>
          </w:p>
        </w:tc>
      </w:tr>
      <w:tr>
        <w:trPr>
          <w:trHeight w:val="270"/>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99.2</w:t>
            </w:r>
          </w:p>
        </w:tc>
        <w:tc>
          <w:tcPr>
            <w:tcW w:w="440" w:type="dxa"/>
            <w:vAlign w:val="bottom"/>
          </w:tcPr>
          <w:p>
            <w:pPr>
              <w:spacing w:after="0"/>
              <w:rPr>
                <w:sz w:val="23"/>
                <w:szCs w:val="23"/>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88"/>
              </w:rPr>
              <w:t>Press Release of the Registrant dated March 7,</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2016</w:t>
            </w:r>
          </w:p>
        </w:tc>
        <w:tc>
          <w:tcPr>
            <w:tcW w:w="5880" w:type="dxa"/>
            <w:vAlign w:val="bottom"/>
          </w:tcPr>
          <w:p>
            <w:pPr>
              <w:ind w:left="20"/>
              <w:spacing w:after="0"/>
              <w:rPr>
                <w:sz w:val="20"/>
                <w:szCs w:val="20"/>
                <w:color w:val="auto"/>
              </w:rPr>
            </w:pPr>
            <w:r>
              <w:rPr>
                <w:rFonts w:ascii="Arial" w:cs="Arial" w:eastAsia="Arial" w:hAnsi="Arial"/>
                <w:sz w:val="18"/>
                <w:szCs w:val="18"/>
                <w:color w:val="auto"/>
              </w:rPr>
              <w:t>(National Media Campaign)</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2016</w:t>
      </w:r>
    </w:p>
    <w:p>
      <w:pPr>
        <w:sectPr>
          <w:pgSz w:w="11900" w:h="16838" w:orient="portrait"/>
          <w:cols w:equalWidth="0" w:num="1">
            <w:col w:w="10880"/>
          </w:cols>
          <w:pgMar w:left="240" w:top="580" w:right="7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280" w:type="dxa"/>
            <w:vAlign w:val="bottom"/>
            <w:gridSpan w:val="4"/>
          </w:tcPr>
          <w:p>
            <w:pPr>
              <w:ind w:left="80"/>
              <w:spacing w:after="0"/>
              <w:rPr>
                <w:sz w:val="20"/>
                <w:szCs w:val="20"/>
                <w:color w:val="auto"/>
              </w:rPr>
            </w:pPr>
            <w:r>
              <w:rPr>
                <w:rFonts w:ascii="Arial" w:cs="Arial" w:eastAsia="Arial" w:hAnsi="Arial"/>
                <w:sz w:val="18"/>
                <w:szCs w:val="18"/>
                <w:color w:val="auto"/>
              </w:rPr>
              <w:t>Exhibit Index</w:t>
            </w:r>
          </w:p>
        </w:tc>
      </w:tr>
      <w:tr>
        <w:trPr>
          <w:trHeight w:val="615"/>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3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80" w:type="dxa"/>
            <w:vAlign w:val="bottom"/>
            <w:gridSpan w:val="2"/>
          </w:tcPr>
          <w:p>
            <w:pPr>
              <w:ind w:left="20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88"/>
              </w:rPr>
              <w:t>Press Release of the Registrant dated March 9,</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2016</w:t>
            </w: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(Quarterly Earnings)</w:t>
            </w:r>
          </w:p>
        </w:tc>
      </w:tr>
      <w:tr>
        <w:trPr>
          <w:trHeight w:val="270"/>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99.2</w:t>
            </w:r>
          </w:p>
        </w:tc>
        <w:tc>
          <w:tcPr>
            <w:tcW w:w="440" w:type="dxa"/>
            <w:vAlign w:val="bottom"/>
          </w:tcPr>
          <w:p>
            <w:pPr>
              <w:spacing w:after="0"/>
              <w:rPr>
                <w:sz w:val="23"/>
                <w:szCs w:val="23"/>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88"/>
              </w:rPr>
              <w:t>Press Release of the Registrant dated March 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2016</w:t>
            </w: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(National Media Campaign)</w:t>
            </w:r>
          </w:p>
        </w:tc>
      </w:tr>
    </w:tbl>
    <w:p>
      <w:pPr>
        <w:sectPr>
          <w:pgSz w:w="11900" w:h="16838" w:orient="portrait"/>
          <w:cols w:equalWidth="0" w:num="1">
            <w:col w:w="11420"/>
          </w:cols>
          <w:pgMar w:left="240" w:top="56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00" w:lineRule="exact"/>
        <w:rPr>
          <w:sz w:val="20"/>
          <w:szCs w:val="20"/>
          <w:color w:val="auto"/>
        </w:rPr>
      </w:pPr>
    </w:p>
    <w:p>
      <w:pPr>
        <w:spacing w:after="0" w:line="343"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Second Quarter and First Six Months of Fiscal 2016 Results</w:t>
      </w:r>
    </w:p>
    <w:p>
      <w:pPr>
        <w:spacing w:after="0" w:line="266"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CHICAGO-(March 9, 2016)-Oil-Dri Corporation of America (NYSE: ODC) today announced net income for the second quarter of fiscal 2016 of $3,821,000, or $0.53 of diluted earnings per share, compared to net income of $2,797,000, or $0.39 of diluted earnings per share, in the same quarter of the prior year. Net sales of $65,367,000 in the quarter increased by 1% compared to net sales of $64,643,000 in the same quarter of the prior year.</w:t>
      </w:r>
    </w:p>
    <w:p>
      <w:pPr>
        <w:spacing w:after="0" w:line="229" w:lineRule="exact"/>
        <w:rPr>
          <w:sz w:val="20"/>
          <w:szCs w:val="20"/>
          <w:color w:val="auto"/>
        </w:rPr>
      </w:pPr>
    </w:p>
    <w:p>
      <w:pPr>
        <w:jc w:val="both"/>
        <w:ind w:right="160"/>
        <w:spacing w:after="0" w:line="271" w:lineRule="auto"/>
        <w:rPr>
          <w:sz w:val="20"/>
          <w:szCs w:val="20"/>
          <w:color w:val="auto"/>
        </w:rPr>
      </w:pPr>
      <w:r>
        <w:rPr>
          <w:rFonts w:ascii="Arial" w:cs="Arial" w:eastAsia="Arial" w:hAnsi="Arial"/>
          <w:sz w:val="21"/>
          <w:szCs w:val="21"/>
          <w:color w:val="auto"/>
        </w:rPr>
        <w:t>Net income for the first six-months was $9,244,000, or $1.28 of diluted earnings per share, up from net income of $4,917,000, or $0.69 of diluted earnings per share, in the same period of fiscal 2015. Net sales for the six-month period were $133,162,000, a 2% increase compared with net sales of $130,687,000 in the same period one year ago.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BUSINESS REVIEW</w:t>
      </w:r>
    </w:p>
    <w:p>
      <w:pPr>
        <w:spacing w:after="0" w:line="266" w:lineRule="exact"/>
        <w:rPr>
          <w:sz w:val="20"/>
          <w:szCs w:val="20"/>
          <w:color w:val="auto"/>
        </w:rPr>
      </w:pPr>
    </w:p>
    <w:p>
      <w:pPr>
        <w:jc w:val="both"/>
        <w:ind w:right="240"/>
        <w:spacing w:after="0" w:line="253" w:lineRule="auto"/>
        <w:rPr>
          <w:sz w:val="20"/>
          <w:szCs w:val="20"/>
          <w:color w:val="auto"/>
        </w:rPr>
      </w:pPr>
      <w:r>
        <w:rPr>
          <w:rFonts w:ascii="Arial" w:cs="Arial" w:eastAsia="Arial" w:hAnsi="Arial"/>
          <w:sz w:val="22"/>
          <w:szCs w:val="22"/>
          <w:color w:val="auto"/>
        </w:rPr>
        <w:t>President and Chief Executive Officer Daniel S. Jaffee said, “The substantial increase in net income was generated by the Retail and Wholesale segment despite only a small increase in sales. Sales for the segment were up 1% in the first six months, while the bottom line increased by 351%.</w:t>
      </w:r>
    </w:p>
    <w:p>
      <w:pPr>
        <w:spacing w:after="0" w:line="186" w:lineRule="exact"/>
        <w:rPr>
          <w:sz w:val="20"/>
          <w:szCs w:val="20"/>
          <w:color w:val="auto"/>
        </w:rPr>
      </w:pPr>
    </w:p>
    <w:p>
      <w:pPr>
        <w:ind w:right="260"/>
        <w:spacing w:after="0" w:line="253" w:lineRule="auto"/>
        <w:rPr>
          <w:sz w:val="20"/>
          <w:szCs w:val="20"/>
          <w:color w:val="auto"/>
        </w:rPr>
      </w:pPr>
      <w:r>
        <w:rPr>
          <w:rFonts w:ascii="Arial" w:cs="Arial" w:eastAsia="Arial" w:hAnsi="Arial"/>
          <w:sz w:val="22"/>
          <w:szCs w:val="22"/>
          <w:color w:val="auto"/>
        </w:rPr>
        <w:t>Net sales of our Fresh &amp; Light and private label lightweight litters increased slightly despite a reduction in promotional spending compared to the second quarter of last year. Our new and improved Fresh &amp; Light Ultimate Care products started shipping in January.</w:t>
      </w:r>
    </w:p>
    <w:p>
      <w:pPr>
        <w:spacing w:after="0" w:line="186"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Overall, the quarter and year-to-date results benefited from a favorable product mix and lower energy, packaging and freight costs. Our margins continue to increase as our commitment to selling higher value products intensifies.”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937" w:right="239" w:bottom="1440" w:gutter="0" w:footer="0" w:header="0"/>
        </w:sectPr>
      </w:pPr>
    </w:p>
    <w:bookmarkStart w:id="5" w:name="page6"/>
    <w:bookmarkEnd w:id="5"/>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700"/>
        <w:spacing w:after="0"/>
        <w:rPr>
          <w:sz w:val="20"/>
          <w:szCs w:val="20"/>
          <w:color w:val="auto"/>
        </w:rPr>
      </w:pPr>
      <w:r>
        <w:rPr>
          <w:rFonts w:ascii="Arial" w:cs="Arial" w:eastAsia="Arial" w:hAnsi="Arial"/>
          <w:sz w:val="22"/>
          <w:szCs w:val="22"/>
          <w:b w:val="1"/>
          <w:bCs w:val="1"/>
          <w:color w:val="auto"/>
        </w:rPr>
        <w:t>SEGMENT REVIEW</w:t>
      </w:r>
    </w:p>
    <w:p>
      <w:pPr>
        <w:spacing w:after="0" w:line="220"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BUSINESS TO BUSINESS</w:t>
      </w:r>
    </w:p>
    <w:p>
      <w:pPr>
        <w:spacing w:after="0" w:line="15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20" w:type="dxa"/>
            <w:vAlign w:val="bottom"/>
            <w:gridSpan w:val="3"/>
          </w:tcPr>
          <w:p>
            <w:pPr>
              <w:jc w:val="right"/>
              <w:ind w:right="245"/>
              <w:spacing w:after="0"/>
              <w:rPr>
                <w:sz w:val="20"/>
                <w:szCs w:val="20"/>
                <w:color w:val="auto"/>
              </w:rPr>
            </w:pPr>
            <w:r>
              <w:rPr>
                <w:rFonts w:ascii="Arial" w:cs="Arial" w:eastAsia="Arial" w:hAnsi="Arial"/>
                <w:sz w:val="19"/>
                <w:szCs w:val="19"/>
                <w:b w:val="1"/>
                <w:bCs w:val="1"/>
                <w:color w:val="auto"/>
              </w:rPr>
              <w:t>Three Month Period</w:t>
            </w: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20" w:type="dxa"/>
            <w:vAlign w:val="bottom"/>
            <w:gridSpan w:val="3"/>
          </w:tcPr>
          <w:p>
            <w:pPr>
              <w:jc w:val="right"/>
              <w:ind w:right="45"/>
              <w:spacing w:after="0"/>
              <w:rPr>
                <w:sz w:val="20"/>
                <w:szCs w:val="20"/>
                <w:color w:val="auto"/>
              </w:rPr>
            </w:pPr>
            <w:r>
              <w:rPr>
                <w:rFonts w:ascii="Arial" w:cs="Arial" w:eastAsia="Arial" w:hAnsi="Arial"/>
                <w:sz w:val="19"/>
                <w:szCs w:val="19"/>
                <w:b w:val="1"/>
                <w:bCs w:val="1"/>
                <w:color w:val="auto"/>
              </w:rPr>
              <w:t>November 1 - January 31</w:t>
            </w: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ind w:left="400"/>
              <w:spacing w:after="0"/>
              <w:rPr>
                <w:sz w:val="20"/>
                <w:szCs w:val="20"/>
                <w:color w:val="auto"/>
              </w:rPr>
            </w:pPr>
            <w:r>
              <w:rPr>
                <w:rFonts w:ascii="Arial" w:cs="Arial" w:eastAsia="Arial" w:hAnsi="Arial"/>
                <w:sz w:val="19"/>
                <w:szCs w:val="19"/>
                <w:b w:val="1"/>
                <w:bCs w:val="1"/>
                <w:color w:val="auto"/>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9"/>
                <w:szCs w:val="19"/>
                <w:b w:val="1"/>
                <w:bCs w:val="1"/>
                <w:color w:val="auto"/>
              </w:rPr>
              <w:t>Fiscal 2016</w:t>
            </w:r>
          </w:p>
        </w:tc>
        <w:tc>
          <w:tcPr>
            <w:tcW w:w="10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b w:val="1"/>
                <w:bCs w:val="1"/>
                <w:color w:val="auto"/>
                <w:w w:val="98"/>
              </w:rPr>
              <w:t>Fiscal 2015</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640" w:type="dxa"/>
            <w:vAlign w:val="bottom"/>
            <w:tcBorders>
              <w:top w:val="single" w:sz="8" w:color="auto"/>
            </w:tcBorders>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22,625,000</w:t>
            </w:r>
          </w:p>
        </w:tc>
        <w:tc>
          <w:tcPr>
            <w:tcW w:w="300" w:type="dxa"/>
            <w:vAlign w:val="bottom"/>
          </w:tcPr>
          <w:p>
            <w:pPr>
              <w:spacing w:after="0"/>
              <w:rPr>
                <w:sz w:val="20"/>
                <w:szCs w:val="20"/>
                <w:color w:val="auto"/>
              </w:rPr>
            </w:pPr>
          </w:p>
        </w:tc>
        <w:tc>
          <w:tcPr>
            <w:tcW w:w="1020" w:type="dxa"/>
            <w:vAlign w:val="bottom"/>
            <w:tcBorders>
              <w:top w:val="single" w:sz="8" w:color="auto"/>
            </w:tcBorders>
          </w:tcPr>
          <w:p>
            <w:pPr>
              <w:jc w:val="right"/>
              <w:ind w:right="805"/>
              <w:spacing w:after="0"/>
              <w:rPr>
                <w:sz w:val="20"/>
                <w:szCs w:val="20"/>
                <w:color w:val="auto"/>
              </w:rPr>
            </w:pPr>
            <w:r>
              <w:rPr>
                <w:rFonts w:ascii="Arial" w:cs="Arial" w:eastAsia="Arial" w:hAnsi="Arial"/>
                <w:sz w:val="19"/>
                <w:szCs w:val="19"/>
                <w:color w:val="auto"/>
                <w:w w:val="94"/>
              </w:rPr>
              <w:t>$</w:t>
            </w:r>
          </w:p>
        </w:tc>
        <w:tc>
          <w:tcPr>
            <w:tcW w:w="112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23,047,000</w:t>
            </w:r>
          </w:p>
        </w:tc>
        <w:tc>
          <w:tcPr>
            <w:tcW w:w="300" w:type="dxa"/>
            <w:vAlign w:val="bottom"/>
          </w:tcPr>
          <w:p>
            <w:pPr>
              <w:spacing w:after="0"/>
              <w:rPr>
                <w:sz w:val="20"/>
                <w:szCs w:val="20"/>
                <w:color w:val="auto"/>
              </w:rPr>
            </w:pPr>
          </w:p>
        </w:tc>
        <w:tc>
          <w:tcPr>
            <w:tcW w:w="1420" w:type="dxa"/>
            <w:vAlign w:val="bottom"/>
          </w:tcPr>
          <w:p>
            <w:pPr>
              <w:jc w:val="right"/>
              <w:ind w:right="465"/>
              <w:spacing w:after="0"/>
              <w:rPr>
                <w:sz w:val="20"/>
                <w:szCs w:val="20"/>
                <w:color w:val="auto"/>
              </w:rPr>
            </w:pPr>
            <w:r>
              <w:rPr>
                <w:rFonts w:ascii="Arial" w:cs="Arial" w:eastAsia="Arial" w:hAnsi="Arial"/>
                <w:sz w:val="19"/>
                <w:szCs w:val="19"/>
                <w:color w:val="auto"/>
              </w:rPr>
              <w:t>-2%</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640" w:type="dxa"/>
            <w:vAlign w:val="bottom"/>
            <w:tcBorders>
              <w:bottom w:val="single" w:sz="8" w:color="CCEEFF"/>
            </w:tcBorders>
            <w:shd w:val="clear" w:color="auto" w:fill="CCEEFF"/>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7,576,000</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05"/>
              <w:spacing w:after="0"/>
              <w:rPr>
                <w:sz w:val="20"/>
                <w:szCs w:val="20"/>
                <w:color w:val="auto"/>
              </w:rPr>
            </w:pPr>
            <w:r>
              <w:rPr>
                <w:rFonts w:ascii="Arial" w:cs="Arial" w:eastAsia="Arial" w:hAnsi="Arial"/>
                <w:sz w:val="19"/>
                <w:szCs w:val="19"/>
                <w:color w:val="auto"/>
                <w:w w:val="94"/>
              </w:rPr>
              <w:t>$</w:t>
            </w:r>
          </w:p>
        </w:tc>
        <w:tc>
          <w:tcPr>
            <w:tcW w:w="11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7,443,000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85"/>
              <w:spacing w:after="0"/>
              <w:rPr>
                <w:sz w:val="20"/>
                <w:szCs w:val="20"/>
                <w:color w:val="auto"/>
              </w:rPr>
            </w:pPr>
            <w:r>
              <w:rPr>
                <w:rFonts w:ascii="Arial" w:cs="Arial" w:eastAsia="Arial" w:hAnsi="Arial"/>
                <w:sz w:val="19"/>
                <w:szCs w:val="19"/>
                <w:color w:val="auto"/>
              </w:rPr>
              <w:t>2%</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Six Month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760" w:type="dxa"/>
            <w:vAlign w:val="bottom"/>
            <w:gridSpan w:val="3"/>
          </w:tcPr>
          <w:p>
            <w:pPr>
              <w:jc w:val="right"/>
              <w:ind w:right="285"/>
              <w:spacing w:after="0"/>
              <w:rPr>
                <w:sz w:val="20"/>
                <w:szCs w:val="20"/>
                <w:color w:val="auto"/>
              </w:rPr>
            </w:pPr>
            <w:r>
              <w:rPr>
                <w:rFonts w:ascii="Arial" w:cs="Arial" w:eastAsia="Arial" w:hAnsi="Arial"/>
                <w:sz w:val="19"/>
                <w:szCs w:val="19"/>
                <w:b w:val="1"/>
                <w:bCs w:val="1"/>
                <w:color w:val="auto"/>
              </w:rPr>
              <w:t>Six Month Period</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760" w:type="dxa"/>
            <w:vAlign w:val="bottom"/>
            <w:gridSpan w:val="3"/>
          </w:tcPr>
          <w:p>
            <w:pPr>
              <w:jc w:val="right"/>
              <w:ind w:right="105"/>
              <w:spacing w:after="0"/>
              <w:rPr>
                <w:sz w:val="20"/>
                <w:szCs w:val="20"/>
                <w:color w:val="auto"/>
              </w:rPr>
            </w:pPr>
            <w:r>
              <w:rPr>
                <w:rFonts w:ascii="Arial" w:cs="Arial" w:eastAsia="Arial" w:hAnsi="Arial"/>
                <w:sz w:val="19"/>
                <w:szCs w:val="19"/>
                <w:b w:val="1"/>
                <w:bCs w:val="1"/>
                <w:color w:val="auto"/>
              </w:rPr>
              <w:t>August 1 - January 31</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ind w:left="400"/>
              <w:spacing w:after="0"/>
              <w:rPr>
                <w:sz w:val="20"/>
                <w:szCs w:val="20"/>
                <w:color w:val="auto"/>
              </w:rPr>
            </w:pPr>
            <w:r>
              <w:rPr>
                <w:rFonts w:ascii="Arial" w:cs="Arial" w:eastAsia="Arial" w:hAnsi="Arial"/>
                <w:sz w:val="19"/>
                <w:szCs w:val="19"/>
                <w:b w:val="1"/>
                <w:bCs w:val="1"/>
                <w:color w:val="auto"/>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9"/>
                <w:szCs w:val="19"/>
                <w:b w:val="1"/>
                <w:bCs w:val="1"/>
                <w:color w:val="auto"/>
              </w:rPr>
              <w:t>Fiscal 2016</w:t>
            </w:r>
          </w:p>
        </w:tc>
        <w:tc>
          <w:tcPr>
            <w:tcW w:w="9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b w:val="1"/>
                <w:bCs w:val="1"/>
                <w:color w:val="auto"/>
              </w:rPr>
              <w:t>Fiscal 2015</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640" w:type="dxa"/>
            <w:vAlign w:val="bottom"/>
            <w:tcBorders>
              <w:top w:val="single" w:sz="8" w:color="auto"/>
            </w:tcBorders>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48,446,000</w:t>
            </w:r>
          </w:p>
        </w:tc>
        <w:tc>
          <w:tcPr>
            <w:tcW w:w="300" w:type="dxa"/>
            <w:vAlign w:val="bottom"/>
          </w:tcPr>
          <w:p>
            <w:pPr>
              <w:spacing w:after="0"/>
              <w:rPr>
                <w:sz w:val="20"/>
                <w:szCs w:val="20"/>
                <w:color w:val="auto"/>
              </w:rPr>
            </w:pPr>
          </w:p>
        </w:tc>
        <w:tc>
          <w:tcPr>
            <w:tcW w:w="960" w:type="dxa"/>
            <w:vAlign w:val="bottom"/>
            <w:tcBorders>
              <w:top w:val="single" w:sz="8" w:color="auto"/>
            </w:tcBorders>
          </w:tcPr>
          <w:p>
            <w:pPr>
              <w:jc w:val="right"/>
              <w:ind w:right="745"/>
              <w:spacing w:after="0"/>
              <w:rPr>
                <w:sz w:val="20"/>
                <w:szCs w:val="20"/>
                <w:color w:val="auto"/>
              </w:rPr>
            </w:pPr>
            <w:r>
              <w:rPr>
                <w:rFonts w:ascii="Arial" w:cs="Arial" w:eastAsia="Arial" w:hAnsi="Arial"/>
                <w:sz w:val="19"/>
                <w:szCs w:val="19"/>
                <w:color w:val="auto"/>
                <w:w w:val="94"/>
              </w:rPr>
              <w:t>$</w:t>
            </w:r>
          </w:p>
        </w:tc>
        <w:tc>
          <w:tcPr>
            <w:tcW w:w="11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46,695,000</w:t>
            </w:r>
          </w:p>
        </w:tc>
        <w:tc>
          <w:tcPr>
            <w:tcW w:w="300" w:type="dxa"/>
            <w:vAlign w:val="bottom"/>
          </w:tcPr>
          <w:p>
            <w:pPr>
              <w:spacing w:after="0"/>
              <w:rPr>
                <w:sz w:val="20"/>
                <w:szCs w:val="20"/>
                <w:color w:val="auto"/>
              </w:rPr>
            </w:pPr>
          </w:p>
        </w:tc>
        <w:tc>
          <w:tcPr>
            <w:tcW w:w="1420" w:type="dxa"/>
            <w:vAlign w:val="bottom"/>
          </w:tcPr>
          <w:p>
            <w:pPr>
              <w:jc w:val="right"/>
              <w:ind w:right="485"/>
              <w:spacing w:after="0"/>
              <w:rPr>
                <w:sz w:val="20"/>
                <w:szCs w:val="20"/>
                <w:color w:val="auto"/>
              </w:rPr>
            </w:pPr>
            <w:r>
              <w:rPr>
                <w:rFonts w:ascii="Arial" w:cs="Arial" w:eastAsia="Arial" w:hAnsi="Arial"/>
                <w:sz w:val="19"/>
                <w:szCs w:val="19"/>
                <w:color w:val="auto"/>
              </w:rPr>
              <w:t>4%</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640" w:type="dxa"/>
            <w:vAlign w:val="bottom"/>
            <w:tcBorders>
              <w:bottom w:val="single" w:sz="8" w:color="CCEEFF"/>
            </w:tcBorders>
            <w:shd w:val="clear" w:color="auto" w:fill="CCEEFF"/>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16,745,000</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5"/>
              <w:spacing w:after="0"/>
              <w:rPr>
                <w:sz w:val="20"/>
                <w:szCs w:val="20"/>
                <w:color w:val="auto"/>
              </w:rPr>
            </w:pPr>
            <w:r>
              <w:rPr>
                <w:rFonts w:ascii="Arial" w:cs="Arial" w:eastAsia="Arial" w:hAnsi="Arial"/>
                <w:sz w:val="19"/>
                <w:szCs w:val="19"/>
                <w:color w:val="auto"/>
                <w:w w:val="94"/>
              </w:rPr>
              <w:t>$</w:t>
            </w: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14,314,000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45"/>
              <w:spacing w:after="0"/>
              <w:rPr>
                <w:sz w:val="20"/>
                <w:szCs w:val="20"/>
                <w:color w:val="auto"/>
              </w:rPr>
            </w:pPr>
            <w:r>
              <w:rPr>
                <w:rFonts w:ascii="Arial" w:cs="Arial" w:eastAsia="Arial" w:hAnsi="Arial"/>
                <w:sz w:val="19"/>
                <w:szCs w:val="19"/>
                <w:color w:val="auto"/>
              </w:rPr>
              <w:t>17%</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49"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Verge engineered granules and Agsorb agricultural carriers performed exceptionally well due to growth from both existing and new customers. Agricultural product sales increased 13% in the quarter and 27% in the six-month period.</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Net sales of Pure-Flo fluids purification products and Amlan animal health products were down in both periods. Amlan's expenses increased due to the launch of two new intestinal health products, Varium and NeoPrime.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Segment income improved in both periods due to lower natural gas, freight and packaging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380"/>
          </w:cols>
          <w:pgMar w:left="240" w:top="1440" w:right="279" w:bottom="1440" w:gutter="0" w:footer="0" w:header="0"/>
        </w:sectPr>
      </w:pPr>
    </w:p>
    <w:bookmarkStart w:id="6" w:name="page7"/>
    <w:bookmarkEnd w:id="6"/>
    <w:p>
      <w:pPr>
        <w:ind w:left="43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RETAIL AND WHOLESALE</w:t>
      </w:r>
    </w:p>
    <w:p>
      <w:pPr>
        <w:spacing w:after="0" w:line="152"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20" w:type="dxa"/>
            <w:vAlign w:val="bottom"/>
            <w:gridSpan w:val="3"/>
          </w:tcPr>
          <w:p>
            <w:pPr>
              <w:jc w:val="right"/>
              <w:ind w:right="245"/>
              <w:spacing w:after="0"/>
              <w:rPr>
                <w:sz w:val="20"/>
                <w:szCs w:val="20"/>
                <w:color w:val="auto"/>
              </w:rPr>
            </w:pPr>
            <w:r>
              <w:rPr>
                <w:rFonts w:ascii="Arial" w:cs="Arial" w:eastAsia="Arial" w:hAnsi="Arial"/>
                <w:sz w:val="19"/>
                <w:szCs w:val="19"/>
                <w:b w:val="1"/>
                <w:bCs w:val="1"/>
                <w:color w:val="auto"/>
              </w:rPr>
              <w:t>Three Month Period</w:t>
            </w: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20" w:type="dxa"/>
            <w:vAlign w:val="bottom"/>
            <w:gridSpan w:val="3"/>
          </w:tcPr>
          <w:p>
            <w:pPr>
              <w:jc w:val="right"/>
              <w:ind w:right="45"/>
              <w:spacing w:after="0"/>
              <w:rPr>
                <w:sz w:val="20"/>
                <w:szCs w:val="20"/>
                <w:color w:val="auto"/>
              </w:rPr>
            </w:pPr>
            <w:r>
              <w:rPr>
                <w:rFonts w:ascii="Arial" w:cs="Arial" w:eastAsia="Arial" w:hAnsi="Arial"/>
                <w:sz w:val="19"/>
                <w:szCs w:val="19"/>
                <w:b w:val="1"/>
                <w:bCs w:val="1"/>
                <w:color w:val="auto"/>
              </w:rPr>
              <w:t>November 1 - January 31</w:t>
            </w: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ind w:left="400"/>
              <w:spacing w:after="0"/>
              <w:rPr>
                <w:sz w:val="20"/>
                <w:szCs w:val="20"/>
                <w:color w:val="auto"/>
              </w:rPr>
            </w:pPr>
            <w:r>
              <w:rPr>
                <w:rFonts w:ascii="Arial" w:cs="Arial" w:eastAsia="Arial" w:hAnsi="Arial"/>
                <w:sz w:val="19"/>
                <w:szCs w:val="19"/>
                <w:b w:val="1"/>
                <w:bCs w:val="1"/>
                <w:color w:val="auto"/>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9"/>
                <w:szCs w:val="19"/>
                <w:b w:val="1"/>
                <w:bCs w:val="1"/>
                <w:color w:val="auto"/>
              </w:rPr>
              <w:t>Fiscal 2016</w:t>
            </w:r>
          </w:p>
        </w:tc>
        <w:tc>
          <w:tcPr>
            <w:tcW w:w="10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b w:val="1"/>
                <w:bCs w:val="1"/>
                <w:color w:val="auto"/>
                <w:w w:val="98"/>
              </w:rPr>
              <w:t>Fiscal 2015</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640" w:type="dxa"/>
            <w:vAlign w:val="bottom"/>
            <w:tcBorders>
              <w:top w:val="single" w:sz="8" w:color="auto"/>
            </w:tcBorders>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42,742,000</w:t>
            </w:r>
          </w:p>
        </w:tc>
        <w:tc>
          <w:tcPr>
            <w:tcW w:w="300" w:type="dxa"/>
            <w:vAlign w:val="bottom"/>
          </w:tcPr>
          <w:p>
            <w:pPr>
              <w:spacing w:after="0"/>
              <w:rPr>
                <w:sz w:val="20"/>
                <w:szCs w:val="20"/>
                <w:color w:val="auto"/>
              </w:rPr>
            </w:pPr>
          </w:p>
        </w:tc>
        <w:tc>
          <w:tcPr>
            <w:tcW w:w="1020" w:type="dxa"/>
            <w:vAlign w:val="bottom"/>
            <w:tcBorders>
              <w:top w:val="single" w:sz="8" w:color="auto"/>
            </w:tcBorders>
          </w:tcPr>
          <w:p>
            <w:pPr>
              <w:jc w:val="right"/>
              <w:ind w:right="805"/>
              <w:spacing w:after="0"/>
              <w:rPr>
                <w:sz w:val="20"/>
                <w:szCs w:val="20"/>
                <w:color w:val="auto"/>
              </w:rPr>
            </w:pPr>
            <w:r>
              <w:rPr>
                <w:rFonts w:ascii="Arial" w:cs="Arial" w:eastAsia="Arial" w:hAnsi="Arial"/>
                <w:sz w:val="19"/>
                <w:szCs w:val="19"/>
                <w:color w:val="auto"/>
                <w:w w:val="94"/>
              </w:rPr>
              <w:t>$</w:t>
            </w:r>
          </w:p>
        </w:tc>
        <w:tc>
          <w:tcPr>
            <w:tcW w:w="112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41,596,000</w:t>
            </w:r>
          </w:p>
        </w:tc>
        <w:tc>
          <w:tcPr>
            <w:tcW w:w="30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9"/>
                <w:szCs w:val="19"/>
                <w:color w:val="auto"/>
              </w:rPr>
              <w:t>3%</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640" w:type="dxa"/>
            <w:vAlign w:val="bottom"/>
            <w:tcBorders>
              <w:bottom w:val="single" w:sz="8" w:color="CCEEFF"/>
            </w:tcBorders>
            <w:shd w:val="clear" w:color="auto" w:fill="CCEEFF"/>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4,295,000</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05"/>
              <w:spacing w:after="0"/>
              <w:rPr>
                <w:sz w:val="20"/>
                <w:szCs w:val="20"/>
                <w:color w:val="auto"/>
              </w:rPr>
            </w:pPr>
            <w:r>
              <w:rPr>
                <w:rFonts w:ascii="Arial" w:cs="Arial" w:eastAsia="Arial" w:hAnsi="Arial"/>
                <w:sz w:val="19"/>
                <w:szCs w:val="19"/>
                <w:color w:val="auto"/>
                <w:w w:val="94"/>
              </w:rPr>
              <w:t>$</w:t>
            </w:r>
          </w:p>
        </w:tc>
        <w:tc>
          <w:tcPr>
            <w:tcW w:w="11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1,262,000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6"/>
                <w:szCs w:val="16"/>
                <w:color w:val="auto"/>
              </w:rPr>
              <w:t>240%</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Six Month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760" w:type="dxa"/>
            <w:vAlign w:val="bottom"/>
            <w:gridSpan w:val="3"/>
          </w:tcPr>
          <w:p>
            <w:pPr>
              <w:jc w:val="right"/>
              <w:ind w:right="285"/>
              <w:spacing w:after="0"/>
              <w:rPr>
                <w:sz w:val="20"/>
                <w:szCs w:val="20"/>
                <w:color w:val="auto"/>
              </w:rPr>
            </w:pPr>
            <w:r>
              <w:rPr>
                <w:rFonts w:ascii="Arial" w:cs="Arial" w:eastAsia="Arial" w:hAnsi="Arial"/>
                <w:sz w:val="19"/>
                <w:szCs w:val="19"/>
                <w:b w:val="1"/>
                <w:bCs w:val="1"/>
                <w:color w:val="auto"/>
              </w:rPr>
              <w:t>Six Month Period</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760" w:type="dxa"/>
            <w:vAlign w:val="bottom"/>
            <w:gridSpan w:val="3"/>
          </w:tcPr>
          <w:p>
            <w:pPr>
              <w:jc w:val="right"/>
              <w:ind w:right="105"/>
              <w:spacing w:after="0"/>
              <w:rPr>
                <w:sz w:val="20"/>
                <w:szCs w:val="20"/>
                <w:color w:val="auto"/>
              </w:rPr>
            </w:pPr>
            <w:r>
              <w:rPr>
                <w:rFonts w:ascii="Arial" w:cs="Arial" w:eastAsia="Arial" w:hAnsi="Arial"/>
                <w:sz w:val="19"/>
                <w:szCs w:val="19"/>
                <w:b w:val="1"/>
                <w:bCs w:val="1"/>
                <w:color w:val="auto"/>
              </w:rPr>
              <w:t>August 1 - January 31</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ind w:left="400"/>
              <w:spacing w:after="0"/>
              <w:rPr>
                <w:sz w:val="20"/>
                <w:szCs w:val="20"/>
                <w:color w:val="auto"/>
              </w:rPr>
            </w:pPr>
            <w:r>
              <w:rPr>
                <w:rFonts w:ascii="Arial" w:cs="Arial" w:eastAsia="Arial" w:hAnsi="Arial"/>
                <w:sz w:val="19"/>
                <w:szCs w:val="19"/>
                <w:b w:val="1"/>
                <w:bCs w:val="1"/>
                <w:color w:val="auto"/>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9"/>
                <w:szCs w:val="19"/>
                <w:b w:val="1"/>
                <w:bCs w:val="1"/>
                <w:color w:val="auto"/>
              </w:rPr>
              <w:t>Fiscal 2016</w:t>
            </w:r>
          </w:p>
        </w:tc>
        <w:tc>
          <w:tcPr>
            <w:tcW w:w="9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b w:val="1"/>
                <w:bCs w:val="1"/>
                <w:color w:val="auto"/>
              </w:rPr>
              <w:t>Fiscal 2015</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640" w:type="dxa"/>
            <w:vAlign w:val="bottom"/>
            <w:tcBorders>
              <w:top w:val="single" w:sz="8" w:color="auto"/>
            </w:tcBorders>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84,716,000</w:t>
            </w:r>
          </w:p>
        </w:tc>
        <w:tc>
          <w:tcPr>
            <w:tcW w:w="300" w:type="dxa"/>
            <w:vAlign w:val="bottom"/>
          </w:tcPr>
          <w:p>
            <w:pPr>
              <w:spacing w:after="0"/>
              <w:rPr>
                <w:sz w:val="20"/>
                <w:szCs w:val="20"/>
                <w:color w:val="auto"/>
              </w:rPr>
            </w:pPr>
          </w:p>
        </w:tc>
        <w:tc>
          <w:tcPr>
            <w:tcW w:w="960" w:type="dxa"/>
            <w:vAlign w:val="bottom"/>
            <w:tcBorders>
              <w:top w:val="single" w:sz="8" w:color="auto"/>
            </w:tcBorders>
          </w:tcPr>
          <w:p>
            <w:pPr>
              <w:jc w:val="right"/>
              <w:ind w:right="745"/>
              <w:spacing w:after="0"/>
              <w:rPr>
                <w:sz w:val="20"/>
                <w:szCs w:val="20"/>
                <w:color w:val="auto"/>
              </w:rPr>
            </w:pPr>
            <w:r>
              <w:rPr>
                <w:rFonts w:ascii="Arial" w:cs="Arial" w:eastAsia="Arial" w:hAnsi="Arial"/>
                <w:sz w:val="19"/>
                <w:szCs w:val="19"/>
                <w:color w:val="auto"/>
                <w:w w:val="94"/>
              </w:rPr>
              <w:t>$</w:t>
            </w:r>
          </w:p>
        </w:tc>
        <w:tc>
          <w:tcPr>
            <w:tcW w:w="11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83,992,000</w:t>
            </w:r>
          </w:p>
        </w:tc>
        <w:tc>
          <w:tcPr>
            <w:tcW w:w="300" w:type="dxa"/>
            <w:vAlign w:val="bottom"/>
          </w:tcPr>
          <w:p>
            <w:pPr>
              <w:spacing w:after="0"/>
              <w:rPr>
                <w:sz w:val="20"/>
                <w:szCs w:val="20"/>
                <w:color w:val="auto"/>
              </w:rPr>
            </w:pPr>
          </w:p>
        </w:tc>
        <w:tc>
          <w:tcPr>
            <w:tcW w:w="1420" w:type="dxa"/>
            <w:vAlign w:val="bottom"/>
          </w:tcPr>
          <w:p>
            <w:pPr>
              <w:jc w:val="right"/>
              <w:ind w:right="485"/>
              <w:spacing w:after="0"/>
              <w:rPr>
                <w:sz w:val="20"/>
                <w:szCs w:val="20"/>
                <w:color w:val="auto"/>
              </w:rPr>
            </w:pPr>
            <w:r>
              <w:rPr>
                <w:rFonts w:ascii="Arial" w:cs="Arial" w:eastAsia="Arial" w:hAnsi="Arial"/>
                <w:sz w:val="19"/>
                <w:szCs w:val="19"/>
                <w:color w:val="auto"/>
              </w:rPr>
              <w:t>1%</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640" w:type="dxa"/>
            <w:vAlign w:val="bottom"/>
            <w:tcBorders>
              <w:bottom w:val="single" w:sz="8" w:color="CCEEFF"/>
            </w:tcBorders>
            <w:shd w:val="clear" w:color="auto" w:fill="CCEEFF"/>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9,697,000</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5"/>
              <w:spacing w:after="0"/>
              <w:rPr>
                <w:sz w:val="20"/>
                <w:szCs w:val="20"/>
                <w:color w:val="auto"/>
              </w:rPr>
            </w:pPr>
            <w:r>
              <w:rPr>
                <w:rFonts w:ascii="Arial" w:cs="Arial" w:eastAsia="Arial" w:hAnsi="Arial"/>
                <w:sz w:val="19"/>
                <w:szCs w:val="19"/>
                <w:color w:val="auto"/>
                <w:w w:val="94"/>
              </w:rPr>
              <w:t>$</w:t>
            </w: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2,148,000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85"/>
              <w:spacing w:after="0"/>
              <w:rPr>
                <w:sz w:val="20"/>
                <w:szCs w:val="20"/>
                <w:color w:val="auto"/>
              </w:rPr>
            </w:pPr>
            <w:r>
              <w:rPr>
                <w:rFonts w:ascii="Arial" w:cs="Arial" w:eastAsia="Arial" w:hAnsi="Arial"/>
                <w:sz w:val="19"/>
                <w:szCs w:val="19"/>
                <w:color w:val="auto"/>
              </w:rPr>
              <w:t>351%</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net sales increase in both the second quarter and six-month periods was driven by our branded and private label lightweight cat litters, including the recently introduced Fresh &amp; Light Ultimate Care products.</w:t>
      </w:r>
    </w:p>
    <w:p>
      <w:pPr>
        <w:spacing w:after="0" w:line="175"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Segment income improved in both the second quarter and the six-month periods due to a favorable product mix, reduced trade spending and lower costs for natural gas, freight and packaging.</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380"/>
          </w:cols>
          <w:pgMar w:left="240" w:top="1409" w:right="279" w:bottom="1440" w:gutter="0" w:footer="0" w:header="0"/>
        </w:sectPr>
      </w:pPr>
    </w:p>
    <w:bookmarkStart w:id="7" w:name="page8"/>
    <w:bookmarkEnd w:id="7"/>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FINANCIAL REVIEW</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Cash, cash equivalents, and short-term investments at January 31, 2016 totaled $28,919,000, compared to $13,703,000 a year ago.</w:t>
      </w:r>
    </w:p>
    <w:p>
      <w:pPr>
        <w:spacing w:after="0" w:line="308" w:lineRule="exact"/>
        <w:rPr>
          <w:sz w:val="20"/>
          <w:szCs w:val="20"/>
          <w:color w:val="auto"/>
        </w:rPr>
      </w:pPr>
    </w:p>
    <w:p>
      <w:pPr>
        <w:ind w:right="280"/>
        <w:spacing w:after="0" w:line="343" w:lineRule="auto"/>
        <w:rPr>
          <w:sz w:val="20"/>
          <w:szCs w:val="20"/>
          <w:color w:val="auto"/>
        </w:rPr>
      </w:pPr>
      <w:r>
        <w:rPr>
          <w:rFonts w:ascii="Arial" w:cs="Arial" w:eastAsia="Arial" w:hAnsi="Arial"/>
          <w:sz w:val="19"/>
          <w:szCs w:val="19"/>
          <w:color w:val="auto"/>
        </w:rPr>
        <w:t>Cash provided by operating activities was $17,051,000 for the six months ended January 31, 2016, which was $6,444,000 higher than the $10,607,000 for the same period of last year, due to higher net income and overall positive changes in working capital.</w:t>
      </w:r>
    </w:p>
    <w:p>
      <w:pPr>
        <w:spacing w:after="0" w:line="199" w:lineRule="exact"/>
        <w:rPr>
          <w:sz w:val="20"/>
          <w:szCs w:val="20"/>
          <w:color w:val="auto"/>
        </w:rPr>
      </w:pPr>
    </w:p>
    <w:p>
      <w:pPr>
        <w:ind w:right="260"/>
        <w:spacing w:after="0" w:line="343" w:lineRule="auto"/>
        <w:rPr>
          <w:sz w:val="20"/>
          <w:szCs w:val="20"/>
          <w:color w:val="auto"/>
        </w:rPr>
      </w:pPr>
      <w:r>
        <w:rPr>
          <w:rFonts w:ascii="Arial" w:cs="Arial" w:eastAsia="Arial" w:hAnsi="Arial"/>
          <w:sz w:val="19"/>
          <w:szCs w:val="19"/>
          <w:color w:val="auto"/>
        </w:rPr>
        <w:t>Capital expenditures for the six months ended January 31, 2016 totaled $4,795,000, which was $1,119,000 less than depreciation and amortization of $5,914,000. By comparison, capital expenditures totaled $9,920,000 in the same period of last year.</w:t>
      </w:r>
    </w:p>
    <w:p>
      <w:pPr>
        <w:spacing w:after="0" w:line="159" w:lineRule="exact"/>
        <w:rPr>
          <w:sz w:val="20"/>
          <w:szCs w:val="20"/>
          <w:color w:val="auto"/>
        </w:rPr>
      </w:pPr>
    </w:p>
    <w:p>
      <w:pPr>
        <w:ind w:right="100"/>
        <w:spacing w:after="0" w:line="261" w:lineRule="auto"/>
        <w:rPr>
          <w:sz w:val="20"/>
          <w:szCs w:val="20"/>
          <w:color w:val="auto"/>
        </w:rPr>
      </w:pPr>
      <w:r>
        <w:rPr>
          <w:rFonts w:ascii="Arial" w:cs="Arial" w:eastAsia="Arial" w:hAnsi="Arial"/>
          <w:sz w:val="21"/>
          <w:szCs w:val="21"/>
          <w:color w:val="auto"/>
        </w:rPr>
        <w:t>On December 8, 2015, Oil-Dri’s Board of Directors declared quarterly cash dividends of $0.21 per share of outstanding Common Stock and $0.1575 per share of outstanding Class B Stock. The dividends were paid on March 4, 2016, to stockholders of record at the close of business on February 19, 2016. The Company has paid cash dividends continuously since 1974 and has increased dividends annually for the past twelve years. At the end of the second quarter, the annualized dividend yield on the Company’s Common Stock was 2.2%, based on the closing stock price on January 29, 2016 of $37.50 per share and the latest quarterly cash dividend of $0.21 per share.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LOOKING FORWARD</w:t>
      </w:r>
    </w:p>
    <w:p>
      <w:pPr>
        <w:spacing w:after="0" w:line="266"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President and Chief Executive Officer Daniel Jaffee continued, “We are very excited to have announced the new and improved Cat’s Pride Fresh &amp; Light Ultimate Care. We believe in our high value products and early results indicate that our customers do too.</w:t>
      </w:r>
    </w:p>
    <w:p>
      <w:pPr>
        <w:spacing w:after="0" w:line="105" w:lineRule="exact"/>
        <w:rPr>
          <w:sz w:val="20"/>
          <w:szCs w:val="20"/>
          <w:color w:val="auto"/>
        </w:rPr>
      </w:pPr>
    </w:p>
    <w:p>
      <w:pPr>
        <w:jc w:val="both"/>
        <w:ind w:right="420"/>
        <w:spacing w:after="0" w:line="253" w:lineRule="auto"/>
        <w:rPr>
          <w:sz w:val="20"/>
          <w:szCs w:val="20"/>
          <w:color w:val="auto"/>
        </w:rPr>
      </w:pPr>
      <w:r>
        <w:rPr>
          <w:rFonts w:ascii="Arial" w:cs="Arial" w:eastAsia="Arial" w:hAnsi="Arial"/>
          <w:sz w:val="22"/>
          <w:szCs w:val="22"/>
          <w:color w:val="auto"/>
        </w:rPr>
        <w:t>According to third party market research, the overall cat litter category has grown by 4.4% in the latest 12-week period, ending January 31, 2016. Sales of lightweight scoopable litters grew 44%, and reported retail sales of our lightweight scoopable litters grew 11.4% in the period.</w:t>
      </w:r>
    </w:p>
    <w:p>
      <w:pPr>
        <w:spacing w:after="0" w:line="186" w:lineRule="exact"/>
        <w:rPr>
          <w:sz w:val="20"/>
          <w:szCs w:val="20"/>
          <w:color w:val="auto"/>
        </w:rPr>
      </w:pPr>
    </w:p>
    <w:p>
      <w:pPr>
        <w:ind w:right="80"/>
        <w:spacing w:after="0" w:line="248" w:lineRule="auto"/>
        <w:rPr>
          <w:sz w:val="20"/>
          <w:szCs w:val="20"/>
          <w:color w:val="auto"/>
        </w:rPr>
      </w:pPr>
      <w:r>
        <w:rPr>
          <w:rFonts w:ascii="Arial" w:cs="Arial" w:eastAsia="Arial" w:hAnsi="Arial"/>
          <w:sz w:val="22"/>
          <w:szCs w:val="22"/>
          <w:color w:val="auto"/>
        </w:rPr>
        <w:t>We plan to enhance the presence of our brand on a national level by rolling out our largest media effort to date. We have developed a national campaign featuring actress Katherine Heigl which includes TV, print, digital and radio advertising. The campaign highlights Fresh &amp; Light Ultimate Care’s superior performance. Concurrently, we are very proud to have announced a partnership with the Jason Debus Heigl Foundation. A portion of every Ultimate Care sale will support the Foundation’s animal advocacy work.</w:t>
      </w:r>
    </w:p>
    <w:p>
      <w:pPr>
        <w:spacing w:after="0" w:line="192" w:lineRule="exact"/>
        <w:rPr>
          <w:sz w:val="20"/>
          <w:szCs w:val="20"/>
          <w:color w:val="auto"/>
        </w:rPr>
      </w:pPr>
    </w:p>
    <w:p>
      <w:pPr>
        <w:ind w:right="160"/>
        <w:spacing w:after="0" w:line="343" w:lineRule="auto"/>
        <w:rPr>
          <w:sz w:val="20"/>
          <w:szCs w:val="20"/>
          <w:color w:val="auto"/>
        </w:rPr>
      </w:pPr>
      <w:r>
        <w:rPr>
          <w:rFonts w:ascii="Arial" w:cs="Arial" w:eastAsia="Arial" w:hAnsi="Arial"/>
          <w:sz w:val="19"/>
          <w:szCs w:val="19"/>
          <w:color w:val="auto"/>
        </w:rPr>
        <w:t>While we believe this campaign is a terrific investment for the long term, it will substantially add to expenses for the remainder of the year, and thus reduce earnings in the third and fourth quarters. We anticipate expenses associated with the promotion of our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40" w:right="239" w:bottom="1440" w:gutter="0" w:footer="0" w:header="0"/>
        </w:sectPr>
      </w:pPr>
    </w:p>
    <w:bookmarkStart w:id="8" w:name="page9"/>
    <w:bookmarkEnd w:id="8"/>
    <w:p>
      <w:pPr>
        <w:jc w:val="both"/>
        <w:ind w:right="200"/>
        <w:spacing w:after="0" w:line="26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new and improved Ultimate Care products will substantially exceed those similarly incurred when our team created and launched the lightweight litter category.”</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194"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agricultural, horticultural, fluids purification, specialty, industrial and automotive markets and is a leading manufacturer of cat litter.</w:t>
      </w:r>
    </w:p>
    <w:p>
      <w:pPr>
        <w:spacing w:after="0" w:line="191"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color w:val="auto"/>
        </w:rPr>
        <w:t xml:space="preserve">The Company will offer a live webcast of the second quarter earnings teleconference on </w:t>
      </w:r>
      <w:r>
        <w:rPr>
          <w:rFonts w:ascii="Arial" w:cs="Arial" w:eastAsia="Arial" w:hAnsi="Arial"/>
          <w:sz w:val="18"/>
          <w:szCs w:val="18"/>
          <w:b w:val="1"/>
          <w:bCs w:val="1"/>
          <w:color w:val="auto"/>
        </w:rPr>
        <w:t>Thursday, March 10, 2016 from 10:00 am to 10:30 am, Central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Time. </w:t>
      </w:r>
      <w:r>
        <w:rPr>
          <w:rFonts w:ascii="Arial" w:cs="Arial" w:eastAsia="Arial" w:hAnsi="Arial"/>
          <w:sz w:val="18"/>
          <w:szCs w:val="18"/>
          <w:color w:val="auto"/>
        </w:rPr>
        <w:t>To listen via the web,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www.streetevents.com</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www.oildri.com</w:t>
      </w:r>
      <w:r>
        <w:rPr>
          <w:rFonts w:ascii="Arial" w:cs="Arial" w:eastAsia="Arial" w:hAnsi="Arial"/>
          <w:sz w:val="18"/>
          <w:szCs w:val="18"/>
          <w:color w:val="auto"/>
        </w:rPr>
        <w:t>. An archived recording of the call and written transcripts of all teleconferences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are posted on the Oil-Dri website.</w:t>
      </w:r>
    </w:p>
    <w:p>
      <w:pPr>
        <w:spacing w:after="0" w:line="212" w:lineRule="exact"/>
        <w:rPr>
          <w:sz w:val="20"/>
          <w:szCs w:val="20"/>
          <w:color w:val="auto"/>
        </w:rPr>
      </w:pPr>
    </w:p>
    <w:p>
      <w:pPr>
        <w:ind w:right="820"/>
        <w:spacing w:after="0" w:line="275" w:lineRule="auto"/>
        <w:rPr>
          <w:sz w:val="20"/>
          <w:szCs w:val="20"/>
          <w:color w:val="auto"/>
        </w:rPr>
      </w:pPr>
      <w:r>
        <w:rPr>
          <w:rFonts w:ascii="Arial" w:cs="Arial" w:eastAsia="Arial" w:hAnsi="Arial"/>
          <w:sz w:val="16"/>
          <w:szCs w:val="16"/>
          <w:i w:val="1"/>
          <w:iCs w:val="1"/>
          <w:color w:val="auto"/>
        </w:rPr>
        <w:t>“Oil-Dri,” “Cat’s Pride,” “Fresh &amp; Light,” “Fresh &amp; Light Ultimate Care,” “Agsorb,” “Pure-Flo,” “Verge,” and “Amlan” are registered trademarks of Oil-Dri Corporation of America. “Varium,” and “NeoPrime” are trademark of Oil-Dri Corporation of America.</w:t>
      </w:r>
    </w:p>
    <w:p>
      <w:pPr>
        <w:spacing w:after="0" w:line="267"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286"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00"/>
          </w:cols>
          <w:pgMar w:left="240" w:top="1415" w:right="259" w:bottom="1440" w:gutter="0" w:footer="0" w:header="0"/>
        </w:sectPr>
      </w:pPr>
    </w:p>
    <w:bookmarkStart w:id="9" w:name="page10"/>
    <w:bookmarkEnd w:id="9"/>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INCOME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for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177800</wp:posOffset>
            </wp:positionV>
            <wp:extent cx="4536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36440"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gridSpan w:val="5"/>
          </w:tcPr>
          <w:p>
            <w:pPr>
              <w:ind w:left="420"/>
              <w:spacing w:after="0"/>
              <w:rPr>
                <w:sz w:val="20"/>
                <w:szCs w:val="20"/>
                <w:color w:val="auto"/>
              </w:rPr>
            </w:pPr>
            <w:r>
              <w:rPr>
                <w:rFonts w:ascii="Arial" w:cs="Arial" w:eastAsia="Arial" w:hAnsi="Arial"/>
                <w:sz w:val="18"/>
                <w:szCs w:val="18"/>
                <w:b w:val="1"/>
                <w:bCs w:val="1"/>
                <w:color w:val="auto"/>
              </w:rPr>
              <w:t>Second Quarter Ended January 31,</w:t>
            </w:r>
          </w:p>
        </w:tc>
        <w:tc>
          <w:tcPr>
            <w:tcW w:w="16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60" w:type="dxa"/>
            <w:vAlign w:val="bottom"/>
            <w:gridSpan w:val="2"/>
          </w:tcPr>
          <w:p>
            <w:pPr>
              <w:ind w:left="660"/>
              <w:spacing w:after="0"/>
              <w:rPr>
                <w:sz w:val="20"/>
                <w:szCs w:val="20"/>
                <w:color w:val="auto"/>
              </w:rPr>
            </w:pPr>
            <w:r>
              <w:rPr>
                <w:rFonts w:ascii="Arial" w:cs="Arial" w:eastAsia="Arial" w:hAnsi="Arial"/>
                <w:sz w:val="18"/>
                <w:szCs w:val="18"/>
                <w:b w:val="1"/>
                <w:bCs w:val="1"/>
                <w:color w:val="auto"/>
              </w:rPr>
              <w:t>% of Sales</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65,367</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64,643</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(46,305)</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(49,410)</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7"/>
        </w:trPr>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19,062</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15,233</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(13,662)</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(10,952)</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5,400</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4,281</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5,069</w:t>
            </w:r>
          </w:p>
        </w:tc>
        <w:tc>
          <w:tcPr>
            <w:tcW w:w="2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3,886</w:t>
            </w:r>
          </w:p>
        </w:tc>
        <w:tc>
          <w:tcPr>
            <w:tcW w:w="2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3,821</w:t>
            </w:r>
          </w:p>
        </w:tc>
        <w:tc>
          <w:tcPr>
            <w:tcW w:w="220" w:type="dxa"/>
            <w:vAlign w:val="bottom"/>
            <w:tcBorders>
              <w:bottom w:val="single" w:sz="8" w:color="CCEEFF"/>
            </w:tcBorders>
          </w:tcPr>
          <w:p>
            <w:pPr>
              <w:spacing w:after="0"/>
              <w:rPr>
                <w:sz w:val="24"/>
                <w:szCs w:val="2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2,797</w:t>
            </w:r>
          </w:p>
        </w:tc>
        <w:tc>
          <w:tcPr>
            <w:tcW w:w="220" w:type="dxa"/>
            <w:vAlign w:val="bottom"/>
            <w:tcBorders>
              <w:bottom w:val="single" w:sz="8" w:color="CCEEFF"/>
            </w:tcBorders>
          </w:tcPr>
          <w:p>
            <w:pPr>
              <w:spacing w:after="0"/>
              <w:rPr>
                <w:sz w:val="24"/>
                <w:szCs w:val="2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4,982</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4,953</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7,096</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7,030</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154305</wp:posOffset>
            </wp:positionV>
            <wp:extent cx="4536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3644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gridSpan w:val="5"/>
          </w:tcPr>
          <w:p>
            <w:pPr>
              <w:ind w:left="600"/>
              <w:spacing w:after="0"/>
              <w:rPr>
                <w:sz w:val="20"/>
                <w:szCs w:val="20"/>
                <w:color w:val="auto"/>
              </w:rPr>
            </w:pPr>
            <w:r>
              <w:rPr>
                <w:rFonts w:ascii="Arial" w:cs="Arial" w:eastAsia="Arial" w:hAnsi="Arial"/>
                <w:sz w:val="18"/>
                <w:szCs w:val="18"/>
                <w:b w:val="1"/>
                <w:bCs w:val="1"/>
                <w:color w:val="auto"/>
              </w:rPr>
              <w:t>Six Months Ended January 31,</w:t>
            </w:r>
          </w:p>
        </w:tc>
        <w:tc>
          <w:tcPr>
            <w:tcW w:w="16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60" w:type="dxa"/>
            <w:vAlign w:val="bottom"/>
            <w:gridSpan w:val="2"/>
          </w:tcPr>
          <w:p>
            <w:pPr>
              <w:ind w:left="660"/>
              <w:spacing w:after="0"/>
              <w:rPr>
                <w:sz w:val="20"/>
                <w:szCs w:val="20"/>
                <w:color w:val="auto"/>
              </w:rPr>
            </w:pPr>
            <w:r>
              <w:rPr>
                <w:rFonts w:ascii="Arial" w:cs="Arial" w:eastAsia="Arial" w:hAnsi="Arial"/>
                <w:sz w:val="18"/>
                <w:szCs w:val="18"/>
                <w:b w:val="1"/>
                <w:bCs w:val="1"/>
                <w:color w:val="auto"/>
              </w:rPr>
              <w:t>% of Sales</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133,162</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130,687</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(93,447)</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70.2%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(101,685)</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7"/>
        </w:trPr>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39,715</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29,002</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(26,539)</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(21,561)</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13,176</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7,441</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12,609</w:t>
            </w:r>
          </w:p>
        </w:tc>
        <w:tc>
          <w:tcPr>
            <w:tcW w:w="2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6,751</w:t>
            </w:r>
          </w:p>
        </w:tc>
        <w:tc>
          <w:tcPr>
            <w:tcW w:w="2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9,244</w:t>
            </w:r>
          </w:p>
        </w:tc>
        <w:tc>
          <w:tcPr>
            <w:tcW w:w="220" w:type="dxa"/>
            <w:vAlign w:val="bottom"/>
            <w:tcBorders>
              <w:bottom w:val="single" w:sz="8" w:color="CCEEFF"/>
            </w:tcBorders>
          </w:tcPr>
          <w:p>
            <w:pPr>
              <w:spacing w:after="0"/>
              <w:rPr>
                <w:sz w:val="24"/>
                <w:szCs w:val="2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4,917</w:t>
            </w:r>
          </w:p>
        </w:tc>
        <w:tc>
          <w:tcPr>
            <w:tcW w:w="220" w:type="dxa"/>
            <w:vAlign w:val="bottom"/>
            <w:tcBorders>
              <w:bottom w:val="single" w:sz="8" w:color="CCEEFF"/>
            </w:tcBorders>
          </w:tcPr>
          <w:p>
            <w:pPr>
              <w:spacing w:after="0"/>
              <w:rPr>
                <w:sz w:val="24"/>
                <w:szCs w:val="2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0.69</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4,978</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4,951</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2,046</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7,074</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7,023</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40" w:right="239" w:bottom="854" w:gutter="0" w:footer="0" w:header="0"/>
        </w:sectPr>
      </w:pPr>
    </w:p>
    <w:bookmarkStart w:id="10" w:name="page11"/>
    <w:bookmarkEnd w:id="10"/>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for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As of January 31,</w:t>
            </w:r>
          </w:p>
        </w:tc>
        <w:tc>
          <w:tcPr>
            <w:tcW w:w="120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13,827</w:t>
            </w:r>
          </w:p>
        </w:tc>
        <w:tc>
          <w:tcPr>
            <w:tcW w:w="34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12,763</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15,092</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30,708</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32,255</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22,949</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23,661</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Prepaid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10,144</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7,409</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92,720</w:t>
            </w: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77,028</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79,449</w:t>
            </w:r>
          </w:p>
        </w:tc>
        <w:tc>
          <w:tcPr>
            <w:tcW w:w="3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79,702</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26,886</w:t>
            </w: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27,584</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199,055</w:t>
            </w:r>
          </w:p>
        </w:tc>
        <w:tc>
          <w:tcPr>
            <w:tcW w:w="34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184,314</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7,704</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6,191</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Accrued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19,960</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16,733</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32,154</w:t>
            </w: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27,720</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12,333</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15,417</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36,497</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34,250</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48,830</w:t>
            </w: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49,667</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118,071</w:t>
            </w:r>
          </w:p>
        </w:tc>
        <w:tc>
          <w:tcPr>
            <w:tcW w:w="3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106,927</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199,055</w:t>
            </w: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184,314</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w:t>
            </w:r>
          </w:p>
        </w:tc>
      </w:tr>
      <w:tr>
        <w:trPr>
          <w:trHeight w:val="297"/>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Second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3,030</w:t>
            </w:r>
          </w:p>
        </w:tc>
        <w:tc>
          <w:tcPr>
            <w:tcW w:w="34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4,203</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4,795</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9,920</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Second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2,975</w:t>
            </w:r>
          </w:p>
        </w:tc>
        <w:tc>
          <w:tcPr>
            <w:tcW w:w="34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3,016</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5,914</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5,936</w:t>
            </w:r>
          </w:p>
        </w:tc>
      </w:tr>
      <w:tr>
        <w:trPr>
          <w:trHeight w:val="696"/>
        </w:trPr>
        <w:tc>
          <w:tcPr>
            <w:tcW w:w="4260" w:type="dxa"/>
            <w:vAlign w:val="bottom"/>
          </w:tcPr>
          <w:p>
            <w:pPr>
              <w:spacing w:after="0"/>
              <w:rPr>
                <w:sz w:val="24"/>
                <w:szCs w:val="24"/>
                <w:color w:val="auto"/>
              </w:rPr>
            </w:pPr>
          </w:p>
        </w:tc>
        <w:tc>
          <w:tcPr>
            <w:tcW w:w="3180" w:type="dxa"/>
            <w:vAlign w:val="bottom"/>
          </w:tcPr>
          <w:p>
            <w:pPr>
              <w:ind w:left="1420"/>
              <w:spacing w:after="0"/>
              <w:rPr>
                <w:sz w:val="20"/>
                <w:szCs w:val="20"/>
                <w:color w:val="auto"/>
              </w:rPr>
            </w:pPr>
            <w:r>
              <w:rPr>
                <w:rFonts w:ascii="Arial" w:cs="Arial" w:eastAsia="Arial" w:hAnsi="Arial"/>
                <w:sz w:val="16"/>
                <w:szCs w:val="16"/>
                <w:color w:val="auto"/>
              </w:rPr>
              <w:t>7</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40" w:right="239" w:bottom="1440" w:gutter="0" w:footer="0" w:header="0"/>
        </w:sectPr>
      </w:pPr>
    </w:p>
    <w:bookmarkStart w:id="11" w:name="page12"/>
    <w:bookmarkEnd w:id="11"/>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32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For the Six Months Ended</w:t>
            </w:r>
          </w:p>
        </w:tc>
        <w:tc>
          <w:tcPr>
            <w:tcW w:w="66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January 31,</w:t>
            </w:r>
          </w:p>
        </w:tc>
        <w:tc>
          <w:tcPr>
            <w:tcW w:w="66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6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9,244</w:t>
            </w:r>
          </w:p>
        </w:tc>
        <w:tc>
          <w:tcPr>
            <w:tcW w:w="340" w:type="dxa"/>
            <w:vAlign w:val="bottom"/>
          </w:tcPr>
          <w:p>
            <w:pPr>
              <w:spacing w:after="0"/>
              <w:rPr>
                <w:sz w:val="21"/>
                <w:szCs w:val="21"/>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4,917</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 net of acquisition:</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Depreciation and Amortization</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5,936</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Decrease (Increase) in Accounts Receivable</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(1,431)</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(Increase) Decrease in Inventories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Decrease in Accounts Payable</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(1,232)</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Increase (Decrease) in Accrued Expenses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519</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1,943</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Total Adjustments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7,807</w:t>
            </w:r>
          </w:p>
        </w:tc>
        <w:tc>
          <w:tcPr>
            <w:tcW w:w="3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5,690</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17,051</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10,607</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Capital Expenditures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(4,795)</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(9,920)</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Restricted Cash</w:t>
            </w:r>
          </w:p>
        </w:tc>
        <w:tc>
          <w:tcPr>
            <w:tcW w:w="1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Net (Purchase) Dispositions of Investment Securities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(12,900)</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1,701</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(17,446)</w:t>
            </w:r>
          </w:p>
        </w:tc>
        <w:tc>
          <w:tcPr>
            <w:tcW w:w="3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(7,967)</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Principal Payments on Long-Term Debt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Dividends Paid</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(2,783)</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(2,623)</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Purchase of Treasury Stock</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(6,092)</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7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20,138</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16,230</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13,827</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12,763</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40"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3201670</wp:posOffset>
            </wp:positionH>
            <wp:positionV relativeFrom="page">
              <wp:posOffset>243205</wp:posOffset>
            </wp:positionV>
            <wp:extent cx="1166495" cy="823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166495" cy="823595"/>
                    </a:xfrm>
                    <a:prstGeom prst="rect">
                      <a:avLst/>
                    </a:prstGeom>
                    <a:noFill/>
                  </pic:spPr>
                </pic:pic>
              </a:graphicData>
            </a:graphic>
          </wp:anchor>
        </w:drawing>
      </w:r>
    </w:p>
    <w:p>
      <w:pPr>
        <w:spacing w:after="0" w:line="306" w:lineRule="exact"/>
        <w:rPr>
          <w:sz w:val="20"/>
          <w:szCs w:val="20"/>
          <w:color w:val="auto"/>
        </w:rPr>
      </w:pPr>
    </w:p>
    <w:p>
      <w:pPr>
        <w:jc w:val="center"/>
        <w:ind w:left="300" w:right="140"/>
        <w:spacing w:after="0" w:line="268" w:lineRule="auto"/>
        <w:rPr>
          <w:sz w:val="20"/>
          <w:szCs w:val="20"/>
          <w:color w:val="auto"/>
        </w:rPr>
      </w:pPr>
      <w:r>
        <w:rPr>
          <w:rFonts w:ascii="Arial" w:cs="Arial" w:eastAsia="Arial" w:hAnsi="Arial"/>
          <w:sz w:val="25"/>
          <w:szCs w:val="25"/>
          <w:b w:val="1"/>
          <w:bCs w:val="1"/>
          <w:color w:val="auto"/>
        </w:rPr>
        <w:t>CAT’S PRIDE® INTRODUCES NEW FRESH &amp; LIGHT ULTIMATE CARE® CAT LITTER NATIONAL MEDIA CAMPAIGN FEATURING KATHERINE HEIGL, ACTRESS AND CEO OF THE JASON DEBUS HEIGL FOUNDATION™</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23"/>
          <w:szCs w:val="23"/>
          <w:color w:val="auto"/>
        </w:rPr>
        <w:t>Cat’s Pride Partners with Katherine Heigl and the Jason Debus Heigl Foundation to Promote Animal Welfare</w:t>
      </w:r>
    </w:p>
    <w:p>
      <w:pPr>
        <w:spacing w:after="0" w:line="230"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 xml:space="preserve">CHICAGO (March 7, 2016)— </w:t>
      </w:r>
      <w:r>
        <w:rPr>
          <w:rFonts w:ascii="Arial" w:cs="Arial" w:eastAsia="Arial" w:hAnsi="Arial"/>
          <w:sz w:val="20"/>
          <w:szCs w:val="20"/>
          <w:b w:val="1"/>
          <w:bCs w:val="1"/>
          <w:color w:val="auto"/>
        </w:rPr>
        <w:t>Oil-Dri Corporation of America</w:t>
      </w:r>
      <w:r>
        <w:rPr>
          <w:rFonts w:ascii="Arial" w:cs="Arial" w:eastAsia="Arial" w:hAnsi="Arial"/>
          <w:sz w:val="20"/>
          <w:szCs w:val="20"/>
          <w:color w:val="auto"/>
        </w:rPr>
        <w:t xml:space="preserve"> (ODC-NYSE), a leading manufacturer of quality cat litter and the inventor of lightweight litter, announces the launch of the new Cat’s Pride® Fresh &amp; Light Ultimate Care®, a revolutionary litter that delivers the ultimate performance including 10 day odor control, the strongest clumps and low tracking. Cat’s Pride Fresh &amp; Light Ultimate Care is the best lightweight litter and is 50 percent lighter than traditional scoopable litters. As part of the launch, Cat’s Pride® is partnering with award-winning actress Katherine Heigl, best known for her roles in “Grey’s Anatomy”, “27 Dresses” and “Knocked Up”, as the face and voice of their integrated marketing campaign. The campaign includes TV, print, digital and radio advertising. In addition, Cat’s Pride is proud to support the Jason Debus Heigl Foundation™, by donating a portion of every Fresh &amp; Light Ultimate Care purchase to support the Foundation’s animal advocacy work.</w:t>
      </w:r>
    </w:p>
    <w:p>
      <w:pPr>
        <w:spacing w:after="0" w:line="220"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“Cat’s Pride is excited to introduce consumers to our newest innovation in cat litter, Fresh &amp; Light Ultimate Care. For 75 years, we’ve been committed to providing products that enrich the lives of cats and their owners,” said Dan Jaffee, president and CEO of Oil-Dri, the makers of Cat’s Pride. “We are proud to partner with Katherine Heigl and the Jason Debus Heigl Foundation as they work to end the needless suffering of animals.”</w:t>
      </w:r>
    </w:p>
    <w:p>
      <w:pPr>
        <w:spacing w:after="0" w:line="196" w:lineRule="exact"/>
        <w:rPr>
          <w:sz w:val="20"/>
          <w:szCs w:val="20"/>
          <w:color w:val="auto"/>
        </w:rPr>
      </w:pPr>
    </w:p>
    <w:p>
      <w:pPr>
        <w:ind w:left="660" w:right="180" w:hanging="328"/>
        <w:spacing w:after="0" w:line="244"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Cat’s Pride </w:t>
      </w:r>
      <w:r>
        <w:rPr>
          <w:rFonts w:ascii="Arial" w:cs="Arial" w:eastAsia="Arial" w:hAnsi="Arial"/>
          <w:sz w:val="20"/>
          <w:szCs w:val="20"/>
          <w:color w:val="auto"/>
        </w:rPr>
        <w:t>started the lightweight litter trend and continues to innovate with its new product, Cat’s Pride Fresh &amp; Light</w:t>
      </w:r>
      <w:r>
        <w:rPr>
          <w:rFonts w:ascii="Arial" w:cs="Arial" w:eastAsia="Arial" w:hAnsi="Arial"/>
          <w:sz w:val="20"/>
          <w:szCs w:val="20"/>
          <w:b w:val="1"/>
          <w:bCs w:val="1"/>
          <w:color w:val="auto"/>
        </w:rPr>
        <w:t xml:space="preserve"> </w:t>
      </w:r>
      <w:r>
        <w:rPr>
          <w:rFonts w:ascii="Arial" w:cs="Arial" w:eastAsia="Arial" w:hAnsi="Arial"/>
          <w:sz w:val="20"/>
          <w:szCs w:val="20"/>
          <w:color w:val="auto"/>
        </w:rPr>
        <w:t>Ultimate Care lightweight litter. The product is 50% lighter and is formulated with highly absorbent minerals and no fillers, guaranteeing 10 days of odor control, the strongest clumps and low dust and tracking. Cat’s Pride Fresh &amp; Light Ultimate Care offers the ultimate performance at a great value. The product is offered in a 10 pound jug, in both scented and unscented hypoallergenic varieties.</w:t>
      </w:r>
    </w:p>
    <w:p>
      <w:pPr>
        <w:spacing w:after="0" w:line="2" w:lineRule="exact"/>
        <w:rPr>
          <w:rFonts w:ascii="Arial" w:cs="Arial" w:eastAsia="Arial" w:hAnsi="Arial"/>
          <w:sz w:val="20"/>
          <w:szCs w:val="20"/>
          <w:color w:val="auto"/>
        </w:rPr>
      </w:pPr>
    </w:p>
    <w:p>
      <w:pPr>
        <w:ind w:left="660" w:right="4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"Cats are Complicated. Great Litter is Simple.” Campaign</w:t>
      </w:r>
      <w:r>
        <w:rPr>
          <w:rFonts w:ascii="Arial" w:cs="Arial" w:eastAsia="Arial" w:hAnsi="Arial"/>
          <w:sz w:val="20"/>
          <w:szCs w:val="20"/>
          <w:color w:val="auto"/>
        </w:rPr>
        <w:t>: The new Cat’s Pride integrated marketing campaign</w:t>
      </w:r>
      <w:r>
        <w:rPr>
          <w:rFonts w:ascii="Arial" w:cs="Arial" w:eastAsia="Arial" w:hAnsi="Arial"/>
          <w:sz w:val="20"/>
          <w:szCs w:val="20"/>
          <w:b w:val="1"/>
          <w:bCs w:val="1"/>
          <w:color w:val="auto"/>
        </w:rPr>
        <w:t xml:space="preserve"> </w:t>
      </w:r>
      <w:r>
        <w:rPr>
          <w:rFonts w:ascii="Arial" w:cs="Arial" w:eastAsia="Arial" w:hAnsi="Arial"/>
          <w:sz w:val="20"/>
          <w:szCs w:val="20"/>
          <w:color w:val="auto"/>
        </w:rPr>
        <w:t>featuring Heigl is the brand’s largest media launch ever. This concept features Katherine Heigl as a recurring character—a cat/owner couples therapist—who helps owners have a more meaningful and positive relationship with their cats. She continually reinforces how using the best-performing Fresh &amp; Light Ultimate Care can reduce tensions all around and create healthier interactions between cats and their people. The campaign features the actress in humorous commercials directed by Anne Fletcher, known for films such as “27 Dresses” and “The Proposal”. The integrated campaign continues across all digital, social media, in-store and print platforms.</w:t>
      </w:r>
    </w:p>
    <w:p>
      <w:pPr>
        <w:sectPr>
          <w:pgSz w:w="11900" w:h="16838" w:orient="portrait"/>
          <w:cols w:equalWidth="0" w:num="1">
            <w:col w:w="11380"/>
          </w:cols>
          <w:pgMar w:left="240" w:top="1440" w:right="279" w:bottom="1440" w:gutter="0" w:footer="0" w:header="0"/>
        </w:sectPr>
      </w:pPr>
    </w:p>
    <w:bookmarkStart w:id="13" w:name="page14"/>
    <w:bookmarkEnd w:id="13"/>
    <w:p>
      <w:pPr>
        <w:ind w:left="660" w:right="40" w:hanging="328"/>
        <w:spacing w:after="0" w:line="24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The Jason Debus Heigl Foundation Partnership: </w:t>
      </w:r>
      <w:r>
        <w:rPr>
          <w:rFonts w:ascii="Arial" w:cs="Arial" w:eastAsia="Arial" w:hAnsi="Arial"/>
          <w:sz w:val="20"/>
          <w:szCs w:val="20"/>
          <w:color w:val="auto"/>
        </w:rPr>
        <w:t>The Jason Debus Heigl Foundation (JDHF) was founded in 2008 by</w:t>
      </w:r>
      <w:r>
        <w:rPr>
          <w:rFonts w:ascii="Arial" w:cs="Arial" w:eastAsia="Arial" w:hAnsi="Arial"/>
          <w:sz w:val="20"/>
          <w:szCs w:val="20"/>
          <w:b w:val="1"/>
          <w:bCs w:val="1"/>
          <w:color w:val="auto"/>
        </w:rPr>
        <w:t xml:space="preserve"> </w:t>
      </w:r>
      <w:r>
        <w:rPr>
          <w:rFonts w:ascii="Arial" w:cs="Arial" w:eastAsia="Arial" w:hAnsi="Arial"/>
          <w:sz w:val="20"/>
          <w:szCs w:val="20"/>
          <w:color w:val="auto"/>
        </w:rPr>
        <w:t>Nancy and Katherine Heigl to increase awareness of inhumane animal treatment and support animal welfare efforts in this country. Established as a lasting legacy to a beloved son and brother killed as a teen in a tragic car accident, the JDHF is dedicated to helping companion animals by eliminating the needless suffering inflicted on animals by human cruelty, indifference and ignorance. Programs include the relocation of pets from high-kill to no-kill shelters for adoption, funding of sterilization for cats and dogs, medical and training assistance for special needs dogs, grants to hardworking “boots on the ground” rescues, and working with animal welfare groups nationwide to increase awareness of spay/neuter, humane education and adoption.</w:t>
      </w:r>
    </w:p>
    <w:p>
      <w:pPr>
        <w:spacing w:after="0" w:line="220"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“We created the Jason Debus Heigl Foundation to continue to spread Jason’s love of animals,” said Katherine Heigl, CEO, The Jason Debus Heigl Foundation™. “We are thrilled to partner with Cat’s Pride® in our efforts to truly make a difference for animals.”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Katherine Heigl</w:t>
      </w:r>
    </w:p>
    <w:p>
      <w:pPr>
        <w:spacing w:after="0" w:line="24" w:lineRule="exact"/>
        <w:rPr>
          <w:sz w:val="20"/>
          <w:szCs w:val="20"/>
          <w:color w:val="auto"/>
        </w:rPr>
      </w:pPr>
    </w:p>
    <w:p>
      <w:pPr>
        <w:ind w:right="40"/>
        <w:spacing w:after="0"/>
        <w:rPr>
          <w:sz w:val="20"/>
          <w:szCs w:val="20"/>
          <w:color w:val="auto"/>
        </w:rPr>
      </w:pPr>
      <w:r>
        <w:rPr>
          <w:rFonts w:ascii="Arial" w:cs="Arial" w:eastAsia="Arial" w:hAnsi="Arial"/>
          <w:sz w:val="20"/>
          <w:szCs w:val="20"/>
          <w:color w:val="auto"/>
        </w:rPr>
        <w:t>Katherine Marie Heigl is an Emmy Award winner, a two time Golden Globe nominated actress, and producer, best known for her starring roles in the feature films "The Ugly Truth", "27 Dresses" and "Knocked Up", as well as her portrayal of Dr. Isobel 'Izzie' Stevens in the television medical drama "Grey's Anatomy". Heigl will next be seen in the upcoming Warner Bros. feature “To Have and To Hold” starring opposite Rosario Dawson and directed by Denise DiNovi. In addition to her work in front of the camera, Katherine partnered with her mother and manager Nancy Heigl to form the production company Abishag in 2007. In 2008, Katherine co-founded the Jason Debus Heigl Foundation, an organization dedicated to ending animal cruelty and abuse and promoting animal welfare. Heigl is married to singer-songwriter Josh Kelley and the couple has two daughters Nancy Leigh Mi-Eun and Adalaide Marie Hope. Heigl lives in Utah, where she resides with her family, nine dogs and four cats. For more information please visit: http://www.kheigl.com/biography/.</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Jason Debus Heigl Foundation™</w:t>
      </w:r>
    </w:p>
    <w:p>
      <w:pPr>
        <w:spacing w:after="0" w:line="24"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Jason Debus Heigl Foundation’s mission is to eliminate the needless suffering inflicted on animals by human cruelty, indifference and ignorance. The Heigl family was inspired by Jason’s compassion for animals and is committed to keeping his love and memory alive through acts of generosity and kindness toward animals through the Foundation’s work. The Jason Debus Heigl Foundation has helped improve the lives of over 25,000 animals since its inception. For more information, please visit http://jasonheigl.foundation/.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Oil-Dri</w:t>
      </w:r>
    </w:p>
    <w:p>
      <w:pPr>
        <w:spacing w:after="0" w:line="24"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Oil-Dri Corporation of America, a leading supplier of specialty sorbent products for agricultural, horticultural, fluids purification, specialty markets, industrial and automotive, is celebrating 75 years of sorbent mineral expertise. Oil-Dri is a leading manufacturer of cat litter. “Cat’s Pride” “Fresh &amp; Light Ultimate Care” and “Changing Litter for Good” are registered trademarks of Oil-Dri Corporation of America. From research and development at our Innovation Center outside of Chicago to our manufacturing plants in Georgia, Mississippi, Illinois and California, our Cat’s Pride products are proudly made in the USA. For more information, visit www.oildri.com or www.catspride.com.</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400"/>
          </w:cols>
          <w:pgMar w:left="240" w:top="355" w:right="25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Media Contacts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Paramount Public Relations, Inc.</w:t>
      </w:r>
    </w:p>
    <w:p>
      <w:pPr>
        <w:ind w:right="4659"/>
        <w:spacing w:after="0" w:line="272" w:lineRule="auto"/>
        <w:rPr>
          <w:sz w:val="20"/>
          <w:szCs w:val="20"/>
          <w:color w:val="auto"/>
        </w:rPr>
      </w:pPr>
      <w:r>
        <w:rPr>
          <w:rFonts w:ascii="Arial" w:cs="Arial" w:eastAsia="Arial" w:hAnsi="Arial"/>
          <w:sz w:val="19"/>
          <w:szCs w:val="19"/>
          <w:color w:val="auto"/>
        </w:rPr>
        <w:t>Jessica Prah, Jessica@paramountpr.com, 312-953-3257 Sarah Anderson, sanderson@paramountpr.com, 312-544-4190</w:t>
      </w:r>
    </w:p>
    <w:sectPr>
      <w:pgSz w:w="11900" w:h="16838" w:orient="portrait"/>
      <w:cols w:equalWidth="0" w:num="1">
        <w:col w:w="10219"/>
      </w:cols>
      <w:pgMar w:left="24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2020-01-19T19:27:19Z</dcterms:created>
  <dcterms:modified xsi:type="dcterms:W3CDTF">2020-01-19T19:27:19Z</dcterms:modified>
</cp:coreProperties>
</file>