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rFonts w:ascii="Times New Roman;Times;Serif" w:hAnsi="Times New Roman;Times;Serif"/>
          <w:b w:val="false"/>
          <w:i w:val="false"/>
          <w:caps w:val="false"/>
          <w:smallCaps w:val="false"/>
          <w:sz w:val="24"/>
        </w:rPr>
      </w:pPr>
      <w:bookmarkStart w:id="0" w:name="oildri-def14a_120914.htm"/>
      <w:bookmarkStart w:id="1" w:name="ksoildridef14a_120914"/>
      <w:bookmarkEnd w:id="0"/>
      <w:bookmarkEnd w:id="1"/>
      <w:r>
        <w:rPr>
          <w:rFonts w:ascii="Times New Roman;Times;Serif" w:hAnsi="Times New Roman;Times;Serif"/>
          <w:b w:val="false"/>
          <w:i w:val="false"/>
          <w:caps w:val="false"/>
          <w:smallCaps w:val="false"/>
          <w:sz w:val="24"/>
        </w:rPr>
        <w:t>DEFINITIVE PROXY STATEMENT</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w:t>
      </w:r>
    </w:p>
    <w:p>
      <w:pPr>
        <w:pStyle w:val="TextBody"/>
        <w:ind w:left="0" w:right="0" w:firstLine="720"/>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14a-101)</w:t>
      </w:r>
    </w:p>
    <w:p>
      <w:pPr>
        <w:pStyle w:val="TextBody"/>
        <w:ind w:left="0" w:right="0" w:firstLine="720"/>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IN PROXY STATEMENT</w:t>
      </w:r>
    </w:p>
    <w:p>
      <w:pPr>
        <w:pStyle w:val="TextBody"/>
        <w:ind w:left="0" w:right="0" w:firstLine="720"/>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 INFORMATION</w:t>
      </w:r>
    </w:p>
    <w:p>
      <w:pPr>
        <w:pStyle w:val="TextBody"/>
        <w:ind w:left="0" w:right="0" w:firstLine="720"/>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17"/>
        </w:rPr>
        <w:t>Proxy Statement Pursuant to Section 14(a) of the</w:t>
      </w:r>
      <w:r>
        <w:rPr>
          <w:rFonts w:ascii="Times New Roman;Times;Serif" w:hAnsi="Times New Roman;Times;Serif"/>
          <w:b w:val="false"/>
          <w:i w:val="false"/>
          <w:caps w:val="false"/>
          <w:smallCaps w:val="false"/>
          <w:sz w:val="24"/>
        </w:rPr>
        <w:br/>
      </w:r>
      <w:r>
        <w:rPr>
          <w:rFonts w:ascii="Times New Roman;Times;Serif" w:hAnsi="Times New Roman;Times;Serif"/>
          <w:b w:val="false"/>
          <w:i w:val="false"/>
          <w:caps w:val="false"/>
          <w:smallCaps w:val="false"/>
          <w:sz w:val="17"/>
        </w:rPr>
        <w:t>Securities Exchange Act of 1934 (Amendment No. )</w:t>
      </w:r>
    </w:p>
    <w:p>
      <w:pPr>
        <w:pStyle w:val="TextBody"/>
        <w:ind w:left="0" w:right="0" w:firstLine="720"/>
        <w:rPr>
          <w:caps w:val="false"/>
          <w:smallCaps w:val="false"/>
        </w:rPr>
      </w:pPr>
      <w:r>
        <w:rPr>
          <w:caps w:val="false"/>
          <w:smallCaps w:val="false"/>
        </w:rPr>
        <w:t> </w:t>
      </w:r>
    </w:p>
    <w:tbl>
      <w:tblPr>
        <w:tblW w:w="6150" w:type="dxa"/>
        <w:jc w:val="left"/>
        <w:tblInd w:w="0" w:type="dxa"/>
        <w:tblCellMar>
          <w:top w:w="0" w:type="dxa"/>
          <w:left w:w="0" w:type="dxa"/>
          <w:bottom w:w="0" w:type="dxa"/>
          <w:right w:w="0" w:type="dxa"/>
        </w:tblCellMar>
      </w:tblPr>
      <w:tblGrid>
        <w:gridCol w:w="302"/>
        <w:gridCol w:w="74"/>
        <w:gridCol w:w="2734"/>
        <w:gridCol w:w="350"/>
        <w:gridCol w:w="2690"/>
      </w:tblGrid>
      <w:tr>
        <w:trPr/>
        <w:tc>
          <w:tcPr>
            <w:tcW w:w="3110" w:type="dxa"/>
            <w:gridSpan w:val="3"/>
            <w:tcBorders/>
            <w:shd w:fill="auto" w:val="clear"/>
            <w:vAlign w:val="center"/>
          </w:tcPr>
          <w:p>
            <w:pPr>
              <w:pStyle w:val="TableContents"/>
              <w:spacing w:before="0" w:after="283"/>
              <w:rPr>
                <w:sz w:val="17"/>
              </w:rPr>
            </w:pPr>
            <w:r>
              <w:rPr>
                <w:sz w:val="17"/>
              </w:rPr>
              <w:t>Filed by the Registrant ☒</w:t>
            </w:r>
          </w:p>
        </w:tc>
        <w:tc>
          <w:tcPr>
            <w:tcW w:w="350" w:type="dxa"/>
            <w:tcBorders/>
            <w:shd w:fill="auto" w:val="clear"/>
            <w:vAlign w:val="center"/>
          </w:tcPr>
          <w:p>
            <w:pPr>
              <w:pStyle w:val="TableContents"/>
              <w:spacing w:before="0" w:after="283"/>
              <w:rPr/>
            </w:pPr>
            <w:r>
              <w:rPr/>
              <w:t> </w:t>
            </w:r>
          </w:p>
        </w:tc>
        <w:tc>
          <w:tcPr>
            <w:tcW w:w="2690" w:type="dxa"/>
            <w:tcBorders/>
            <w:shd w:fill="auto" w:val="clear"/>
            <w:vAlign w:val="center"/>
          </w:tcPr>
          <w:p>
            <w:pPr>
              <w:pStyle w:val="TableContents"/>
              <w:spacing w:before="0" w:after="283"/>
              <w:rPr/>
            </w:pPr>
            <w:r>
              <w:rPr/>
              <w:t> </w:t>
            </w:r>
          </w:p>
        </w:tc>
      </w:tr>
      <w:tr>
        <w:trPr/>
        <w:tc>
          <w:tcPr>
            <w:tcW w:w="3110" w:type="dxa"/>
            <w:gridSpan w:val="3"/>
            <w:tcBorders/>
            <w:shd w:fill="auto" w:val="clear"/>
            <w:vAlign w:val="center"/>
          </w:tcPr>
          <w:p>
            <w:pPr>
              <w:pStyle w:val="TableContents"/>
              <w:spacing w:before="0" w:after="283"/>
              <w:rPr>
                <w:sz w:val="17"/>
              </w:rPr>
            </w:pPr>
            <w:r>
              <w:rPr>
                <w:sz w:val="17"/>
              </w:rPr>
              <w:t xml:space="preserve">Filed by a Party other than the Registrant ☐ </w:t>
            </w:r>
          </w:p>
        </w:tc>
        <w:tc>
          <w:tcPr>
            <w:tcW w:w="350" w:type="dxa"/>
            <w:tcBorders/>
            <w:shd w:fill="auto" w:val="clear"/>
            <w:vAlign w:val="center"/>
          </w:tcPr>
          <w:p>
            <w:pPr>
              <w:pStyle w:val="TableContents"/>
              <w:spacing w:before="0" w:after="283"/>
              <w:rPr/>
            </w:pPr>
            <w:r>
              <w:rPr/>
              <w:t> </w:t>
            </w:r>
          </w:p>
        </w:tc>
        <w:tc>
          <w:tcPr>
            <w:tcW w:w="2690" w:type="dxa"/>
            <w:tcBorders/>
            <w:shd w:fill="auto" w:val="clear"/>
            <w:vAlign w:val="center"/>
          </w:tcPr>
          <w:p>
            <w:pPr>
              <w:pStyle w:val="TableContents"/>
              <w:spacing w:before="0" w:after="283"/>
              <w:rPr/>
            </w:pPr>
            <w:r>
              <w:rPr/>
              <w:t> </w:t>
            </w:r>
          </w:p>
        </w:tc>
      </w:tr>
      <w:tr>
        <w:trPr/>
        <w:tc>
          <w:tcPr>
            <w:tcW w:w="3110" w:type="dxa"/>
            <w:gridSpan w:val="3"/>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690" w:type="dxa"/>
            <w:tcBorders/>
            <w:shd w:fill="auto" w:val="clear"/>
            <w:vAlign w:val="center"/>
          </w:tcPr>
          <w:p>
            <w:pPr>
              <w:pStyle w:val="TableContents"/>
              <w:spacing w:before="0" w:after="283"/>
              <w:rPr/>
            </w:pPr>
            <w:r>
              <w:rPr/>
              <w:t> </w:t>
            </w:r>
          </w:p>
        </w:tc>
      </w:tr>
      <w:tr>
        <w:trPr/>
        <w:tc>
          <w:tcPr>
            <w:tcW w:w="3110" w:type="dxa"/>
            <w:gridSpan w:val="3"/>
            <w:tcBorders/>
            <w:shd w:fill="auto" w:val="clear"/>
            <w:vAlign w:val="center"/>
          </w:tcPr>
          <w:p>
            <w:pPr>
              <w:pStyle w:val="TableContents"/>
              <w:spacing w:before="0" w:after="283"/>
              <w:rPr>
                <w:sz w:val="17"/>
              </w:rPr>
            </w:pPr>
            <w:r>
              <w:rPr>
                <w:sz w:val="17"/>
              </w:rPr>
              <w:t>Check the appropriate box:</w:t>
            </w:r>
          </w:p>
        </w:tc>
        <w:tc>
          <w:tcPr>
            <w:tcW w:w="350" w:type="dxa"/>
            <w:tcBorders/>
            <w:shd w:fill="auto" w:val="clear"/>
            <w:vAlign w:val="center"/>
          </w:tcPr>
          <w:p>
            <w:pPr>
              <w:pStyle w:val="TableContents"/>
              <w:spacing w:before="0" w:after="283"/>
              <w:rPr/>
            </w:pPr>
            <w:r>
              <w:rPr/>
              <w:t> </w:t>
            </w:r>
          </w:p>
        </w:tc>
        <w:tc>
          <w:tcPr>
            <w:tcW w:w="2690" w:type="dxa"/>
            <w:tcBorders/>
            <w:shd w:fill="auto" w:val="clear"/>
            <w:vAlign w:val="center"/>
          </w:tcPr>
          <w:p>
            <w:pPr>
              <w:pStyle w:val="TableContents"/>
              <w:spacing w:before="0" w:after="283"/>
              <w:rPr/>
            </w:pPr>
            <w:r>
              <w:rPr/>
              <w:t> </w:t>
            </w:r>
          </w:p>
        </w:tc>
      </w:tr>
      <w:tr>
        <w:trPr/>
        <w:tc>
          <w:tcPr>
            <w:tcW w:w="302" w:type="dxa"/>
            <w:tcBorders/>
            <w:shd w:fill="auto" w:val="clear"/>
            <w:vAlign w:val="center"/>
          </w:tcPr>
          <w:p>
            <w:pPr>
              <w:pStyle w:val="TableContents"/>
              <w:spacing w:before="0" w:after="283"/>
              <w:rPr/>
            </w:pPr>
            <w:r>
              <w:rPr/>
              <w:t>☐</w:t>
            </w:r>
          </w:p>
        </w:tc>
        <w:tc>
          <w:tcPr>
            <w:tcW w:w="74" w:type="dxa"/>
            <w:tcBorders/>
            <w:shd w:fill="auto" w:val="clear"/>
            <w:vAlign w:val="center"/>
          </w:tcPr>
          <w:p>
            <w:pPr>
              <w:pStyle w:val="TableContents"/>
              <w:spacing w:before="0" w:after="283"/>
              <w:rPr/>
            </w:pPr>
            <w:r>
              <w:rPr/>
              <w:t> </w:t>
            </w:r>
          </w:p>
        </w:tc>
        <w:tc>
          <w:tcPr>
            <w:tcW w:w="2734" w:type="dxa"/>
            <w:tcBorders/>
            <w:shd w:fill="auto" w:val="clear"/>
            <w:vAlign w:val="center"/>
          </w:tcPr>
          <w:p>
            <w:pPr>
              <w:pStyle w:val="TableContents"/>
              <w:spacing w:before="0" w:after="283"/>
              <w:rPr>
                <w:sz w:val="17"/>
              </w:rPr>
            </w:pPr>
            <w:r>
              <w:rPr>
                <w:sz w:val="17"/>
              </w:rPr>
              <w:t>Preliminary Proxy Statement</w:t>
            </w:r>
          </w:p>
        </w:tc>
        <w:tc>
          <w:tcPr>
            <w:tcW w:w="350" w:type="dxa"/>
            <w:tcBorders/>
            <w:shd w:fill="auto" w:val="clear"/>
            <w:vAlign w:val="center"/>
          </w:tcPr>
          <w:p>
            <w:pPr>
              <w:pStyle w:val="TableContents"/>
              <w:spacing w:before="0" w:after="283"/>
              <w:rPr/>
            </w:pPr>
            <w:r>
              <w:rPr/>
              <w:t xml:space="preserve">☐  </w:t>
            </w:r>
          </w:p>
        </w:tc>
        <w:tc>
          <w:tcPr>
            <w:tcW w:w="2690" w:type="dxa"/>
            <w:tcBorders/>
            <w:shd w:fill="auto" w:val="clear"/>
            <w:vAlign w:val="center"/>
          </w:tcPr>
          <w:p>
            <w:pPr>
              <w:pStyle w:val="TableContents"/>
              <w:spacing w:before="0" w:after="283"/>
              <w:rPr>
                <w:sz w:val="17"/>
              </w:rPr>
            </w:pPr>
            <w:r>
              <w:rPr>
                <w:sz w:val="17"/>
              </w:rPr>
              <w:t>Soliciting Material Under Rule 14a-12</w:t>
            </w:r>
          </w:p>
        </w:tc>
      </w:tr>
      <w:tr>
        <w:trPr/>
        <w:tc>
          <w:tcPr>
            <w:tcW w:w="302" w:type="dxa"/>
            <w:tcBorders/>
            <w:shd w:fill="auto" w:val="clear"/>
            <w:vAlign w:val="center"/>
          </w:tcPr>
          <w:p>
            <w:pPr>
              <w:pStyle w:val="TableContents"/>
              <w:spacing w:before="0" w:after="283"/>
              <w:rPr/>
            </w:pPr>
            <w:r>
              <w:rPr/>
              <w:t>☐</w:t>
            </w:r>
          </w:p>
        </w:tc>
        <w:tc>
          <w:tcPr>
            <w:tcW w:w="74" w:type="dxa"/>
            <w:tcBorders/>
            <w:shd w:fill="auto" w:val="clear"/>
            <w:vAlign w:val="center"/>
          </w:tcPr>
          <w:p>
            <w:pPr>
              <w:pStyle w:val="TableContents"/>
              <w:spacing w:before="0" w:after="283"/>
              <w:rPr/>
            </w:pPr>
            <w:r>
              <w:rPr/>
              <w:t> </w:t>
            </w:r>
          </w:p>
        </w:tc>
        <w:tc>
          <w:tcPr>
            <w:tcW w:w="2734" w:type="dxa"/>
            <w:tcBorders/>
            <w:shd w:fill="auto" w:val="clear"/>
            <w:vAlign w:val="center"/>
          </w:tcPr>
          <w:p>
            <w:pPr>
              <w:pStyle w:val="TableContents"/>
              <w:spacing w:before="0" w:after="283"/>
              <w:rPr/>
            </w:pPr>
            <w:r>
              <w:rPr>
                <w:sz w:val="17"/>
              </w:rPr>
              <w:t>Confidential, For Use of the</w:t>
            </w:r>
            <w:r>
              <w:rPr/>
              <w:br/>
            </w:r>
            <w:r>
              <w:rPr>
                <w:sz w:val="17"/>
              </w:rPr>
              <w:t>Commission Only (as permitted</w:t>
            </w:r>
            <w:r>
              <w:rPr/>
              <w:br/>
            </w:r>
            <w:r>
              <w:rPr>
                <w:sz w:val="17"/>
              </w:rPr>
              <w:t>by Rule 14a-6(e)(2))</w:t>
            </w:r>
          </w:p>
        </w:tc>
        <w:tc>
          <w:tcPr>
            <w:tcW w:w="350" w:type="dxa"/>
            <w:tcBorders/>
            <w:shd w:fill="auto" w:val="clear"/>
            <w:vAlign w:val="center"/>
          </w:tcPr>
          <w:p>
            <w:pPr>
              <w:pStyle w:val="TableContents"/>
              <w:spacing w:before="0" w:after="283"/>
              <w:rPr/>
            </w:pPr>
            <w:r>
              <w:rPr/>
              <w:t> </w:t>
            </w:r>
          </w:p>
        </w:tc>
        <w:tc>
          <w:tcPr>
            <w:tcW w:w="2690" w:type="dxa"/>
            <w:tcBorders/>
            <w:shd w:fill="auto" w:val="clear"/>
            <w:vAlign w:val="center"/>
          </w:tcPr>
          <w:p>
            <w:pPr>
              <w:pStyle w:val="TableContents"/>
              <w:spacing w:before="0" w:after="283"/>
              <w:rPr/>
            </w:pPr>
            <w:r>
              <w:rPr/>
              <w:t> </w:t>
            </w:r>
          </w:p>
        </w:tc>
      </w:tr>
      <w:tr>
        <w:trPr/>
        <w:tc>
          <w:tcPr>
            <w:tcW w:w="302" w:type="dxa"/>
            <w:tcBorders/>
            <w:shd w:fill="auto" w:val="clear"/>
            <w:vAlign w:val="center"/>
          </w:tcPr>
          <w:p>
            <w:pPr>
              <w:pStyle w:val="TableContents"/>
              <w:spacing w:before="0" w:after="283"/>
              <w:rPr/>
            </w:pPr>
            <w:r>
              <w:rPr/>
              <w:t>☒</w:t>
            </w:r>
          </w:p>
        </w:tc>
        <w:tc>
          <w:tcPr>
            <w:tcW w:w="74" w:type="dxa"/>
            <w:tcBorders/>
            <w:shd w:fill="auto" w:val="clear"/>
            <w:vAlign w:val="center"/>
          </w:tcPr>
          <w:p>
            <w:pPr>
              <w:pStyle w:val="TableContents"/>
              <w:spacing w:before="0" w:after="283"/>
              <w:rPr/>
            </w:pPr>
            <w:r>
              <w:rPr/>
              <w:t> </w:t>
            </w:r>
          </w:p>
        </w:tc>
        <w:tc>
          <w:tcPr>
            <w:tcW w:w="2734" w:type="dxa"/>
            <w:tcBorders/>
            <w:shd w:fill="auto" w:val="clear"/>
            <w:vAlign w:val="center"/>
          </w:tcPr>
          <w:p>
            <w:pPr>
              <w:pStyle w:val="TableContents"/>
              <w:spacing w:before="0" w:after="283"/>
              <w:rPr>
                <w:sz w:val="17"/>
              </w:rPr>
            </w:pPr>
            <w:r>
              <w:rPr>
                <w:sz w:val="17"/>
              </w:rPr>
              <w:t>Definitive Proxy Statement</w:t>
            </w:r>
          </w:p>
        </w:tc>
        <w:tc>
          <w:tcPr>
            <w:tcW w:w="350" w:type="dxa"/>
            <w:tcBorders/>
            <w:shd w:fill="auto" w:val="clear"/>
            <w:vAlign w:val="center"/>
          </w:tcPr>
          <w:p>
            <w:pPr>
              <w:pStyle w:val="TableContents"/>
              <w:spacing w:before="0" w:after="283"/>
              <w:rPr/>
            </w:pPr>
            <w:r>
              <w:rPr/>
              <w:t> </w:t>
            </w:r>
          </w:p>
        </w:tc>
        <w:tc>
          <w:tcPr>
            <w:tcW w:w="2690" w:type="dxa"/>
            <w:tcBorders/>
            <w:shd w:fill="auto" w:val="clear"/>
            <w:vAlign w:val="center"/>
          </w:tcPr>
          <w:p>
            <w:pPr>
              <w:pStyle w:val="TableContents"/>
              <w:spacing w:before="0" w:after="283"/>
              <w:rPr/>
            </w:pPr>
            <w:r>
              <w:rPr/>
              <w:t> </w:t>
            </w:r>
          </w:p>
        </w:tc>
      </w:tr>
      <w:tr>
        <w:trPr/>
        <w:tc>
          <w:tcPr>
            <w:tcW w:w="302" w:type="dxa"/>
            <w:tcBorders/>
            <w:shd w:fill="auto" w:val="clear"/>
            <w:vAlign w:val="center"/>
          </w:tcPr>
          <w:p>
            <w:pPr>
              <w:pStyle w:val="TableContents"/>
              <w:spacing w:before="0" w:after="283"/>
              <w:rPr/>
            </w:pPr>
            <w:r>
              <w:rPr/>
              <w:t>☐</w:t>
            </w:r>
          </w:p>
        </w:tc>
        <w:tc>
          <w:tcPr>
            <w:tcW w:w="74" w:type="dxa"/>
            <w:tcBorders/>
            <w:shd w:fill="auto" w:val="clear"/>
            <w:vAlign w:val="center"/>
          </w:tcPr>
          <w:p>
            <w:pPr>
              <w:pStyle w:val="TableContents"/>
              <w:spacing w:before="0" w:after="283"/>
              <w:rPr/>
            </w:pPr>
            <w:r>
              <w:rPr/>
              <w:t> </w:t>
            </w:r>
          </w:p>
        </w:tc>
        <w:tc>
          <w:tcPr>
            <w:tcW w:w="2734" w:type="dxa"/>
            <w:tcBorders/>
            <w:shd w:fill="auto" w:val="clear"/>
            <w:vAlign w:val="center"/>
          </w:tcPr>
          <w:p>
            <w:pPr>
              <w:pStyle w:val="TableContents"/>
              <w:spacing w:before="0" w:after="283"/>
              <w:rPr>
                <w:sz w:val="17"/>
              </w:rPr>
            </w:pPr>
            <w:r>
              <w:rPr>
                <w:sz w:val="17"/>
              </w:rPr>
              <w:t>Definitive Additional Materials</w:t>
            </w:r>
          </w:p>
        </w:tc>
        <w:tc>
          <w:tcPr>
            <w:tcW w:w="350" w:type="dxa"/>
            <w:tcBorders/>
            <w:shd w:fill="auto" w:val="clear"/>
            <w:vAlign w:val="center"/>
          </w:tcPr>
          <w:p>
            <w:pPr>
              <w:pStyle w:val="TableContents"/>
              <w:spacing w:before="0" w:after="283"/>
              <w:rPr/>
            </w:pPr>
            <w:r>
              <w:rPr/>
              <w:t> </w:t>
            </w:r>
          </w:p>
        </w:tc>
        <w:tc>
          <w:tcPr>
            <w:tcW w:w="26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tbl>
      <w:tblPr>
        <w:tblW w:w="5240" w:type="dxa"/>
        <w:jc w:val="left"/>
        <w:tblInd w:w="0" w:type="dxa"/>
        <w:tblCellMar>
          <w:top w:w="0" w:type="dxa"/>
          <w:left w:w="0" w:type="dxa"/>
          <w:bottom w:w="0" w:type="dxa"/>
          <w:right w:w="0" w:type="dxa"/>
        </w:tblCellMar>
      </w:tblPr>
      <w:tblGrid>
        <w:gridCol w:w="75"/>
        <w:gridCol w:w="5090"/>
        <w:gridCol w:w="75"/>
      </w:tblGrid>
      <w:tr>
        <w:trPr/>
        <w:tc>
          <w:tcPr>
            <w:tcW w:w="75" w:type="dxa"/>
            <w:tcBorders/>
            <w:shd w:fill="auto" w:val="clear"/>
            <w:vAlign w:val="center"/>
          </w:tcPr>
          <w:p>
            <w:pPr>
              <w:pStyle w:val="TableContents"/>
              <w:spacing w:before="0" w:after="283"/>
              <w:jc w:val="center"/>
              <w:rPr/>
            </w:pPr>
            <w:r>
              <w:rPr/>
              <w:t> </w:t>
            </w:r>
          </w:p>
        </w:tc>
        <w:tc>
          <w:tcPr>
            <w:tcW w:w="5090" w:type="dxa"/>
            <w:tcBorders>
              <w:bottom w:val="single" w:sz="8" w:space="0" w:color="000000"/>
            </w:tcBorders>
            <w:shd w:fill="auto" w:val="clear"/>
            <w:tcMar>
              <w:bottom w:w="28" w:type="dxa"/>
            </w:tcMar>
            <w:vAlign w:val="center"/>
          </w:tcPr>
          <w:p>
            <w:pPr>
              <w:pStyle w:val="TableContents"/>
              <w:spacing w:before="0" w:after="283"/>
              <w:jc w:val="center"/>
              <w:rPr>
                <w:sz w:val="17"/>
              </w:rPr>
            </w:pPr>
            <w:r>
              <w:rPr>
                <w:sz w:val="17"/>
              </w:rPr>
              <w:t>Oil-Dri Corporation of America</w:t>
            </w:r>
          </w:p>
        </w:tc>
        <w:tc>
          <w:tcPr>
            <w:tcW w:w="75" w:type="dxa"/>
            <w:tcBorders/>
            <w:shd w:fill="auto" w:val="clear"/>
            <w:vAlign w:val="center"/>
          </w:tcPr>
          <w:p>
            <w:pPr>
              <w:pStyle w:val="TableContents"/>
              <w:spacing w:before="0" w:after="283"/>
              <w:jc w:val="center"/>
              <w:rPr/>
            </w:pPr>
            <w:r>
              <w:rPr/>
              <w:t> </w:t>
            </w:r>
          </w:p>
        </w:tc>
      </w:tr>
      <w:tr>
        <w:trPr/>
        <w:tc>
          <w:tcPr>
            <w:tcW w:w="75" w:type="dxa"/>
            <w:tcBorders/>
            <w:shd w:fill="auto" w:val="clear"/>
            <w:vAlign w:val="center"/>
          </w:tcPr>
          <w:p>
            <w:pPr>
              <w:pStyle w:val="TableContents"/>
              <w:spacing w:before="0" w:after="283"/>
              <w:jc w:val="center"/>
              <w:rPr/>
            </w:pPr>
            <w:r>
              <w:rPr/>
              <w:t> </w:t>
            </w:r>
          </w:p>
        </w:tc>
        <w:tc>
          <w:tcPr>
            <w:tcW w:w="5090" w:type="dxa"/>
            <w:tcBorders/>
            <w:shd w:fill="auto" w:val="clear"/>
            <w:vAlign w:val="center"/>
          </w:tcPr>
          <w:p>
            <w:pPr>
              <w:pStyle w:val="TableContents"/>
              <w:spacing w:before="0" w:after="283"/>
              <w:jc w:val="center"/>
              <w:rPr>
                <w:sz w:val="17"/>
              </w:rPr>
            </w:pPr>
            <w:r>
              <w:rPr>
                <w:sz w:val="17"/>
              </w:rPr>
              <w:t>(Name of Registrant as Specified In Its Charter)</w:t>
            </w:r>
          </w:p>
        </w:tc>
        <w:tc>
          <w:tcPr>
            <w:tcW w:w="75" w:type="dxa"/>
            <w:tcBorders/>
            <w:shd w:fill="auto" w:val="clear"/>
            <w:vAlign w:val="center"/>
          </w:tcPr>
          <w:p>
            <w:pPr>
              <w:pStyle w:val="TableContents"/>
              <w:spacing w:before="0" w:after="283"/>
              <w:jc w:val="center"/>
              <w:rPr/>
            </w:pPr>
            <w:r>
              <w:rPr/>
              <w:t> </w:t>
            </w:r>
          </w:p>
        </w:tc>
      </w:tr>
      <w:tr>
        <w:trPr/>
        <w:tc>
          <w:tcPr>
            <w:tcW w:w="75"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jc w:val="center"/>
              <w:rPr/>
            </w:pPr>
            <w:r>
              <w:rPr/>
              <w:t> </w:t>
            </w:r>
          </w:p>
        </w:tc>
        <w:tc>
          <w:tcPr>
            <w:tcW w:w="5090" w:type="dxa"/>
            <w:tcBorders>
              <w:bottom w:val="single" w:sz="8" w:space="0" w:color="000000"/>
            </w:tcBorders>
            <w:shd w:fill="auto" w:val="clear"/>
            <w:tcMar>
              <w:bottom w:w="28" w:type="dxa"/>
            </w:tcM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center"/>
              <w:rPr/>
            </w:pPr>
            <w:r>
              <w:rPr/>
              <w:t> </w:t>
            </w:r>
          </w:p>
        </w:tc>
      </w:tr>
      <w:tr>
        <w:trPr/>
        <w:tc>
          <w:tcPr>
            <w:tcW w:w="75" w:type="dxa"/>
            <w:tcBorders/>
            <w:shd w:fill="auto" w:val="clear"/>
            <w:vAlign w:val="center"/>
          </w:tcPr>
          <w:p>
            <w:pPr>
              <w:pStyle w:val="TableContents"/>
              <w:spacing w:before="0" w:after="283"/>
              <w:jc w:val="center"/>
              <w:rPr/>
            </w:pPr>
            <w:r>
              <w:rPr/>
              <w:t> </w:t>
            </w:r>
          </w:p>
        </w:tc>
        <w:tc>
          <w:tcPr>
            <w:tcW w:w="5090" w:type="dxa"/>
            <w:tcBorders/>
            <w:shd w:fill="auto" w:val="clear"/>
            <w:vAlign w:val="center"/>
          </w:tcPr>
          <w:p>
            <w:pPr>
              <w:pStyle w:val="TableContents"/>
              <w:spacing w:before="0" w:after="283"/>
              <w:jc w:val="center"/>
              <w:rPr>
                <w:sz w:val="17"/>
              </w:rPr>
            </w:pPr>
            <w:r>
              <w:rPr>
                <w:sz w:val="17"/>
              </w:rPr>
              <w:t>(Name of Person(s) Filing Proxy Statement, if Other Than the Registrant)</w:t>
            </w:r>
          </w:p>
        </w:tc>
        <w:tc>
          <w:tcPr>
            <w:tcW w:w="75"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5"/>
        <w:gridCol w:w="60"/>
        <w:gridCol w:w="196"/>
        <w:gridCol w:w="69"/>
        <w:gridCol w:w="9635"/>
      </w:tblGrid>
      <w:tr>
        <w:trPr/>
        <w:tc>
          <w:tcPr>
            <w:tcW w:w="10205" w:type="dxa"/>
            <w:gridSpan w:val="5"/>
            <w:tcBorders/>
            <w:shd w:fill="auto" w:val="clear"/>
            <w:vAlign w:val="center"/>
          </w:tcPr>
          <w:p>
            <w:pPr>
              <w:pStyle w:val="TableContents"/>
              <w:spacing w:before="0" w:after="283"/>
              <w:rPr>
                <w:sz w:val="17"/>
              </w:rPr>
            </w:pPr>
            <w:r>
              <w:rPr>
                <w:sz w:val="17"/>
              </w:rPr>
              <w:t>Payment of Filing Fee (Check the appropriate box):</w:t>
            </w:r>
          </w:p>
        </w:tc>
      </w:tr>
      <w:tr>
        <w:trPr/>
        <w:tc>
          <w:tcPr>
            <w:tcW w:w="24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jc w:val="right"/>
              <w:rPr/>
            </w:pPr>
            <w:r>
              <w:rPr/>
              <w:t> </w:t>
            </w:r>
          </w:p>
        </w:tc>
        <w:tc>
          <w:tcPr>
            <w:tcW w:w="9900" w:type="dxa"/>
            <w:gridSpan w:val="3"/>
            <w:tcBorders/>
            <w:shd w:fill="auto" w:val="clear"/>
            <w:vAlign w:val="center"/>
          </w:tcPr>
          <w:p>
            <w:pPr>
              <w:pStyle w:val="TableContents"/>
              <w:spacing w:before="0" w:after="283"/>
              <w:rPr>
                <w:sz w:val="17"/>
              </w:rPr>
            </w:pPr>
            <w:r>
              <w:rPr>
                <w:sz w:val="17"/>
              </w:rPr>
              <w:t>No fee required.</w:t>
            </w:r>
          </w:p>
        </w:tc>
      </w:tr>
      <w:tr>
        <w:trPr/>
        <w:tc>
          <w:tcPr>
            <w:tcW w:w="24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jc w:val="right"/>
              <w:rPr/>
            </w:pPr>
            <w:r>
              <w:rPr/>
              <w:t> </w:t>
            </w:r>
          </w:p>
        </w:tc>
        <w:tc>
          <w:tcPr>
            <w:tcW w:w="9900" w:type="dxa"/>
            <w:gridSpan w:val="3"/>
            <w:tcBorders/>
            <w:shd w:fill="auto" w:val="clear"/>
            <w:vAlign w:val="center"/>
          </w:tcPr>
          <w:p>
            <w:pPr>
              <w:pStyle w:val="TableContents"/>
              <w:spacing w:before="0" w:after="283"/>
              <w:rPr>
                <w:sz w:val="17"/>
              </w:rPr>
            </w:pPr>
            <w:r>
              <w:rPr>
                <w:sz w:val="17"/>
              </w:rPr>
              <w:t>Fee computed on table below per Exchange Act Rules 14a-6(i)(4) and 0-11.</w:t>
            </w:r>
          </w:p>
        </w:tc>
      </w:tr>
      <w:tr>
        <w:trPr/>
        <w:tc>
          <w:tcPr>
            <w:tcW w:w="24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jc w:val="right"/>
              <w:rPr/>
            </w:pPr>
            <w:r>
              <w:rPr/>
              <w:t> </w:t>
            </w:r>
          </w:p>
        </w:tc>
        <w:tc>
          <w:tcPr>
            <w:tcW w:w="9900" w:type="dxa"/>
            <w:gridSpan w:val="3"/>
            <w:tcBorders/>
            <w:shd w:fill="auto" w:val="cle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right"/>
              <w:rPr/>
            </w:pPr>
            <w:r>
              <w:rPr/>
              <w:t> </w:t>
            </w:r>
          </w:p>
        </w:tc>
        <w:tc>
          <w:tcPr>
            <w:tcW w:w="196" w:type="dxa"/>
            <w:tcBorders/>
            <w:shd w:fill="auto" w:val="clear"/>
            <w:vAlign w:val="center"/>
          </w:tcPr>
          <w:p>
            <w:pPr>
              <w:pStyle w:val="TableContents"/>
              <w:spacing w:before="0" w:after="283"/>
              <w:jc w:val="right"/>
              <w:rPr>
                <w:sz w:val="17"/>
              </w:rPr>
            </w:pPr>
            <w:r>
              <w:rPr>
                <w:sz w:val="17"/>
              </w:rPr>
              <w:t>1)</w:t>
            </w:r>
          </w:p>
        </w:tc>
        <w:tc>
          <w:tcPr>
            <w:tcW w:w="69" w:type="dxa"/>
            <w:tcBorders/>
            <w:shd w:fill="auto" w:val="clear"/>
            <w:vAlign w:val="center"/>
          </w:tcPr>
          <w:p>
            <w:pPr>
              <w:pStyle w:val="TableContents"/>
              <w:spacing w:before="0" w:after="283"/>
              <w:rPr/>
            </w:pPr>
            <w:r>
              <w:rPr/>
              <w:t> </w:t>
            </w:r>
          </w:p>
        </w:tc>
        <w:tc>
          <w:tcPr>
            <w:tcW w:w="9635" w:type="dxa"/>
            <w:tcBorders/>
            <w:shd w:fill="auto" w:val="clear"/>
            <w:vAlign w:val="center"/>
          </w:tcPr>
          <w:p>
            <w:pPr>
              <w:pStyle w:val="TableContents"/>
              <w:spacing w:before="0" w:after="283"/>
              <w:rPr>
                <w:sz w:val="17"/>
              </w:rPr>
            </w:pPr>
            <w:r>
              <w:rPr>
                <w:sz w:val="17"/>
              </w:rPr>
              <w:t>Title of each class of securities to which transaction applies:</w:t>
            </w:r>
          </w:p>
        </w:tc>
      </w:tr>
      <w:tr>
        <w:trPr/>
        <w:tc>
          <w:tcPr>
            <w:tcW w:w="24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right"/>
              <w:rPr/>
            </w:pPr>
            <w:r>
              <w:rPr/>
              <w:t> </w:t>
            </w:r>
          </w:p>
        </w:tc>
        <w:tc>
          <w:tcPr>
            <w:tcW w:w="196" w:type="dxa"/>
            <w:tcBorders/>
            <w:shd w:fill="auto" w:val="cle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rPr/>
            </w:pPr>
            <w:r>
              <w:rPr/>
              <w:t> </w:t>
            </w:r>
          </w:p>
        </w:tc>
        <w:tc>
          <w:tcPr>
            <w:tcW w:w="96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right"/>
              <w:rPr>
                <w:sz w:val="17"/>
              </w:rPr>
            </w:pPr>
            <w:r>
              <w:rPr>
                <w:sz w:val="17"/>
              </w:rPr>
              <w:t>2)</w:t>
            </w:r>
          </w:p>
        </w:tc>
        <w:tc>
          <w:tcPr>
            <w:tcW w:w="69" w:type="dxa"/>
            <w:tcBorders/>
            <w:shd w:fill="auto" w:val="clear"/>
            <w:vAlign w:val="center"/>
          </w:tcPr>
          <w:p>
            <w:pPr>
              <w:pStyle w:val="TableContents"/>
              <w:spacing w:before="0" w:after="283"/>
              <w:rPr/>
            </w:pPr>
            <w:r>
              <w:rPr/>
              <w:t> </w:t>
            </w:r>
          </w:p>
        </w:tc>
        <w:tc>
          <w:tcPr>
            <w:tcW w:w="9635" w:type="dxa"/>
            <w:tcBorders/>
            <w:shd w:fill="auto" w:val="clear"/>
            <w:vAlign w:val="center"/>
          </w:tcPr>
          <w:p>
            <w:pPr>
              <w:pStyle w:val="TableContents"/>
              <w:spacing w:before="0" w:after="283"/>
              <w:rPr>
                <w:sz w:val="17"/>
              </w:rPr>
            </w:pPr>
            <w:r>
              <w:rPr>
                <w:sz w:val="17"/>
              </w:rPr>
              <w:t>Aggregate number of securities to which transaction applies:</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6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right"/>
              <w:rPr>
                <w:sz w:val="17"/>
              </w:rPr>
            </w:pPr>
            <w:r>
              <w:rPr>
                <w:sz w:val="17"/>
              </w:rPr>
              <w:t>3)</w:t>
            </w:r>
          </w:p>
        </w:tc>
        <w:tc>
          <w:tcPr>
            <w:tcW w:w="69" w:type="dxa"/>
            <w:tcBorders/>
            <w:shd w:fill="auto" w:val="clear"/>
            <w:vAlign w:val="center"/>
          </w:tcPr>
          <w:p>
            <w:pPr>
              <w:pStyle w:val="TableContents"/>
              <w:spacing w:before="0" w:after="283"/>
              <w:rPr/>
            </w:pPr>
            <w:r>
              <w:rPr/>
              <w:t> </w:t>
            </w:r>
          </w:p>
        </w:tc>
        <w:tc>
          <w:tcPr>
            <w:tcW w:w="9635" w:type="dxa"/>
            <w:tcBorders/>
            <w:shd w:fill="auto" w:val="clear"/>
            <w:vAlign w:val="center"/>
          </w:tcPr>
          <w:p>
            <w:pPr>
              <w:pStyle w:val="TableContents"/>
              <w:spacing w:before="0" w:after="283"/>
              <w:rPr>
                <w:sz w:val="17"/>
              </w:rPr>
            </w:pPr>
            <w:r>
              <w:rPr>
                <w:sz w:val="17"/>
              </w:rPr>
              <w:t>Per unit price or other underlying value of transaction computed pursuant to Exchange Act Rule 0-11 (set forth the amount on which the filing fee is calculated and state how it was determined):</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6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right"/>
              <w:rPr>
                <w:sz w:val="17"/>
              </w:rPr>
            </w:pPr>
            <w:r>
              <w:rPr>
                <w:sz w:val="17"/>
              </w:rPr>
              <w:t>4)</w:t>
            </w:r>
          </w:p>
        </w:tc>
        <w:tc>
          <w:tcPr>
            <w:tcW w:w="69" w:type="dxa"/>
            <w:tcBorders/>
            <w:shd w:fill="auto" w:val="clear"/>
            <w:vAlign w:val="center"/>
          </w:tcPr>
          <w:p>
            <w:pPr>
              <w:pStyle w:val="TableContents"/>
              <w:spacing w:before="0" w:after="283"/>
              <w:rPr/>
            </w:pPr>
            <w:r>
              <w:rPr/>
              <w:t> </w:t>
            </w:r>
          </w:p>
        </w:tc>
        <w:tc>
          <w:tcPr>
            <w:tcW w:w="9635" w:type="dxa"/>
            <w:tcBorders/>
            <w:shd w:fill="auto" w:val="clear"/>
            <w:vAlign w:val="center"/>
          </w:tcPr>
          <w:p>
            <w:pPr>
              <w:pStyle w:val="TableContents"/>
              <w:spacing w:before="0" w:after="283"/>
              <w:rPr>
                <w:sz w:val="17"/>
              </w:rPr>
            </w:pPr>
            <w:r>
              <w:rPr>
                <w:sz w:val="17"/>
              </w:rPr>
              <w:t>Proposed maximum aggregate value of transaction:</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6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right"/>
              <w:rPr>
                <w:sz w:val="17"/>
              </w:rPr>
            </w:pPr>
            <w:r>
              <w:rPr>
                <w:sz w:val="17"/>
              </w:rPr>
              <w:t>5)</w:t>
            </w:r>
          </w:p>
        </w:tc>
        <w:tc>
          <w:tcPr>
            <w:tcW w:w="69" w:type="dxa"/>
            <w:tcBorders/>
            <w:shd w:fill="auto" w:val="clear"/>
            <w:vAlign w:val="center"/>
          </w:tcPr>
          <w:p>
            <w:pPr>
              <w:pStyle w:val="TableContents"/>
              <w:spacing w:before="0" w:after="283"/>
              <w:rPr/>
            </w:pPr>
            <w:r>
              <w:rPr/>
              <w:t> </w:t>
            </w:r>
          </w:p>
        </w:tc>
        <w:tc>
          <w:tcPr>
            <w:tcW w:w="9635" w:type="dxa"/>
            <w:tcBorders/>
            <w:shd w:fill="auto" w:val="clear"/>
            <w:vAlign w:val="center"/>
          </w:tcPr>
          <w:p>
            <w:pPr>
              <w:pStyle w:val="TableContents"/>
              <w:spacing w:before="0" w:after="283"/>
              <w:rPr>
                <w:sz w:val="17"/>
              </w:rPr>
            </w:pPr>
            <w:r>
              <w:rPr>
                <w:sz w:val="17"/>
              </w:rPr>
              <w:t>Total fee paid:</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6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635" w:type="dxa"/>
            <w:tcBorders/>
            <w:shd w:fill="auto" w:val="cle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jc w:val="right"/>
              <w:rPr/>
            </w:pPr>
            <w:r>
              <w:rPr/>
              <w:t> </w:t>
            </w:r>
          </w:p>
        </w:tc>
        <w:tc>
          <w:tcPr>
            <w:tcW w:w="9900" w:type="dxa"/>
            <w:gridSpan w:val="3"/>
            <w:tcBorders/>
            <w:shd w:fill="auto" w:val="clear"/>
            <w:vAlign w:val="center"/>
          </w:tcPr>
          <w:p>
            <w:pPr>
              <w:pStyle w:val="TableContents"/>
              <w:spacing w:before="0" w:after="283"/>
              <w:rPr>
                <w:sz w:val="17"/>
              </w:rPr>
            </w:pPr>
            <w:r>
              <w:rPr>
                <w:sz w:val="17"/>
              </w:rPr>
              <w:t>Fee paid previously with preliminary materials:</w:t>
            </w:r>
          </w:p>
        </w:tc>
      </w:tr>
      <w:tr>
        <w:trPr/>
        <w:tc>
          <w:tcPr>
            <w:tcW w:w="24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jc w:val="right"/>
              <w:rPr/>
            </w:pPr>
            <w:r>
              <w:rPr/>
              <w:t> </w:t>
            </w:r>
          </w:p>
        </w:tc>
        <w:tc>
          <w:tcPr>
            <w:tcW w:w="9900" w:type="dxa"/>
            <w:gridSpan w:val="3"/>
            <w:tcBorders/>
            <w:shd w:fill="auto" w:val="clear"/>
            <w:vAlign w:val="center"/>
          </w:tcPr>
          <w:p>
            <w:pPr>
              <w:pStyle w:val="TableContents"/>
              <w:spacing w:before="0" w:after="283"/>
              <w:rPr>
                <w:sz w:val="17"/>
              </w:rPr>
            </w:pPr>
            <w:r>
              <w:rPr>
                <w:sz w:val="17"/>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24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jc w:val="right"/>
              <w:rPr/>
            </w:pPr>
            <w:r>
              <w:rPr/>
              <w:t> </w:t>
            </w:r>
          </w:p>
        </w:tc>
        <w:tc>
          <w:tcPr>
            <w:tcW w:w="9900" w:type="dxa"/>
            <w:gridSpan w:val="3"/>
            <w:tcBorders/>
            <w:shd w:fill="auto" w:val="cle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sz w:val="17"/>
              </w:rPr>
            </w:pPr>
            <w:r>
              <w:rPr>
                <w:sz w:val="17"/>
              </w:rPr>
              <w:t>1)</w:t>
            </w:r>
          </w:p>
        </w:tc>
        <w:tc>
          <w:tcPr>
            <w:tcW w:w="69" w:type="dxa"/>
            <w:tcBorders/>
            <w:shd w:fill="auto" w:val="clear"/>
            <w:vAlign w:val="center"/>
          </w:tcPr>
          <w:p>
            <w:pPr>
              <w:pStyle w:val="TableContents"/>
              <w:spacing w:before="0" w:after="283"/>
              <w:rPr/>
            </w:pPr>
            <w:r>
              <w:rPr/>
              <w:t> </w:t>
            </w:r>
          </w:p>
        </w:tc>
        <w:tc>
          <w:tcPr>
            <w:tcW w:w="9635" w:type="dxa"/>
            <w:tcBorders/>
            <w:shd w:fill="auto" w:val="clear"/>
            <w:vAlign w:val="center"/>
          </w:tcPr>
          <w:p>
            <w:pPr>
              <w:pStyle w:val="TableContents"/>
              <w:spacing w:before="0" w:after="283"/>
              <w:rPr>
                <w:sz w:val="17"/>
              </w:rPr>
            </w:pPr>
            <w:r>
              <w:rPr>
                <w:sz w:val="17"/>
              </w:rPr>
              <w:t>Amount previously paid:</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6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sz w:val="17"/>
              </w:rPr>
            </w:pPr>
            <w:r>
              <w:rPr>
                <w:sz w:val="17"/>
              </w:rPr>
              <w:t>2)</w:t>
            </w:r>
          </w:p>
        </w:tc>
        <w:tc>
          <w:tcPr>
            <w:tcW w:w="69" w:type="dxa"/>
            <w:tcBorders/>
            <w:shd w:fill="auto" w:val="clear"/>
            <w:vAlign w:val="center"/>
          </w:tcPr>
          <w:p>
            <w:pPr>
              <w:pStyle w:val="TableContents"/>
              <w:spacing w:before="0" w:after="283"/>
              <w:rPr/>
            </w:pPr>
            <w:r>
              <w:rPr/>
              <w:t> </w:t>
            </w:r>
          </w:p>
        </w:tc>
        <w:tc>
          <w:tcPr>
            <w:tcW w:w="9635" w:type="dxa"/>
            <w:tcBorders/>
            <w:shd w:fill="auto" w:val="clear"/>
            <w:vAlign w:val="center"/>
          </w:tcPr>
          <w:p>
            <w:pPr>
              <w:pStyle w:val="TableContents"/>
              <w:spacing w:before="0" w:after="283"/>
              <w:rPr>
                <w:sz w:val="17"/>
              </w:rPr>
            </w:pPr>
            <w:r>
              <w:rPr>
                <w:sz w:val="17"/>
              </w:rPr>
              <w:t>Form, Schedule or Registration Statement No.:</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6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sz w:val="17"/>
              </w:rPr>
            </w:pPr>
            <w:r>
              <w:rPr>
                <w:sz w:val="17"/>
              </w:rPr>
              <w:t>3)</w:t>
            </w:r>
          </w:p>
        </w:tc>
        <w:tc>
          <w:tcPr>
            <w:tcW w:w="69" w:type="dxa"/>
            <w:tcBorders/>
            <w:shd w:fill="auto" w:val="clear"/>
            <w:vAlign w:val="center"/>
          </w:tcPr>
          <w:p>
            <w:pPr>
              <w:pStyle w:val="TableContents"/>
              <w:spacing w:before="0" w:after="283"/>
              <w:rPr/>
            </w:pPr>
            <w:r>
              <w:rPr/>
              <w:t> </w:t>
            </w:r>
          </w:p>
        </w:tc>
        <w:tc>
          <w:tcPr>
            <w:tcW w:w="9635" w:type="dxa"/>
            <w:tcBorders/>
            <w:shd w:fill="auto" w:val="clear"/>
            <w:vAlign w:val="center"/>
          </w:tcPr>
          <w:p>
            <w:pPr>
              <w:pStyle w:val="TableContents"/>
              <w:spacing w:before="0" w:after="283"/>
              <w:rPr>
                <w:sz w:val="17"/>
              </w:rPr>
            </w:pPr>
            <w:r>
              <w:rPr>
                <w:sz w:val="17"/>
              </w:rPr>
              <w:t>Filing Party:</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6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sz w:val="17"/>
              </w:rPr>
            </w:pPr>
            <w:r>
              <w:rPr>
                <w:sz w:val="17"/>
              </w:rPr>
              <w:t>4)</w:t>
            </w:r>
          </w:p>
        </w:tc>
        <w:tc>
          <w:tcPr>
            <w:tcW w:w="69" w:type="dxa"/>
            <w:tcBorders/>
            <w:shd w:fill="auto" w:val="clear"/>
            <w:vAlign w:val="center"/>
          </w:tcPr>
          <w:p>
            <w:pPr>
              <w:pStyle w:val="TableContents"/>
              <w:spacing w:before="0" w:after="283"/>
              <w:rPr/>
            </w:pPr>
            <w:r>
              <w:rPr/>
              <w:t> </w:t>
            </w:r>
          </w:p>
        </w:tc>
        <w:tc>
          <w:tcPr>
            <w:tcW w:w="9635" w:type="dxa"/>
            <w:tcBorders/>
            <w:shd w:fill="auto" w:val="clear"/>
            <w:vAlign w:val="center"/>
          </w:tcPr>
          <w:p>
            <w:pPr>
              <w:pStyle w:val="TableContents"/>
              <w:spacing w:before="0" w:after="283"/>
              <w:rPr>
                <w:sz w:val="17"/>
              </w:rPr>
            </w:pPr>
            <w:r>
              <w:rPr>
                <w:sz w:val="17"/>
              </w:rPr>
              <w:t>Date Filed:</w:t>
            </w:r>
          </w:p>
        </w:tc>
      </w:tr>
      <w:tr>
        <w:trPr/>
        <w:tc>
          <w:tcPr>
            <w:tcW w:w="2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635"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spacing w:before="0" w:after="20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00"/>
        <w:jc w:val="both"/>
        <w:rPr>
          <w:caps w:val="false"/>
          <w:smallCaps w:val="false"/>
        </w:rPr>
      </w:pPr>
      <w:r>
        <w:rPr>
          <w:caps w:val="false"/>
          <w:smallCaps w:val="false"/>
        </w:rPr>
        <w:t> </w:t>
      </w:r>
    </w:p>
    <w:p>
      <w:pPr>
        <w:pStyle w:val="TextBody"/>
        <w:spacing w:before="0" w:after="200"/>
        <w:jc w:val="center"/>
        <w:rPr>
          <w:caps w:val="false"/>
          <w:smallCaps w:val="false"/>
        </w:rPr>
      </w:pPr>
      <w:r>
        <w:rPr>
          <w:caps w:val="false"/>
          <w:smallCaps w:val="false"/>
        </w:rPr>
        <w:drawing>
          <wp:inline distT="0" distB="0" distL="0" distR="0">
            <wp:extent cx="18764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647700"/>
                    </a:xfrm>
                    <a:prstGeom prst="rect">
                      <a:avLst/>
                    </a:prstGeom>
                  </pic:spPr>
                </pic:pic>
              </a:graphicData>
            </a:graphic>
          </wp:inline>
        </w:drawing>
      </w:r>
    </w:p>
    <w:p>
      <w:pPr>
        <w:pStyle w:val="TextBody"/>
        <w:spacing w:before="0" w:after="200"/>
        <w:jc w:val="both"/>
        <w:rPr>
          <w:caps w:val="false"/>
          <w:smallCaps w:val="false"/>
        </w:rPr>
      </w:pPr>
      <w:r>
        <w:rPr>
          <w:caps w:val="false"/>
          <w:smallCaps w:val="false"/>
        </w:rPr>
        <w:t> </w:t>
      </w:r>
    </w:p>
    <w:p>
      <w:pPr>
        <w:pStyle w:val="TextBody"/>
        <w:spacing w:before="0" w:after="20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5, 2014</w:t>
      </w:r>
    </w:p>
    <w:p>
      <w:pPr>
        <w:pStyle w:val="TextBody"/>
        <w:spacing w:before="0" w:after="200"/>
        <w:jc w:val="right"/>
        <w:rPr>
          <w:caps w:val="false"/>
          <w:smallCaps w:val="false"/>
        </w:rPr>
      </w:pPr>
      <w:r>
        <w:rPr>
          <w:caps w:val="false"/>
          <w:smallCaps w:val="false"/>
        </w:rPr>
        <w:t> </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and all of us on the management team cordially invite you to attend the 2014 Annual Meeting of Stockholders on Tuesday, December 9, 2014, at 9:30 a.m., local time, at The Standard Club, 320 South Plymouth Court, Chicago, Illinois 60604-3802.</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expected to be acted on in the meeting are described in the attached Proxy Statement. We are recommending a slate of eight directors to be elected to our Board of Directors. Their biographies and qualifications appear in the Proxy Statement. In addition, we ask that you ratify the appointment of Grant Thornton LLP as our independent auditor for the fiscal year ending July 31, 2015. We are also asking for your approval, on an advisory basis, of the compensation of the named executive officers disclosed in this Proxy Statement. Included with the Proxy Statement is a copy of our Annual Report on Form 10-K for fiscal year 2014. We encourage you to read our Form 10-K. It includes information on our operations, markets, products and services, as well as our audited consolidated financial statements.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adjournment of the Annual Meeting, we will review the results of the past year and look at some of the potential opportunities that lie ahead.</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seeing you at the Annual Meeting. Whether or not you plan to attend, you can be sure your shares are represented at the meeting by promptly submitting your completed proxy by Internet, by telephone or by mailing your proxy card in the enclosed envelope provided for this purpose.</w:t>
      </w:r>
    </w:p>
    <w:p>
      <w:pPr>
        <w:pStyle w:val="TextBody"/>
        <w:spacing w:before="0" w:after="200"/>
        <w:jc w:val="both"/>
        <w:rPr>
          <w:caps w:val="false"/>
          <w:smallCaps w:val="false"/>
        </w:rPr>
      </w:pPr>
      <w:r>
        <w:rPr>
          <w:caps w:val="false"/>
          <w:smallCaps w:val="false"/>
        </w:rPr>
        <w:t> </w:t>
      </w:r>
    </w:p>
    <w:tbl>
      <w:tblPr>
        <w:tblW w:w="2798" w:type="dxa"/>
        <w:jc w:val="left"/>
        <w:tblInd w:w="0" w:type="dxa"/>
        <w:tblCellMar>
          <w:top w:w="0" w:type="dxa"/>
          <w:left w:w="0" w:type="dxa"/>
          <w:bottom w:w="0" w:type="dxa"/>
          <w:right w:w="0" w:type="dxa"/>
        </w:tblCellMar>
      </w:tblPr>
      <w:tblGrid>
        <w:gridCol w:w="183"/>
        <w:gridCol w:w="2615"/>
      </w:tblGrid>
      <w:tr>
        <w:trPr/>
        <w:tc>
          <w:tcPr>
            <w:tcW w:w="183" w:type="dxa"/>
            <w:tcBorders/>
            <w:shd w:fill="auto" w:val="clear"/>
            <w:vAlign w:val="center"/>
          </w:tcPr>
          <w:p>
            <w:pPr>
              <w:pStyle w:val="TableContents"/>
              <w:spacing w:before="0" w:after="283"/>
              <w:ind w:left="0" w:right="0" w:firstLine="108"/>
              <w:jc w:val="both"/>
              <w:rPr/>
            </w:pPr>
            <w:r>
              <w:rPr/>
              <w:t> </w:t>
            </w:r>
          </w:p>
        </w:tc>
        <w:tc>
          <w:tcPr>
            <w:tcW w:w="2615" w:type="dxa"/>
            <w:tcBorders/>
            <w:shd w:fill="auto" w:val="clear"/>
            <w:vAlign w:val="center"/>
          </w:tcPr>
          <w:p>
            <w:pPr>
              <w:pStyle w:val="TableContents"/>
              <w:spacing w:before="0" w:after="283"/>
              <w:ind w:left="0" w:right="0" w:firstLine="108"/>
              <w:jc w:val="both"/>
              <w:rPr>
                <w:sz w:val="17"/>
              </w:rPr>
            </w:pPr>
            <w:r>
              <w:rPr>
                <w:sz w:val="17"/>
              </w:rPr>
              <w:t>Sincerely,</w:t>
            </w:r>
          </w:p>
        </w:tc>
      </w:tr>
      <w:tr>
        <w:trPr/>
        <w:tc>
          <w:tcPr>
            <w:tcW w:w="183" w:type="dxa"/>
            <w:tcBorders/>
            <w:shd w:fill="auto" w:val="clear"/>
            <w:vAlign w:val="center"/>
          </w:tcPr>
          <w:p>
            <w:pPr>
              <w:pStyle w:val="TableContents"/>
              <w:spacing w:before="0" w:after="283"/>
              <w:ind w:left="0" w:right="0" w:firstLine="108"/>
              <w:jc w:val="both"/>
              <w:rPr/>
            </w:pPr>
            <w:r>
              <w:rPr/>
              <w:t> </w:t>
            </w:r>
          </w:p>
        </w:tc>
        <w:tc>
          <w:tcPr>
            <w:tcW w:w="2615" w:type="dxa"/>
            <w:tcBorders/>
            <w:shd w:fill="auto" w:val="clear"/>
            <w:vAlign w:val="center"/>
          </w:tcPr>
          <w:p>
            <w:pPr>
              <w:pStyle w:val="TableContents"/>
              <w:spacing w:before="0" w:after="283"/>
              <w:ind w:left="0" w:right="0" w:firstLine="108"/>
              <w:jc w:val="both"/>
              <w:rPr/>
            </w:pPr>
            <w:r>
              <w:rPr/>
              <w:drawing>
                <wp:inline distT="0" distB="0" distL="0" distR="0">
                  <wp:extent cx="1495425"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95425" cy="438150"/>
                          </a:xfrm>
                          <a:prstGeom prst="rect">
                            <a:avLst/>
                          </a:prstGeom>
                        </pic:spPr>
                      </pic:pic>
                    </a:graphicData>
                  </a:graphic>
                </wp:inline>
              </w:drawing>
            </w:r>
          </w:p>
        </w:tc>
      </w:tr>
      <w:tr>
        <w:trPr/>
        <w:tc>
          <w:tcPr>
            <w:tcW w:w="183" w:type="dxa"/>
            <w:tcBorders/>
            <w:shd w:fill="auto" w:val="clear"/>
            <w:vAlign w:val="center"/>
          </w:tcPr>
          <w:p>
            <w:pPr>
              <w:pStyle w:val="TableContents"/>
              <w:spacing w:before="0" w:after="283"/>
              <w:ind w:left="0" w:right="0" w:firstLine="108"/>
              <w:jc w:val="both"/>
              <w:rPr/>
            </w:pPr>
            <w:r>
              <w:rPr/>
              <w:t> </w:t>
            </w:r>
          </w:p>
        </w:tc>
        <w:tc>
          <w:tcPr>
            <w:tcW w:w="2615" w:type="dxa"/>
            <w:tcBorders/>
            <w:shd w:fill="auto" w:val="clear"/>
            <w:vAlign w:val="center"/>
          </w:tcPr>
          <w:p>
            <w:pPr>
              <w:pStyle w:val="TableContents"/>
              <w:spacing w:before="0" w:after="283"/>
              <w:ind w:left="0" w:right="0" w:firstLine="108"/>
              <w:jc w:val="both"/>
              <w:rPr/>
            </w:pPr>
            <w:r>
              <w:rPr/>
              <w:t> </w:t>
            </w:r>
          </w:p>
        </w:tc>
      </w:tr>
      <w:tr>
        <w:trPr/>
        <w:tc>
          <w:tcPr>
            <w:tcW w:w="183" w:type="dxa"/>
            <w:tcBorders/>
            <w:shd w:fill="auto" w:val="clear"/>
            <w:vAlign w:val="center"/>
          </w:tcPr>
          <w:p>
            <w:pPr>
              <w:pStyle w:val="TableContents"/>
              <w:spacing w:before="0" w:after="283"/>
              <w:ind w:left="0" w:right="0" w:firstLine="108"/>
              <w:jc w:val="both"/>
              <w:rPr/>
            </w:pPr>
            <w:r>
              <w:rPr/>
              <w:t> </w:t>
            </w:r>
          </w:p>
        </w:tc>
        <w:tc>
          <w:tcPr>
            <w:tcW w:w="2615" w:type="dxa"/>
            <w:tcBorders/>
            <w:shd w:fill="auto" w:val="clear"/>
            <w:vAlign w:val="center"/>
          </w:tcPr>
          <w:p>
            <w:pPr>
              <w:pStyle w:val="TableContents"/>
              <w:spacing w:before="0" w:after="283"/>
              <w:ind w:left="0" w:right="0" w:firstLine="108"/>
              <w:jc w:val="both"/>
              <w:rPr>
                <w:sz w:val="17"/>
              </w:rPr>
            </w:pPr>
            <w:r>
              <w:rPr>
                <w:sz w:val="17"/>
              </w:rPr>
              <w:t>DANIEL S. JAFFEE</w:t>
            </w:r>
          </w:p>
        </w:tc>
      </w:tr>
      <w:tr>
        <w:trPr/>
        <w:tc>
          <w:tcPr>
            <w:tcW w:w="183" w:type="dxa"/>
            <w:tcBorders/>
            <w:shd w:fill="auto" w:val="clear"/>
            <w:vAlign w:val="center"/>
          </w:tcPr>
          <w:p>
            <w:pPr>
              <w:pStyle w:val="TableContents"/>
              <w:spacing w:before="0" w:after="283"/>
              <w:ind w:left="0" w:right="0" w:firstLine="108"/>
              <w:jc w:val="both"/>
              <w:rPr/>
            </w:pPr>
            <w:r>
              <w:rPr/>
              <w:t> </w:t>
            </w:r>
          </w:p>
        </w:tc>
        <w:tc>
          <w:tcPr>
            <w:tcW w:w="2615" w:type="dxa"/>
            <w:tcBorders/>
            <w:shd w:fill="auto" w:val="clear"/>
            <w:vAlign w:val="center"/>
          </w:tcPr>
          <w:p>
            <w:pPr>
              <w:pStyle w:val="TableContents"/>
              <w:spacing w:before="0" w:after="283"/>
              <w:jc w:val="both"/>
              <w:rPr>
                <w:i/>
                <w:sz w:val="17"/>
              </w:rPr>
            </w:pPr>
            <w:r>
              <w:rPr>
                <w:i/>
                <w:sz w:val="17"/>
              </w:rPr>
              <w:t>President and Chief Executive Officer</w:t>
            </w:r>
          </w:p>
        </w:tc>
      </w:tr>
    </w:tbl>
    <w:p>
      <w:pPr>
        <w:pStyle w:val="TextBody"/>
        <w:spacing w:before="0" w:after="20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lineRule="auto" w:line="276"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tbl>
      <w:tblPr>
        <w:tblW w:w="6460" w:type="dxa"/>
        <w:jc w:val="left"/>
        <w:tblInd w:w="0" w:type="dxa"/>
        <w:tblCellMar>
          <w:top w:w="0" w:type="dxa"/>
          <w:left w:w="0" w:type="dxa"/>
          <w:bottom w:w="0" w:type="dxa"/>
          <w:right w:w="0" w:type="dxa"/>
        </w:tblCellMar>
      </w:tblPr>
      <w:tblGrid>
        <w:gridCol w:w="6005"/>
        <w:gridCol w:w="455"/>
      </w:tblGrid>
      <w:tr>
        <w:trPr/>
        <w:tc>
          <w:tcPr>
            <w:tcW w:w="6005" w:type="dxa"/>
            <w:tcBorders/>
            <w:shd w:fill="auto" w:val="clear"/>
            <w:vAlign w:val="center"/>
          </w:tcPr>
          <w:p>
            <w:pPr>
              <w:pStyle w:val="TableContents"/>
              <w:spacing w:before="0" w:after="283"/>
              <w:jc w:val="both"/>
              <w:rPr/>
            </w:pPr>
            <w:hyperlink w:anchor="a_Toc339007542">
              <w:r>
                <w:rPr>
                  <w:rStyle w:val="InternetLink"/>
                  <w:sz w:val="17"/>
                </w:rPr>
                <w:t>NOTICE OF ANNUAL MEETING OF STOCKHOLDERS</w:t>
              </w:r>
            </w:hyperlink>
          </w:p>
        </w:tc>
        <w:tc>
          <w:tcPr>
            <w:tcW w:w="455" w:type="dxa"/>
            <w:tcBorders/>
            <w:shd w:fill="auto" w:val="clear"/>
            <w:vAlign w:val="center"/>
          </w:tcPr>
          <w:p>
            <w:pPr>
              <w:pStyle w:val="TableContents"/>
              <w:spacing w:before="0" w:after="283"/>
              <w:jc w:val="right"/>
              <w:rPr/>
            </w:pPr>
            <w:r>
              <w:rPr/>
              <w:t>ii</w:t>
            </w:r>
          </w:p>
        </w:tc>
      </w:tr>
      <w:tr>
        <w:trPr/>
        <w:tc>
          <w:tcPr>
            <w:tcW w:w="6005" w:type="dxa"/>
            <w:tcBorders/>
            <w:shd w:fill="auto" w:val="clear"/>
            <w:vAlign w:val="center"/>
          </w:tcPr>
          <w:p>
            <w:pPr>
              <w:pStyle w:val="TableContents"/>
              <w:spacing w:before="0" w:after="283"/>
              <w:jc w:val="both"/>
              <w:rPr/>
            </w:pPr>
            <w:hyperlink w:anchor="a_Toc339007543">
              <w:r>
                <w:rPr>
                  <w:rStyle w:val="InternetLink"/>
                  <w:sz w:val="17"/>
                </w:rPr>
                <w:t>GENERAL INFORMATION</w:t>
              </w:r>
            </w:hyperlink>
          </w:p>
        </w:tc>
        <w:tc>
          <w:tcPr>
            <w:tcW w:w="455" w:type="dxa"/>
            <w:tcBorders/>
            <w:shd w:fill="auto" w:val="clear"/>
            <w:vAlign w:val="center"/>
          </w:tcPr>
          <w:p>
            <w:pPr>
              <w:pStyle w:val="TableContents"/>
              <w:spacing w:before="0" w:after="283"/>
              <w:ind w:left="0" w:right="0" w:firstLine="180"/>
              <w:jc w:val="right"/>
              <w:rPr/>
            </w:pPr>
            <w:r>
              <w:rPr/>
              <w:t>1</w:t>
            </w:r>
          </w:p>
        </w:tc>
      </w:tr>
      <w:tr>
        <w:trPr/>
        <w:tc>
          <w:tcPr>
            <w:tcW w:w="6005" w:type="dxa"/>
            <w:tcBorders/>
            <w:shd w:fill="auto" w:val="clear"/>
            <w:vAlign w:val="center"/>
          </w:tcPr>
          <w:p>
            <w:pPr>
              <w:pStyle w:val="TableContents"/>
              <w:spacing w:before="0" w:after="283"/>
              <w:ind w:left="0" w:right="0" w:firstLine="180"/>
              <w:jc w:val="both"/>
              <w:rPr/>
            </w:pPr>
            <w:hyperlink w:anchor="a_Toc339007544">
              <w:r>
                <w:rPr>
                  <w:rStyle w:val="InternetLink"/>
                  <w:sz w:val="17"/>
                </w:rPr>
                <w:t>Commonly Asked Questions and Answers</w:t>
              </w:r>
            </w:hyperlink>
          </w:p>
        </w:tc>
        <w:tc>
          <w:tcPr>
            <w:tcW w:w="455" w:type="dxa"/>
            <w:tcBorders/>
            <w:shd w:fill="auto" w:val="clear"/>
            <w:vAlign w:val="center"/>
          </w:tcPr>
          <w:p>
            <w:pPr>
              <w:pStyle w:val="TableContents"/>
              <w:spacing w:before="0" w:after="283"/>
              <w:jc w:val="right"/>
              <w:rPr/>
            </w:pPr>
            <w:r>
              <w:rPr/>
              <w:t>1</w:t>
            </w:r>
          </w:p>
        </w:tc>
      </w:tr>
      <w:tr>
        <w:trPr/>
        <w:tc>
          <w:tcPr>
            <w:tcW w:w="6005" w:type="dxa"/>
            <w:tcBorders/>
            <w:shd w:fill="auto" w:val="clear"/>
            <w:vAlign w:val="center"/>
          </w:tcPr>
          <w:p>
            <w:pPr>
              <w:pStyle w:val="TableContents"/>
              <w:spacing w:before="0" w:after="283"/>
              <w:jc w:val="both"/>
              <w:rPr/>
            </w:pPr>
            <w:hyperlink w:anchor="a_Toc339007545">
              <w:r>
                <w:rPr>
                  <w:rStyle w:val="InternetLink"/>
                  <w:sz w:val="17"/>
                </w:rPr>
                <w:t>PROPOSALS</w:t>
              </w:r>
            </w:hyperlink>
          </w:p>
        </w:tc>
        <w:tc>
          <w:tcPr>
            <w:tcW w:w="455" w:type="dxa"/>
            <w:tcBorders/>
            <w:shd w:fill="auto" w:val="clear"/>
            <w:vAlign w:val="center"/>
          </w:tcPr>
          <w:p>
            <w:pPr>
              <w:pStyle w:val="TableContents"/>
              <w:spacing w:before="0" w:after="283"/>
              <w:ind w:left="0" w:right="0" w:firstLine="180"/>
              <w:jc w:val="right"/>
              <w:rPr/>
            </w:pPr>
            <w:r>
              <w:rPr/>
              <w:t>6</w:t>
            </w:r>
          </w:p>
        </w:tc>
      </w:tr>
      <w:tr>
        <w:trPr/>
        <w:tc>
          <w:tcPr>
            <w:tcW w:w="6005" w:type="dxa"/>
            <w:tcBorders/>
            <w:shd w:fill="auto" w:val="clear"/>
            <w:vAlign w:val="center"/>
          </w:tcPr>
          <w:p>
            <w:pPr>
              <w:pStyle w:val="TableContents"/>
              <w:spacing w:before="0" w:after="283"/>
              <w:ind w:left="0" w:right="0" w:firstLine="180"/>
              <w:jc w:val="both"/>
              <w:rPr/>
            </w:pPr>
            <w:hyperlink w:anchor="a_Toc339007546">
              <w:r>
                <w:rPr>
                  <w:rStyle w:val="InternetLink"/>
                  <w:sz w:val="17"/>
                </w:rPr>
                <w:t>1. Election of Directors</w:t>
              </w:r>
            </w:hyperlink>
          </w:p>
        </w:tc>
        <w:tc>
          <w:tcPr>
            <w:tcW w:w="455" w:type="dxa"/>
            <w:tcBorders/>
            <w:shd w:fill="auto" w:val="clear"/>
            <w:vAlign w:val="center"/>
          </w:tcPr>
          <w:p>
            <w:pPr>
              <w:pStyle w:val="TableContents"/>
              <w:spacing w:before="0" w:after="283"/>
              <w:ind w:left="0" w:right="0" w:firstLine="180"/>
              <w:jc w:val="right"/>
              <w:rPr/>
            </w:pPr>
            <w:r>
              <w:rPr/>
              <w:t>6</w:t>
            </w:r>
          </w:p>
        </w:tc>
      </w:tr>
      <w:tr>
        <w:trPr/>
        <w:tc>
          <w:tcPr>
            <w:tcW w:w="6005" w:type="dxa"/>
            <w:tcBorders/>
            <w:shd w:fill="auto" w:val="clear"/>
            <w:vAlign w:val="center"/>
          </w:tcPr>
          <w:p>
            <w:pPr>
              <w:pStyle w:val="TableContents"/>
              <w:spacing w:before="0" w:after="283"/>
              <w:ind w:left="0" w:right="0" w:firstLine="180"/>
              <w:jc w:val="both"/>
              <w:rPr/>
            </w:pPr>
            <w:hyperlink w:anchor="a_Toc339007547">
              <w:r>
                <w:rPr>
                  <w:rStyle w:val="InternetLink"/>
                  <w:sz w:val="17"/>
                </w:rPr>
                <w:t>2. Ratification of Appointment of Independent Auditor</w:t>
              </w:r>
            </w:hyperlink>
          </w:p>
        </w:tc>
        <w:tc>
          <w:tcPr>
            <w:tcW w:w="455" w:type="dxa"/>
            <w:tcBorders/>
            <w:shd w:fill="auto" w:val="clear"/>
            <w:vAlign w:val="center"/>
          </w:tcPr>
          <w:p>
            <w:pPr>
              <w:pStyle w:val="TableContents"/>
              <w:spacing w:before="0" w:after="283"/>
              <w:ind w:left="0" w:right="0" w:firstLine="180"/>
              <w:jc w:val="right"/>
              <w:rPr/>
            </w:pPr>
            <w:r>
              <w:rPr/>
              <w:t>11</w:t>
            </w:r>
          </w:p>
        </w:tc>
      </w:tr>
      <w:tr>
        <w:trPr/>
        <w:tc>
          <w:tcPr>
            <w:tcW w:w="6005" w:type="dxa"/>
            <w:tcBorders/>
            <w:shd w:fill="auto" w:val="clear"/>
            <w:vAlign w:val="center"/>
          </w:tcPr>
          <w:p>
            <w:pPr>
              <w:pStyle w:val="TableContents"/>
              <w:spacing w:before="0" w:after="283"/>
              <w:ind w:left="0" w:right="0" w:firstLine="180"/>
              <w:jc w:val="both"/>
              <w:rPr/>
            </w:pPr>
            <w:hyperlink w:anchor="a_Toc339007548">
              <w:r>
                <w:rPr>
                  <w:rStyle w:val="InternetLink"/>
                </w:rPr>
                <w:t>3. Advisory Vote on Executive Compensation</w:t>
              </w:r>
            </w:hyperlink>
          </w:p>
        </w:tc>
        <w:tc>
          <w:tcPr>
            <w:tcW w:w="455" w:type="dxa"/>
            <w:tcBorders/>
            <w:shd w:fill="auto" w:val="clear"/>
            <w:vAlign w:val="center"/>
          </w:tcPr>
          <w:p>
            <w:pPr>
              <w:pStyle w:val="TableContents"/>
              <w:spacing w:before="0" w:after="283"/>
              <w:ind w:left="0" w:right="0" w:firstLine="180"/>
              <w:jc w:val="right"/>
              <w:rPr/>
            </w:pPr>
            <w:r>
              <w:rPr/>
              <w:t>12</w:t>
            </w:r>
          </w:p>
        </w:tc>
      </w:tr>
      <w:tr>
        <w:trPr/>
        <w:tc>
          <w:tcPr>
            <w:tcW w:w="6005" w:type="dxa"/>
            <w:tcBorders/>
            <w:shd w:fill="auto" w:val="clear"/>
            <w:vAlign w:val="center"/>
          </w:tcPr>
          <w:p>
            <w:pPr>
              <w:pStyle w:val="TableContents"/>
              <w:spacing w:before="0" w:after="283"/>
              <w:ind w:left="0" w:right="0" w:firstLine="180"/>
              <w:jc w:val="both"/>
              <w:rPr/>
            </w:pPr>
            <w:hyperlink w:anchor="a_Toc307229164">
              <w:r>
                <w:rPr>
                  <w:rStyle w:val="InternetLink"/>
                  <w:sz w:val="17"/>
                </w:rPr>
                <w:t>4. Other Matters</w:t>
              </w:r>
            </w:hyperlink>
          </w:p>
        </w:tc>
        <w:tc>
          <w:tcPr>
            <w:tcW w:w="455" w:type="dxa"/>
            <w:tcBorders/>
            <w:shd w:fill="auto" w:val="clear"/>
            <w:vAlign w:val="center"/>
          </w:tcPr>
          <w:p>
            <w:pPr>
              <w:pStyle w:val="TableContents"/>
              <w:spacing w:before="0" w:after="283"/>
              <w:jc w:val="right"/>
              <w:rPr/>
            </w:pPr>
            <w:r>
              <w:rPr/>
              <w:t>13</w:t>
            </w:r>
          </w:p>
        </w:tc>
      </w:tr>
      <w:tr>
        <w:trPr/>
        <w:tc>
          <w:tcPr>
            <w:tcW w:w="6005" w:type="dxa"/>
            <w:tcBorders/>
            <w:shd w:fill="auto" w:val="clear"/>
            <w:vAlign w:val="center"/>
          </w:tcPr>
          <w:p>
            <w:pPr>
              <w:pStyle w:val="TableContents"/>
              <w:spacing w:before="0" w:after="283"/>
              <w:jc w:val="both"/>
              <w:rPr/>
            </w:pPr>
            <w:hyperlink w:anchor="a_Toc339007549">
              <w:r>
                <w:rPr>
                  <w:rStyle w:val="InternetLink"/>
                  <w:sz w:val="17"/>
                </w:rPr>
                <w:t>CORPORATE GOVERNANCE MATTERS</w:t>
              </w:r>
            </w:hyperlink>
          </w:p>
        </w:tc>
        <w:tc>
          <w:tcPr>
            <w:tcW w:w="455" w:type="dxa"/>
            <w:tcBorders/>
            <w:shd w:fill="auto" w:val="clear"/>
            <w:vAlign w:val="center"/>
          </w:tcPr>
          <w:p>
            <w:pPr>
              <w:pStyle w:val="TableContents"/>
              <w:spacing w:before="0" w:after="283"/>
              <w:ind w:left="0" w:right="0" w:firstLine="180"/>
              <w:jc w:val="right"/>
              <w:rPr/>
            </w:pPr>
            <w:r>
              <w:rPr/>
              <w:t>14</w:t>
            </w:r>
          </w:p>
        </w:tc>
      </w:tr>
      <w:tr>
        <w:trPr/>
        <w:tc>
          <w:tcPr>
            <w:tcW w:w="6005" w:type="dxa"/>
            <w:tcBorders/>
            <w:shd w:fill="auto" w:val="clear"/>
            <w:vAlign w:val="center"/>
          </w:tcPr>
          <w:p>
            <w:pPr>
              <w:pStyle w:val="TableContents"/>
              <w:spacing w:before="0" w:after="283"/>
              <w:ind w:left="0" w:right="0" w:firstLine="180"/>
              <w:jc w:val="both"/>
              <w:rPr/>
            </w:pPr>
            <w:hyperlink w:anchor="a_Toc339007550">
              <w:r>
                <w:rPr>
                  <w:rStyle w:val="InternetLink"/>
                  <w:sz w:val="17"/>
                </w:rPr>
                <w:t>Controlled Company Status</w:t>
              </w:r>
            </w:hyperlink>
          </w:p>
        </w:tc>
        <w:tc>
          <w:tcPr>
            <w:tcW w:w="455" w:type="dxa"/>
            <w:tcBorders/>
            <w:shd w:fill="auto" w:val="clear"/>
            <w:vAlign w:val="center"/>
          </w:tcPr>
          <w:p>
            <w:pPr>
              <w:pStyle w:val="TableContents"/>
              <w:spacing w:before="0" w:after="283"/>
              <w:ind w:left="0" w:right="0" w:firstLine="180"/>
              <w:jc w:val="right"/>
              <w:rPr/>
            </w:pPr>
            <w:r>
              <w:rPr/>
              <w:t>14</w:t>
            </w:r>
          </w:p>
        </w:tc>
      </w:tr>
      <w:tr>
        <w:trPr/>
        <w:tc>
          <w:tcPr>
            <w:tcW w:w="6005" w:type="dxa"/>
            <w:tcBorders/>
            <w:shd w:fill="auto" w:val="clear"/>
            <w:vAlign w:val="center"/>
          </w:tcPr>
          <w:p>
            <w:pPr>
              <w:pStyle w:val="TableContents"/>
              <w:spacing w:before="0" w:after="283"/>
              <w:ind w:left="0" w:right="0" w:firstLine="180"/>
              <w:jc w:val="both"/>
              <w:rPr/>
            </w:pPr>
            <w:hyperlink w:anchor="a_Toc339007551">
              <w:r>
                <w:rPr>
                  <w:rStyle w:val="InternetLink"/>
                  <w:sz w:val="17"/>
                </w:rPr>
                <w:t>Director Independence</w:t>
              </w:r>
            </w:hyperlink>
          </w:p>
        </w:tc>
        <w:tc>
          <w:tcPr>
            <w:tcW w:w="455" w:type="dxa"/>
            <w:tcBorders/>
            <w:shd w:fill="auto" w:val="clear"/>
            <w:vAlign w:val="center"/>
          </w:tcPr>
          <w:p>
            <w:pPr>
              <w:pStyle w:val="TableContents"/>
              <w:spacing w:before="0" w:after="283"/>
              <w:ind w:left="0" w:right="0" w:firstLine="180"/>
              <w:jc w:val="right"/>
              <w:rPr/>
            </w:pPr>
            <w:r>
              <w:rPr/>
              <w:t>14</w:t>
            </w:r>
          </w:p>
        </w:tc>
      </w:tr>
      <w:tr>
        <w:trPr/>
        <w:tc>
          <w:tcPr>
            <w:tcW w:w="6005" w:type="dxa"/>
            <w:tcBorders/>
            <w:shd w:fill="auto" w:val="clear"/>
            <w:vAlign w:val="center"/>
          </w:tcPr>
          <w:p>
            <w:pPr>
              <w:pStyle w:val="TableContents"/>
              <w:spacing w:before="0" w:after="283"/>
              <w:ind w:left="0" w:right="0" w:firstLine="180"/>
              <w:jc w:val="both"/>
              <w:rPr/>
            </w:pPr>
            <w:hyperlink w:anchor="a_Toc339007552">
              <w:r>
                <w:rPr>
                  <w:rStyle w:val="InternetLink"/>
                  <w:sz w:val="17"/>
                </w:rPr>
                <w:t>Executive Sessions of Non-Management Directors</w:t>
              </w:r>
            </w:hyperlink>
          </w:p>
        </w:tc>
        <w:tc>
          <w:tcPr>
            <w:tcW w:w="455" w:type="dxa"/>
            <w:tcBorders/>
            <w:shd w:fill="auto" w:val="clear"/>
            <w:vAlign w:val="center"/>
          </w:tcPr>
          <w:p>
            <w:pPr>
              <w:pStyle w:val="TableContents"/>
              <w:spacing w:before="0" w:after="283"/>
              <w:ind w:left="0" w:right="0" w:firstLine="180"/>
              <w:jc w:val="right"/>
              <w:rPr/>
            </w:pPr>
            <w:r>
              <w:rPr/>
              <w:t>14</w:t>
            </w:r>
          </w:p>
        </w:tc>
      </w:tr>
      <w:tr>
        <w:trPr/>
        <w:tc>
          <w:tcPr>
            <w:tcW w:w="6005" w:type="dxa"/>
            <w:tcBorders/>
            <w:shd w:fill="auto" w:val="clear"/>
            <w:vAlign w:val="center"/>
          </w:tcPr>
          <w:p>
            <w:pPr>
              <w:pStyle w:val="TableContents"/>
              <w:spacing w:before="0" w:after="283"/>
              <w:ind w:left="0" w:right="0" w:firstLine="180"/>
              <w:jc w:val="both"/>
              <w:rPr/>
            </w:pPr>
            <w:hyperlink w:anchor="a_Toc339007553">
              <w:r>
                <w:rPr>
                  <w:rStyle w:val="InternetLink"/>
                  <w:sz w:val="17"/>
                </w:rPr>
                <w:t>Board of Directors Committee Membership and Meetings</w:t>
              </w:r>
            </w:hyperlink>
          </w:p>
        </w:tc>
        <w:tc>
          <w:tcPr>
            <w:tcW w:w="455" w:type="dxa"/>
            <w:tcBorders/>
            <w:shd w:fill="auto" w:val="clear"/>
            <w:vAlign w:val="center"/>
          </w:tcPr>
          <w:p>
            <w:pPr>
              <w:pStyle w:val="TableContents"/>
              <w:spacing w:before="0" w:after="283"/>
              <w:ind w:left="0" w:right="0" w:firstLine="180"/>
              <w:jc w:val="right"/>
              <w:rPr/>
            </w:pPr>
            <w:r>
              <w:rPr/>
              <w:t>15</w:t>
            </w:r>
          </w:p>
        </w:tc>
      </w:tr>
      <w:tr>
        <w:trPr/>
        <w:tc>
          <w:tcPr>
            <w:tcW w:w="6005" w:type="dxa"/>
            <w:tcBorders/>
            <w:shd w:fill="auto" w:val="clear"/>
            <w:vAlign w:val="center"/>
          </w:tcPr>
          <w:p>
            <w:pPr>
              <w:pStyle w:val="TableContents"/>
              <w:spacing w:before="0" w:after="283"/>
              <w:ind w:left="0" w:right="0" w:firstLine="180"/>
              <w:jc w:val="both"/>
              <w:rPr/>
            </w:pPr>
            <w:hyperlink w:anchor="a_Toc339007554">
              <w:r>
                <w:rPr>
                  <w:rStyle w:val="InternetLink"/>
                  <w:sz w:val="17"/>
                </w:rPr>
                <w:t>Compensation Committee Interlocks and Insider Participation</w:t>
              </w:r>
            </w:hyperlink>
          </w:p>
        </w:tc>
        <w:tc>
          <w:tcPr>
            <w:tcW w:w="455" w:type="dxa"/>
            <w:tcBorders/>
            <w:shd w:fill="auto" w:val="clear"/>
            <w:vAlign w:val="center"/>
          </w:tcPr>
          <w:p>
            <w:pPr>
              <w:pStyle w:val="TableContents"/>
              <w:spacing w:before="0" w:after="283"/>
              <w:ind w:left="0" w:right="0" w:firstLine="180"/>
              <w:jc w:val="right"/>
              <w:rPr/>
            </w:pPr>
            <w:r>
              <w:rPr/>
              <w:t>16</w:t>
            </w:r>
          </w:p>
        </w:tc>
      </w:tr>
      <w:tr>
        <w:trPr/>
        <w:tc>
          <w:tcPr>
            <w:tcW w:w="6005" w:type="dxa"/>
            <w:tcBorders/>
            <w:shd w:fill="auto" w:val="clear"/>
            <w:vAlign w:val="center"/>
          </w:tcPr>
          <w:p>
            <w:pPr>
              <w:pStyle w:val="TableContents"/>
              <w:spacing w:before="0" w:after="283"/>
              <w:ind w:left="0" w:right="0" w:firstLine="180"/>
              <w:jc w:val="both"/>
              <w:rPr/>
            </w:pPr>
            <w:hyperlink w:anchor="a_Toc339007555">
              <w:r>
                <w:rPr>
                  <w:rStyle w:val="InternetLink"/>
                  <w:sz w:val="17"/>
                </w:rPr>
                <w:t>Director Nominations</w:t>
              </w:r>
            </w:hyperlink>
          </w:p>
        </w:tc>
        <w:tc>
          <w:tcPr>
            <w:tcW w:w="455" w:type="dxa"/>
            <w:tcBorders/>
            <w:shd w:fill="auto" w:val="clear"/>
            <w:vAlign w:val="center"/>
          </w:tcPr>
          <w:p>
            <w:pPr>
              <w:pStyle w:val="TableContents"/>
              <w:spacing w:before="0" w:after="283"/>
              <w:ind w:left="0" w:right="0" w:firstLine="180"/>
              <w:jc w:val="right"/>
              <w:rPr/>
            </w:pPr>
            <w:r>
              <w:rPr/>
              <w:t>17</w:t>
            </w:r>
          </w:p>
        </w:tc>
      </w:tr>
      <w:tr>
        <w:trPr/>
        <w:tc>
          <w:tcPr>
            <w:tcW w:w="6005" w:type="dxa"/>
            <w:tcBorders/>
            <w:shd w:fill="auto" w:val="clear"/>
            <w:vAlign w:val="center"/>
          </w:tcPr>
          <w:p>
            <w:pPr>
              <w:pStyle w:val="TableContents"/>
              <w:spacing w:before="0" w:after="283"/>
              <w:ind w:left="0" w:right="0" w:firstLine="180"/>
              <w:jc w:val="both"/>
              <w:rPr/>
            </w:pPr>
            <w:hyperlink w:anchor="a_Toc339007556">
              <w:r>
                <w:rPr>
                  <w:rStyle w:val="InternetLink"/>
                  <w:sz w:val="17"/>
                </w:rPr>
                <w:t>Board Leadership Structure and Role in Risk Oversight</w:t>
              </w:r>
            </w:hyperlink>
          </w:p>
        </w:tc>
        <w:tc>
          <w:tcPr>
            <w:tcW w:w="455" w:type="dxa"/>
            <w:tcBorders/>
            <w:shd w:fill="auto" w:val="clear"/>
            <w:vAlign w:val="center"/>
          </w:tcPr>
          <w:p>
            <w:pPr>
              <w:pStyle w:val="TableContents"/>
              <w:spacing w:before="0" w:after="283"/>
              <w:ind w:left="0" w:right="0" w:firstLine="180"/>
              <w:jc w:val="right"/>
              <w:rPr/>
            </w:pPr>
            <w:r>
              <w:rPr/>
              <w:t>18</w:t>
            </w:r>
          </w:p>
        </w:tc>
      </w:tr>
      <w:tr>
        <w:trPr/>
        <w:tc>
          <w:tcPr>
            <w:tcW w:w="6005" w:type="dxa"/>
            <w:tcBorders/>
            <w:shd w:fill="auto" w:val="clear"/>
            <w:vAlign w:val="center"/>
          </w:tcPr>
          <w:p>
            <w:pPr>
              <w:pStyle w:val="TableContents"/>
              <w:spacing w:before="0" w:after="283"/>
              <w:ind w:left="0" w:right="0" w:firstLine="180"/>
              <w:jc w:val="both"/>
              <w:rPr/>
            </w:pPr>
            <w:hyperlink w:anchor="a_Toc339007557">
              <w:r>
                <w:rPr>
                  <w:rStyle w:val="InternetLink"/>
                  <w:sz w:val="17"/>
                </w:rPr>
                <w:t>Communication with the Board of Directors</w:t>
              </w:r>
            </w:hyperlink>
          </w:p>
        </w:tc>
        <w:tc>
          <w:tcPr>
            <w:tcW w:w="455" w:type="dxa"/>
            <w:tcBorders/>
            <w:shd w:fill="auto" w:val="clear"/>
            <w:vAlign w:val="center"/>
          </w:tcPr>
          <w:p>
            <w:pPr>
              <w:pStyle w:val="TableContents"/>
              <w:spacing w:before="0" w:after="283"/>
              <w:ind w:left="0" w:right="0" w:firstLine="180"/>
              <w:jc w:val="right"/>
              <w:rPr/>
            </w:pPr>
            <w:r>
              <w:rPr/>
              <w:t>19</w:t>
            </w:r>
          </w:p>
        </w:tc>
      </w:tr>
      <w:tr>
        <w:trPr/>
        <w:tc>
          <w:tcPr>
            <w:tcW w:w="6005" w:type="dxa"/>
            <w:tcBorders/>
            <w:shd w:fill="auto" w:val="clear"/>
            <w:vAlign w:val="center"/>
          </w:tcPr>
          <w:p>
            <w:pPr>
              <w:pStyle w:val="TableContents"/>
              <w:spacing w:before="0" w:after="283"/>
              <w:ind w:left="0" w:right="0" w:firstLine="180"/>
              <w:jc w:val="both"/>
              <w:rPr/>
            </w:pPr>
            <w:hyperlink w:anchor="a_Toc339007558">
              <w:r>
                <w:rPr>
                  <w:rStyle w:val="InternetLink"/>
                  <w:sz w:val="17"/>
                </w:rPr>
                <w:t>Director Compensation</w:t>
              </w:r>
            </w:hyperlink>
          </w:p>
        </w:tc>
        <w:tc>
          <w:tcPr>
            <w:tcW w:w="455" w:type="dxa"/>
            <w:tcBorders/>
            <w:shd w:fill="auto" w:val="clear"/>
            <w:vAlign w:val="center"/>
          </w:tcPr>
          <w:p>
            <w:pPr>
              <w:pStyle w:val="TableContents"/>
              <w:spacing w:before="0" w:after="283"/>
              <w:ind w:left="0" w:right="0" w:firstLine="180"/>
              <w:jc w:val="right"/>
              <w:rPr/>
            </w:pPr>
            <w:r>
              <w:rPr/>
              <w:t>19</w:t>
            </w:r>
          </w:p>
        </w:tc>
      </w:tr>
      <w:tr>
        <w:trPr/>
        <w:tc>
          <w:tcPr>
            <w:tcW w:w="6005" w:type="dxa"/>
            <w:tcBorders/>
            <w:shd w:fill="auto" w:val="clear"/>
            <w:vAlign w:val="center"/>
          </w:tcPr>
          <w:p>
            <w:pPr>
              <w:pStyle w:val="TableContents"/>
              <w:spacing w:before="0" w:after="283"/>
              <w:ind w:left="0" w:right="0" w:firstLine="180"/>
              <w:jc w:val="both"/>
              <w:rPr/>
            </w:pPr>
            <w:hyperlink w:anchor="a_Toc339007559">
              <w:r>
                <w:rPr>
                  <w:rStyle w:val="InternetLink"/>
                  <w:sz w:val="17"/>
                </w:rPr>
                <w:t>Director Compensation Table</w:t>
              </w:r>
            </w:hyperlink>
          </w:p>
        </w:tc>
        <w:tc>
          <w:tcPr>
            <w:tcW w:w="455" w:type="dxa"/>
            <w:tcBorders/>
            <w:shd w:fill="auto" w:val="clear"/>
            <w:vAlign w:val="center"/>
          </w:tcPr>
          <w:p>
            <w:pPr>
              <w:pStyle w:val="TableContents"/>
              <w:spacing w:before="0" w:after="283"/>
              <w:ind w:left="0" w:right="0" w:firstLine="180"/>
              <w:jc w:val="right"/>
              <w:rPr/>
            </w:pPr>
            <w:r>
              <w:rPr/>
              <w:t>20</w:t>
            </w:r>
          </w:p>
        </w:tc>
      </w:tr>
      <w:tr>
        <w:trPr/>
        <w:tc>
          <w:tcPr>
            <w:tcW w:w="6005" w:type="dxa"/>
            <w:tcBorders/>
            <w:shd w:fill="auto" w:val="clear"/>
            <w:vAlign w:val="center"/>
          </w:tcPr>
          <w:p>
            <w:pPr>
              <w:pStyle w:val="TableContents"/>
              <w:spacing w:before="0" w:after="283"/>
              <w:ind w:left="0" w:right="0" w:firstLine="180"/>
              <w:jc w:val="both"/>
              <w:rPr/>
            </w:pPr>
            <w:hyperlink w:anchor="a_Toc339007560">
              <w:r>
                <w:rPr>
                  <w:rStyle w:val="InternetLink"/>
                  <w:sz w:val="17"/>
                </w:rPr>
                <w:t>Directors’ Option Awards Outstanding Table</w:t>
              </w:r>
            </w:hyperlink>
          </w:p>
        </w:tc>
        <w:tc>
          <w:tcPr>
            <w:tcW w:w="455" w:type="dxa"/>
            <w:tcBorders/>
            <w:shd w:fill="auto" w:val="clear"/>
            <w:vAlign w:val="center"/>
          </w:tcPr>
          <w:p>
            <w:pPr>
              <w:pStyle w:val="TableContents"/>
              <w:spacing w:before="0" w:after="283"/>
              <w:ind w:left="0" w:right="0" w:firstLine="180"/>
              <w:jc w:val="right"/>
              <w:rPr/>
            </w:pPr>
            <w:r>
              <w:rPr/>
              <w:t>20</w:t>
            </w:r>
          </w:p>
        </w:tc>
      </w:tr>
      <w:tr>
        <w:trPr/>
        <w:tc>
          <w:tcPr>
            <w:tcW w:w="6005" w:type="dxa"/>
            <w:tcBorders/>
            <w:shd w:fill="auto" w:val="clear"/>
            <w:vAlign w:val="center"/>
          </w:tcPr>
          <w:p>
            <w:pPr>
              <w:pStyle w:val="TableContents"/>
              <w:spacing w:before="0" w:after="283"/>
              <w:ind w:left="0" w:right="0" w:firstLine="180"/>
              <w:jc w:val="both"/>
              <w:rPr/>
            </w:pPr>
            <w:hyperlink w:anchor="a_Toc339007561">
              <w:r>
                <w:rPr>
                  <w:rStyle w:val="InternetLink"/>
                  <w:sz w:val="17"/>
                </w:rPr>
                <w:t>Corporate Governance Guidelines and Code of Ethics</w:t>
              </w:r>
            </w:hyperlink>
          </w:p>
        </w:tc>
        <w:tc>
          <w:tcPr>
            <w:tcW w:w="455" w:type="dxa"/>
            <w:tcBorders/>
            <w:shd w:fill="auto" w:val="clear"/>
            <w:vAlign w:val="center"/>
          </w:tcPr>
          <w:p>
            <w:pPr>
              <w:pStyle w:val="TableContents"/>
              <w:spacing w:before="0" w:after="283"/>
              <w:ind w:left="0" w:right="0" w:firstLine="180"/>
              <w:jc w:val="right"/>
              <w:rPr/>
            </w:pPr>
            <w:r>
              <w:rPr/>
              <w:t>21</w:t>
            </w:r>
          </w:p>
        </w:tc>
      </w:tr>
      <w:tr>
        <w:trPr/>
        <w:tc>
          <w:tcPr>
            <w:tcW w:w="6005" w:type="dxa"/>
            <w:tcBorders/>
            <w:shd w:fill="auto" w:val="clear"/>
            <w:vAlign w:val="center"/>
          </w:tcPr>
          <w:p>
            <w:pPr>
              <w:pStyle w:val="TableContents"/>
              <w:spacing w:before="0" w:after="283"/>
              <w:ind w:left="0" w:right="0" w:firstLine="180"/>
              <w:jc w:val="both"/>
              <w:rPr/>
            </w:pPr>
            <w:hyperlink w:anchor="a_Toc339007562">
              <w:r>
                <w:rPr>
                  <w:rStyle w:val="InternetLink"/>
                  <w:sz w:val="17"/>
                </w:rPr>
                <w:t>Certain Relationships and Related Party Transactions</w:t>
              </w:r>
            </w:hyperlink>
          </w:p>
        </w:tc>
        <w:tc>
          <w:tcPr>
            <w:tcW w:w="455" w:type="dxa"/>
            <w:tcBorders/>
            <w:shd w:fill="auto" w:val="clear"/>
            <w:vAlign w:val="center"/>
          </w:tcPr>
          <w:p>
            <w:pPr>
              <w:pStyle w:val="TableContents"/>
              <w:spacing w:before="0" w:after="283"/>
              <w:ind w:left="0" w:right="0" w:firstLine="180"/>
              <w:jc w:val="right"/>
              <w:rPr/>
            </w:pPr>
            <w:r>
              <w:rPr/>
              <w:t>21</w:t>
            </w:r>
          </w:p>
        </w:tc>
      </w:tr>
      <w:tr>
        <w:trPr/>
        <w:tc>
          <w:tcPr>
            <w:tcW w:w="6005" w:type="dxa"/>
            <w:tcBorders/>
            <w:shd w:fill="auto" w:val="clear"/>
            <w:vAlign w:val="center"/>
          </w:tcPr>
          <w:p>
            <w:pPr>
              <w:pStyle w:val="TableContents"/>
              <w:spacing w:before="0" w:after="283"/>
              <w:ind w:left="0" w:right="0" w:firstLine="180"/>
              <w:jc w:val="both"/>
              <w:rPr/>
            </w:pPr>
            <w:hyperlink w:anchor="a_Toc339007563">
              <w:r>
                <w:rPr>
                  <w:rStyle w:val="InternetLink"/>
                  <w:sz w:val="17"/>
                </w:rPr>
                <w:t>Report of the Audit Committee of the Board of Directors</w:t>
              </w:r>
            </w:hyperlink>
          </w:p>
        </w:tc>
        <w:tc>
          <w:tcPr>
            <w:tcW w:w="455" w:type="dxa"/>
            <w:tcBorders/>
            <w:shd w:fill="auto" w:val="clear"/>
            <w:vAlign w:val="center"/>
          </w:tcPr>
          <w:p>
            <w:pPr>
              <w:pStyle w:val="TableContents"/>
              <w:spacing w:before="0" w:after="283"/>
              <w:jc w:val="right"/>
              <w:rPr/>
            </w:pPr>
            <w:r>
              <w:rPr/>
              <w:t>22</w:t>
            </w:r>
          </w:p>
        </w:tc>
      </w:tr>
      <w:tr>
        <w:trPr/>
        <w:tc>
          <w:tcPr>
            <w:tcW w:w="6005" w:type="dxa"/>
            <w:tcBorders/>
            <w:shd w:fill="auto" w:val="clear"/>
            <w:vAlign w:val="center"/>
          </w:tcPr>
          <w:p>
            <w:pPr>
              <w:pStyle w:val="TableContents"/>
              <w:spacing w:before="0" w:after="283"/>
              <w:jc w:val="both"/>
              <w:rPr/>
            </w:pPr>
            <w:hyperlink w:anchor="a_Toc339007564">
              <w:r>
                <w:rPr>
                  <w:rStyle w:val="InternetLink"/>
                  <w:sz w:val="17"/>
                </w:rPr>
                <w:t>EXECUTIVE OFFICERS</w:t>
              </w:r>
            </w:hyperlink>
          </w:p>
        </w:tc>
        <w:tc>
          <w:tcPr>
            <w:tcW w:w="455" w:type="dxa"/>
            <w:tcBorders/>
            <w:shd w:fill="auto" w:val="clear"/>
            <w:vAlign w:val="center"/>
          </w:tcPr>
          <w:p>
            <w:pPr>
              <w:pStyle w:val="TableContents"/>
              <w:spacing w:before="0" w:after="283"/>
              <w:jc w:val="right"/>
              <w:rPr/>
            </w:pPr>
            <w:r>
              <w:rPr/>
              <w:t>23</w:t>
            </w:r>
          </w:p>
        </w:tc>
      </w:tr>
      <w:tr>
        <w:trPr/>
        <w:tc>
          <w:tcPr>
            <w:tcW w:w="6005" w:type="dxa"/>
            <w:tcBorders/>
            <w:shd w:fill="auto" w:val="clear"/>
            <w:vAlign w:val="center"/>
          </w:tcPr>
          <w:p>
            <w:pPr>
              <w:pStyle w:val="TableContents"/>
              <w:spacing w:before="0" w:after="283"/>
              <w:jc w:val="both"/>
              <w:rPr/>
            </w:pPr>
            <w:hyperlink w:anchor="ex_comp">
              <w:r>
                <w:rPr>
                  <w:rStyle w:val="InternetLink"/>
                  <w:sz w:val="17"/>
                </w:rPr>
                <w:t>EXECUTIVE COMPENSATION</w:t>
              </w:r>
            </w:hyperlink>
          </w:p>
        </w:tc>
        <w:tc>
          <w:tcPr>
            <w:tcW w:w="455" w:type="dxa"/>
            <w:tcBorders/>
            <w:shd w:fill="auto" w:val="clear"/>
            <w:vAlign w:val="center"/>
          </w:tcPr>
          <w:p>
            <w:pPr>
              <w:pStyle w:val="TableContents"/>
              <w:spacing w:before="0" w:after="283"/>
              <w:ind w:left="0" w:right="0" w:firstLine="180"/>
              <w:jc w:val="right"/>
              <w:rPr/>
            </w:pPr>
            <w:r>
              <w:rPr/>
              <w:t>24</w:t>
            </w:r>
          </w:p>
        </w:tc>
      </w:tr>
      <w:tr>
        <w:trPr/>
        <w:tc>
          <w:tcPr>
            <w:tcW w:w="6005" w:type="dxa"/>
            <w:tcBorders/>
            <w:shd w:fill="auto" w:val="clear"/>
            <w:vAlign w:val="center"/>
          </w:tcPr>
          <w:p>
            <w:pPr>
              <w:pStyle w:val="TableContents"/>
              <w:spacing w:before="0" w:after="283"/>
              <w:ind w:left="0" w:right="0" w:firstLine="180"/>
              <w:jc w:val="both"/>
              <w:rPr/>
            </w:pPr>
            <w:hyperlink w:anchor="a_Toc339007566">
              <w:r>
                <w:rPr>
                  <w:rStyle w:val="InternetLink"/>
                  <w:sz w:val="17"/>
                </w:rPr>
                <w:t>Compensation Discussion and Analysis</w:t>
              </w:r>
            </w:hyperlink>
          </w:p>
        </w:tc>
        <w:tc>
          <w:tcPr>
            <w:tcW w:w="455" w:type="dxa"/>
            <w:tcBorders/>
            <w:shd w:fill="auto" w:val="clear"/>
            <w:vAlign w:val="center"/>
          </w:tcPr>
          <w:p>
            <w:pPr>
              <w:pStyle w:val="TableContents"/>
              <w:spacing w:before="0" w:after="283"/>
              <w:ind w:left="0" w:right="0" w:firstLine="180"/>
              <w:jc w:val="right"/>
              <w:rPr/>
            </w:pPr>
            <w:r>
              <w:rPr/>
              <w:t>24</w:t>
            </w:r>
          </w:p>
        </w:tc>
      </w:tr>
      <w:tr>
        <w:trPr/>
        <w:tc>
          <w:tcPr>
            <w:tcW w:w="6005" w:type="dxa"/>
            <w:tcBorders/>
            <w:shd w:fill="auto" w:val="clear"/>
            <w:vAlign w:val="center"/>
          </w:tcPr>
          <w:p>
            <w:pPr>
              <w:pStyle w:val="TableContents"/>
              <w:spacing w:before="0" w:after="283"/>
              <w:ind w:left="0" w:right="0" w:firstLine="180"/>
              <w:jc w:val="both"/>
              <w:rPr/>
            </w:pPr>
            <w:hyperlink w:anchor="a_Toc339007567">
              <w:r>
                <w:rPr>
                  <w:rStyle w:val="InternetLink"/>
                  <w:sz w:val="17"/>
                </w:rPr>
                <w:t>Tax and Accounting Implications</w:t>
              </w:r>
            </w:hyperlink>
          </w:p>
        </w:tc>
        <w:tc>
          <w:tcPr>
            <w:tcW w:w="455" w:type="dxa"/>
            <w:tcBorders/>
            <w:shd w:fill="auto" w:val="clear"/>
            <w:vAlign w:val="center"/>
          </w:tcPr>
          <w:p>
            <w:pPr>
              <w:pStyle w:val="TableContents"/>
              <w:spacing w:before="0" w:after="283"/>
              <w:ind w:left="0" w:right="0" w:firstLine="180"/>
              <w:jc w:val="right"/>
              <w:rPr/>
            </w:pPr>
            <w:r>
              <w:rPr/>
              <w:t>33</w:t>
            </w:r>
          </w:p>
        </w:tc>
      </w:tr>
      <w:tr>
        <w:trPr/>
        <w:tc>
          <w:tcPr>
            <w:tcW w:w="6005" w:type="dxa"/>
            <w:tcBorders/>
            <w:shd w:fill="auto" w:val="clear"/>
            <w:vAlign w:val="center"/>
          </w:tcPr>
          <w:p>
            <w:pPr>
              <w:pStyle w:val="TableContents"/>
              <w:spacing w:before="0" w:after="283"/>
              <w:ind w:left="0" w:right="0" w:firstLine="180"/>
              <w:jc w:val="both"/>
              <w:rPr/>
            </w:pPr>
            <w:hyperlink w:anchor="a_Toc339007568">
              <w:r>
                <w:rPr>
                  <w:rStyle w:val="InternetLink"/>
                  <w:sz w:val="17"/>
                </w:rPr>
                <w:t>Report of the Compensation Committee of the Board of Directors</w:t>
              </w:r>
            </w:hyperlink>
          </w:p>
        </w:tc>
        <w:tc>
          <w:tcPr>
            <w:tcW w:w="455" w:type="dxa"/>
            <w:tcBorders/>
            <w:shd w:fill="auto" w:val="clear"/>
            <w:vAlign w:val="center"/>
          </w:tcPr>
          <w:p>
            <w:pPr>
              <w:pStyle w:val="TableContents"/>
              <w:spacing w:before="0" w:after="283"/>
              <w:ind w:left="0" w:right="0" w:firstLine="180"/>
              <w:jc w:val="right"/>
              <w:rPr/>
            </w:pPr>
            <w:r>
              <w:rPr/>
              <w:t>34</w:t>
            </w:r>
          </w:p>
        </w:tc>
      </w:tr>
      <w:tr>
        <w:trPr/>
        <w:tc>
          <w:tcPr>
            <w:tcW w:w="6005" w:type="dxa"/>
            <w:tcBorders/>
            <w:shd w:fill="auto" w:val="clear"/>
            <w:vAlign w:val="center"/>
          </w:tcPr>
          <w:p>
            <w:pPr>
              <w:pStyle w:val="TableContents"/>
              <w:spacing w:before="0" w:after="283"/>
              <w:ind w:left="0" w:right="0" w:firstLine="180"/>
              <w:jc w:val="both"/>
              <w:rPr/>
            </w:pPr>
            <w:hyperlink w:anchor="a_Toc339007569">
              <w:r>
                <w:rPr>
                  <w:rStyle w:val="InternetLink"/>
                  <w:sz w:val="17"/>
                </w:rPr>
                <w:t>Summary Compensation Table</w:t>
              </w:r>
            </w:hyperlink>
          </w:p>
        </w:tc>
        <w:tc>
          <w:tcPr>
            <w:tcW w:w="455" w:type="dxa"/>
            <w:tcBorders/>
            <w:shd w:fill="auto" w:val="clear"/>
            <w:vAlign w:val="center"/>
          </w:tcPr>
          <w:p>
            <w:pPr>
              <w:pStyle w:val="TableContents"/>
              <w:spacing w:before="0" w:after="283"/>
              <w:ind w:left="0" w:right="0" w:firstLine="180"/>
              <w:jc w:val="right"/>
              <w:rPr/>
            </w:pPr>
            <w:r>
              <w:rPr/>
              <w:t>35</w:t>
            </w:r>
          </w:p>
        </w:tc>
      </w:tr>
      <w:tr>
        <w:trPr/>
        <w:tc>
          <w:tcPr>
            <w:tcW w:w="6005" w:type="dxa"/>
            <w:tcBorders/>
            <w:shd w:fill="auto" w:val="clear"/>
            <w:vAlign w:val="center"/>
          </w:tcPr>
          <w:p>
            <w:pPr>
              <w:pStyle w:val="TableContents"/>
              <w:spacing w:before="0" w:after="283"/>
              <w:ind w:left="0" w:right="0" w:firstLine="180"/>
              <w:jc w:val="both"/>
              <w:rPr/>
            </w:pPr>
            <w:hyperlink w:anchor="a_Toc339007570">
              <w:r>
                <w:rPr>
                  <w:rStyle w:val="InternetLink"/>
                  <w:sz w:val="17"/>
                </w:rPr>
                <w:t>Change in Pension Value and Nonqualified Deferred Compensation Earnings Table</w:t>
              </w:r>
            </w:hyperlink>
          </w:p>
        </w:tc>
        <w:tc>
          <w:tcPr>
            <w:tcW w:w="455" w:type="dxa"/>
            <w:tcBorders/>
            <w:shd w:fill="auto" w:val="clear"/>
            <w:vAlign w:val="center"/>
          </w:tcPr>
          <w:p>
            <w:pPr>
              <w:pStyle w:val="TableContents"/>
              <w:spacing w:before="0" w:after="283"/>
              <w:ind w:left="0" w:right="0" w:firstLine="180"/>
              <w:jc w:val="right"/>
              <w:rPr/>
            </w:pPr>
            <w:r>
              <w:rPr/>
              <w:t>36</w:t>
            </w:r>
          </w:p>
        </w:tc>
      </w:tr>
      <w:tr>
        <w:trPr/>
        <w:tc>
          <w:tcPr>
            <w:tcW w:w="6005" w:type="dxa"/>
            <w:tcBorders/>
            <w:shd w:fill="auto" w:val="clear"/>
            <w:vAlign w:val="center"/>
          </w:tcPr>
          <w:p>
            <w:pPr>
              <w:pStyle w:val="TableContents"/>
              <w:spacing w:before="0" w:after="283"/>
              <w:ind w:left="0" w:right="0" w:firstLine="180"/>
              <w:jc w:val="both"/>
              <w:rPr/>
            </w:pPr>
            <w:hyperlink w:anchor="all_other">
              <w:r>
                <w:rPr>
                  <w:rStyle w:val="InternetLink"/>
                  <w:sz w:val="17"/>
                </w:rPr>
                <w:t>All Other Compensation Table</w:t>
              </w:r>
            </w:hyperlink>
          </w:p>
        </w:tc>
        <w:tc>
          <w:tcPr>
            <w:tcW w:w="455" w:type="dxa"/>
            <w:tcBorders/>
            <w:shd w:fill="auto" w:val="clear"/>
            <w:vAlign w:val="center"/>
          </w:tcPr>
          <w:p>
            <w:pPr>
              <w:pStyle w:val="TableContents"/>
              <w:spacing w:before="0" w:after="283"/>
              <w:ind w:left="0" w:right="0" w:firstLine="180"/>
              <w:jc w:val="right"/>
              <w:rPr/>
            </w:pPr>
            <w:r>
              <w:rPr/>
              <w:t>36</w:t>
            </w:r>
          </w:p>
        </w:tc>
      </w:tr>
      <w:tr>
        <w:trPr/>
        <w:tc>
          <w:tcPr>
            <w:tcW w:w="6005" w:type="dxa"/>
            <w:tcBorders/>
            <w:shd w:fill="auto" w:val="clear"/>
            <w:vAlign w:val="center"/>
          </w:tcPr>
          <w:p>
            <w:pPr>
              <w:pStyle w:val="TableContents"/>
              <w:spacing w:before="0" w:after="283"/>
              <w:ind w:left="0" w:right="0" w:firstLine="180"/>
              <w:jc w:val="both"/>
              <w:rPr/>
            </w:pPr>
            <w:hyperlink w:anchor="a_Toc339007572">
              <w:r>
                <w:rPr>
                  <w:rStyle w:val="InternetLink"/>
                  <w:sz w:val="17"/>
                </w:rPr>
                <w:t>Grants of Plan-Based Awards during Fiscal 2014</w:t>
              </w:r>
            </w:hyperlink>
          </w:p>
        </w:tc>
        <w:tc>
          <w:tcPr>
            <w:tcW w:w="455" w:type="dxa"/>
            <w:tcBorders/>
            <w:shd w:fill="auto" w:val="clear"/>
            <w:vAlign w:val="center"/>
          </w:tcPr>
          <w:p>
            <w:pPr>
              <w:pStyle w:val="TableContents"/>
              <w:spacing w:before="0" w:after="283"/>
              <w:ind w:left="0" w:right="0" w:firstLine="180"/>
              <w:jc w:val="right"/>
              <w:rPr/>
            </w:pPr>
            <w:r>
              <w:rPr/>
              <w:t>37</w:t>
            </w:r>
          </w:p>
        </w:tc>
      </w:tr>
      <w:tr>
        <w:trPr/>
        <w:tc>
          <w:tcPr>
            <w:tcW w:w="6005" w:type="dxa"/>
            <w:tcBorders/>
            <w:shd w:fill="auto" w:val="clear"/>
            <w:vAlign w:val="center"/>
          </w:tcPr>
          <w:p>
            <w:pPr>
              <w:pStyle w:val="TableContents"/>
              <w:spacing w:before="0" w:after="283"/>
              <w:ind w:left="0" w:right="0" w:firstLine="180"/>
              <w:jc w:val="both"/>
              <w:rPr/>
            </w:pPr>
            <w:hyperlink w:anchor="a_Toc339007573">
              <w:r>
                <w:rPr>
                  <w:rStyle w:val="InternetLink"/>
                  <w:sz w:val="17"/>
                </w:rPr>
                <w:t>Outstanding Equity Awards at Fiscal 2014 Year End</w:t>
              </w:r>
            </w:hyperlink>
          </w:p>
        </w:tc>
        <w:tc>
          <w:tcPr>
            <w:tcW w:w="455" w:type="dxa"/>
            <w:tcBorders/>
            <w:shd w:fill="auto" w:val="clear"/>
            <w:vAlign w:val="center"/>
          </w:tcPr>
          <w:p>
            <w:pPr>
              <w:pStyle w:val="TableContents"/>
              <w:spacing w:before="0" w:after="283"/>
              <w:ind w:left="0" w:right="0" w:firstLine="180"/>
              <w:jc w:val="right"/>
              <w:rPr/>
            </w:pPr>
            <w:r>
              <w:rPr/>
              <w:t>38</w:t>
            </w:r>
          </w:p>
        </w:tc>
      </w:tr>
      <w:tr>
        <w:trPr/>
        <w:tc>
          <w:tcPr>
            <w:tcW w:w="6005" w:type="dxa"/>
            <w:tcBorders/>
            <w:shd w:fill="auto" w:val="clear"/>
            <w:vAlign w:val="center"/>
          </w:tcPr>
          <w:p>
            <w:pPr>
              <w:pStyle w:val="TableContents"/>
              <w:spacing w:before="0" w:after="283"/>
              <w:ind w:left="0" w:right="0" w:firstLine="180"/>
              <w:jc w:val="both"/>
              <w:rPr/>
            </w:pPr>
            <w:hyperlink w:anchor="a_Toc339007574">
              <w:r>
                <w:rPr>
                  <w:rStyle w:val="InternetLink"/>
                  <w:sz w:val="17"/>
                </w:rPr>
                <w:t>Option Exercises and Stock Vested for Fiscal 2014</w:t>
              </w:r>
            </w:hyperlink>
          </w:p>
        </w:tc>
        <w:tc>
          <w:tcPr>
            <w:tcW w:w="455" w:type="dxa"/>
            <w:tcBorders/>
            <w:shd w:fill="auto" w:val="clear"/>
            <w:vAlign w:val="center"/>
          </w:tcPr>
          <w:p>
            <w:pPr>
              <w:pStyle w:val="TableContents"/>
              <w:spacing w:before="0" w:after="283"/>
              <w:ind w:left="0" w:right="0" w:firstLine="180"/>
              <w:jc w:val="right"/>
              <w:rPr/>
            </w:pPr>
            <w:r>
              <w:rPr/>
              <w:t>39</w:t>
            </w:r>
          </w:p>
        </w:tc>
      </w:tr>
      <w:tr>
        <w:trPr/>
        <w:tc>
          <w:tcPr>
            <w:tcW w:w="6005" w:type="dxa"/>
            <w:tcBorders/>
            <w:shd w:fill="auto" w:val="clear"/>
            <w:vAlign w:val="center"/>
          </w:tcPr>
          <w:p>
            <w:pPr>
              <w:pStyle w:val="TableContents"/>
              <w:spacing w:before="0" w:after="283"/>
              <w:ind w:left="0" w:right="0" w:firstLine="180"/>
              <w:jc w:val="both"/>
              <w:rPr/>
            </w:pPr>
            <w:hyperlink w:anchor="a_Toc339007575">
              <w:r>
                <w:rPr>
                  <w:rStyle w:val="InternetLink"/>
                  <w:sz w:val="17"/>
                </w:rPr>
                <w:t>Pension Benefits for Fiscal 2014</w:t>
              </w:r>
            </w:hyperlink>
          </w:p>
        </w:tc>
        <w:tc>
          <w:tcPr>
            <w:tcW w:w="455" w:type="dxa"/>
            <w:tcBorders/>
            <w:shd w:fill="auto" w:val="clear"/>
            <w:vAlign w:val="center"/>
          </w:tcPr>
          <w:p>
            <w:pPr>
              <w:pStyle w:val="TableContents"/>
              <w:spacing w:before="0" w:after="283"/>
              <w:ind w:left="0" w:right="0" w:firstLine="180"/>
              <w:jc w:val="right"/>
              <w:rPr/>
            </w:pPr>
            <w:r>
              <w:rPr/>
              <w:t>39</w:t>
            </w:r>
          </w:p>
        </w:tc>
      </w:tr>
      <w:tr>
        <w:trPr/>
        <w:tc>
          <w:tcPr>
            <w:tcW w:w="6005" w:type="dxa"/>
            <w:tcBorders/>
            <w:shd w:fill="auto" w:val="clear"/>
            <w:vAlign w:val="center"/>
          </w:tcPr>
          <w:p>
            <w:pPr>
              <w:pStyle w:val="TableContents"/>
              <w:spacing w:before="0" w:after="283"/>
              <w:ind w:left="0" w:right="0" w:firstLine="180"/>
              <w:jc w:val="both"/>
              <w:rPr/>
            </w:pPr>
            <w:hyperlink w:anchor="a_Toc339007576">
              <w:r>
                <w:rPr>
                  <w:rStyle w:val="InternetLink"/>
                  <w:sz w:val="17"/>
                </w:rPr>
                <w:t>Nonqualified Deferred Compensation for Fiscal 2014</w:t>
              </w:r>
            </w:hyperlink>
          </w:p>
        </w:tc>
        <w:tc>
          <w:tcPr>
            <w:tcW w:w="455" w:type="dxa"/>
            <w:tcBorders/>
            <w:shd w:fill="auto" w:val="clear"/>
            <w:vAlign w:val="center"/>
          </w:tcPr>
          <w:p>
            <w:pPr>
              <w:pStyle w:val="TableContents"/>
              <w:spacing w:before="0" w:after="283"/>
              <w:ind w:left="0" w:right="0" w:firstLine="180"/>
              <w:jc w:val="right"/>
              <w:rPr/>
            </w:pPr>
            <w:r>
              <w:rPr/>
              <w:t>41</w:t>
            </w:r>
          </w:p>
        </w:tc>
      </w:tr>
      <w:tr>
        <w:trPr/>
        <w:tc>
          <w:tcPr>
            <w:tcW w:w="6005" w:type="dxa"/>
            <w:tcBorders/>
            <w:shd w:fill="auto" w:val="clear"/>
            <w:vAlign w:val="center"/>
          </w:tcPr>
          <w:p>
            <w:pPr>
              <w:pStyle w:val="TableContents"/>
              <w:spacing w:before="0" w:after="283"/>
              <w:ind w:left="0" w:right="0" w:firstLine="180"/>
              <w:jc w:val="both"/>
              <w:rPr/>
            </w:pPr>
            <w:hyperlink w:anchor="equity_comp">
              <w:r>
                <w:rPr>
                  <w:rStyle w:val="InternetLink"/>
                  <w:sz w:val="17"/>
                </w:rPr>
                <w:t>Equity Compensation Plans</w:t>
              </w:r>
            </w:hyperlink>
          </w:p>
        </w:tc>
        <w:tc>
          <w:tcPr>
            <w:tcW w:w="455" w:type="dxa"/>
            <w:tcBorders/>
            <w:shd w:fill="auto" w:val="clear"/>
            <w:vAlign w:val="center"/>
          </w:tcPr>
          <w:p>
            <w:pPr>
              <w:pStyle w:val="TableContents"/>
              <w:spacing w:before="0" w:after="283"/>
              <w:ind w:left="0" w:right="0" w:firstLine="180"/>
              <w:jc w:val="right"/>
              <w:rPr/>
            </w:pPr>
            <w:r>
              <w:rPr/>
              <w:t>42</w:t>
            </w:r>
          </w:p>
        </w:tc>
      </w:tr>
      <w:tr>
        <w:trPr/>
        <w:tc>
          <w:tcPr>
            <w:tcW w:w="6005" w:type="dxa"/>
            <w:tcBorders/>
            <w:shd w:fill="auto" w:val="clear"/>
            <w:vAlign w:val="center"/>
          </w:tcPr>
          <w:p>
            <w:pPr>
              <w:pStyle w:val="TableContents"/>
              <w:spacing w:before="0" w:after="283"/>
              <w:ind w:left="0" w:right="0" w:firstLine="180"/>
              <w:jc w:val="both"/>
              <w:rPr/>
            </w:pPr>
            <w:hyperlink w:anchor="a_Toc339007578">
              <w:r>
                <w:rPr>
                  <w:rStyle w:val="InternetLink"/>
                  <w:sz w:val="17"/>
                </w:rPr>
                <w:t>Benefits upon Termination or Change in Control</w:t>
              </w:r>
            </w:hyperlink>
          </w:p>
        </w:tc>
        <w:tc>
          <w:tcPr>
            <w:tcW w:w="455" w:type="dxa"/>
            <w:tcBorders/>
            <w:shd w:fill="auto" w:val="clear"/>
            <w:vAlign w:val="center"/>
          </w:tcPr>
          <w:p>
            <w:pPr>
              <w:pStyle w:val="TableContents"/>
              <w:spacing w:before="0" w:after="283"/>
              <w:jc w:val="right"/>
              <w:rPr/>
            </w:pPr>
            <w:r>
              <w:rPr/>
              <w:t>42</w:t>
            </w:r>
          </w:p>
        </w:tc>
      </w:tr>
      <w:tr>
        <w:trPr/>
        <w:tc>
          <w:tcPr>
            <w:tcW w:w="6005" w:type="dxa"/>
            <w:tcBorders/>
            <w:shd w:fill="auto" w:val="clear"/>
            <w:vAlign w:val="center"/>
          </w:tcPr>
          <w:p>
            <w:pPr>
              <w:pStyle w:val="TableContents"/>
              <w:spacing w:before="0" w:after="283"/>
              <w:jc w:val="both"/>
              <w:rPr/>
            </w:pPr>
            <w:hyperlink w:anchor="a_Toc339007579">
              <w:r>
                <w:rPr>
                  <w:rStyle w:val="InternetLink"/>
                  <w:sz w:val="17"/>
                </w:rPr>
                <w:t>STOCK OWNERSHIP</w:t>
              </w:r>
            </w:hyperlink>
          </w:p>
        </w:tc>
        <w:tc>
          <w:tcPr>
            <w:tcW w:w="455" w:type="dxa"/>
            <w:tcBorders/>
            <w:shd w:fill="auto" w:val="clear"/>
            <w:vAlign w:val="center"/>
          </w:tcPr>
          <w:p>
            <w:pPr>
              <w:pStyle w:val="TableContents"/>
              <w:spacing w:before="0" w:after="283"/>
              <w:ind w:left="0" w:right="0" w:firstLine="180"/>
              <w:jc w:val="right"/>
              <w:rPr/>
            </w:pPr>
            <w:r>
              <w:rPr/>
              <w:t>44</w:t>
            </w:r>
          </w:p>
        </w:tc>
      </w:tr>
      <w:tr>
        <w:trPr/>
        <w:tc>
          <w:tcPr>
            <w:tcW w:w="6005" w:type="dxa"/>
            <w:tcBorders/>
            <w:shd w:fill="auto" w:val="clear"/>
            <w:vAlign w:val="center"/>
          </w:tcPr>
          <w:p>
            <w:pPr>
              <w:pStyle w:val="TableContents"/>
              <w:spacing w:before="0" w:after="283"/>
              <w:ind w:left="0" w:right="0" w:firstLine="180"/>
              <w:jc w:val="both"/>
              <w:rPr/>
            </w:pPr>
            <w:hyperlink w:anchor="a_Toc339007580">
              <w:r>
                <w:rPr>
                  <w:rStyle w:val="InternetLink"/>
                  <w:sz w:val="17"/>
                </w:rPr>
                <w:t>Principal Stockholders</w:t>
              </w:r>
            </w:hyperlink>
          </w:p>
        </w:tc>
        <w:tc>
          <w:tcPr>
            <w:tcW w:w="455" w:type="dxa"/>
            <w:tcBorders/>
            <w:shd w:fill="auto" w:val="clear"/>
            <w:vAlign w:val="center"/>
          </w:tcPr>
          <w:p>
            <w:pPr>
              <w:pStyle w:val="TableContents"/>
              <w:spacing w:before="0" w:after="283"/>
              <w:ind w:left="0" w:right="0" w:firstLine="180"/>
              <w:jc w:val="right"/>
              <w:rPr/>
            </w:pPr>
            <w:r>
              <w:rPr/>
              <w:t>44</w:t>
            </w:r>
          </w:p>
        </w:tc>
      </w:tr>
      <w:tr>
        <w:trPr/>
        <w:tc>
          <w:tcPr>
            <w:tcW w:w="6005" w:type="dxa"/>
            <w:tcBorders/>
            <w:shd w:fill="auto" w:val="clear"/>
            <w:vAlign w:val="center"/>
          </w:tcPr>
          <w:p>
            <w:pPr>
              <w:pStyle w:val="TableContents"/>
              <w:spacing w:before="0" w:after="283"/>
              <w:ind w:left="0" w:right="0" w:firstLine="180"/>
              <w:jc w:val="both"/>
              <w:rPr/>
            </w:pPr>
            <w:hyperlink w:anchor="a_Toc339007581">
              <w:r>
                <w:rPr>
                  <w:rStyle w:val="InternetLink"/>
                  <w:sz w:val="17"/>
                </w:rPr>
                <w:t>Security Ownership of Management</w:t>
              </w:r>
            </w:hyperlink>
          </w:p>
        </w:tc>
        <w:tc>
          <w:tcPr>
            <w:tcW w:w="455" w:type="dxa"/>
            <w:tcBorders/>
            <w:shd w:fill="auto" w:val="clear"/>
            <w:vAlign w:val="center"/>
          </w:tcPr>
          <w:p>
            <w:pPr>
              <w:pStyle w:val="TableContents"/>
              <w:spacing w:before="0" w:after="283"/>
              <w:ind w:left="0" w:right="0" w:firstLine="180"/>
              <w:jc w:val="right"/>
              <w:rPr/>
            </w:pPr>
            <w:r>
              <w:rPr/>
              <w:t>47</w:t>
            </w:r>
          </w:p>
        </w:tc>
      </w:tr>
      <w:tr>
        <w:trPr/>
        <w:tc>
          <w:tcPr>
            <w:tcW w:w="6005" w:type="dxa"/>
            <w:tcBorders/>
            <w:shd w:fill="auto" w:val="clear"/>
            <w:vAlign w:val="center"/>
          </w:tcPr>
          <w:p>
            <w:pPr>
              <w:pStyle w:val="TableContents"/>
              <w:spacing w:before="0" w:after="283"/>
              <w:ind w:left="0" w:right="0" w:firstLine="180"/>
              <w:jc w:val="both"/>
              <w:rPr/>
            </w:pPr>
            <w:hyperlink w:anchor="a_Toc339007582">
              <w:r>
                <w:rPr>
                  <w:rStyle w:val="InternetLink"/>
                  <w:sz w:val="17"/>
                </w:rPr>
                <w:t>Section 16(a) Beneficial Ownership Reporting Compliance</w:t>
              </w:r>
            </w:hyperlink>
          </w:p>
        </w:tc>
        <w:tc>
          <w:tcPr>
            <w:tcW w:w="455" w:type="dxa"/>
            <w:tcBorders/>
            <w:shd w:fill="auto" w:val="clear"/>
            <w:vAlign w:val="center"/>
          </w:tcPr>
          <w:p>
            <w:pPr>
              <w:pStyle w:val="TableContents"/>
              <w:spacing w:before="0" w:after="283"/>
              <w:jc w:val="right"/>
              <w:rPr/>
            </w:pPr>
            <w:r>
              <w:rPr/>
              <w:t>48</w:t>
            </w:r>
          </w:p>
        </w:tc>
      </w:tr>
    </w:tbl>
    <w:p>
      <w:pPr>
        <w:pStyle w:val="TextBody"/>
        <w:spacing w:lineRule="auto" w:line="256" w:before="0" w:after="160"/>
        <w:jc w:val="left"/>
        <w:rPr>
          <w:caps w:val="false"/>
          <w:smallCaps w:val="false"/>
        </w:rPr>
      </w:pPr>
      <w:r>
        <w:rPr>
          <w:caps w:val="false"/>
          <w:smallCaps w:val="false"/>
        </w:rPr>
        <w:t> </w:t>
      </w:r>
    </w:p>
    <w:tbl>
      <w:tblPr>
        <w:tblW w:w="110" w:type="dxa"/>
        <w:jc w:val="left"/>
        <w:tblInd w:w="0" w:type="dxa"/>
        <w:tblCellMar>
          <w:top w:w="0" w:type="dxa"/>
          <w:left w:w="0" w:type="dxa"/>
          <w:bottom w:w="0" w:type="dxa"/>
          <w:right w:w="0" w:type="dxa"/>
        </w:tblCellMar>
      </w:tblPr>
      <w:tblGrid>
        <w:gridCol w:w="110"/>
      </w:tblGrid>
      <w:tr>
        <w:trPr/>
        <w:tc>
          <w:tcPr>
            <w:tcW w:w="110" w:type="dxa"/>
            <w:tcBorders/>
            <w:shd w:fill="auto" w:val="clear"/>
            <w:vAlign w:val="center"/>
          </w:tcPr>
          <w:p>
            <w:pPr>
              <w:pStyle w:val="TableContents"/>
              <w:spacing w:before="0" w:after="283"/>
              <w:jc w:val="center"/>
              <w:rPr/>
            </w:pPr>
            <w:r>
              <w:rPr/>
              <w:t>i</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CORPORATION OF AMERICA</w:t>
      </w:r>
    </w:p>
    <w:p>
      <w:pPr>
        <w:pStyle w:val="TextBody"/>
        <w:jc w:val="center"/>
        <w:rPr>
          <w:rFonts w:ascii="Times New Roman;Times;Serif" w:hAnsi="Times New Roman;Times;Serif"/>
          <w:b/>
          <w:i w:val="false"/>
          <w:caps w:val="false"/>
          <w:smallCaps w:val="false"/>
          <w:sz w:val="20"/>
        </w:rPr>
      </w:pPr>
      <w:bookmarkStart w:id="2" w:name="a_Toc339007542"/>
      <w:bookmarkEnd w:id="2"/>
      <w:r>
        <w:rPr>
          <w:rFonts w:ascii="Times New Roman;Times;Serif" w:hAnsi="Times New Roman;Times;Serif"/>
          <w:b/>
          <w:i w:val="false"/>
          <w:caps w:val="false"/>
          <w:smallCaps w:val="false"/>
          <w:sz w:val="20"/>
        </w:rPr>
        <w:t>NOTICE OF ANNUAL MEETING OF STOCKHOLDERS</w:t>
      </w:r>
    </w:p>
    <w:p>
      <w:pPr>
        <w:pStyle w:val="TextBody"/>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December 9, 2014</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Oil-Dri Corporation of America:</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2014 Annual Meeting of Stockholders of Oil-Dri Corporation of America, a Delaware corporation, will be held at 9:30 a.m., local time, on Tuesday, December 9, 2014, at The Standard Club, located at 320 South Plymouth Court, Chicago, Illinois 60604-3802.</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will be held for the following purposes:</w:t>
      </w:r>
    </w:p>
    <w:p>
      <w:pPr>
        <w:pStyle w:val="TextBody"/>
        <w:spacing w:before="0" w:after="20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17"/>
        </w:rPr>
        <w:t>1.</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17"/>
        </w:rPr>
        <w:t>To elect eight directors;</w:t>
      </w:r>
    </w:p>
    <w:p>
      <w:pPr>
        <w:pStyle w:val="TextBody"/>
        <w:spacing w:before="0" w:after="20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17"/>
        </w:rPr>
        <w:t>2.</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17"/>
        </w:rPr>
        <w:t xml:space="preserve">To ratify the appointment of Grant Thornton LLP as the Company’s independent auditor for the fiscal year ending July 31, 2015; </w:t>
      </w:r>
    </w:p>
    <w:p>
      <w:pPr>
        <w:pStyle w:val="TextBody"/>
        <w:spacing w:before="0" w:after="20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17"/>
        </w:rPr>
        <w:t>3.</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17"/>
        </w:rPr>
        <w:t>To approve, on an advisory basis, the compensation of the named executive officers disclosed in this Proxy Statement; and</w:t>
      </w:r>
    </w:p>
    <w:p>
      <w:pPr>
        <w:pStyle w:val="TextBody"/>
        <w:spacing w:before="0" w:after="20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17"/>
        </w:rPr>
        <w:t>4.</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17"/>
        </w:rPr>
        <w:t>To transact such other business as may properly come before the meeting and any adjournment thereof.</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only holders of record of outstanding shares of Common Stock and Class B Stock at the close of business on Friday, October 17, 2014, are entitled to notice of, and to vote at, the meeting and any adjournment thereof.</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very important. Whether or not you intend to be present at the meeting, you are encouraged to vote. Please follow the instructions on the enclosed proxy card for voting by Internet, telephone or mail.</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relating to the meeting, please see the following pages.</w:t>
      </w:r>
    </w:p>
    <w:tbl>
      <w:tblPr>
        <w:tblW w:w="4116" w:type="dxa"/>
        <w:jc w:val="left"/>
        <w:tblInd w:w="0" w:type="dxa"/>
        <w:tblCellMar>
          <w:top w:w="0" w:type="dxa"/>
          <w:left w:w="0" w:type="dxa"/>
          <w:bottom w:w="0" w:type="dxa"/>
          <w:right w:w="0" w:type="dxa"/>
        </w:tblCellMar>
      </w:tblPr>
      <w:tblGrid>
        <w:gridCol w:w="183"/>
        <w:gridCol w:w="3933"/>
      </w:tblGrid>
      <w:tr>
        <w:trPr/>
        <w:tc>
          <w:tcPr>
            <w:tcW w:w="183" w:type="dxa"/>
            <w:tcBorders/>
            <w:shd w:fill="auto" w:val="clear"/>
            <w:vAlign w:val="center"/>
          </w:tcPr>
          <w:p>
            <w:pPr>
              <w:pStyle w:val="TableContents"/>
              <w:spacing w:before="0" w:after="283"/>
              <w:ind w:left="0" w:right="0" w:firstLine="108"/>
              <w:jc w:val="both"/>
              <w:rPr/>
            </w:pPr>
            <w:r>
              <w:rPr/>
              <w:t> </w:t>
            </w:r>
          </w:p>
        </w:tc>
        <w:tc>
          <w:tcPr>
            <w:tcW w:w="3933" w:type="dxa"/>
            <w:tcBorders/>
            <w:shd w:fill="auto" w:val="clear"/>
            <w:vAlign w:val="center"/>
          </w:tcPr>
          <w:p>
            <w:pPr>
              <w:pStyle w:val="TableContents"/>
              <w:spacing w:before="0" w:after="283"/>
              <w:ind w:left="0" w:right="0" w:firstLine="108"/>
              <w:jc w:val="both"/>
              <w:rPr>
                <w:sz w:val="17"/>
              </w:rPr>
            </w:pPr>
            <w:r>
              <w:rPr>
                <w:sz w:val="17"/>
              </w:rPr>
              <w:t>By Order of the Board of Directors,</w:t>
            </w:r>
          </w:p>
        </w:tc>
      </w:tr>
      <w:tr>
        <w:trPr/>
        <w:tc>
          <w:tcPr>
            <w:tcW w:w="183" w:type="dxa"/>
            <w:tcBorders/>
            <w:shd w:fill="auto" w:val="clear"/>
            <w:vAlign w:val="center"/>
          </w:tcPr>
          <w:p>
            <w:pPr>
              <w:pStyle w:val="TableContents"/>
              <w:spacing w:before="0" w:after="283"/>
              <w:ind w:left="0" w:right="0" w:firstLine="108"/>
              <w:jc w:val="both"/>
              <w:rPr/>
            </w:pPr>
            <w:r>
              <w:rPr/>
              <w:t> </w:t>
            </w:r>
          </w:p>
        </w:tc>
        <w:tc>
          <w:tcPr>
            <w:tcW w:w="3933" w:type="dxa"/>
            <w:tcBorders/>
            <w:shd w:fill="auto" w:val="clear"/>
            <w:vAlign w:val="center"/>
          </w:tcPr>
          <w:p>
            <w:pPr>
              <w:pStyle w:val="TableContents"/>
              <w:spacing w:before="0" w:after="283"/>
              <w:ind w:left="0" w:right="0" w:firstLine="108"/>
              <w:jc w:val="both"/>
              <w:rPr/>
            </w:pPr>
            <w:r>
              <w:rPr/>
              <w:drawing>
                <wp:inline distT="0" distB="0" distL="0" distR="0">
                  <wp:extent cx="2419350" cy="60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19350" cy="609600"/>
                          </a:xfrm>
                          <a:prstGeom prst="rect">
                            <a:avLst/>
                          </a:prstGeom>
                        </pic:spPr>
                      </pic:pic>
                    </a:graphicData>
                  </a:graphic>
                </wp:inline>
              </w:drawing>
            </w:r>
          </w:p>
        </w:tc>
      </w:tr>
      <w:tr>
        <w:trPr/>
        <w:tc>
          <w:tcPr>
            <w:tcW w:w="183" w:type="dxa"/>
            <w:tcBorders/>
            <w:shd w:fill="auto" w:val="clear"/>
            <w:vAlign w:val="center"/>
          </w:tcPr>
          <w:p>
            <w:pPr>
              <w:pStyle w:val="TableContents"/>
              <w:spacing w:before="0" w:after="283"/>
              <w:ind w:left="0" w:right="0" w:firstLine="108"/>
              <w:jc w:val="both"/>
              <w:rPr/>
            </w:pPr>
            <w:r>
              <w:rPr/>
              <w:t> </w:t>
            </w:r>
          </w:p>
        </w:tc>
        <w:tc>
          <w:tcPr>
            <w:tcW w:w="3933" w:type="dxa"/>
            <w:tcBorders/>
            <w:shd w:fill="auto" w:val="clear"/>
            <w:vAlign w:val="center"/>
          </w:tcPr>
          <w:p>
            <w:pPr>
              <w:pStyle w:val="TableContents"/>
              <w:spacing w:before="0" w:after="283"/>
              <w:ind w:left="0" w:right="0" w:firstLine="108"/>
              <w:jc w:val="both"/>
              <w:rPr>
                <w:sz w:val="17"/>
              </w:rPr>
            </w:pPr>
            <w:r>
              <w:rPr>
                <w:sz w:val="17"/>
              </w:rPr>
              <w:t>DOUGLAS A. GRAHAM</w:t>
            </w:r>
          </w:p>
        </w:tc>
      </w:tr>
      <w:tr>
        <w:trPr/>
        <w:tc>
          <w:tcPr>
            <w:tcW w:w="183" w:type="dxa"/>
            <w:tcBorders/>
            <w:shd w:fill="auto" w:val="clear"/>
            <w:vAlign w:val="center"/>
          </w:tcPr>
          <w:p>
            <w:pPr>
              <w:pStyle w:val="TableContents"/>
              <w:spacing w:before="0" w:after="283"/>
              <w:ind w:left="0" w:right="0" w:firstLine="108"/>
              <w:jc w:val="both"/>
              <w:rPr/>
            </w:pPr>
            <w:r>
              <w:rPr/>
              <w:t> </w:t>
            </w:r>
          </w:p>
        </w:tc>
        <w:tc>
          <w:tcPr>
            <w:tcW w:w="3933" w:type="dxa"/>
            <w:tcBorders/>
            <w:shd w:fill="auto" w:val="clear"/>
            <w:vAlign w:val="center"/>
          </w:tcPr>
          <w:p>
            <w:pPr>
              <w:pStyle w:val="TableContents"/>
              <w:spacing w:before="0" w:after="283"/>
              <w:jc w:val="both"/>
              <w:rPr>
                <w:i/>
                <w:sz w:val="17"/>
              </w:rPr>
            </w:pPr>
            <w:r>
              <w:rPr>
                <w:i/>
                <w:sz w:val="17"/>
              </w:rPr>
              <w:t>Secretary</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5, 2014</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Important Notice Regarding the Availability of Proxy Materials for the Annual Meeting to be held on Tuesday, December 9, 2014: </w:t>
      </w:r>
      <w:r>
        <w:rPr>
          <w:rFonts w:ascii="Times New Roman;Times;Serif" w:hAnsi="Times New Roman;Times;Serif"/>
          <w:b w:val="false"/>
          <w:i w:val="false"/>
          <w:caps w:val="false"/>
          <w:smallCaps w:val="false"/>
          <w:sz w:val="20"/>
        </w:rPr>
        <w:t>The Company’s 2014 Proxy Statement and its 2014 Annual Report on Form 10-K are available at: http://www.oildri.com/investors/.</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ii</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CORPORATION OF AMERICA</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extBody"/>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 60611-4213</w:t>
      </w:r>
    </w:p>
    <w:p>
      <w:pPr>
        <w:pStyle w:val="TextBody"/>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w:t>
      </w:r>
    </w:p>
    <w:p>
      <w:pPr>
        <w:pStyle w:val="TextBody"/>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w:t>
      </w:r>
    </w:p>
    <w:p>
      <w:pPr>
        <w:pStyle w:val="TextBody"/>
        <w:jc w:val="center"/>
        <w:rPr>
          <w:rFonts w:ascii="Times New Roman;Times;Serif" w:hAnsi="Times New Roman;Times;Serif"/>
          <w:b/>
          <w:i w:val="false"/>
          <w:caps w:val="false"/>
          <w:smallCaps w:val="false"/>
          <w:sz w:val="20"/>
        </w:rPr>
      </w:pPr>
      <w:bookmarkStart w:id="3" w:name="a_Toc339007543"/>
      <w:bookmarkEnd w:id="3"/>
      <w:r>
        <w:rPr>
          <w:rFonts w:ascii="Times New Roman;Times;Serif" w:hAnsi="Times New Roman;Times;Serif"/>
          <w:b/>
          <w:i w:val="false"/>
          <w:caps w:val="false"/>
          <w:smallCaps w:val="false"/>
          <w:sz w:val="20"/>
        </w:rPr>
        <w:t>GENERAL INFORMATION</w:t>
      </w:r>
    </w:p>
    <w:p>
      <w:pPr>
        <w:pStyle w:val="TextBody"/>
        <w:spacing w:before="0" w:after="200"/>
        <w:jc w:val="both"/>
        <w:rPr>
          <w:caps w:val="false"/>
          <w:smallCaps w:val="false"/>
        </w:rPr>
      </w:pPr>
      <w:r>
        <w:rPr>
          <w:caps w:val="false"/>
          <w:smallCaps w:val="false"/>
        </w:rPr>
        <w:t> </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mailing you this Proxy Statement and the accompanying proxy for the first time on or about November 5, 2014. Our Board of Directors is soliciting your proxy for use at the 2014 Annual Meeting of Stockholders to be held at 9:30 a.m., local time, on Tuesday, December 9, 2014, at The Standard Club, located at 320 South Plymouth Court, Chicago, Illinois 60604-3802, notice of which accompanies this Proxy Statement, and at any adjournment of the meeting. Whenever we refer in this Proxy Statement to the “2014 Annual Meeting,” we are also referring to any meeting that results from an adjournment of the 2014 Annual Meeting. Except as otherwise indicated herein or as the context otherwise requires, references to the “Company,” “we,” “us” or “our” refer to Oil-Dri Corporation of America.</w:t>
      </w:r>
    </w:p>
    <w:p>
      <w:pPr>
        <w:pStyle w:val="TextBody"/>
        <w:spacing w:before="400" w:after="200"/>
        <w:ind w:left="400" w:right="400" w:hanging="0"/>
        <w:jc w:val="center"/>
        <w:rPr>
          <w:rFonts w:ascii="Times New Roman;Times;Serif" w:hAnsi="Times New Roman;Times;Serif"/>
          <w:b/>
          <w:i w:val="false"/>
          <w:caps w:val="false"/>
          <w:smallCaps w:val="false"/>
          <w:sz w:val="20"/>
        </w:rPr>
      </w:pPr>
      <w:bookmarkStart w:id="4" w:name="a_Toc339007544"/>
      <w:bookmarkEnd w:id="4"/>
      <w:r>
        <w:rPr>
          <w:rFonts w:ascii="Times New Roman;Times;Serif" w:hAnsi="Times New Roman;Times;Serif"/>
          <w:b/>
          <w:i w:val="false"/>
          <w:caps w:val="false"/>
          <w:smallCaps w:val="false"/>
          <w:sz w:val="20"/>
        </w:rPr>
        <w:t>Commonly Asked Questions and Answers</w:t>
      </w:r>
    </w:p>
    <w:p>
      <w:pPr>
        <w:pStyle w:val="TextBody"/>
        <w:spacing w:before="0" w:after="0"/>
        <w:ind w:left="0" w:right="0" w:hanging="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1.</w:t>
      </w:r>
    </w:p>
    <w:p>
      <w:pPr>
        <w:pStyle w:val="TextBody"/>
        <w:spacing w:before="0" w:after="100"/>
        <w:ind w:left="0" w:right="0" w:firstLine="72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Why am I receiving these materials?</w:t>
      </w:r>
    </w:p>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This Proxy Statement is being delivered to all stockholders of record as of the close of business on October 17, 2014 in connection with the solicitation of proxies on behalf of our Board of Directors for use at the 2014 Annual Meeting on December 9, 2014. Although our Annual Report on Form 10-K and Proxy Statement are being delivered together, our Form 10-K should not be deemed to be part of this Proxy Statement.</w:t>
      </w:r>
    </w:p>
    <w:p>
      <w:pPr>
        <w:pStyle w:val="TextBody"/>
        <w:spacing w:before="0" w:after="0"/>
        <w:ind w:left="0" w:right="0" w:hanging="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2.</w:t>
      </w:r>
    </w:p>
    <w:p>
      <w:pPr>
        <w:pStyle w:val="TextBody"/>
        <w:spacing w:before="0" w:after="100"/>
        <w:ind w:left="0" w:right="0" w:firstLine="72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Who is entitled to vote at the 2014 Annual Meeting?</w:t>
      </w:r>
    </w:p>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Board of Directors has established the close of business on Friday, October 17, 2014, as the record date for the 2014 Annual Meeting. Only stockholders of record at the close of business on the record date are entitled to receive notice of, and to vote at, the 2014 Annual Meeting.</w:t>
      </w:r>
    </w:p>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5,015,442 shares of Common Stock and 2,064,994 shares of Class B Stock were outstanding.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3.</w:t>
      </w:r>
    </w:p>
    <w:p>
      <w:pPr>
        <w:pStyle w:val="TextBody"/>
        <w:spacing w:before="0" w:after="100"/>
        <w:ind w:left="0" w:right="0" w:firstLine="720"/>
        <w:jc w:val="both"/>
        <w:rPr>
          <w:rFonts w:ascii="Times New Roman;Times;Serif" w:hAnsi="Times New Roman;Times;Serif"/>
          <w:b/>
          <w:i w:val="false"/>
          <w:caps w:val="false"/>
          <w:smallCaps w:val="false"/>
          <w:sz w:val="17"/>
        </w:rPr>
      </w:pPr>
      <w:r>
        <w:rPr>
          <w:rFonts w:ascii="Times New Roman;Times;Serif" w:hAnsi="Times New Roman;Times;Serif"/>
          <w:b/>
          <w:i w:val="false"/>
          <w:caps w:val="false"/>
          <w:smallCaps w:val="false"/>
          <w:sz w:val="17"/>
        </w:rPr>
        <w:t>What proposals are being voted on at the 2014 Annual Meeting?</w:t>
      </w:r>
    </w:p>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Stockholders are being asked to vote upon the following items of business at the 2014 Annual Meeting:</w:t>
      </w:r>
    </w:p>
    <w:tbl>
      <w:tblPr>
        <w:tblW w:w="8778" w:type="dxa"/>
        <w:jc w:val="left"/>
        <w:tblInd w:w="0" w:type="dxa"/>
        <w:tblCellMar>
          <w:top w:w="0" w:type="dxa"/>
          <w:left w:w="0" w:type="dxa"/>
          <w:bottom w:w="0" w:type="dxa"/>
          <w:right w:w="0" w:type="dxa"/>
        </w:tblCellMar>
      </w:tblPr>
      <w:tblGrid>
        <w:gridCol w:w="38"/>
        <w:gridCol w:w="155"/>
        <w:gridCol w:w="8585"/>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17"/>
              </w:rPr>
            </w:pPr>
            <w:r>
              <w:rPr>
                <w:sz w:val="17"/>
              </w:rPr>
              <w:t>1.</w:t>
            </w:r>
          </w:p>
        </w:tc>
        <w:tc>
          <w:tcPr>
            <w:tcW w:w="8585" w:type="dxa"/>
            <w:tcBorders/>
            <w:shd w:fill="auto" w:val="clear"/>
            <w:vAlign w:val="center"/>
          </w:tcPr>
          <w:p>
            <w:pPr>
              <w:pStyle w:val="TableContents"/>
              <w:spacing w:before="0" w:after="283"/>
              <w:jc w:val="both"/>
              <w:rPr>
                <w:sz w:val="17"/>
              </w:rPr>
            </w:pPr>
            <w:r>
              <w:rPr>
                <w:sz w:val="17"/>
              </w:rPr>
              <w:t>the election of eight directors, each to hold office for a one-year term ending at our 2015 Annual Meeting of Stockholders;</w:t>
            </w:r>
          </w:p>
        </w:tc>
      </w:tr>
    </w:tbl>
    <w:tbl>
      <w:tblPr>
        <w:tblW w:w="10205" w:type="dxa"/>
        <w:jc w:val="left"/>
        <w:tblInd w:w="0" w:type="dxa"/>
        <w:tblCellMar>
          <w:top w:w="0" w:type="dxa"/>
          <w:left w:w="0" w:type="dxa"/>
          <w:bottom w:w="0" w:type="dxa"/>
          <w:right w:w="0" w:type="dxa"/>
        </w:tblCellMar>
      </w:tblPr>
      <w:tblGrid>
        <w:gridCol w:w="38"/>
        <w:gridCol w:w="152"/>
        <w:gridCol w:w="10015"/>
      </w:tblGrid>
      <w:tr>
        <w:trPr/>
        <w:tc>
          <w:tcPr>
            <w:tcW w:w="3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17"/>
              </w:rPr>
            </w:pPr>
            <w:r>
              <w:rPr>
                <w:sz w:val="17"/>
              </w:rPr>
              <w:t>2.</w:t>
            </w:r>
          </w:p>
        </w:tc>
        <w:tc>
          <w:tcPr>
            <w:tcW w:w="10015" w:type="dxa"/>
            <w:tcBorders/>
            <w:shd w:fill="auto" w:val="clear"/>
            <w:vAlign w:val="center"/>
          </w:tcPr>
          <w:p>
            <w:pPr>
              <w:pStyle w:val="TableContents"/>
              <w:spacing w:before="0" w:after="283"/>
              <w:jc w:val="both"/>
              <w:rPr>
                <w:sz w:val="17"/>
              </w:rPr>
            </w:pPr>
            <w:r>
              <w:rPr>
                <w:sz w:val="17"/>
              </w:rPr>
              <w:t>the ratification of the appointment of Grant Thornton LLP (“Grant Thornton”) as our independent auditor for the fiscal year ending July 31, 2015; and</w:t>
            </w:r>
          </w:p>
        </w:tc>
      </w:tr>
    </w:tbl>
    <w:tbl>
      <w:tblPr>
        <w:tblW w:w="8193" w:type="dxa"/>
        <w:jc w:val="left"/>
        <w:tblInd w:w="0" w:type="dxa"/>
        <w:tblCellMar>
          <w:top w:w="0" w:type="dxa"/>
          <w:left w:w="0" w:type="dxa"/>
          <w:bottom w:w="0" w:type="dxa"/>
          <w:right w:w="0" w:type="dxa"/>
        </w:tblCellMar>
      </w:tblPr>
      <w:tblGrid>
        <w:gridCol w:w="38"/>
        <w:gridCol w:w="155"/>
        <w:gridCol w:w="8000"/>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17"/>
              </w:rPr>
            </w:pPr>
            <w:r>
              <w:rPr>
                <w:sz w:val="17"/>
              </w:rPr>
              <w:t>3.</w:t>
            </w:r>
          </w:p>
        </w:tc>
        <w:tc>
          <w:tcPr>
            <w:tcW w:w="8000" w:type="dxa"/>
            <w:tcBorders/>
            <w:shd w:fill="auto" w:val="clear"/>
            <w:vAlign w:val="center"/>
          </w:tcPr>
          <w:p>
            <w:pPr>
              <w:pStyle w:val="TableContents"/>
              <w:spacing w:before="0" w:after="283"/>
              <w:jc w:val="both"/>
              <w:rPr>
                <w:sz w:val="17"/>
              </w:rPr>
            </w:pPr>
            <w:r>
              <w:rPr>
                <w:sz w:val="17"/>
              </w:rPr>
              <w:t>the approval, on an advisory basis, of the named executive officer compensation disclosed in this Proxy Statement;</w:t>
            </w:r>
          </w:p>
        </w:tc>
      </w:tr>
    </w:tbl>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and to transact such other business as may properly come before the 2014 Annual Meeting. Our Board of Directors knows of no other items of business that will be presented for consideration at the 2014 Annual Meeting other than those described in this Proxy Statement. In addition, no stockholder proposal or nomination was received prior to the deadline specified in our Amended and Restated By-Laws, so no such matters may be brought to a vote at the 2014 Annual Meeting.</w:t>
      </w:r>
    </w:p>
    <w:tbl>
      <w:tblPr>
        <w:tblW w:w="5853" w:type="dxa"/>
        <w:jc w:val="left"/>
        <w:tblInd w:w="0" w:type="dxa"/>
        <w:tblCellMar>
          <w:top w:w="0" w:type="dxa"/>
          <w:left w:w="0" w:type="dxa"/>
          <w:bottom w:w="0" w:type="dxa"/>
          <w:right w:w="0" w:type="dxa"/>
        </w:tblCellMar>
      </w:tblPr>
      <w:tblGrid>
        <w:gridCol w:w="38"/>
        <w:gridCol w:w="155"/>
        <w:gridCol w:w="5660"/>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b/>
                <w:sz w:val="17"/>
              </w:rPr>
            </w:pPr>
            <w:r>
              <w:rPr>
                <w:b/>
                <w:sz w:val="17"/>
              </w:rPr>
              <w:t>4.</w:t>
            </w:r>
          </w:p>
        </w:tc>
        <w:tc>
          <w:tcPr>
            <w:tcW w:w="5660" w:type="dxa"/>
            <w:tcBorders/>
            <w:shd w:fill="auto" w:val="clear"/>
            <w:vAlign w:val="center"/>
          </w:tcPr>
          <w:p>
            <w:pPr>
              <w:pStyle w:val="TableContents"/>
              <w:spacing w:before="0" w:after="283"/>
              <w:jc w:val="both"/>
              <w:rPr>
                <w:b/>
                <w:sz w:val="17"/>
              </w:rPr>
            </w:pPr>
            <w:r>
              <w:rPr>
                <w:b/>
                <w:sz w:val="17"/>
              </w:rPr>
              <w:t>What are the voting recommendations of the Company’s Board of Directors?</w:t>
            </w:r>
          </w:p>
        </w:tc>
      </w:tr>
    </w:tbl>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Board of Directors recommends that you vote your shares as follows:</w:t>
      </w:r>
    </w:p>
    <w:tbl>
      <w:tblPr>
        <w:tblW w:w="5418" w:type="dxa"/>
        <w:jc w:val="left"/>
        <w:tblInd w:w="0" w:type="dxa"/>
        <w:tblCellMar>
          <w:top w:w="0" w:type="dxa"/>
          <w:left w:w="0" w:type="dxa"/>
          <w:bottom w:w="0" w:type="dxa"/>
          <w:right w:w="0" w:type="dxa"/>
        </w:tblCellMar>
      </w:tblPr>
      <w:tblGrid>
        <w:gridCol w:w="38"/>
        <w:gridCol w:w="95"/>
        <w:gridCol w:w="5285"/>
      </w:tblGrid>
      <w:tr>
        <w:trPr/>
        <w:tc>
          <w:tcPr>
            <w:tcW w:w="3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shd w:fill="auto" w:val="clear"/>
            <w:vAlign w:val="center"/>
          </w:tcPr>
          <w:p>
            <w:pPr>
              <w:pStyle w:val="TableContents"/>
              <w:spacing w:before="0" w:after="283"/>
              <w:jc w:val="both"/>
              <w:rPr/>
            </w:pPr>
            <w:r>
              <w:rPr/>
              <w:t>“</w:t>
            </w:r>
            <w:r>
              <w:rPr>
                <w:sz w:val="17"/>
              </w:rPr>
              <w:t>FOR” the election of each of the eight nominees to the Board of Directors;</w:t>
            </w:r>
          </w:p>
        </w:tc>
      </w:tr>
    </w:tbl>
    <w:tbl>
      <w:tblPr>
        <w:tblW w:w="10205" w:type="dxa"/>
        <w:jc w:val="left"/>
        <w:tblInd w:w="0" w:type="dxa"/>
        <w:tblCellMar>
          <w:top w:w="0" w:type="dxa"/>
          <w:left w:w="0" w:type="dxa"/>
          <w:bottom w:w="0" w:type="dxa"/>
          <w:right w:w="0" w:type="dxa"/>
        </w:tblCellMar>
      </w:tblPr>
      <w:tblGrid>
        <w:gridCol w:w="38"/>
        <w:gridCol w:w="95"/>
        <w:gridCol w:w="10072"/>
      </w:tblGrid>
      <w:tr>
        <w:trPr/>
        <w:tc>
          <w:tcPr>
            <w:tcW w:w="3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shd w:fill="auto" w:val="clear"/>
            <w:vAlign w:val="center"/>
          </w:tcPr>
          <w:p>
            <w:pPr>
              <w:pStyle w:val="TableContents"/>
              <w:spacing w:before="0" w:after="283"/>
              <w:jc w:val="both"/>
              <w:rPr/>
            </w:pPr>
            <w:r>
              <w:rPr/>
              <w:t>“</w:t>
            </w:r>
            <w:r>
              <w:rPr>
                <w:sz w:val="17"/>
              </w:rPr>
              <w:t>FOR” the ratification of the appointment of Grant Thornton as the Company’s independent auditor for the fiscal year ending July 31, 2015; and</w:t>
            </w:r>
          </w:p>
        </w:tc>
      </w:tr>
    </w:tbl>
    <w:tbl>
      <w:tblPr>
        <w:tblW w:w="7578" w:type="dxa"/>
        <w:jc w:val="left"/>
        <w:tblInd w:w="0" w:type="dxa"/>
        <w:tblCellMar>
          <w:top w:w="0" w:type="dxa"/>
          <w:left w:w="0" w:type="dxa"/>
          <w:bottom w:w="0" w:type="dxa"/>
          <w:right w:w="0" w:type="dxa"/>
        </w:tblCellMar>
      </w:tblPr>
      <w:tblGrid>
        <w:gridCol w:w="38"/>
        <w:gridCol w:w="95"/>
        <w:gridCol w:w="7445"/>
      </w:tblGrid>
      <w:tr>
        <w:trPr/>
        <w:tc>
          <w:tcPr>
            <w:tcW w:w="3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7445" w:type="dxa"/>
            <w:tcBorders/>
            <w:shd w:fill="auto" w:val="clear"/>
            <w:vAlign w:val="center"/>
          </w:tcPr>
          <w:p>
            <w:pPr>
              <w:pStyle w:val="TableContents"/>
              <w:spacing w:before="0" w:after="283"/>
              <w:jc w:val="both"/>
              <w:rPr>
                <w:sz w:val="17"/>
              </w:rPr>
            </w:pPr>
            <w:r>
              <w:rPr>
                <w:sz w:val="17"/>
              </w:rPr>
              <w:t>"FOR" the approval of the compensation of the named executive officers disclosed in this Proxy Statement.</w:t>
            </w:r>
          </w:p>
        </w:tc>
      </w:tr>
    </w:tbl>
    <w:tbl>
      <w:tblPr>
        <w:tblW w:w="1953" w:type="dxa"/>
        <w:jc w:val="left"/>
        <w:tblInd w:w="0" w:type="dxa"/>
        <w:tblCellMar>
          <w:top w:w="0" w:type="dxa"/>
          <w:left w:w="0" w:type="dxa"/>
          <w:bottom w:w="0" w:type="dxa"/>
          <w:right w:w="0" w:type="dxa"/>
        </w:tblCellMar>
      </w:tblPr>
      <w:tblGrid>
        <w:gridCol w:w="38"/>
        <w:gridCol w:w="155"/>
        <w:gridCol w:w="1760"/>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b/>
                <w:sz w:val="17"/>
              </w:rPr>
            </w:pPr>
            <w:r>
              <w:rPr>
                <w:b/>
                <w:sz w:val="17"/>
              </w:rPr>
              <w:t>5.</w:t>
            </w:r>
          </w:p>
        </w:tc>
        <w:tc>
          <w:tcPr>
            <w:tcW w:w="1760" w:type="dxa"/>
            <w:tcBorders/>
            <w:shd w:fill="auto" w:val="clear"/>
            <w:vAlign w:val="center"/>
          </w:tcPr>
          <w:p>
            <w:pPr>
              <w:pStyle w:val="TableContents"/>
              <w:spacing w:before="0" w:after="283"/>
              <w:jc w:val="both"/>
              <w:rPr>
                <w:b/>
                <w:sz w:val="17"/>
              </w:rPr>
            </w:pPr>
            <w:r>
              <w:rPr>
                <w:b/>
                <w:sz w:val="17"/>
              </w:rPr>
              <w:t>How do I cast my vote?</w:t>
            </w:r>
          </w:p>
        </w:tc>
      </w:tr>
    </w:tbl>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If you are a stockholder of record, you may vote in several different ways:</w:t>
      </w:r>
    </w:p>
    <w:p>
      <w:pPr>
        <w:pStyle w:val="TextBody"/>
        <w:spacing w:before="0" w:after="60"/>
        <w:jc w:val="both"/>
        <w:rPr>
          <w:rFonts w:ascii="Times New Roman;Times;Serif" w:hAnsi="Times New Roman;Times;Serif"/>
          <w:b w:val="false"/>
          <w:i/>
          <w:caps w:val="false"/>
          <w:smallCaps w:val="false"/>
          <w:sz w:val="17"/>
          <w:u w:val="single"/>
        </w:rPr>
      </w:pPr>
      <w:r>
        <w:rPr>
          <w:rFonts w:ascii="Times New Roman;Times;Serif" w:hAnsi="Times New Roman;Times;Serif"/>
          <w:b w:val="false"/>
          <w:i/>
          <w:caps w:val="false"/>
          <w:smallCaps w:val="false"/>
          <w:sz w:val="17"/>
          <w:u w:val="single"/>
        </w:rPr>
        <w:t>In person at the 2014 Annual Meeting</w:t>
      </w:r>
    </w:p>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You may vote in person at the 2014 Annual Meeting. You may also be represented by another person at the meeting by executing a proxy properly designating that person.</w:t>
      </w:r>
    </w:p>
    <w:p>
      <w:pPr>
        <w:pStyle w:val="TextBody"/>
        <w:spacing w:before="0" w:after="60"/>
        <w:jc w:val="both"/>
        <w:rPr>
          <w:rFonts w:ascii="Times New Roman;Times;Serif" w:hAnsi="Times New Roman;Times;Serif"/>
          <w:b w:val="false"/>
          <w:i/>
          <w:caps w:val="false"/>
          <w:smallCaps w:val="false"/>
          <w:sz w:val="17"/>
          <w:u w:val="single"/>
        </w:rPr>
      </w:pPr>
      <w:r>
        <w:rPr>
          <w:rFonts w:ascii="Times New Roman;Times;Serif" w:hAnsi="Times New Roman;Times;Serif"/>
          <w:b w:val="false"/>
          <w:i/>
          <w:caps w:val="false"/>
          <w:smallCaps w:val="false"/>
          <w:sz w:val="17"/>
          <w:u w:val="single"/>
        </w:rPr>
        <w:t>By mail</w:t>
      </w:r>
    </w:p>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You may vote by completing, signing, dating and returning the enclosed proxy card(s) in the postage-paid envelope we have provided.</w:t>
      </w:r>
    </w:p>
    <w:p>
      <w:pPr>
        <w:pStyle w:val="TextBody"/>
        <w:spacing w:before="0" w:after="60"/>
        <w:jc w:val="both"/>
        <w:rPr>
          <w:rFonts w:ascii="Times New Roman;Times;Serif" w:hAnsi="Times New Roman;Times;Serif"/>
          <w:b w:val="false"/>
          <w:i/>
          <w:caps w:val="false"/>
          <w:smallCaps w:val="false"/>
          <w:sz w:val="17"/>
          <w:u w:val="single"/>
        </w:rPr>
      </w:pPr>
      <w:r>
        <w:rPr>
          <w:rFonts w:ascii="Times New Roman;Times;Serif" w:hAnsi="Times New Roman;Times;Serif"/>
          <w:b w:val="false"/>
          <w:i/>
          <w:caps w:val="false"/>
          <w:smallCaps w:val="false"/>
          <w:sz w:val="17"/>
          <w:u w:val="single"/>
        </w:rPr>
        <w:t>By telephone</w:t>
      </w:r>
    </w:p>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You may vote by calling the telephone number on your proxy card. Please have your proxy card in hand when you call and use any touch-tone phone to transmit your voting instructions. Telephone voting for stockholders of record will be available until 11:59 p.m., Eastern Time, on December 8, 2014.</w:t>
      </w:r>
    </w:p>
    <w:p>
      <w:pPr>
        <w:pStyle w:val="TextBody"/>
        <w:spacing w:before="0" w:after="60"/>
        <w:jc w:val="both"/>
        <w:rPr>
          <w:rFonts w:ascii="Times New Roman;Times;Serif" w:hAnsi="Times New Roman;Times;Serif"/>
          <w:b w:val="false"/>
          <w:i/>
          <w:caps w:val="false"/>
          <w:smallCaps w:val="false"/>
          <w:sz w:val="17"/>
          <w:u w:val="single"/>
        </w:rPr>
      </w:pPr>
      <w:r>
        <w:rPr>
          <w:rFonts w:ascii="Times New Roman;Times;Serif" w:hAnsi="Times New Roman;Times;Serif"/>
          <w:b w:val="false"/>
          <w:i/>
          <w:caps w:val="false"/>
          <w:smallCaps w:val="false"/>
          <w:sz w:val="17"/>
          <w:u w:val="single"/>
        </w:rPr>
        <w:t>By Internet</w:t>
      </w:r>
    </w:p>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You may vote using the Internet by submitting your voting instructions at www.proxyvote.com. You should have your proxy card available when you go online. If you vote on the Internet, you may also request electronic delivery of future proxy materials. Internet voting for stockholders of record will be available until 11:59 p.m., Eastern Time, on December 8, 2014.</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If you are the beneficial owner of shares held in “street name” (through a brokerage account or in another nominee form),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To vote in person at the 2014 Annual Meeting, you must obtain a legal proxy from your bank, broker or other nominee and present it to the Inspector of Election with your ballot. Your shares may be voted even if you do not provide voting instructions. Banks, brokers and nominees generally have the authority under New York Stock Exchange (“NYSE”) rules to vote on “routine matters.” The proposal to ratify the appointment of our independent auditor is considered a routine matter, while the election of directors and the approval of the non-binding advisory vote on the compensation of the named executive officers disclosed in this Proxy Statement are considered non-routine matters.</w:t>
      </w:r>
    </w:p>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Unless you decide to change your vote, use only one method to send us your vote. If you vote by telephone or by Internet, you do not have to return your proxy card or voting instruction form; however, even if you plan to attend the 2014 Annual Meeting, we recommend that you vote your shares in advance so that your vote will be counted if you later decide not to attend the meeting.</w:t>
      </w:r>
    </w:p>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If no contrary instruction is indicated in the proxy, each proxy will be voted “FOR” the election of the eight nominees to our Board of Directors named below, “FOR” the ratification of the appointment of Grant Thornton as our independent auditor for the fiscal year ending July 31, 2015, and “FOR” the approval of the compensation of the named executive officers disclosed in this Proxy Statement. In their discretion, the named proxy holders are authorized to vote on any other matters that may properly come before the 2014 Annual Meeting.</w:t>
      </w:r>
    </w:p>
    <w:tbl>
      <w:tblPr>
        <w:tblW w:w="1908" w:type="dxa"/>
        <w:jc w:val="left"/>
        <w:tblInd w:w="0" w:type="dxa"/>
        <w:tblCellMar>
          <w:top w:w="0" w:type="dxa"/>
          <w:left w:w="0" w:type="dxa"/>
          <w:bottom w:w="0" w:type="dxa"/>
          <w:right w:w="0" w:type="dxa"/>
        </w:tblCellMar>
      </w:tblPr>
      <w:tblGrid>
        <w:gridCol w:w="38"/>
        <w:gridCol w:w="155"/>
        <w:gridCol w:w="1715"/>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b/>
                <w:sz w:val="17"/>
              </w:rPr>
            </w:pPr>
            <w:r>
              <w:rPr>
                <w:b/>
                <w:sz w:val="17"/>
              </w:rPr>
              <w:t>6.</w:t>
            </w:r>
          </w:p>
        </w:tc>
        <w:tc>
          <w:tcPr>
            <w:tcW w:w="1715" w:type="dxa"/>
            <w:tcBorders/>
            <w:shd w:fill="auto" w:val="clear"/>
            <w:vAlign w:val="center"/>
          </w:tcPr>
          <w:p>
            <w:pPr>
              <w:pStyle w:val="TableContents"/>
              <w:spacing w:before="0" w:after="283"/>
              <w:jc w:val="both"/>
              <w:rPr>
                <w:b/>
                <w:sz w:val="17"/>
              </w:rPr>
            </w:pPr>
            <w:r>
              <w:rPr>
                <w:b/>
                <w:sz w:val="17"/>
              </w:rPr>
              <w:t>Can I change my vote?</w:t>
            </w:r>
          </w:p>
        </w:tc>
      </w:tr>
    </w:tbl>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Yes, if you vote by proxy, you may revoke that proxy at any time before it is voted at the 2014 Annual Meeting. If you are the stockholder of record, you may do this by:</w:t>
      </w:r>
    </w:p>
    <w:tbl>
      <w:tblPr>
        <w:tblW w:w="7278" w:type="dxa"/>
        <w:jc w:val="left"/>
        <w:tblInd w:w="0" w:type="dxa"/>
        <w:tblCellMar>
          <w:top w:w="0" w:type="dxa"/>
          <w:left w:w="0" w:type="dxa"/>
          <w:bottom w:w="0" w:type="dxa"/>
          <w:right w:w="0" w:type="dxa"/>
        </w:tblCellMar>
      </w:tblPr>
      <w:tblGrid>
        <w:gridCol w:w="38"/>
        <w:gridCol w:w="95"/>
        <w:gridCol w:w="7145"/>
      </w:tblGrid>
      <w:tr>
        <w:trPr/>
        <w:tc>
          <w:tcPr>
            <w:tcW w:w="3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7145" w:type="dxa"/>
            <w:tcBorders/>
            <w:shd w:fill="auto" w:val="clear"/>
            <w:vAlign w:val="center"/>
          </w:tcPr>
          <w:p>
            <w:pPr>
              <w:pStyle w:val="TableContents"/>
              <w:spacing w:before="0" w:after="283"/>
              <w:jc w:val="both"/>
              <w:rPr>
                <w:sz w:val="17"/>
              </w:rPr>
            </w:pPr>
            <w:r>
              <w:rPr>
                <w:sz w:val="17"/>
              </w:rPr>
              <w:t>voting again on the Internet or by telephone prior to 11:59 p.m., Eastern Time, on December 8, 2014;</w:t>
            </w:r>
          </w:p>
        </w:tc>
      </w:tr>
    </w:tbl>
    <w:tbl>
      <w:tblPr>
        <w:tblW w:w="10205" w:type="dxa"/>
        <w:jc w:val="left"/>
        <w:tblInd w:w="0" w:type="dxa"/>
        <w:tblCellMar>
          <w:top w:w="0" w:type="dxa"/>
          <w:left w:w="0" w:type="dxa"/>
          <w:bottom w:w="0" w:type="dxa"/>
          <w:right w:w="0" w:type="dxa"/>
        </w:tblCellMar>
      </w:tblPr>
      <w:tblGrid>
        <w:gridCol w:w="38"/>
        <w:gridCol w:w="95"/>
        <w:gridCol w:w="10072"/>
      </w:tblGrid>
      <w:tr>
        <w:trPr/>
        <w:tc>
          <w:tcPr>
            <w:tcW w:w="3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shd w:fill="auto" w:val="clear"/>
            <w:vAlign w:val="center"/>
          </w:tcPr>
          <w:p>
            <w:pPr>
              <w:pStyle w:val="TableContents"/>
              <w:spacing w:before="0" w:after="283"/>
              <w:jc w:val="both"/>
              <w:rPr>
                <w:sz w:val="17"/>
              </w:rPr>
            </w:pPr>
            <w:r>
              <w:rPr>
                <w:sz w:val="17"/>
              </w:rPr>
              <w:t>signing another proxy card with a later date and delivering it to Broadridge Financial Solutions, Inc., 51 Mercedes Way, Edgewood, New York 11717, prior to the 2014 Annual Meeting; or</w:t>
            </w:r>
          </w:p>
        </w:tc>
      </w:tr>
    </w:tbl>
    <w:tbl>
      <w:tblPr>
        <w:tblW w:w="6543" w:type="dxa"/>
        <w:jc w:val="left"/>
        <w:tblInd w:w="0" w:type="dxa"/>
        <w:tblCellMar>
          <w:top w:w="0" w:type="dxa"/>
          <w:left w:w="0" w:type="dxa"/>
          <w:bottom w:w="0" w:type="dxa"/>
          <w:right w:w="0" w:type="dxa"/>
        </w:tblCellMar>
      </w:tblPr>
      <w:tblGrid>
        <w:gridCol w:w="38"/>
        <w:gridCol w:w="95"/>
        <w:gridCol w:w="6410"/>
      </w:tblGrid>
      <w:tr>
        <w:trPr/>
        <w:tc>
          <w:tcPr>
            <w:tcW w:w="3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6410" w:type="dxa"/>
            <w:tcBorders/>
            <w:shd w:fill="auto" w:val="clear"/>
            <w:vAlign w:val="center"/>
          </w:tcPr>
          <w:p>
            <w:pPr>
              <w:pStyle w:val="TableContents"/>
              <w:spacing w:before="0" w:after="283"/>
              <w:jc w:val="both"/>
              <w:rPr>
                <w:sz w:val="17"/>
              </w:rPr>
            </w:pPr>
            <w:r>
              <w:rPr>
                <w:sz w:val="17"/>
              </w:rPr>
              <w:t>attending the 2014 Annual Meeting in person and delivering your proxy or casting a ballot.</w:t>
            </w:r>
          </w:p>
        </w:tc>
      </w:tr>
    </w:tbl>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If your shares are held in “street name” and you have instructed your bank, broker or other nominee to vote your shares, you may revoke those instructions by following the directions received from your bank, broker or other nominee to change those instructions.</w:t>
      </w:r>
    </w:p>
    <w:tbl>
      <w:tblPr>
        <w:tblW w:w="4353" w:type="dxa"/>
        <w:jc w:val="left"/>
        <w:tblInd w:w="0" w:type="dxa"/>
        <w:tblCellMar>
          <w:top w:w="0" w:type="dxa"/>
          <w:left w:w="0" w:type="dxa"/>
          <w:bottom w:w="0" w:type="dxa"/>
          <w:right w:w="0" w:type="dxa"/>
        </w:tblCellMar>
      </w:tblPr>
      <w:tblGrid>
        <w:gridCol w:w="38"/>
        <w:gridCol w:w="155"/>
        <w:gridCol w:w="4160"/>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b/>
                <w:sz w:val="17"/>
              </w:rPr>
            </w:pPr>
            <w:r>
              <w:rPr>
                <w:b/>
                <w:sz w:val="17"/>
              </w:rPr>
              <w:t>7.</w:t>
            </w:r>
          </w:p>
        </w:tc>
        <w:tc>
          <w:tcPr>
            <w:tcW w:w="4160" w:type="dxa"/>
            <w:tcBorders/>
            <w:shd w:fill="auto" w:val="clear"/>
            <w:vAlign w:val="center"/>
          </w:tcPr>
          <w:p>
            <w:pPr>
              <w:pStyle w:val="TableContents"/>
              <w:spacing w:before="0" w:after="283"/>
              <w:jc w:val="both"/>
              <w:rPr>
                <w:b/>
                <w:sz w:val="17"/>
              </w:rPr>
            </w:pPr>
            <w:r>
              <w:rPr>
                <w:b/>
                <w:sz w:val="17"/>
              </w:rPr>
              <w:t>What constitutes a quorum at the 2014 Annual Meeting?</w:t>
            </w:r>
          </w:p>
        </w:tc>
      </w:tr>
    </w:tbl>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 majority of all outstanding shares of Common Stock and Class B Stock entitled to vote at the 2014 Annual Meeting constitutes a quorum, which is the minimum number of shares that must be present or represented by proxy at the 2014 Annual Meeting to transact business. Abstentions and broker non-votes will be counted for purposes of determining whether a quorum is present as long as one routine matter is being voted on at the 2014 Annual Meeting. The proposal to ratify the appointment of our independent auditor is considered a routine matter. Generally, broker non-votes occur when brokerage firms return proxies for which no voting instructions have been received from beneficial owners and the broker does not have discretionary authority to vote on the proposal. Once a share is represented for any purpose at the 2014 Annual Meeting, it will be deemed present for quorum purposes for the remainder of the meeting (including any meeting resulting from an adjournment of the 2014 Annual Meeting, unless a new record date is set).</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tbl>
      <w:tblPr>
        <w:tblW w:w="4203" w:type="dxa"/>
        <w:jc w:val="left"/>
        <w:tblInd w:w="0" w:type="dxa"/>
        <w:tblCellMar>
          <w:top w:w="0" w:type="dxa"/>
          <w:left w:w="0" w:type="dxa"/>
          <w:bottom w:w="0" w:type="dxa"/>
          <w:right w:w="0" w:type="dxa"/>
        </w:tblCellMar>
      </w:tblPr>
      <w:tblGrid>
        <w:gridCol w:w="38"/>
        <w:gridCol w:w="155"/>
        <w:gridCol w:w="4010"/>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b/>
                <w:sz w:val="17"/>
              </w:rPr>
            </w:pPr>
            <w:r>
              <w:rPr>
                <w:b/>
                <w:sz w:val="17"/>
              </w:rPr>
              <w:t>8.</w:t>
            </w:r>
          </w:p>
        </w:tc>
        <w:tc>
          <w:tcPr>
            <w:tcW w:w="4010" w:type="dxa"/>
            <w:tcBorders/>
            <w:shd w:fill="auto" w:val="clear"/>
            <w:vAlign w:val="center"/>
          </w:tcPr>
          <w:p>
            <w:pPr>
              <w:pStyle w:val="TableContents"/>
              <w:spacing w:before="0" w:after="283"/>
              <w:jc w:val="both"/>
              <w:rPr>
                <w:b/>
                <w:sz w:val="17"/>
              </w:rPr>
            </w:pPr>
            <w:r>
              <w:rPr>
                <w:b/>
                <w:sz w:val="17"/>
              </w:rPr>
              <w:t>How many votes are needed to approve the proposals?</w:t>
            </w:r>
          </w:p>
        </w:tc>
      </w:tr>
    </w:tbl>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 director may only be elected by a plurality of votes cast. Accordingly, we count proxies and ballots marked for all nominees listed (including executed proxies not marked regarding the election of directors, which will be voted for all listed nominees), or those voting for some but not all nominees that specify votes withheld for one or more designated nominees, to determine the total number of votes cast for each nominee. The eight nominees who receive the largest number of votes will be elected. Shares for which authority is withheld to vote for director nominees and broker non-votes have no effect on the outcome of the election of directors.</w:t>
      </w:r>
    </w:p>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An affirmative majority of the votes present at the 2014 Annual Meeting or represented by proxy is necessary for ratification of the appointment of Grant Thornton as our independent auditor for the fiscal year ending July 31, 2015 and for the approval of the non-binding advisory vote on the compensation of the named executive officers disclosed in this Proxy Statement. Any abstention by those present or represented by proxy has the same legal effect as a vote against these two proposals. Because the proposal for ratification of the appointment of Grant Thornton as our independent auditor for the fiscal year ending July 31, 2015 is considered a routine matter under the rules of the NYSE, banks, brokers and other nominees are able to vote on this matter even if no voting instructions are provided by the beneficial owner. Therefore, broker non-votes will have no effect on the outcome of such proposal. Broker non-votes are deemed not to have been entitled to vote at the meeting and therefore will have no effect on the outcome on the non-binding advisory vote on the compensation of the named executive officers.</w:t>
      </w:r>
    </w:p>
    <w:tbl>
      <w:tblPr>
        <w:tblW w:w="2043" w:type="dxa"/>
        <w:jc w:val="left"/>
        <w:tblInd w:w="0" w:type="dxa"/>
        <w:tblCellMar>
          <w:top w:w="0" w:type="dxa"/>
          <w:left w:w="0" w:type="dxa"/>
          <w:bottom w:w="0" w:type="dxa"/>
          <w:right w:w="0" w:type="dxa"/>
        </w:tblCellMar>
      </w:tblPr>
      <w:tblGrid>
        <w:gridCol w:w="38"/>
        <w:gridCol w:w="155"/>
        <w:gridCol w:w="1850"/>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b/>
                <w:sz w:val="17"/>
              </w:rPr>
            </w:pPr>
            <w:r>
              <w:rPr>
                <w:b/>
                <w:sz w:val="17"/>
              </w:rPr>
              <w:t>9.</w:t>
            </w:r>
          </w:p>
        </w:tc>
        <w:tc>
          <w:tcPr>
            <w:tcW w:w="1850" w:type="dxa"/>
            <w:tcBorders/>
            <w:shd w:fill="auto" w:val="clear"/>
            <w:vAlign w:val="center"/>
          </w:tcPr>
          <w:p>
            <w:pPr>
              <w:pStyle w:val="TableContents"/>
              <w:spacing w:before="0" w:after="283"/>
              <w:jc w:val="both"/>
              <w:rPr>
                <w:b/>
                <w:sz w:val="17"/>
              </w:rPr>
            </w:pPr>
            <w:r>
              <w:rPr>
                <w:b/>
                <w:sz w:val="17"/>
              </w:rPr>
              <w:t>Who will count the vote?</w:t>
            </w:r>
          </w:p>
        </w:tc>
      </w:tr>
    </w:tbl>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have retained Broadridge Financial Solutions, Inc. (“Broadridge”)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tbl>
      <w:tblPr>
        <w:tblW w:w="4983" w:type="dxa"/>
        <w:jc w:val="left"/>
        <w:tblInd w:w="0" w:type="dxa"/>
        <w:tblCellMar>
          <w:top w:w="0" w:type="dxa"/>
          <w:left w:w="0" w:type="dxa"/>
          <w:bottom w:w="0" w:type="dxa"/>
          <w:right w:w="0" w:type="dxa"/>
        </w:tblCellMar>
      </w:tblPr>
      <w:tblGrid>
        <w:gridCol w:w="38"/>
        <w:gridCol w:w="245"/>
        <w:gridCol w:w="470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b/>
                <w:sz w:val="17"/>
              </w:rPr>
            </w:pPr>
            <w:r>
              <w:rPr>
                <w:b/>
                <w:sz w:val="17"/>
              </w:rPr>
              <w:t>10.</w:t>
            </w:r>
          </w:p>
        </w:tc>
        <w:tc>
          <w:tcPr>
            <w:tcW w:w="4700" w:type="dxa"/>
            <w:tcBorders/>
            <w:shd w:fill="auto" w:val="clear"/>
            <w:vAlign w:val="center"/>
          </w:tcPr>
          <w:p>
            <w:pPr>
              <w:pStyle w:val="TableContents"/>
              <w:spacing w:before="0" w:after="283"/>
              <w:jc w:val="both"/>
              <w:rPr>
                <w:b/>
                <w:sz w:val="17"/>
              </w:rPr>
            </w:pPr>
            <w:r>
              <w:rPr>
                <w:b/>
                <w:sz w:val="17"/>
              </w:rPr>
              <w:t>Where can I find the voting results of the 2014 Annual Meeting?</w:t>
            </w:r>
          </w:p>
        </w:tc>
      </w:tr>
    </w:tbl>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intend to announce preliminary voting results at the 2014 Annual Meeting. Within four business days following the adjournment of the 2014 Annual Meeting, we intend to disclose the final voting results of each proposal being voted on at the 2014 Annual Meeting in a Current Report on Form 8-K.</w:t>
      </w:r>
    </w:p>
    <w:tbl>
      <w:tblPr>
        <w:tblW w:w="7938" w:type="dxa"/>
        <w:jc w:val="left"/>
        <w:tblInd w:w="0" w:type="dxa"/>
        <w:tblCellMar>
          <w:top w:w="0" w:type="dxa"/>
          <w:left w:w="0" w:type="dxa"/>
          <w:bottom w:w="0" w:type="dxa"/>
          <w:right w:w="0" w:type="dxa"/>
        </w:tblCellMar>
      </w:tblPr>
      <w:tblGrid>
        <w:gridCol w:w="38"/>
        <w:gridCol w:w="245"/>
        <w:gridCol w:w="765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b/>
                <w:sz w:val="17"/>
              </w:rPr>
            </w:pPr>
            <w:r>
              <w:rPr>
                <w:b/>
                <w:sz w:val="17"/>
              </w:rPr>
              <w:t>11.</w:t>
            </w:r>
          </w:p>
        </w:tc>
        <w:tc>
          <w:tcPr>
            <w:tcW w:w="7655" w:type="dxa"/>
            <w:tcBorders/>
            <w:shd w:fill="auto" w:val="clear"/>
            <w:vAlign w:val="center"/>
          </w:tcPr>
          <w:p>
            <w:pPr>
              <w:pStyle w:val="TableContents"/>
              <w:spacing w:before="0" w:after="283"/>
              <w:jc w:val="both"/>
              <w:rPr>
                <w:b/>
                <w:sz w:val="17"/>
              </w:rPr>
            </w:pPr>
            <w:r>
              <w:rPr>
                <w:b/>
                <w:sz w:val="17"/>
              </w:rPr>
              <w:t>How does a stockholder propose actions for consideration at next year’s annual meeting of stockholders?</w:t>
            </w:r>
          </w:p>
        </w:tc>
      </w:tr>
    </w:tbl>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For your proposal to be considered for inclusion in our proxy statement for next year’s annual meeting, we must receive your written proposal no later than July 8, 2015. Your proposal should be addressed to the Corporate Secretary, Oil-Dri Corporation of America, 410 North Michigan Avenue, Suite 400, Chicago, Illinois 60611-4213. In addition, be aware that your proposal must comply with Securities and Exchange Commission (“SEC”) regulations regarding inclusion of stockholder proposals in company-sponsored proxy materials and other applicable laws. Although our Board of Directors will consider all proposals, it has the right to omit any proposals it is not required to include. For you to raise a proposal (including director nominations) at next year’s annual meeting that will not be included in our proxy statement, we must receive written notice of the proposal between July 8, 2015 and August 7, 2015 (assuming the meeting is held not more than 30 days from December 9, 2015). All such proposals should be addressed to the Corporate Secretary, Oil-Dri Corporation of America, 410 North Michigan Avenue, Suite 400, Chicago, Illinois 60611-4213. In addition, the proposal must satisfy all of the other requirements set forth in our Amended and Restated By-Laws and all applicable laws.</w:t>
      </w:r>
    </w:p>
    <w:tbl>
      <w:tblPr>
        <w:tblW w:w="3723" w:type="dxa"/>
        <w:jc w:val="left"/>
        <w:tblInd w:w="0" w:type="dxa"/>
        <w:tblCellMar>
          <w:top w:w="0" w:type="dxa"/>
          <w:left w:w="0" w:type="dxa"/>
          <w:bottom w:w="0" w:type="dxa"/>
          <w:right w:w="0" w:type="dxa"/>
        </w:tblCellMar>
      </w:tblPr>
      <w:tblGrid>
        <w:gridCol w:w="38"/>
        <w:gridCol w:w="245"/>
        <w:gridCol w:w="344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b/>
                <w:sz w:val="17"/>
              </w:rPr>
            </w:pPr>
            <w:r>
              <w:rPr>
                <w:b/>
                <w:sz w:val="17"/>
              </w:rPr>
              <w:t>12.</w:t>
            </w:r>
          </w:p>
        </w:tc>
        <w:tc>
          <w:tcPr>
            <w:tcW w:w="3440" w:type="dxa"/>
            <w:tcBorders/>
            <w:shd w:fill="auto" w:val="clear"/>
            <w:vAlign w:val="center"/>
          </w:tcPr>
          <w:p>
            <w:pPr>
              <w:pStyle w:val="TableContents"/>
              <w:spacing w:before="0" w:after="283"/>
              <w:jc w:val="both"/>
              <w:rPr>
                <w:b/>
                <w:sz w:val="17"/>
              </w:rPr>
            </w:pPr>
            <w:r>
              <w:rPr>
                <w:b/>
                <w:sz w:val="17"/>
              </w:rPr>
              <w:t>Can I receive future proxy solicitations online?</w:t>
            </w:r>
          </w:p>
        </w:tc>
      </w:tr>
    </w:tbl>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Yes, you can consent to receiving all future proxy statements, proxy cards and annual reports via e-mail or the Internet. If you choose this option, you will not receive paper copies of these stockholder communications in the mail. To sign up for electronic delivery, follow the instructions on the enclosed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tbl>
      <w:tblPr>
        <w:tblW w:w="9873" w:type="dxa"/>
        <w:jc w:val="left"/>
        <w:tblInd w:w="0" w:type="dxa"/>
        <w:tblCellMar>
          <w:top w:w="0" w:type="dxa"/>
          <w:left w:w="0" w:type="dxa"/>
          <w:bottom w:w="0" w:type="dxa"/>
          <w:right w:w="0" w:type="dxa"/>
        </w:tblCellMar>
      </w:tblPr>
      <w:tblGrid>
        <w:gridCol w:w="38"/>
        <w:gridCol w:w="245"/>
        <w:gridCol w:w="959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b/>
                <w:sz w:val="17"/>
              </w:rPr>
            </w:pPr>
            <w:r>
              <w:rPr>
                <w:b/>
                <w:sz w:val="17"/>
              </w:rPr>
              <w:t>13.</w:t>
            </w:r>
          </w:p>
        </w:tc>
        <w:tc>
          <w:tcPr>
            <w:tcW w:w="9590" w:type="dxa"/>
            <w:tcBorders/>
            <w:shd w:fill="auto" w:val="clear"/>
            <w:vAlign w:val="center"/>
          </w:tcPr>
          <w:p>
            <w:pPr>
              <w:pStyle w:val="TableContents"/>
              <w:spacing w:before="0" w:after="283"/>
              <w:jc w:val="both"/>
              <w:rPr>
                <w:b/>
                <w:sz w:val="17"/>
              </w:rPr>
            </w:pPr>
            <w:r>
              <w:rPr>
                <w:b/>
                <w:sz w:val="17"/>
              </w:rPr>
              <w:t>Can I receive future proxy statements, annual reports and certain other stockholder information in a single package per household?</w:t>
            </w:r>
          </w:p>
        </w:tc>
      </w:tr>
    </w:tbl>
    <w:p>
      <w:pPr>
        <w:pStyle w:val="TextBody"/>
        <w:spacing w:before="0" w:after="1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If your household received more than one copy of the Company’s Annual Report on Form 10-K and Proxy Statement, and you wish to reduce the number you receive, check the “yes” box on the enclosed proxy card next to the statement “Please indicate if you consent to receive certain future investor communications in a single package per household.” By checking this box, you are consenting to the mailing of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You may revoke your consent at any time by calling 800-542-1061 or writing to Broadridge Financial Solution, Attn: Householding Department, 51 Mercedes Way, Edgewood, NY 11717. If you revoke your consent, the Company will begin sending you individual copies of these documents within 30 days after receipt of your revocation notice.</w:t>
      </w:r>
    </w:p>
    <w:tbl>
      <w:tblPr>
        <w:tblW w:w="4833" w:type="dxa"/>
        <w:jc w:val="left"/>
        <w:tblInd w:w="0" w:type="dxa"/>
        <w:tblCellMar>
          <w:top w:w="0" w:type="dxa"/>
          <w:left w:w="0" w:type="dxa"/>
          <w:bottom w:w="0" w:type="dxa"/>
          <w:right w:w="0" w:type="dxa"/>
        </w:tblCellMar>
      </w:tblPr>
      <w:tblGrid>
        <w:gridCol w:w="38"/>
        <w:gridCol w:w="245"/>
        <w:gridCol w:w="455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b/>
                <w:sz w:val="17"/>
              </w:rPr>
            </w:pPr>
            <w:r>
              <w:rPr>
                <w:b/>
                <w:sz w:val="17"/>
              </w:rPr>
              <w:t>14.</w:t>
            </w:r>
          </w:p>
        </w:tc>
        <w:tc>
          <w:tcPr>
            <w:tcW w:w="4550" w:type="dxa"/>
            <w:tcBorders/>
            <w:shd w:fill="auto" w:val="clear"/>
            <w:vAlign w:val="center"/>
          </w:tcPr>
          <w:p>
            <w:pPr>
              <w:pStyle w:val="TableContents"/>
              <w:spacing w:before="0" w:after="283"/>
              <w:jc w:val="both"/>
              <w:rPr>
                <w:b/>
                <w:sz w:val="17"/>
              </w:rPr>
            </w:pPr>
            <w:r>
              <w:rPr>
                <w:b/>
                <w:sz w:val="17"/>
              </w:rPr>
              <w:t>How is the Company complying with the SEC’s e-proxy rules?</w:t>
            </w:r>
          </w:p>
        </w:tc>
      </w:tr>
    </w:tbl>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Pursuant to “e-proxy” rules adopted by the SEC, we are providing access to this Proxy Statement and our Annual Report on Form 10-K (collectively, “proxy materials”) by sending you this full set of proxy materials as well as a proxy card and by notifying you of the availability of our proxy materials on the Internet. SEC rules allow companies to avoid sending to their stockholders paper copies of their proxy materials if, instead, they furnish the proxy materials over the Internet and mail to their stockholders a Notice of Internet Availability of Proxy Materials. Companies, however, are not required to use a Notice of Internet Availability of Proxy Materials under e-proxy rules and, in lieu of doing so, may continue to send stockholders a full set of their proxy materials. In connection with the 2014 Annual Meeting, we have elected to continue using the full-set delivery option; however, any stockholder who has previously consented to receive electronic delivery of proxy materials will continue to receive the materials electronically. We plan to continue to monitor cost, stockholder participation and similar considerations as we assess the available options for distribution of our proxy materials in connection with future stockholder meetings.</w:t>
      </w:r>
    </w:p>
    <w:tbl>
      <w:tblPr>
        <w:tblW w:w="2148" w:type="dxa"/>
        <w:jc w:val="left"/>
        <w:tblInd w:w="0" w:type="dxa"/>
        <w:tblCellMar>
          <w:top w:w="0" w:type="dxa"/>
          <w:left w:w="0" w:type="dxa"/>
          <w:bottom w:w="0" w:type="dxa"/>
          <w:right w:w="0" w:type="dxa"/>
        </w:tblCellMar>
      </w:tblPr>
      <w:tblGrid>
        <w:gridCol w:w="38"/>
        <w:gridCol w:w="245"/>
        <w:gridCol w:w="186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b/>
                <w:sz w:val="17"/>
              </w:rPr>
            </w:pPr>
            <w:r>
              <w:rPr>
                <w:b/>
                <w:sz w:val="17"/>
              </w:rPr>
              <w:t>15.</w:t>
            </w:r>
          </w:p>
        </w:tc>
        <w:tc>
          <w:tcPr>
            <w:tcW w:w="1865" w:type="dxa"/>
            <w:tcBorders/>
            <w:shd w:fill="auto" w:val="clear"/>
            <w:vAlign w:val="center"/>
          </w:tcPr>
          <w:p>
            <w:pPr>
              <w:pStyle w:val="TableContents"/>
              <w:spacing w:before="0" w:after="283"/>
              <w:jc w:val="both"/>
              <w:rPr>
                <w:b/>
                <w:sz w:val="17"/>
              </w:rPr>
            </w:pPr>
            <w:r>
              <w:rPr>
                <w:b/>
                <w:sz w:val="17"/>
              </w:rPr>
              <w:t>Who may solicit proxies?</w:t>
            </w:r>
          </w:p>
        </w:tc>
      </w:tr>
    </w:tbl>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Our directors, officers and employees may solicit proxies on behalf of our Board of Directors via mail, telephone, facsimile, e-mail and personal contact. Our directors, officers and employees will receive no additional compensation for soliciting proxies.</w:t>
      </w:r>
    </w:p>
    <w:tbl>
      <w:tblPr>
        <w:tblW w:w="3813" w:type="dxa"/>
        <w:jc w:val="left"/>
        <w:tblInd w:w="0" w:type="dxa"/>
        <w:tblCellMar>
          <w:top w:w="0" w:type="dxa"/>
          <w:left w:w="0" w:type="dxa"/>
          <w:bottom w:w="0" w:type="dxa"/>
          <w:right w:w="0" w:type="dxa"/>
        </w:tblCellMar>
      </w:tblPr>
      <w:tblGrid>
        <w:gridCol w:w="38"/>
        <w:gridCol w:w="245"/>
        <w:gridCol w:w="353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b/>
                <w:sz w:val="17"/>
              </w:rPr>
            </w:pPr>
            <w:r>
              <w:rPr>
                <w:b/>
                <w:sz w:val="17"/>
              </w:rPr>
              <w:t>16.</w:t>
            </w:r>
          </w:p>
        </w:tc>
        <w:tc>
          <w:tcPr>
            <w:tcW w:w="3530" w:type="dxa"/>
            <w:tcBorders/>
            <w:shd w:fill="auto" w:val="clear"/>
            <w:vAlign w:val="center"/>
          </w:tcPr>
          <w:p>
            <w:pPr>
              <w:pStyle w:val="TableContents"/>
              <w:spacing w:before="0" w:after="283"/>
              <w:jc w:val="both"/>
              <w:rPr>
                <w:b/>
                <w:sz w:val="17"/>
              </w:rPr>
            </w:pPr>
            <w:r>
              <w:rPr>
                <w:b/>
                <w:sz w:val="17"/>
              </w:rPr>
              <w:t>Who pays for the cost of this proxy solicitation?</w:t>
            </w:r>
          </w:p>
        </w:tc>
      </w:tr>
    </w:tbl>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We will bear the cost of this proxy solicitation, including reimbursing banks, brokers and other nominees for reasonable expenses of sending out proxy materials to beneficial stockholders.</w:t>
      </w:r>
    </w:p>
    <w:tbl>
      <w:tblPr>
        <w:tblW w:w="4818" w:type="dxa"/>
        <w:jc w:val="left"/>
        <w:tblInd w:w="0" w:type="dxa"/>
        <w:tblCellMar>
          <w:top w:w="0" w:type="dxa"/>
          <w:left w:w="0" w:type="dxa"/>
          <w:bottom w:w="0" w:type="dxa"/>
          <w:right w:w="0" w:type="dxa"/>
        </w:tblCellMar>
      </w:tblPr>
      <w:tblGrid>
        <w:gridCol w:w="38"/>
        <w:gridCol w:w="245"/>
        <w:gridCol w:w="453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b/>
                <w:sz w:val="17"/>
              </w:rPr>
            </w:pPr>
            <w:r>
              <w:rPr>
                <w:b/>
                <w:sz w:val="17"/>
              </w:rPr>
              <w:t>17.</w:t>
            </w:r>
          </w:p>
        </w:tc>
        <w:tc>
          <w:tcPr>
            <w:tcW w:w="4535" w:type="dxa"/>
            <w:tcBorders/>
            <w:shd w:fill="auto" w:val="clear"/>
            <w:vAlign w:val="center"/>
          </w:tcPr>
          <w:p>
            <w:pPr>
              <w:pStyle w:val="TableContents"/>
              <w:spacing w:before="0" w:after="283"/>
              <w:jc w:val="both"/>
              <w:rPr>
                <w:b/>
                <w:sz w:val="17"/>
              </w:rPr>
            </w:pPr>
            <w:r>
              <w:rPr>
                <w:b/>
                <w:sz w:val="17"/>
              </w:rPr>
              <w:t>Why did I receive more than one package of proxy materials?</w:t>
            </w:r>
          </w:p>
        </w:tc>
      </w:tr>
    </w:tbl>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This means that you have multiple accounts holding shares of Common Stock or Class B Stock. These may include accounts with our transfer agent, Computershare Investor Services,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tbl>
      <w:tblPr>
        <w:tblW w:w="4338" w:type="dxa"/>
        <w:jc w:val="left"/>
        <w:tblInd w:w="0" w:type="dxa"/>
        <w:tblCellMar>
          <w:top w:w="0" w:type="dxa"/>
          <w:left w:w="0" w:type="dxa"/>
          <w:bottom w:w="0" w:type="dxa"/>
          <w:right w:w="0" w:type="dxa"/>
        </w:tblCellMar>
      </w:tblPr>
      <w:tblGrid>
        <w:gridCol w:w="38"/>
        <w:gridCol w:w="245"/>
        <w:gridCol w:w="405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b/>
                <w:sz w:val="17"/>
              </w:rPr>
            </w:pPr>
            <w:r>
              <w:rPr>
                <w:b/>
                <w:sz w:val="17"/>
              </w:rPr>
              <w:t>18.</w:t>
            </w:r>
          </w:p>
        </w:tc>
        <w:tc>
          <w:tcPr>
            <w:tcW w:w="4055" w:type="dxa"/>
            <w:tcBorders/>
            <w:shd w:fill="auto" w:val="clear"/>
            <w:vAlign w:val="center"/>
          </w:tcPr>
          <w:p>
            <w:pPr>
              <w:pStyle w:val="TableContents"/>
              <w:spacing w:before="0" w:after="283"/>
              <w:jc w:val="both"/>
              <w:rPr>
                <w:b/>
                <w:sz w:val="17"/>
              </w:rPr>
            </w:pPr>
            <w:r>
              <w:rPr>
                <w:b/>
                <w:sz w:val="17"/>
              </w:rPr>
              <w:t>What if I have additional questions not addressed here?</w:t>
            </w:r>
          </w:p>
        </w:tc>
      </w:tr>
    </w:tbl>
    <w:p>
      <w:pPr>
        <w:pStyle w:val="TextBody"/>
        <w:spacing w:before="0" w:after="20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You may call Investor Relations at (312) 321-1515, or e-mail Investor Relations at info@oildri.com.</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100"/>
        <w:jc w:val="center"/>
        <w:rPr>
          <w:rFonts w:ascii="Times New Roman;Times;Serif" w:hAnsi="Times New Roman;Times;Serif"/>
          <w:b/>
          <w:i w:val="false"/>
          <w:caps w:val="false"/>
          <w:smallCaps w:val="false"/>
          <w:sz w:val="20"/>
        </w:rPr>
      </w:pPr>
      <w:bookmarkStart w:id="5" w:name="a_Toc339007545"/>
      <w:bookmarkEnd w:id="5"/>
      <w:r>
        <w:rPr>
          <w:rFonts w:ascii="Times New Roman;Times;Serif" w:hAnsi="Times New Roman;Times;Serif"/>
          <w:b/>
          <w:i w:val="false"/>
          <w:caps w:val="false"/>
          <w:smallCaps w:val="false"/>
          <w:sz w:val="20"/>
        </w:rPr>
        <w:t>PROPOSALS</w:t>
      </w:r>
    </w:p>
    <w:p>
      <w:pPr>
        <w:pStyle w:val="TextBody"/>
        <w:spacing w:before="400" w:after="200"/>
        <w:ind w:left="400" w:right="400" w:hanging="0"/>
        <w:jc w:val="center"/>
        <w:rPr>
          <w:rFonts w:ascii="Times New Roman;Times;Serif" w:hAnsi="Times New Roman;Times;Serif"/>
          <w:b/>
          <w:i w:val="false"/>
          <w:caps w:val="false"/>
          <w:smallCaps w:val="false"/>
          <w:sz w:val="20"/>
        </w:rPr>
      </w:pPr>
      <w:bookmarkStart w:id="6" w:name="a_Toc339007546"/>
      <w:bookmarkEnd w:id="6"/>
      <w:r>
        <w:rPr>
          <w:rFonts w:ascii="Times New Roman;Times;Serif" w:hAnsi="Times New Roman;Times;Serif"/>
          <w:b/>
          <w:i w:val="false"/>
          <w:caps w:val="false"/>
          <w:smallCaps w:val="false"/>
          <w:sz w:val="20"/>
        </w:rPr>
        <w:t>1. Election of Directors</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proposes that the following eight individuals be elected to our Board of Directors. Each nominee currently serves as a director. In connection with the nominations of Richard M. Jaffee, J. Steven Cole and Allan H. Selig, our Board of Directors, as permitted under our Corporate Governance Guidelines, waived our age 75 service limit, as described under “Corporate Governance Matters – Director Nominations” below. If any nominee should be unable or unwilling to serve, which is not now contemplated, the proxy holders may, but will not be bound to, vote for a substitute nominee.</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OF DIRECTORS RECOMMENDS A VOTE “FOR” </w:t>
      </w:r>
    </w:p>
    <w:p>
      <w:pPr>
        <w:pStyle w:val="TextBody"/>
        <w:spacing w:before="0" w:after="4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ELECTION OF THE FOLLOWING NOMINEES AS DIRECTORS.</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M. Jaffee            Age 78            Director since 1958</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371600" cy="1861820"/>
                <wp:effectExtent l="0" t="0" r="0" b="0"/>
                <wp:wrapSquare wrapText="largest"/>
                <wp:docPr id="4" name="Frame1"/>
                <a:graphic xmlns:a="http://schemas.openxmlformats.org/drawingml/2006/main">
                  <a:graphicData uri="http://schemas.microsoft.com/office/word/2010/wordprocessingShape">
                    <wps:wsp>
                      <wps:cNvSpPr txBox="1"/>
                      <wps:spPr>
                        <a:xfrm>
                          <a:off x="0" y="0"/>
                          <a:ext cx="1371600" cy="1861820"/>
                        </a:xfrm>
                        <a:prstGeom prst="rect"/>
                      </wps:spPr>
                      <wps:txbx>
                        <w:txbxContent>
                          <w:p>
                            <w:pPr>
                              <w:pStyle w:val="TextBody"/>
                              <w:spacing w:before="0" w:after="283"/>
                              <w:rPr/>
                            </w:pPr>
                            <w:r>
                              <w:rPr/>
                              <w:drawing>
                                <wp:inline distT="0" distB="0" distL="0" distR="0">
                                  <wp:extent cx="1219200" cy="182880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1219200" cy="18288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08pt;height:14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drawing>
                          <wp:inline distT="0" distB="0" distL="0" distR="0">
                            <wp:extent cx="1219200" cy="18288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219200" cy="1828800"/>
                                    </a:xfrm>
                                    <a:prstGeom prst="rect">
                                      <a:avLst/>
                                    </a:prstGeom>
                                  </pic:spPr>
                                </pic:pic>
                              </a:graphicData>
                            </a:graphic>
                          </wp:inline>
                        </w:drawing>
                      </w:r>
                      <w:r>
                        <w:rPr/>
                        <w:t xml:space="preserve"> </w:t>
                      </w:r>
                    </w:p>
                  </w:txbxContent>
                </v:textbox>
                <w10:wrap type="square" side="right"/>
              </v:rect>
            </w:pict>
          </mc:Fallback>
        </mc:AlternateContent>
      </w:r>
    </w:p>
    <w:p>
      <w:pPr>
        <w:pStyle w:val="TextBody"/>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of the Company</w:t>
      </w:r>
    </w:p>
    <w:p>
      <w:pPr>
        <w:pStyle w:val="TextBody"/>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Jaffee received a degree from the University Of Wisconsin School Of Business in 1957. He received an honorary Doctor of Humane Letters degree from the Illinois Institute of Technology in 2001 and an honorary Doctor of Humane Letters degree from Rush University in 2013. He earned his CPA certificate from the State of Illinois in 1957 and worked briefly for the public accounting firm of Touche Niven, et al. After service as an officer in the United States Army, he joined the Company in 1958, becoming its president in 1960, a position he held until 1995. He served as Chief Executive Officer of the Company from 1962 until 1997. Mr. Jaffee retired as an employee of the Company in 2001. He has served as Chairman of the Board of the Company since 1962. Mr. Jaffee served as director of Harris Financial Corp., a subsidiary of Bank of Montreal, until his retirement from that board in May 2006. Harris Financial Corp. provides banking and related services to the Company on customary terms. From January 2008 to November 2013, Mr. Jaffee served as Chairman of the Board of Trustees of Rush University Medical Center and Chairman of its Executive Committee. He continues to serve on the Board of Trustees, the Executive Committee and other Rush board committees. He is a life trustee of the Illinois Institute of Technology, the Museum of Science and Industry and the Chicago History Museum. Mr. Jaffee has served on an SEC advisory committee on smaller public companies and on an advisory committee to the Chicago Federal Reserve. Mr. Jaffee is the father of Daniel S. Jaffee, who is a director and our President and Chief Executive Officer and who is also a nominee for director. Mr. Jaffee is also the father-in-law of Thomas F. Cofsky, one of our executive officers.</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Jaffee brings to our Board of Directors more than 50 years of experience with the Company. He therefore has significant knowledge of all aspects of the Company’s business and the sorbent minerals industry. Mr. Jaffee also has had extensive experience in compliance with securities law and regulations. He was Chief Executive Officer of the Company at the time of its initial public offering and until 1997. He has also served on advisory committees to the SEC and the Chicago Federal Reserve. In his current roles with the Board of Trustees of Rush University Medical Center, he continues to be involved in board governance and oversight.</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Jaffee            Age 50            Director since 1992</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508760" cy="1861820"/>
                <wp:effectExtent l="0" t="0" r="0" b="0"/>
                <wp:wrapSquare wrapText="largest"/>
                <wp:docPr id="7" name="Frame2"/>
                <a:graphic xmlns:a="http://schemas.openxmlformats.org/drawingml/2006/main">
                  <a:graphicData uri="http://schemas.microsoft.com/office/word/2010/wordprocessingShape">
                    <wps:wsp>
                      <wps:cNvSpPr txBox="1"/>
                      <wps:spPr>
                        <a:xfrm>
                          <a:off x="0" y="0"/>
                          <a:ext cx="1508760" cy="1861820"/>
                        </a:xfrm>
                        <a:prstGeom prst="rect"/>
                      </wps:spPr>
                      <wps:txbx>
                        <w:txbxContent>
                          <w:p>
                            <w:pPr>
                              <w:pStyle w:val="TextBody"/>
                              <w:spacing w:before="0" w:after="283"/>
                              <w:rPr/>
                            </w:pPr>
                            <w:r>
                              <w:rPr/>
                              <w:drawing>
                                <wp:inline distT="0" distB="0" distL="0" distR="0">
                                  <wp:extent cx="1304925" cy="18288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304925" cy="18288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18.8pt;height:14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drawing>
                          <wp:inline distT="0" distB="0" distL="0" distR="0">
                            <wp:extent cx="1304925" cy="18288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304925" cy="1828800"/>
                                    </a:xfrm>
                                    <a:prstGeom prst="rect">
                                      <a:avLst/>
                                    </a:prstGeom>
                                  </pic:spPr>
                                </pic:pic>
                              </a:graphicData>
                            </a:graphic>
                          </wp:inline>
                        </w:drawing>
                      </w:r>
                      <w:r>
                        <w:rPr/>
                        <w:t xml:space="preserve"> </w:t>
                      </w:r>
                    </w:p>
                  </w:txbxContent>
                </v:textbox>
                <w10:wrap type="square" side="right"/>
              </v:rect>
            </w:pict>
          </mc:Fallback>
        </mc:AlternateContent>
      </w:r>
    </w:p>
    <w:p>
      <w:pPr>
        <w:pStyle w:val="TextBody"/>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 of the Company</w:t>
      </w:r>
    </w:p>
    <w:p>
      <w:pPr>
        <w:pStyle w:val="TextBody"/>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Jaffee graduated from Georgetown University in 1986. Mr. Jaffee joined the Company in 1987 after a year with Price Waterhouse. He was a product manager in the Industrial and Agricultural divisions of the Company until 1989. In 1990, he became Chief Financial Officer of the Company, a position he held until 1995. From 1990 to 1995, he also held group vice presidential positions in the areas of Canadian and domestic operations, finance, management, information systems and consumer products. Mr. Jaffee became President of the Company in 1995 and Chief Executive Officer in 1997. He was Chief Operating Officer from 1995 to 1997. Mr. Jaffee received an M.B.A. from the Kellogg Graduate School of Management of Northwestern University in 2004. Mr. Jaffee’s civic activities include serving as a member of the Board of Directors of the Anti-Cruelty Society of Chicago and as a Trustee of the Chicago History Museum and involvement with Georgetown University. Mr. Jaffee is the son of Richard M. Jaffee, who is the Chairman of our Board of Directors and who is also a nominee for director. Mr. Jaffee is also the brother-in-law of Thomas F. Cofsky, one of our executive officers.</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 generation family stockholder. In addition, he is actively involved in the local community in an advisory role for several not-for-profit organizations, adding to his perspective on effective management and strategy for the long-term success of the Company.</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Steven Cole            Age 80            Director since 1981</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463040" cy="1861820"/>
                <wp:effectExtent l="0" t="0" r="0" b="0"/>
                <wp:wrapSquare wrapText="largest"/>
                <wp:docPr id="10" name="Frame3"/>
                <a:graphic xmlns:a="http://schemas.openxmlformats.org/drawingml/2006/main">
                  <a:graphicData uri="http://schemas.microsoft.com/office/word/2010/wordprocessingShape">
                    <wps:wsp>
                      <wps:cNvSpPr txBox="1"/>
                      <wps:spPr>
                        <a:xfrm>
                          <a:off x="0" y="0"/>
                          <a:ext cx="1463040" cy="1861820"/>
                        </a:xfrm>
                        <a:prstGeom prst="rect"/>
                      </wps:spPr>
                      <wps:txbx>
                        <w:txbxContent>
                          <w:p>
                            <w:pPr>
                              <w:pStyle w:val="TextBody"/>
                              <w:spacing w:before="0" w:after="283"/>
                              <w:rPr/>
                            </w:pPr>
                            <w:r>
                              <w:rPr/>
                              <w:drawing>
                                <wp:inline distT="0" distB="0" distL="0" distR="0">
                                  <wp:extent cx="1257300" cy="18288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257300" cy="18288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15.2pt;height:14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drawing>
                          <wp:inline distT="0" distB="0" distL="0" distR="0">
                            <wp:extent cx="1257300" cy="18288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257300" cy="1828800"/>
                                    </a:xfrm>
                                    <a:prstGeom prst="rect">
                                      <a:avLst/>
                                    </a:prstGeom>
                                  </pic:spPr>
                                </pic:pic>
                              </a:graphicData>
                            </a:graphic>
                          </wp:inline>
                        </w:drawing>
                      </w:r>
                      <w:r>
                        <w:rPr/>
                        <w:t xml:space="preserve"> </w:t>
                      </w:r>
                    </w:p>
                  </w:txbxContent>
                </v:textbox>
                <w10:wrap type="square" side="right"/>
              </v:rect>
            </w:pict>
          </mc:Fallback>
        </mc:AlternateContent>
      </w:r>
    </w:p>
    <w:p>
      <w:pPr>
        <w:pStyle w:val="TextBody"/>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Cole &amp; Associates</w:t>
      </w:r>
    </w:p>
    <w:p>
      <w:pPr>
        <w:pStyle w:val="TextBody"/>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Cole graduated from the University of Wisconsin in 1957. After serving as an officer in the United States Army, he received a master’s degree from the American Graduate School for International Business following graduate studies at the University of Michigan. He began his career at Abbott Laboratories in 1962. Later, he joined G.D. Searle and Company, where he became Vice President of the Asian and Canadian Divisions, a position he held until 1986. In 1986, Mr. Cole joined A.H. Robins Company, where he was a senior vice president responsible for all international operations until 1990. In 1990, he joined SAV-A-LIFE Systems, Inc., a firm selling specialty products to the dental and medical professions, where he served as President until 1994 and then Chairman of the Board until 2000. In 1990, Mr. Cole also became president of Cole &amp; Associates, an international consulting firm. Mr. Cole is also a director of Aculux, Inc., IV Diagnostics, Inc. and Ocularis Inc.</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Cole’s individual qualifications include broad experience in international business and product development. Mr. Cole’s expertise includes past leadership of various divisions of multi-national corporations with direct responsibility for international operations. In addition, Mr. Cole has served in a corporate governance role at another public company and is an “audit committee financial expert” within the meaning of SEC rules. He is an accomplished advisor to many companies and organizations, providing leadership in product development, general management and technical development and has contributed to efforts dedicated to reducing trade barriers to global businesses through his active involvement with trade associations.</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C. Miller            Age 72            Director since 1989</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508760" cy="1861820"/>
                <wp:effectExtent l="0" t="0" r="0" b="0"/>
                <wp:wrapSquare wrapText="largest"/>
                <wp:docPr id="13" name="Frame4"/>
                <a:graphic xmlns:a="http://schemas.openxmlformats.org/drawingml/2006/main">
                  <a:graphicData uri="http://schemas.microsoft.com/office/word/2010/wordprocessingShape">
                    <wps:wsp>
                      <wps:cNvSpPr txBox="1"/>
                      <wps:spPr>
                        <a:xfrm>
                          <a:off x="0" y="0"/>
                          <a:ext cx="1508760" cy="1861820"/>
                        </a:xfrm>
                        <a:prstGeom prst="rect"/>
                      </wps:spPr>
                      <wps:txbx>
                        <w:txbxContent>
                          <w:p>
                            <w:pPr>
                              <w:pStyle w:val="TextBody"/>
                              <w:spacing w:before="0" w:after="283"/>
                              <w:rPr/>
                            </w:pPr>
                            <w:r>
                              <w:rPr/>
                              <w:drawing>
                                <wp:inline distT="0" distB="0" distL="0" distR="0">
                                  <wp:extent cx="1285875" cy="182880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285875" cy="18288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18.8pt;height:14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drawing>
                          <wp:inline distT="0" distB="0" distL="0" distR="0">
                            <wp:extent cx="1285875" cy="18288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285875" cy="1828800"/>
                                    </a:xfrm>
                                    <a:prstGeom prst="rect">
                                      <a:avLst/>
                                    </a:prstGeom>
                                  </pic:spPr>
                                </pic:pic>
                              </a:graphicData>
                            </a:graphic>
                          </wp:inline>
                        </w:drawing>
                      </w:r>
                      <w:r>
                        <w:rPr/>
                        <w:t xml:space="preserve"> </w:t>
                      </w:r>
                    </w:p>
                  </w:txbxContent>
                </v:textbox>
                <w10:wrap type="square" side="right"/>
              </v:rect>
            </w:pict>
          </mc:Fallback>
        </mc:AlternateContent>
      </w:r>
    </w:p>
    <w:p>
      <w:pPr>
        <w:pStyle w:val="TextBody"/>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Vice Chairman of the Board of the Company</w:t>
      </w:r>
    </w:p>
    <w:p>
      <w:pPr>
        <w:pStyle w:val="TextBody"/>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Consultant</w:t>
      </w:r>
    </w:p>
    <w:p>
      <w:pPr>
        <w:pStyle w:val="TextBody"/>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Miller graduated from the West Virginia University School of Business in 1964. After serving as an officer in the United States Army, he joined Republic Steel Corporation in 1966. Mr. Miller served as president of Lowes, Inc., Inland Distributing and Whiteford Transportation Systems. He joined the Company in 1989 as Vice President of Corporate Planning and Marketing. He served as Group Vice President for Sales, Marketing and Distribution from 1990 to 1993. Mr. Miller was Senior Vice President for the Consumer, Industrial &amp; Environmental and Transportation Groups of the Company from 1993 to 1995. He became Vice Chairman of the Board in 1995. Mr. Miller was an employee of the Company until 2000, when he became an independent consultant specializing in strategic planning. Mr. Miller is a member of the board of advisors of Global Access Point, Deluxe Sheet Metal, Inc., Kamterter Products, L. L. C. and Union Station Properties.</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Miller’s individual qualifications include his leadership experience as chief executive and chief operating officer of several corporations, including prior sorbent minerals industry experience. In addition, he brings to the Board skills gained through his 11 years of employment with the Company in various operational, management and executive positions. He also serves on the advisory boards of several other companies and offers additional perspective gained through his experience as a strategic planning consultant.</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A. Nemeroff            Age 51            Director since 2006</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463040" cy="1861820"/>
                <wp:effectExtent l="0" t="0" r="0" b="0"/>
                <wp:wrapSquare wrapText="largest"/>
                <wp:docPr id="16" name="Frame5"/>
                <a:graphic xmlns:a="http://schemas.openxmlformats.org/drawingml/2006/main">
                  <a:graphicData uri="http://schemas.microsoft.com/office/word/2010/wordprocessingShape">
                    <wps:wsp>
                      <wps:cNvSpPr txBox="1"/>
                      <wps:spPr>
                        <a:xfrm>
                          <a:off x="0" y="0"/>
                          <a:ext cx="1463040" cy="1861820"/>
                        </a:xfrm>
                        <a:prstGeom prst="rect"/>
                      </wps:spPr>
                      <wps:txbx>
                        <w:txbxContent>
                          <w:p>
                            <w:pPr>
                              <w:pStyle w:val="TextBody"/>
                              <w:spacing w:before="0" w:after="283"/>
                              <w:rPr/>
                            </w:pPr>
                            <w:r>
                              <w:rPr/>
                              <w:drawing>
                                <wp:inline distT="0" distB="0" distL="0" distR="0">
                                  <wp:extent cx="1247775" cy="18288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247775" cy="18288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15.2pt;height:14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drawing>
                          <wp:inline distT="0" distB="0" distL="0" distR="0">
                            <wp:extent cx="1247775" cy="18288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1247775" cy="1828800"/>
                                    </a:xfrm>
                                    <a:prstGeom prst="rect">
                                      <a:avLst/>
                                    </a:prstGeom>
                                  </pic:spPr>
                                </pic:pic>
                              </a:graphicData>
                            </a:graphic>
                          </wp:inline>
                        </w:drawing>
                      </w:r>
                      <w:r>
                        <w:rPr/>
                        <w:t xml:space="preserve"> </w:t>
                      </w:r>
                    </w:p>
                  </w:txbxContent>
                </v:textbox>
                <w10:wrap type="square" side="right"/>
              </v:rect>
            </w:pict>
          </mc:Fallback>
        </mc:AlternateContent>
      </w:r>
    </w:p>
    <w:p>
      <w:pPr>
        <w:pStyle w:val="TextBody"/>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 Vedder Price P.C.</w:t>
      </w:r>
    </w:p>
    <w:p>
      <w:pPr>
        <w:pStyle w:val="TextBody"/>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shareholder since 1995. Since 1998, he has served on the firm’s Board of Directors. Since 2005, Mr. Nemeroff has served as President and CEO of Vedder Price and a member of the Executive Committee of the firm’s Board of Directors. Vedder Price regularly provides services to the Company. Mr. Nemeroff serves as a legal advisor to the G100, an elite international organization of leading Chief Executive Officers from Fortune 500 publicly traded corporations. He also serves as an Executive Committee and Board of Directors member of Chicago Children’s Choir, a not-for-profit organization making a difference in the lives of children through musical excellence, and as a Trustee of the Chicago History Museum.</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his nine years as President and Chief Executive Officer of that international law firm.</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Allan H. Selig            Age 80            Director since 1969</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463040" cy="1861820"/>
                <wp:effectExtent l="0" t="0" r="0" b="0"/>
                <wp:wrapSquare wrapText="largest"/>
                <wp:docPr id="19" name="Frame6"/>
                <a:graphic xmlns:a="http://schemas.openxmlformats.org/drawingml/2006/main">
                  <a:graphicData uri="http://schemas.microsoft.com/office/word/2010/wordprocessingShape">
                    <wps:wsp>
                      <wps:cNvSpPr txBox="1"/>
                      <wps:spPr>
                        <a:xfrm>
                          <a:off x="0" y="0"/>
                          <a:ext cx="1463040" cy="1861820"/>
                        </a:xfrm>
                        <a:prstGeom prst="rect"/>
                      </wps:spPr>
                      <wps:txbx>
                        <w:txbxContent>
                          <w:p>
                            <w:pPr>
                              <w:pStyle w:val="TextBody"/>
                              <w:spacing w:before="0" w:after="283"/>
                              <w:rPr/>
                            </w:pPr>
                            <w:r>
                              <w:rPr/>
                              <w:drawing>
                                <wp:inline distT="0" distB="0" distL="0" distR="0">
                                  <wp:extent cx="1266825" cy="18288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1266825" cy="18288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15.2pt;height:14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drawing>
                          <wp:inline distT="0" distB="0" distL="0" distR="0">
                            <wp:extent cx="1266825" cy="18288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266825" cy="1828800"/>
                                    </a:xfrm>
                                    <a:prstGeom prst="rect">
                                      <a:avLst/>
                                    </a:prstGeom>
                                  </pic:spPr>
                                </pic:pic>
                              </a:graphicData>
                            </a:graphic>
                          </wp:inline>
                        </w:drawing>
                      </w:r>
                      <w:r>
                        <w:rPr/>
                        <w:t xml:space="preserve"> </w:t>
                      </w:r>
                    </w:p>
                  </w:txbxContent>
                </v:textbox>
                <w10:wrap type="square" side="right"/>
              </v:rect>
            </w:pict>
          </mc:Fallback>
        </mc:AlternateConten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Commissioner of Major League Baseball</w:t>
      </w:r>
    </w:p>
    <w:p>
      <w:pPr>
        <w:pStyle w:val="TextBody"/>
        <w:jc w:val="both"/>
        <w:rPr>
          <w:caps w:val="false"/>
          <w:smallCaps w:val="false"/>
        </w:rPr>
      </w:pPr>
      <w:r>
        <w:rPr>
          <w:caps w:val="false"/>
          <w:smallCaps w:val="false"/>
        </w:rPr>
        <w:t> </w:t>
      </w:r>
    </w:p>
    <w:p>
      <w:pPr>
        <w:pStyle w:val="TextBody"/>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Chairman of the Board, Selig Lease Company</w:t>
      </w:r>
    </w:p>
    <w:p>
      <w:pPr>
        <w:pStyle w:val="TextBody"/>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Selig received a bachelor’s degree from the University of Wisconsin in 1956. After two years in the United States Army, Mr. Selig joined Selig Ford, Inc. He served as president of Selig Ford (which became Selig Chevrolet in 1982) from 1959 until 1990. Since 1970, he has served as Chairman of the Board and President of Selig Lease Company. Mr. Selig became President and Chief Executive Officer of the Milwaukee Brewers Baseball Club, Inc. in 1970 and served in that capacity until 1998, when he was elected to the position of Commissioner of Major League Baseball. He also served as Chairman of the Executive Council of Major League Baseball from 1992 to 1998. Mr. Selig is a director of Marcus Corporation and a director emeritus of the Green Bay Packers.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Selig’s individual qualifications include sound judgment, integrity and business management skills gained through his management of several businesses, including his long tenure as Commissioner of Major League Baseball and as chief executive of the Milwaukee Brewers Baseball Club and his family’s automobile businesses. Mr. Selig’s unique ability to manage by consensus brought change and growth in baseball despite economic and political challenges both inside and outside of baseball. In addition, Mr. Selig is a community leader and an active advisor to several philanthropic organizations.</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E. Suckow            Age 67            Director since 2005</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463040" cy="1861820"/>
                <wp:effectExtent l="0" t="0" r="0" b="0"/>
                <wp:wrapSquare wrapText="largest"/>
                <wp:docPr id="22" name="Frame7"/>
                <a:graphic xmlns:a="http://schemas.openxmlformats.org/drawingml/2006/main">
                  <a:graphicData uri="http://schemas.microsoft.com/office/word/2010/wordprocessingShape">
                    <wps:wsp>
                      <wps:cNvSpPr txBox="1"/>
                      <wps:spPr>
                        <a:xfrm>
                          <a:off x="0" y="0"/>
                          <a:ext cx="1463040" cy="1861820"/>
                        </a:xfrm>
                        <a:prstGeom prst="rect"/>
                      </wps:spPr>
                      <wps:txbx>
                        <w:txbxContent>
                          <w:p>
                            <w:pPr>
                              <w:pStyle w:val="TextBody"/>
                              <w:spacing w:before="0" w:after="283"/>
                              <w:rPr/>
                            </w:pPr>
                            <w:r>
                              <w:rPr/>
                              <w:drawing>
                                <wp:inline distT="0" distB="0" distL="0" distR="0">
                                  <wp:extent cx="1247775" cy="18288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247775" cy="18288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15.2pt;height:14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drawing>
                          <wp:inline distT="0" distB="0" distL="0" distR="0">
                            <wp:extent cx="1247775" cy="18288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1247775" cy="1828800"/>
                                    </a:xfrm>
                                    <a:prstGeom prst="rect">
                                      <a:avLst/>
                                    </a:prstGeom>
                                  </pic:spPr>
                                </pic:pic>
                              </a:graphicData>
                            </a:graphic>
                          </wp:inline>
                        </w:drawing>
                      </w:r>
                      <w:r>
                        <w:rPr/>
                        <w:t xml:space="preserve"> </w:t>
                      </w:r>
                    </w:p>
                  </w:txbxContent>
                </v:textbox>
                <w10:wrap type="square" side="right"/>
              </v:rect>
            </w:pict>
          </mc:Fallback>
        </mc:AlternateContent>
      </w:r>
    </w:p>
    <w:p>
      <w:pPr>
        <w:pStyle w:val="TextBody"/>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Fellow and Adjunct Professor,</w:t>
      </w:r>
    </w:p>
    <w:p>
      <w:pPr>
        <w:pStyle w:val="TextBody"/>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and Economics, Villanova University</w:t>
      </w:r>
    </w:p>
    <w:p>
      <w:pPr>
        <w:pStyle w:val="TextBody"/>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Suckow received a B.S. degree in economics from Bradley University in 1969 and earned an M.B.A.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 Investments, for Sun Insurance Services and from 1981 to 1985, Vice President and Portfolio Manager for Delaware Investment Advisers. From 1985 to 1992, Mr. Suckow was Executive Vice President and Director of Fixed Income Securities for Oppenheimer Management Corporation, and from 1993 to 1999, 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Since 1978, he has been a Chartered Financial Analyst and is a member of the CFA Institute.</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Suckow’s individual qualifications include his financial literacy evidenced by his position as an adjunct professor of finance and economics and his many years of service in the financial and insurance services industries. In addition, Mr. Suckow has served on the advisory boards of many corporations and is an “audit committee financial expert” within the meaning of SEC rules.</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Lawrence E. Washow            Age 61            Director since 2013</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1371600" cy="1795145"/>
                <wp:effectExtent l="0" t="0" r="0" b="0"/>
                <wp:wrapSquare wrapText="largest"/>
                <wp:docPr id="25" name="Frame8"/>
                <a:graphic xmlns:a="http://schemas.openxmlformats.org/drawingml/2006/main">
                  <a:graphicData uri="http://schemas.microsoft.com/office/word/2010/wordprocessingShape">
                    <wps:wsp>
                      <wps:cNvSpPr txBox="1"/>
                      <wps:spPr>
                        <a:xfrm>
                          <a:off x="0" y="0"/>
                          <a:ext cx="1371600" cy="1795145"/>
                        </a:xfrm>
                        <a:prstGeom prst="rect"/>
                      </wps:spPr>
                      <wps:txbx>
                        <w:txbxContent>
                          <w:p>
                            <w:pPr>
                              <w:pStyle w:val="TextBody"/>
                              <w:spacing w:before="0" w:after="283"/>
                              <w:rPr/>
                            </w:pPr>
                            <w:r>
                              <w:rPr/>
                              <w:drawing>
                                <wp:inline distT="0" distB="0" distL="0" distR="0">
                                  <wp:extent cx="1171575" cy="1762125"/>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1171575" cy="17621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08pt;height:1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drawing>
                          <wp:inline distT="0" distB="0" distL="0" distR="0">
                            <wp:extent cx="1171575" cy="1762125"/>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1171575" cy="1762125"/>
                                    </a:xfrm>
                                    <a:prstGeom prst="rect">
                                      <a:avLst/>
                                    </a:prstGeom>
                                  </pic:spPr>
                                </pic:pic>
                              </a:graphicData>
                            </a:graphic>
                          </wp:inline>
                        </w:drawing>
                      </w:r>
                      <w:r>
                        <w:rPr/>
                        <w:t xml:space="preserve"> </w:t>
                      </w:r>
                    </w:p>
                  </w:txbxContent>
                </v:textbox>
                <w10:wrap type="square" side="right"/>
              </v:rect>
            </w:pict>
          </mc:Fallback>
        </mc:AlternateContent>
      </w:r>
    </w:p>
    <w:p>
      <w:pPr>
        <w:pStyle w:val="TextBody"/>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First Bauxite Corporation</w:t>
      </w:r>
    </w:p>
    <w:p>
      <w:pPr>
        <w:pStyle w:val="TextBody"/>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Member and Partner of Eudora Global, LLC</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Washow received a bachelor’s degree from Miami University in Oxford, Ohio in 1975 and earned an M.B.A. from Kellogg Graduate School of Management of Northwestern University in 1981. Mr. Washow began his career at American Colloid Company (which subsequently became a subsidiary of AMCOL International Corporation, which is now Mineral Technologies Inc.) in the Personnel Department in 1978 and was thereafter promoted to Industrial Relations Manager. In 1986, he was picked to build and lead Chemdal International, a stand-alone subsidiary of AMCOL International Corporation. Mr. Washow became Chief Operating Officer of AMCOL International Corporation in 1998 and President and Chief Executive Officer of AMCOL International Corporation in 2000 and served in these positions and as a director of AMCOL International Corporation until 2010. In 2011, Mr. Washow began as a board member and now serves as Chairman of First Bauxite Corporation and as a board member and Partner of Eudora Global, LLC. He recently joined the Advisory Board of S&amp;B Minerals.</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Washow’s individual qualifications include his extensive global experience in minerals, mining, manufacturing and distribution. In addition, Mr. Washow is an “audit committee financial expert” within the meaning of SEC rules and brings to the Board his strong business acumen and broad experience in management, operations, public company governance and compliance obtained through the leadership positions, including president, chief executive officer and board member that he has held with public corporations.</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center"/>
        <w:rPr>
          <w:rFonts w:ascii="Times New Roman;Times;Serif" w:hAnsi="Times New Roman;Times;Serif"/>
          <w:b/>
          <w:i w:val="false"/>
          <w:caps w:val="false"/>
          <w:smallCaps w:val="false"/>
          <w:sz w:val="20"/>
        </w:rPr>
      </w:pPr>
      <w:bookmarkStart w:id="7" w:name="a_Toc339007547"/>
      <w:bookmarkEnd w:id="7"/>
      <w:r>
        <w:rPr>
          <w:rFonts w:ascii="Times New Roman;Times;Serif" w:hAnsi="Times New Roman;Times;Serif"/>
          <w:b/>
          <w:i w:val="false"/>
          <w:caps w:val="false"/>
          <w:smallCaps w:val="false"/>
          <w:sz w:val="20"/>
        </w:rPr>
        <w:t>2. Ratification of Appointment of Independent Auditor</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 appointed Grant Thornton as the Company’s independent auditor for the fiscal year ending July 31, 2015 at its meeting on October 7, 2014, and has further directed that we submit the appointment of the independent auditor for ratification by the stockholders at the 2014 Annual Meeting. Grant Thornton audited the Company’s consolidated financial statements for the fiscal year ended July 31, 2014. A representative of Grant Thornton is expected to be present at the 2014 Annual Meeting and will have an opportunity to make a statement if he or she so desires and will be available to respond to appropriate questions.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ratification of the appointment of Grant Thornton as the Company’s independent auditor is not required by the Company’s Amended and Restated By-Laws or otherwise; however, our Board of Directors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 Our Audit Committee used such discretion during the fiscal year ended July 31, 2014 to appoint Grant Thornton to replace PricewaterhouseCoopers LLP (“PwC”) as the Company’s independent auditor effective on March 17, 2014.</w:t>
      </w:r>
    </w:p>
    <w:p>
      <w:pPr>
        <w:pStyle w:val="TextBody"/>
        <w:spacing w:before="0" w:after="4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RATIFICATION OF THE</w:t>
        <w:br/>
        <w:t>APPOINTMENT OF GRANT THORNTON LLP AS INDEPENDENT AUDITOR.</w:t>
      </w:r>
    </w:p>
    <w:p>
      <w:pPr>
        <w:pStyle w:val="TextBody"/>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Fees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fees (including reimbursed expenses) for professional services billed by PwC and Grant Thornton to us in the fiscal years ended July 31, 2014 (“fiscal 2014”) and 2013 (“fiscal 2013”) were as follows:</w:t>
      </w:r>
    </w:p>
    <w:tbl>
      <w:tblPr>
        <w:tblW w:w="6254" w:type="dxa"/>
        <w:jc w:val="left"/>
        <w:tblInd w:w="0" w:type="dxa"/>
        <w:tblCellMar>
          <w:top w:w="0" w:type="dxa"/>
          <w:left w:w="0" w:type="dxa"/>
          <w:bottom w:w="28" w:type="dxa"/>
          <w:right w:w="0" w:type="dxa"/>
        </w:tblCellMar>
      </w:tblPr>
      <w:tblGrid>
        <w:gridCol w:w="2045"/>
        <w:gridCol w:w="60"/>
        <w:gridCol w:w="256"/>
        <w:gridCol w:w="1468"/>
        <w:gridCol w:w="110"/>
        <w:gridCol w:w="60"/>
        <w:gridCol w:w="140"/>
        <w:gridCol w:w="800"/>
        <w:gridCol w:w="60"/>
        <w:gridCol w:w="60"/>
        <w:gridCol w:w="140"/>
        <w:gridCol w:w="980"/>
        <w:gridCol w:w="75"/>
      </w:tblGrid>
      <w:tr>
        <w:trPr/>
        <w:tc>
          <w:tcPr>
            <w:tcW w:w="2045" w:type="dxa"/>
            <w:tcBorders>
              <w:bottom w:val="single" w:sz="8" w:space="0" w:color="000000"/>
            </w:tcBorders>
            <w:shd w:fill="auto" w:val="clear"/>
            <w:vAlign w:val="center"/>
          </w:tcPr>
          <w:p>
            <w:pPr>
              <w:pStyle w:val="TableContents"/>
              <w:spacing w:before="0" w:after="283"/>
              <w:jc w:val="left"/>
              <w:rPr>
                <w:b/>
              </w:rPr>
            </w:pPr>
            <w:r>
              <w:rPr>
                <w:b/>
              </w:rPr>
              <w:t>Type of Fees</w:t>
            </w:r>
          </w:p>
        </w:tc>
        <w:tc>
          <w:tcPr>
            <w:tcW w:w="60" w:type="dxa"/>
            <w:tcBorders/>
            <w:shd w:fill="auto" w:val="clear"/>
            <w:tcMar>
              <w:bottom w:w="0" w:type="dxa"/>
            </w:tcMar>
            <w:vAlign w:val="center"/>
          </w:tcPr>
          <w:p>
            <w:pPr>
              <w:pStyle w:val="TableContents"/>
              <w:spacing w:before="0" w:after="283"/>
              <w:rPr/>
            </w:pPr>
            <w:r>
              <w:rPr/>
              <w:t> </w:t>
            </w:r>
          </w:p>
        </w:tc>
        <w:tc>
          <w:tcPr>
            <w:tcW w:w="1834" w:type="dxa"/>
            <w:gridSpan w:val="3"/>
            <w:tcBorders>
              <w:bottom w:val="single" w:sz="8" w:space="0" w:color="000000"/>
            </w:tcBorders>
            <w:shd w:fill="auto" w:val="clear"/>
            <w:vAlign w:val="center"/>
          </w:tcPr>
          <w:p>
            <w:pPr>
              <w:pStyle w:val="TableContents"/>
              <w:spacing w:before="0" w:after="283"/>
              <w:jc w:val="center"/>
              <w:rPr>
                <w:b/>
              </w:rPr>
            </w:pPr>
            <w:r>
              <w:rPr>
                <w:b/>
              </w:rPr>
              <w:t xml:space="preserve">2014 </w:t>
              <w:br/>
              <w:t>(Grant Thornton)</w:t>
            </w:r>
          </w:p>
        </w:tc>
        <w:tc>
          <w:tcPr>
            <w:tcW w:w="60" w:type="dxa"/>
            <w:tcBorders>
              <w:bottom w:val="single" w:sz="8" w:space="0" w:color="000000"/>
            </w:tcBorders>
            <w:shd w:fill="auto" w:val="clear"/>
            <w:vAlign w:val="center"/>
          </w:tcPr>
          <w:p>
            <w:pPr>
              <w:pStyle w:val="TableContents"/>
              <w:spacing w:before="0" w:after="283"/>
              <w:rPr/>
            </w:pPr>
            <w:r>
              <w:rPr/>
              <w:t> </w:t>
            </w:r>
          </w:p>
        </w:tc>
        <w:tc>
          <w:tcPr>
            <w:tcW w:w="1000" w:type="dxa"/>
            <w:gridSpan w:val="3"/>
            <w:tcBorders>
              <w:bottom w:val="single" w:sz="8" w:space="0" w:color="000000"/>
            </w:tcBorders>
            <w:shd w:fill="auto" w:val="clear"/>
            <w:vAlign w:val="center"/>
          </w:tcPr>
          <w:p>
            <w:pPr>
              <w:pStyle w:val="TableContents"/>
              <w:spacing w:before="0" w:after="283"/>
              <w:jc w:val="center"/>
              <w:rPr>
                <w:b/>
              </w:rPr>
            </w:pPr>
            <w:r>
              <w:rPr>
                <w:b/>
              </w:rPr>
              <w:t xml:space="preserve">2014 </w:t>
              <w:br/>
              <w:t>(PwC)</w:t>
            </w:r>
          </w:p>
        </w:tc>
        <w:tc>
          <w:tcPr>
            <w:tcW w:w="60" w:type="dxa"/>
            <w:tcBorders>
              <w:bottom w:val="single" w:sz="8" w:space="0" w:color="000000"/>
            </w:tcBorders>
            <w:shd w:fill="auto" w:val="clear"/>
            <w:vAlign w:val="center"/>
          </w:tcPr>
          <w:p>
            <w:pPr>
              <w:pStyle w:val="TableContents"/>
              <w:spacing w:before="0" w:after="283"/>
              <w:rPr/>
            </w:pPr>
            <w:r>
              <w:rPr/>
              <w:t> </w:t>
            </w:r>
          </w:p>
        </w:tc>
        <w:tc>
          <w:tcPr>
            <w:tcW w:w="1195" w:type="dxa"/>
            <w:gridSpan w:val="3"/>
            <w:tcBorders>
              <w:bottom w:val="single" w:sz="8" w:space="0" w:color="000000"/>
            </w:tcBorders>
            <w:shd w:fill="auto" w:val="clear"/>
            <w:vAlign w:val="center"/>
          </w:tcPr>
          <w:p>
            <w:pPr>
              <w:pStyle w:val="TableContents"/>
              <w:spacing w:before="0" w:after="283"/>
              <w:jc w:val="center"/>
              <w:rPr>
                <w:b/>
              </w:rPr>
            </w:pPr>
            <w:r>
              <w:rPr>
                <w:b/>
              </w:rPr>
              <w:t xml:space="preserve">2013 </w:t>
              <w:br/>
              <w:t>(PwC)</w:t>
            </w:r>
          </w:p>
        </w:tc>
      </w:tr>
      <w:tr>
        <w:trPr/>
        <w:tc>
          <w:tcPr>
            <w:tcW w:w="2045" w:type="dxa"/>
            <w:tcBorders/>
            <w:shd w:fill="CCEEFF" w:val="clear"/>
            <w:tcMar>
              <w:bottom w:w="0" w:type="dxa"/>
            </w:tcMar>
            <w:vAlign w:val="center"/>
          </w:tcPr>
          <w:p>
            <w:pPr>
              <w:pStyle w:val="TableContents"/>
              <w:spacing w:before="0" w:after="283"/>
              <w:jc w:val="left"/>
              <w:rPr/>
            </w:pPr>
            <w:r>
              <w:rPr/>
              <w:t>Audit fees (1)</w:t>
            </w:r>
          </w:p>
        </w:tc>
        <w:tc>
          <w:tcPr>
            <w:tcW w:w="60" w:type="dxa"/>
            <w:tcBorders/>
            <w:shd w:fill="CCEEFF" w:val="clear"/>
            <w:tcMar>
              <w:bottom w:w="0" w:type="dxa"/>
            </w:tcMar>
            <w:vAlign w:val="center"/>
          </w:tcPr>
          <w:p>
            <w:pPr>
              <w:pStyle w:val="TableContents"/>
              <w:spacing w:before="0" w:after="283"/>
              <w:rPr/>
            </w:pPr>
            <w:r>
              <w:rPr/>
              <w:t> </w:t>
            </w:r>
          </w:p>
        </w:tc>
        <w:tc>
          <w:tcPr>
            <w:tcW w:w="256" w:type="dxa"/>
            <w:tcBorders/>
            <w:shd w:fill="CCEEFF" w:val="clear"/>
            <w:tcMar>
              <w:bottom w:w="0" w:type="dxa"/>
            </w:tcMar>
            <w:vAlign w:val="center"/>
          </w:tcPr>
          <w:p>
            <w:pPr>
              <w:pStyle w:val="TableContents"/>
              <w:spacing w:before="0" w:after="283"/>
              <w:jc w:val="left"/>
              <w:rPr/>
            </w:pPr>
            <w:r>
              <w:rPr/>
              <w:t>$</w:t>
            </w:r>
          </w:p>
        </w:tc>
        <w:tc>
          <w:tcPr>
            <w:tcW w:w="1468" w:type="dxa"/>
            <w:tcBorders/>
            <w:shd w:fill="CCEEFF" w:val="clear"/>
            <w:tcMar>
              <w:bottom w:w="0" w:type="dxa"/>
            </w:tcMar>
            <w:vAlign w:val="center"/>
          </w:tcPr>
          <w:p>
            <w:pPr>
              <w:pStyle w:val="TableContents"/>
              <w:spacing w:before="0" w:after="283"/>
              <w:jc w:val="right"/>
              <w:rPr/>
            </w:pPr>
            <w:r>
              <w:rPr/>
              <w:t>278,139</w:t>
            </w:r>
          </w:p>
        </w:tc>
        <w:tc>
          <w:tcPr>
            <w:tcW w:w="11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437,768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737,849</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045" w:type="dxa"/>
            <w:tcBorders/>
            <w:shd w:fill="FFFFFF" w:val="clear"/>
            <w:tcMar>
              <w:bottom w:w="0" w:type="dxa"/>
            </w:tcMar>
            <w:vAlign w:val="center"/>
          </w:tcPr>
          <w:p>
            <w:pPr>
              <w:pStyle w:val="TableContents"/>
              <w:spacing w:before="0" w:after="283"/>
              <w:jc w:val="left"/>
              <w:rPr/>
            </w:pPr>
            <w:r>
              <w:rPr/>
              <w:t>Audit-related fees (2)</w:t>
            </w:r>
          </w:p>
        </w:tc>
        <w:tc>
          <w:tcPr>
            <w:tcW w:w="60" w:type="dxa"/>
            <w:tcBorders/>
            <w:shd w:fill="FFFFFF" w:val="clear"/>
            <w:tcMar>
              <w:bottom w:w="0" w:type="dxa"/>
            </w:tcMar>
            <w:vAlign w:val="center"/>
          </w:tcPr>
          <w:p>
            <w:pPr>
              <w:pStyle w:val="TableContents"/>
              <w:spacing w:before="0" w:after="283"/>
              <w:rPr/>
            </w:pPr>
            <w:r>
              <w:rPr/>
              <w:t> </w:t>
            </w:r>
          </w:p>
        </w:tc>
        <w:tc>
          <w:tcPr>
            <w:tcW w:w="256" w:type="dxa"/>
            <w:tcBorders/>
            <w:shd w:fill="FFFFFF" w:val="clear"/>
            <w:tcMar>
              <w:bottom w:w="0" w:type="dxa"/>
            </w:tcMar>
            <w:vAlign w:val="center"/>
          </w:tcPr>
          <w:p>
            <w:pPr>
              <w:pStyle w:val="TableContents"/>
              <w:spacing w:before="0" w:after="283"/>
              <w:jc w:val="left"/>
              <w:rPr/>
            </w:pPr>
            <w:r>
              <w:rPr/>
              <w:t> </w:t>
            </w:r>
          </w:p>
        </w:tc>
        <w:tc>
          <w:tcPr>
            <w:tcW w:w="1468" w:type="dxa"/>
            <w:tcBorders/>
            <w:shd w:fill="FFFFFF" w:val="clear"/>
            <w:tcMar>
              <w:bottom w:w="0" w:type="dxa"/>
            </w:tcMar>
            <w:vAlign w:val="center"/>
          </w:tcPr>
          <w:p>
            <w:pPr>
              <w:pStyle w:val="TableContents"/>
              <w:spacing w:before="0" w:after="283"/>
              <w:jc w:val="right"/>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88,115</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2045" w:type="dxa"/>
            <w:tcBorders/>
            <w:shd w:fill="CCEEFF" w:val="clear"/>
            <w:tcMar>
              <w:bottom w:w="0" w:type="dxa"/>
            </w:tcMar>
            <w:vAlign w:val="center"/>
          </w:tcPr>
          <w:p>
            <w:pPr>
              <w:pStyle w:val="TableContents"/>
              <w:spacing w:before="0" w:after="283"/>
              <w:jc w:val="left"/>
              <w:rPr/>
            </w:pPr>
            <w:r>
              <w:rPr/>
              <w:t>Tax fees (3)</w:t>
            </w:r>
          </w:p>
        </w:tc>
        <w:tc>
          <w:tcPr>
            <w:tcW w:w="60" w:type="dxa"/>
            <w:tcBorders/>
            <w:shd w:fill="CCEEFF" w:val="clear"/>
            <w:tcMar>
              <w:bottom w:w="0" w:type="dxa"/>
            </w:tcMar>
            <w:vAlign w:val="center"/>
          </w:tcPr>
          <w:p>
            <w:pPr>
              <w:pStyle w:val="TableContents"/>
              <w:spacing w:before="0" w:after="283"/>
              <w:rPr/>
            </w:pPr>
            <w:r>
              <w:rPr/>
              <w:t> </w:t>
            </w:r>
          </w:p>
        </w:tc>
        <w:tc>
          <w:tcPr>
            <w:tcW w:w="256" w:type="dxa"/>
            <w:tcBorders/>
            <w:shd w:fill="CCEEFF" w:val="clear"/>
            <w:tcMar>
              <w:bottom w:w="0" w:type="dxa"/>
            </w:tcMar>
            <w:vAlign w:val="center"/>
          </w:tcPr>
          <w:p>
            <w:pPr>
              <w:pStyle w:val="TableContents"/>
              <w:spacing w:before="0" w:after="283"/>
              <w:jc w:val="left"/>
              <w:rPr/>
            </w:pPr>
            <w:r>
              <w:rPr/>
              <w:t> </w:t>
            </w:r>
          </w:p>
        </w:tc>
        <w:tc>
          <w:tcPr>
            <w:tcW w:w="1468" w:type="dxa"/>
            <w:tcBorders/>
            <w:shd w:fill="CCEEFF" w:val="clear"/>
            <w:tcMar>
              <w:bottom w:w="0" w:type="dxa"/>
            </w:tcMar>
            <w:vAlign w:val="center"/>
          </w:tcPr>
          <w:p>
            <w:pPr>
              <w:pStyle w:val="TableContents"/>
              <w:spacing w:before="0" w:after="283"/>
              <w:jc w:val="right"/>
              <w:rPr/>
            </w:pPr>
            <w:r>
              <w:rPr/>
              <w:t> </w:t>
            </w:r>
          </w:p>
        </w:tc>
        <w:tc>
          <w:tcPr>
            <w:tcW w:w="11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0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980" w:type="dxa"/>
            <w:tcBorders/>
            <w:shd w:fill="CCEEFF" w:val="clear"/>
            <w:tcMar>
              <w:bottom w:w="0" w:type="dxa"/>
            </w:tcMar>
            <w:vAlign w:val="center"/>
          </w:tcPr>
          <w:p>
            <w:pPr>
              <w:pStyle w:val="TableContents"/>
              <w:spacing w:before="0" w:after="283"/>
              <w:jc w:val="right"/>
              <w:rPr/>
            </w:pPr>
            <w:r>
              <w:rPr/>
              <w:t> </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045" w:type="dxa"/>
            <w:tcBorders/>
            <w:shd w:fill="FFFFFF" w:val="clear"/>
            <w:tcMar>
              <w:bottom w:w="0" w:type="dxa"/>
            </w:tcMar>
            <w:vAlign w:val="center"/>
          </w:tcPr>
          <w:p>
            <w:pPr>
              <w:pStyle w:val="TableContents"/>
              <w:spacing w:before="0" w:after="283"/>
              <w:jc w:val="left"/>
              <w:rPr/>
            </w:pPr>
            <w:r>
              <w:rPr/>
              <w:t>     </w:t>
            </w:r>
            <w:r>
              <w:rPr/>
              <w:t>Tax compliance</w:t>
            </w:r>
          </w:p>
        </w:tc>
        <w:tc>
          <w:tcPr>
            <w:tcW w:w="60" w:type="dxa"/>
            <w:tcBorders/>
            <w:shd w:fill="FFFFFF" w:val="clear"/>
            <w:tcMar>
              <w:bottom w:w="0" w:type="dxa"/>
            </w:tcMar>
            <w:vAlign w:val="center"/>
          </w:tcPr>
          <w:p>
            <w:pPr>
              <w:pStyle w:val="TableContents"/>
              <w:spacing w:before="0" w:after="283"/>
              <w:rPr/>
            </w:pPr>
            <w:r>
              <w:rPr/>
              <w:t> </w:t>
            </w:r>
          </w:p>
        </w:tc>
        <w:tc>
          <w:tcPr>
            <w:tcW w:w="256" w:type="dxa"/>
            <w:tcBorders/>
            <w:shd w:fill="FFFFFF" w:val="clear"/>
            <w:tcMar>
              <w:bottom w:w="0" w:type="dxa"/>
            </w:tcMar>
            <w:vAlign w:val="center"/>
          </w:tcPr>
          <w:p>
            <w:pPr>
              <w:pStyle w:val="TableContents"/>
              <w:spacing w:before="0" w:after="283"/>
              <w:jc w:val="left"/>
              <w:rPr/>
            </w:pPr>
            <w:r>
              <w:rPr/>
              <w:t> </w:t>
            </w:r>
          </w:p>
        </w:tc>
        <w:tc>
          <w:tcPr>
            <w:tcW w:w="1468" w:type="dxa"/>
            <w:tcBorders/>
            <w:shd w:fill="FFFFFF" w:val="clear"/>
            <w:tcMar>
              <w:bottom w:w="0" w:type="dxa"/>
            </w:tcMar>
            <w:vAlign w:val="center"/>
          </w:tcPr>
          <w:p>
            <w:pPr>
              <w:pStyle w:val="TableContents"/>
              <w:spacing w:before="0" w:after="283"/>
              <w:jc w:val="right"/>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268,313</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980" w:type="dxa"/>
            <w:tcBorders/>
            <w:shd w:fill="FFFFFF" w:val="clear"/>
            <w:tcMar>
              <w:bottom w:w="0" w:type="dxa"/>
            </w:tcMar>
            <w:vAlign w:val="center"/>
          </w:tcPr>
          <w:p>
            <w:pPr>
              <w:pStyle w:val="TableContents"/>
              <w:spacing w:before="0" w:after="283"/>
              <w:jc w:val="right"/>
              <w:rPr/>
            </w:pPr>
            <w:r>
              <w:rPr/>
              <w:t>320,661</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2045" w:type="dxa"/>
            <w:tcBorders/>
            <w:shd w:fill="CCEEFF" w:val="clear"/>
            <w:tcMar>
              <w:bottom w:w="0" w:type="dxa"/>
            </w:tcMar>
            <w:vAlign w:val="center"/>
          </w:tcPr>
          <w:p>
            <w:pPr>
              <w:pStyle w:val="TableContents"/>
              <w:spacing w:before="0" w:after="283"/>
              <w:jc w:val="left"/>
              <w:rPr/>
            </w:pPr>
            <w:r>
              <w:rPr/>
              <w:t>     </w:t>
            </w:r>
            <w:r>
              <w:rPr/>
              <w:t>Tax planning</w:t>
            </w:r>
          </w:p>
        </w:tc>
        <w:tc>
          <w:tcPr>
            <w:tcW w:w="60" w:type="dxa"/>
            <w:tcBorders/>
            <w:shd w:fill="CCEEFF" w:val="clear"/>
            <w:tcMar>
              <w:bottom w:w="0" w:type="dxa"/>
            </w:tcMar>
            <w:vAlign w:val="center"/>
          </w:tcPr>
          <w:p>
            <w:pPr>
              <w:pStyle w:val="TableContents"/>
              <w:spacing w:before="0" w:after="283"/>
              <w:rPr/>
            </w:pPr>
            <w:r>
              <w:rPr/>
              <w:t> </w:t>
            </w:r>
          </w:p>
        </w:tc>
        <w:tc>
          <w:tcPr>
            <w:tcW w:w="256" w:type="dxa"/>
            <w:tcBorders>
              <w:bottom w:val="single" w:sz="8" w:space="0" w:color="000000"/>
            </w:tcBorders>
            <w:shd w:fill="CCEEFF" w:val="clear"/>
            <w:vAlign w:val="center"/>
          </w:tcPr>
          <w:p>
            <w:pPr>
              <w:pStyle w:val="TableContents"/>
              <w:spacing w:before="0" w:after="283"/>
              <w:jc w:val="left"/>
              <w:rPr/>
            </w:pPr>
            <w:r>
              <w:rPr/>
              <w:t> </w:t>
            </w:r>
          </w:p>
        </w:tc>
        <w:tc>
          <w:tcPr>
            <w:tcW w:w="1468" w:type="dxa"/>
            <w:tcBorders>
              <w:bottom w:val="single" w:sz="8" w:space="0" w:color="000000"/>
            </w:tcBorders>
            <w:shd w:fill="CCEEFF" w:val="clear"/>
            <w:vAlign w:val="center"/>
          </w:tcPr>
          <w:p>
            <w:pPr>
              <w:pStyle w:val="TableContents"/>
              <w:spacing w:before="0" w:after="283"/>
              <w:jc w:val="right"/>
              <w:rPr/>
            </w:pPr>
            <w:r>
              <w:rPr/>
              <w:t>—  </w:t>
            </w:r>
          </w:p>
        </w:tc>
        <w:tc>
          <w:tcPr>
            <w:tcW w:w="110" w:type="dxa"/>
            <w:tcBorders>
              <w:bottom w:val="single" w:sz="8" w:space="0" w:color="000000"/>
            </w:tcBorders>
            <w:shd w:fill="CCEEFF" w:val="clear"/>
            <w:vAlign w:val="center"/>
          </w:tcPr>
          <w:p>
            <w:pPr>
              <w:pStyle w:val="TableContents"/>
              <w:spacing w:before="0" w:after="283"/>
              <w:jc w:val="left"/>
              <w:rPr/>
            </w:pPr>
            <w:r>
              <w:rPr/>
              <w:t> </w:t>
            </w:r>
          </w:p>
        </w:tc>
        <w:tc>
          <w:tcPr>
            <w:tcW w:w="60" w:type="dxa"/>
            <w:tcBorders>
              <w:bottom w:val="single" w:sz="8" w:space="0" w:color="000000"/>
            </w:tcBorders>
            <w:shd w:fill="CCEEFF" w:val="clear"/>
            <w:vAlign w:val="center"/>
          </w:tcPr>
          <w:p>
            <w:pPr>
              <w:pStyle w:val="TableContents"/>
              <w:spacing w:before="0" w:after="283"/>
              <w:rPr/>
            </w:pPr>
            <w:r>
              <w:rPr/>
              <w:t> </w:t>
            </w:r>
          </w:p>
        </w:tc>
        <w:tc>
          <w:tcPr>
            <w:tcW w:w="140" w:type="dxa"/>
            <w:tcBorders>
              <w:bottom w:val="single" w:sz="8" w:space="0" w:color="000000"/>
            </w:tcBorders>
            <w:shd w:fill="CCEEFF" w:val="clear"/>
            <w:vAlign w:val="center"/>
          </w:tcPr>
          <w:p>
            <w:pPr>
              <w:pStyle w:val="TableContents"/>
              <w:spacing w:before="0" w:after="283"/>
              <w:jc w:val="left"/>
              <w:rPr/>
            </w:pPr>
            <w:r>
              <w:rPr/>
              <w:t>$</w:t>
            </w:r>
          </w:p>
        </w:tc>
        <w:tc>
          <w:tcPr>
            <w:tcW w:w="800" w:type="dxa"/>
            <w:tcBorders>
              <w:bottom w:val="single" w:sz="8" w:space="0" w:color="000000"/>
            </w:tcBorders>
            <w:shd w:fill="CCEEFF" w:val="clear"/>
            <w:vAlign w:val="center"/>
          </w:tcPr>
          <w:p>
            <w:pPr>
              <w:pStyle w:val="TableContents"/>
              <w:spacing w:before="0" w:after="283"/>
              <w:jc w:val="right"/>
              <w:rPr/>
            </w:pPr>
            <w:r>
              <w:rPr/>
              <w:t>39,356</w:t>
            </w:r>
          </w:p>
        </w:tc>
        <w:tc>
          <w:tcPr>
            <w:tcW w:w="60" w:type="dxa"/>
            <w:tcBorders>
              <w:bottom w:val="single" w:sz="8" w:space="0" w:color="000000"/>
            </w:tcBorders>
            <w:shd w:fill="CCEEFF" w:val="clear"/>
            <w:vAlign w:val="center"/>
          </w:tcPr>
          <w:p>
            <w:pPr>
              <w:pStyle w:val="TableContents"/>
              <w:spacing w:before="0" w:after="283"/>
              <w:jc w:val="left"/>
              <w:rPr/>
            </w:pPr>
            <w:r>
              <w:rPr/>
              <w:t> </w:t>
            </w:r>
          </w:p>
        </w:tc>
        <w:tc>
          <w:tcPr>
            <w:tcW w:w="60" w:type="dxa"/>
            <w:tcBorders>
              <w:bottom w:val="single" w:sz="8" w:space="0" w:color="000000"/>
            </w:tcBorders>
            <w:shd w:fill="CCEEFF" w:val="clear"/>
            <w:vAlign w:val="center"/>
          </w:tcPr>
          <w:p>
            <w:pPr>
              <w:pStyle w:val="TableContents"/>
              <w:spacing w:before="0" w:after="283"/>
              <w:rPr/>
            </w:pPr>
            <w:r>
              <w:rPr/>
              <w:t> </w:t>
            </w:r>
          </w:p>
        </w:tc>
        <w:tc>
          <w:tcPr>
            <w:tcW w:w="140" w:type="dxa"/>
            <w:tcBorders>
              <w:bottom w:val="single" w:sz="8" w:space="0" w:color="000000"/>
            </w:tcBorders>
            <w:shd w:fill="CCEEFF" w:val="clear"/>
            <w:vAlign w:val="center"/>
          </w:tcPr>
          <w:p>
            <w:pPr>
              <w:pStyle w:val="TableContents"/>
              <w:spacing w:before="0" w:after="283"/>
              <w:jc w:val="left"/>
              <w:rPr/>
            </w:pPr>
            <w:r>
              <w:rPr/>
              <w:t>$</w:t>
            </w:r>
          </w:p>
        </w:tc>
        <w:tc>
          <w:tcPr>
            <w:tcW w:w="980" w:type="dxa"/>
            <w:tcBorders>
              <w:bottom w:val="single" w:sz="8" w:space="0" w:color="000000"/>
            </w:tcBorders>
            <w:shd w:fill="CCEEFF" w:val="clear"/>
            <w:vAlign w:val="center"/>
          </w:tcPr>
          <w:p>
            <w:pPr>
              <w:pStyle w:val="TableContents"/>
              <w:spacing w:before="0" w:after="283"/>
              <w:jc w:val="right"/>
              <w:rPr/>
            </w:pPr>
            <w:r>
              <w:rPr/>
              <w:t>17,994</w:t>
            </w:r>
          </w:p>
        </w:tc>
        <w:tc>
          <w:tcPr>
            <w:tcW w:w="75" w:type="dxa"/>
            <w:tcBorders>
              <w:bottom w:val="single" w:sz="8" w:space="0" w:color="000000"/>
            </w:tcBorders>
            <w:shd w:fill="CCEEFF" w:val="clear"/>
            <w:vAlign w:val="center"/>
          </w:tcPr>
          <w:p>
            <w:pPr>
              <w:pStyle w:val="TableContents"/>
              <w:spacing w:before="0" w:after="283"/>
              <w:jc w:val="left"/>
              <w:rPr/>
            </w:pPr>
            <w:r>
              <w:rPr/>
              <w:t> </w:t>
            </w:r>
          </w:p>
        </w:tc>
      </w:tr>
      <w:tr>
        <w:trPr/>
        <w:tc>
          <w:tcPr>
            <w:tcW w:w="2045" w:type="dxa"/>
            <w:tcBorders/>
            <w:shd w:fill="FFFFFF" w:val="clear"/>
            <w:tcMar>
              <w:bottom w:w="0" w:type="dxa"/>
            </w:tcMar>
            <w:vAlign w:val="center"/>
          </w:tcPr>
          <w:p>
            <w:pPr>
              <w:pStyle w:val="TableContents"/>
              <w:spacing w:before="0" w:after="283"/>
              <w:jc w:val="left"/>
              <w:rPr/>
            </w:pPr>
            <w:r>
              <w:rPr/>
              <w:t>Total</w:t>
            </w:r>
          </w:p>
        </w:tc>
        <w:tc>
          <w:tcPr>
            <w:tcW w:w="60" w:type="dxa"/>
            <w:tcBorders/>
            <w:shd w:fill="FFFFFF" w:val="clear"/>
            <w:tcMar>
              <w:bottom w:w="0" w:type="dxa"/>
            </w:tcMar>
            <w:vAlign w:val="center"/>
          </w:tcPr>
          <w:p>
            <w:pPr>
              <w:pStyle w:val="TableContents"/>
              <w:spacing w:before="0" w:after="283"/>
              <w:rPr/>
            </w:pPr>
            <w:r>
              <w:rPr/>
              <w:t> </w:t>
            </w:r>
          </w:p>
        </w:tc>
        <w:tc>
          <w:tcPr>
            <w:tcW w:w="256" w:type="dxa"/>
            <w:tcBorders/>
            <w:shd w:fill="FFFFFF" w:val="clear"/>
            <w:tcMar>
              <w:bottom w:w="0" w:type="dxa"/>
            </w:tcMar>
            <w:vAlign w:val="center"/>
          </w:tcPr>
          <w:p>
            <w:pPr>
              <w:pStyle w:val="TableContents"/>
              <w:spacing w:before="0" w:after="283"/>
              <w:jc w:val="left"/>
              <w:rPr/>
            </w:pPr>
            <w:r>
              <w:rPr/>
              <w:t>$</w:t>
            </w:r>
          </w:p>
        </w:tc>
        <w:tc>
          <w:tcPr>
            <w:tcW w:w="1468" w:type="dxa"/>
            <w:tcBorders/>
            <w:shd w:fill="FFFFFF" w:val="clear"/>
            <w:tcMar>
              <w:bottom w:w="0" w:type="dxa"/>
            </w:tcMar>
            <w:vAlign w:val="center"/>
          </w:tcPr>
          <w:p>
            <w:pPr>
              <w:pStyle w:val="TableContents"/>
              <w:spacing w:before="0" w:after="283"/>
              <w:jc w:val="right"/>
              <w:rPr/>
            </w:pPr>
            <w:r>
              <w:rPr/>
              <w:t>278,139</w:t>
            </w:r>
          </w:p>
        </w:tc>
        <w:tc>
          <w:tcPr>
            <w:tcW w:w="11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833,552</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980" w:type="dxa"/>
            <w:tcBorders/>
            <w:shd w:fill="FFFFFF" w:val="clear"/>
            <w:tcMar>
              <w:bottom w:w="0" w:type="dxa"/>
            </w:tcMar>
            <w:vAlign w:val="center"/>
          </w:tcPr>
          <w:p>
            <w:pPr>
              <w:pStyle w:val="TableContents"/>
              <w:spacing w:before="0" w:after="283"/>
              <w:jc w:val="right"/>
              <w:rPr/>
            </w:pPr>
            <w:r>
              <w:rPr/>
              <w:t>1,076,504</w:t>
            </w:r>
          </w:p>
        </w:tc>
        <w:tc>
          <w:tcPr>
            <w:tcW w:w="75" w:type="dxa"/>
            <w:tcBorders/>
            <w:shd w:fill="FFFFFF" w:val="clear"/>
            <w:tcMar>
              <w:bottom w:w="0" w:type="dxa"/>
            </w:tcMar>
            <w:vAlign w:val="center"/>
          </w:tcPr>
          <w:p>
            <w:pPr>
              <w:pStyle w:val="TableContents"/>
              <w:spacing w:before="0" w:after="283"/>
              <w:jc w:val="left"/>
              <w:rPr/>
            </w:pPr>
            <w:r>
              <w:rPr/>
              <w:t> </w:t>
            </w:r>
          </w:p>
        </w:tc>
      </w:tr>
    </w:tbl>
    <w:p>
      <w:pPr>
        <w:pStyle w:val="TextBody"/>
        <w:spacing w:before="0" w:after="200"/>
        <w:jc w:val="both"/>
        <w:rPr>
          <w:caps w:val="false"/>
          <w:smallCaps w:val="false"/>
        </w:rPr>
      </w:pPr>
      <w:r>
        <w:rPr>
          <w:caps w:val="false"/>
          <w:smallCaps w:val="false"/>
        </w:rPr>
        <w:t> </w:t>
      </w:r>
    </w:p>
    <w:p>
      <w:pPr>
        <w:pStyle w:val="TextBody"/>
        <w:spacing w:before="0" w:after="1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tab/>
        <w:t>     Audit fees consist of fees for professional services provided in connection with the audit of our annual financial statements and review of our quarterly financial statements and audit services provided in connection with other statutory or regulatory filings.</w:t>
      </w:r>
    </w:p>
    <w:p>
      <w:pPr>
        <w:pStyle w:val="TextBody"/>
        <w:spacing w:before="0" w:after="1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tab/>
        <w:t>PwC’s audit-related fees in fiscal 2014 were fees related to the Company’s transition to Grant Thornton as its independent auditor and the acquisition of certain assets of MFM Industries, Inc. (the “MFM Acquisition”). See our Annual Report on Form 10-K for fiscal year 2014 for further information on the MFM Acquisition.</w:t>
      </w:r>
    </w:p>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tab/>
        <w:t>     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primarily of research and advice regarding the effect of new tax laws and regulations.</w:t>
      </w:r>
    </w:p>
    <w:p>
      <w:pPr>
        <w:pStyle w:val="TextBody"/>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of Independent Auditor Services</w:t>
      </w:r>
    </w:p>
    <w:p>
      <w:pPr>
        <w:pStyle w:val="TextBody"/>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services specifically prohibited by the Sarbanes-Oxley Act of 2002 will be provided to the Company by the independent auditor. Permitted services must be pre-approved by the Audit Committee of our Board of Directors. PwC, the former independent auditor of the Company, and Grant Thornton did not render any services relating to financial information systems design and implementation for fiscal 2014. None of the services described above were approved pursuant to the de minimus exception provided by Rule 2-01(c)(7)(i)(C) of SEC Regulation S-X.</w:t>
      </w:r>
    </w:p>
    <w:p>
      <w:pPr>
        <w:pStyle w:val="TextBody"/>
        <w:spacing w:before="240" w:after="200"/>
        <w:ind w:left="240" w:right="240" w:hanging="0"/>
        <w:jc w:val="center"/>
        <w:rPr>
          <w:rFonts w:ascii="Times New Roman;Times;Serif" w:hAnsi="Times New Roman;Times;Serif"/>
          <w:b/>
          <w:i w:val="false"/>
          <w:caps w:val="false"/>
          <w:smallCaps w:val="false"/>
          <w:sz w:val="20"/>
        </w:rPr>
      </w:pPr>
      <w:bookmarkStart w:id="8" w:name="a_Toc339007548"/>
      <w:bookmarkEnd w:id="8"/>
      <w:r>
        <w:rPr>
          <w:rFonts w:ascii="Times New Roman;Times;Serif" w:hAnsi="Times New Roman;Times;Serif"/>
          <w:b/>
          <w:i w:val="false"/>
          <w:caps w:val="false"/>
          <w:smallCaps w:val="false"/>
          <w:sz w:val="20"/>
        </w:rPr>
        <w:t>3. Advisory Vote on Executive Compensation</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Dodd-Frank Wall Street Reform and Consumer Protection Act (the “Dodd-Frank Act”) requires that we provide our stockholders with the opportunity to vote to approve or not approve, on an advisory basis, the compensation of our Chief Executive Officer (“CEO”) and Chief Financial Officer (“CFO”) and three other executive officers (collectively, “named executive officers”) as defined by Item 402 of Regulation S-K (“Item 402”). This vote is not intended to address any particular element of our executive compensation, but relates to the information disclosed in the Compensation Discussion and Analysis that is part of the Executive Compensation section of this Proxy Statement (“Compensation Discussion and Analysis”) as well as the compensation tables and related narrative disclosures provided pursuant to Item 402. This is an advisory vote, which means it is non-binding on the Company, our Board of Directors and our Compensation Committee. Although the vote is non-binding, the Compensation Committee will consider the outcome of the vote when making future executive compensation decisions.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detail in the Compensation Discussion and Analysis, our executive compensation program is designed to attract, retain and motivate the executives we need to carry out our strategic plan, mission, goals and values. We seek to align pay and performance by making a meaningful portion of the named executive officers’ incentive compensation at-risk, dependent on achievement of an annual corporate performance target shared by all employees. Additionally, our compensation practices ensure that our programs are aligned with our corporate goals and values. These practices are detailed in the Compensation Discussion and Analysis and include the following:</w:t>
      </w:r>
    </w:p>
    <w:tbl>
      <w:tblPr>
        <w:tblW w:w="5000" w:type="pct"/>
        <w:jc w:val="left"/>
        <w:tblInd w:w="0" w:type="dxa"/>
        <w:tblCellMar>
          <w:top w:w="0" w:type="dxa"/>
          <w:left w:w="0" w:type="dxa"/>
          <w:bottom w:w="0" w:type="dxa"/>
          <w:right w:w="0" w:type="dxa"/>
        </w:tblCellMar>
      </w:tblPr>
      <w:tblGrid>
        <w:gridCol w:w="47"/>
        <w:gridCol w:w="118"/>
        <w:gridCol w:w="10040"/>
      </w:tblGrid>
      <w:tr>
        <w:trPr/>
        <w:tc>
          <w:tcPr>
            <w:tcW w:w="4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40" w:type="dxa"/>
            <w:tcBorders/>
            <w:shd w:fill="auto" w:val="clear"/>
            <w:vAlign w:val="center"/>
          </w:tcPr>
          <w:p>
            <w:pPr>
              <w:pStyle w:val="TableContents"/>
              <w:spacing w:before="0" w:after="283"/>
              <w:jc w:val="both"/>
              <w:rPr>
                <w:sz w:val="17"/>
              </w:rPr>
            </w:pPr>
            <w:r>
              <w:rPr>
                <w:sz w:val="17"/>
              </w:rPr>
              <w:t>We employ all our employees, including the named executive officers, “at will” without any employment contracts.</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None of our employees, including the named executive officers, are entitled to any payment or accelerated benefit upon change in control of the Company unless benefits are provided for in compensation plans that apply to all participants.</w:t>
            </w:r>
          </w:p>
        </w:tc>
      </w:tr>
    </w:tbl>
    <w:tbl>
      <w:tblPr>
        <w:tblW w:w="5000" w:type="pct"/>
        <w:jc w:val="left"/>
        <w:tblInd w:w="0" w:type="dxa"/>
        <w:tblCellMar>
          <w:top w:w="0" w:type="dxa"/>
          <w:left w:w="0" w:type="dxa"/>
          <w:bottom w:w="0" w:type="dxa"/>
          <w:right w:w="0" w:type="dxa"/>
        </w:tblCellMar>
      </w:tblPr>
      <w:tblGrid>
        <w:gridCol w:w="45"/>
        <w:gridCol w:w="114"/>
        <w:gridCol w:w="10046"/>
      </w:tblGrid>
      <w:tr>
        <w:trPr/>
        <w:tc>
          <w:tcPr>
            <w:tcW w:w="4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46" w:type="dxa"/>
            <w:tcBorders/>
            <w:shd w:fill="auto" w:val="clear"/>
            <w:vAlign w:val="center"/>
          </w:tcPr>
          <w:p>
            <w:pPr>
              <w:pStyle w:val="TableContents"/>
              <w:spacing w:before="0" w:after="283"/>
              <w:jc w:val="both"/>
              <w:rPr>
                <w:sz w:val="17"/>
              </w:rPr>
            </w:pPr>
            <w:r>
              <w:rPr>
                <w:sz w:val="17"/>
              </w:rPr>
              <w:t>We do not have a prospective severance plan that covers any of our employees, including the named executive officers.</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We do not pay the tax liability associated with reimbursements for the relatively modest perquisites we provide the named executive officers (i.e., no gross-ups).</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All U.S.-based salaried employees, including the named executive officers, receive equivalent benefits and those benefits are similar to the benefits provided to our hourly-paid manufacturing employees.</w:t>
            </w:r>
          </w:p>
        </w:tc>
      </w:tr>
    </w:tbl>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are asking our stockholders to vote “FOR” the adoption of the following resolution:</w:t>
      </w:r>
    </w:p>
    <w:p>
      <w:pPr>
        <w:pStyle w:val="TextBody"/>
        <w:spacing w:before="0" w:after="20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stockholders approve, on an advisory basis, the compensation of the Company’s named executive officers, as disclosed in this Proxy Statement pursuant to Item 402 of Regulation S-K in the Compensation Discussion and Analysis, the compensation tables, and related narrative and tabular disclosures.”</w:t>
      </w:r>
    </w:p>
    <w:p>
      <w:pPr>
        <w:pStyle w:val="TextBody"/>
        <w:spacing w:before="0" w:after="24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APPROVAL OF THE COMPENSATION OF THE NAMED EXECUTIVE OFFICERS AS DISCLOSED IN THE EXECUTIVE COMPENSATION SECTION OF THIS PROXY STATEMENT.</w:t>
      </w:r>
    </w:p>
    <w:p>
      <w:pPr>
        <w:pStyle w:val="TextBody"/>
        <w:spacing w:before="240" w:after="200"/>
        <w:ind w:left="240" w:right="240" w:hanging="0"/>
        <w:jc w:val="center"/>
        <w:rPr>
          <w:rFonts w:ascii="Times New Roman;Times;Serif" w:hAnsi="Times New Roman;Times;Serif"/>
          <w:b/>
          <w:i w:val="false"/>
          <w:caps w:val="false"/>
          <w:smallCaps w:val="false"/>
          <w:sz w:val="20"/>
        </w:rPr>
      </w:pPr>
      <w:bookmarkStart w:id="9" w:name="a_Toc307229164"/>
      <w:bookmarkEnd w:id="9"/>
      <w:r>
        <w:rPr>
          <w:rFonts w:ascii="Times New Roman;Times;Serif" w:hAnsi="Times New Roman;Times;Serif"/>
          <w:b/>
          <w:i w:val="false"/>
          <w:caps w:val="false"/>
          <w:smallCaps w:val="false"/>
          <w:sz w:val="20"/>
        </w:rPr>
        <w:t>4. Other Matters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our Board of Directors is not aware of any matters not referred to herein that might be presented for action at the 2014 Annual Meeting; however, if any other business should properly come before the meeting, votes may be cast in respect to such matters in accordance with the best judgment of the person or persons acting under the proxies.</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center"/>
        <w:rPr>
          <w:rFonts w:ascii="Times New Roman;Times;Serif" w:hAnsi="Times New Roman;Times;Serif"/>
          <w:b/>
          <w:i w:val="false"/>
          <w:caps w:val="false"/>
          <w:smallCaps w:val="false"/>
          <w:sz w:val="20"/>
        </w:rPr>
      </w:pPr>
      <w:bookmarkStart w:id="10" w:name="a_Toc339007549"/>
      <w:bookmarkEnd w:id="10"/>
      <w:r>
        <w:rPr>
          <w:rFonts w:ascii="Times New Roman;Times;Serif" w:hAnsi="Times New Roman;Times;Serif"/>
          <w:b/>
          <w:i w:val="false"/>
          <w:caps w:val="false"/>
          <w:smallCaps w:val="false"/>
          <w:sz w:val="20"/>
        </w:rPr>
        <w:t>CORPORATE GOVERNANCE MATTERS</w:t>
      </w:r>
    </w:p>
    <w:p>
      <w:pPr>
        <w:pStyle w:val="TextBody"/>
        <w:spacing w:before="0" w:after="200"/>
        <w:jc w:val="center"/>
        <w:rPr>
          <w:rFonts w:ascii="Times New Roman;Times;Serif" w:hAnsi="Times New Roman;Times;Serif"/>
          <w:b/>
          <w:i w:val="false"/>
          <w:caps w:val="false"/>
          <w:smallCaps w:val="false"/>
          <w:sz w:val="20"/>
        </w:rPr>
      </w:pPr>
      <w:bookmarkStart w:id="11" w:name="a_Toc339007550"/>
      <w:bookmarkEnd w:id="11"/>
      <w:r>
        <w:rPr>
          <w:rFonts w:ascii="Times New Roman;Times;Serif" w:hAnsi="Times New Roman;Times;Serif"/>
          <w:b/>
          <w:i w:val="false"/>
          <w:caps w:val="false"/>
          <w:smallCaps w:val="false"/>
          <w:sz w:val="20"/>
        </w:rPr>
        <w:t>Controlled Company Status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the Company is a “controlled company” within the meaning of the NYSE Corporate Governance Standards. This determination is based on the fact that Class B Stock having more than 50% of the aggregate voting power of our Common Stock and Class B Stock is owned by Jaffee Investment Partnership, L.P., a Delaware limited partnership of which Richard M. Jaffee, his spouse Shirley H. Jaffee and Daniel S. Jaffee are general partners. The remaining three general partners are all children of Richard M. and Shirley H. Jaffee. Richard M. Jaffee has eight of the 20 total votes of the general partners and his spouse also has eight votes.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“controlled company” we are entitled to rely on exemptions from the NYSE Corporate Governance Standards that would otherwise require the Company to: (a) have a board of directors the majority of which is comprised of independent directors; (b) have a nominating/corporate governance committee comprised entirely of independent directors; and (c) have a compensation committee comprised entirely of independent directors. We have elected to rely on all three of these exemptions.</w:t>
      </w:r>
    </w:p>
    <w:p>
      <w:pPr>
        <w:pStyle w:val="TextBody"/>
        <w:spacing w:before="0" w:after="200"/>
        <w:jc w:val="center"/>
        <w:rPr>
          <w:rFonts w:ascii="Times New Roman;Times;Serif" w:hAnsi="Times New Roman;Times;Serif"/>
          <w:b/>
          <w:i w:val="false"/>
          <w:caps w:val="false"/>
          <w:smallCaps w:val="false"/>
          <w:sz w:val="20"/>
        </w:rPr>
      </w:pPr>
      <w:bookmarkStart w:id="12" w:name="a_Toc339007551"/>
      <w:bookmarkEnd w:id="12"/>
      <w:r>
        <w:rPr>
          <w:rFonts w:ascii="Times New Roman;Times;Serif" w:hAnsi="Times New Roman;Times;Serif"/>
          <w:b/>
          <w:i w:val="false"/>
          <w:caps w:val="false"/>
          <w:smallCaps w:val="false"/>
          <w:sz w:val="20"/>
        </w:rPr>
        <w:t>Director Independence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the directors listed below are independent from our management within the meaning of the SEC’s rules and the NYSE Corporate Governance Standards:</w:t>
      </w:r>
    </w:p>
    <w:tbl>
      <w:tblPr>
        <w:tblW w:w="2545" w:type="dxa"/>
        <w:jc w:val="center"/>
        <w:tblInd w:w="0" w:type="dxa"/>
        <w:tblCellMar>
          <w:top w:w="0" w:type="dxa"/>
          <w:left w:w="0" w:type="dxa"/>
          <w:bottom w:w="0" w:type="dxa"/>
          <w:right w:w="0" w:type="dxa"/>
        </w:tblCellMar>
      </w:tblPr>
      <w:tblGrid>
        <w:gridCol w:w="1010"/>
        <w:gridCol w:w="1535"/>
      </w:tblGrid>
      <w:tr>
        <w:trPr/>
        <w:tc>
          <w:tcPr>
            <w:tcW w:w="1010" w:type="dxa"/>
            <w:tcBorders/>
            <w:shd w:fill="auto" w:val="clear"/>
            <w:vAlign w:val="center"/>
          </w:tcPr>
          <w:p>
            <w:pPr>
              <w:pStyle w:val="TableContents"/>
              <w:spacing w:before="0" w:after="283"/>
              <w:jc w:val="left"/>
              <w:rPr>
                <w:sz w:val="17"/>
              </w:rPr>
            </w:pPr>
            <w:r>
              <w:rPr>
                <w:sz w:val="17"/>
              </w:rPr>
              <w:t>J. Steven Cole</w:t>
            </w:r>
          </w:p>
        </w:tc>
        <w:tc>
          <w:tcPr>
            <w:tcW w:w="1535" w:type="dxa"/>
            <w:tcBorders/>
            <w:shd w:fill="auto" w:val="clear"/>
            <w:vAlign w:val="center"/>
          </w:tcPr>
          <w:p>
            <w:pPr>
              <w:pStyle w:val="TableContents"/>
              <w:spacing w:before="0" w:after="283"/>
              <w:jc w:val="left"/>
              <w:rPr>
                <w:sz w:val="17"/>
              </w:rPr>
            </w:pPr>
            <w:r>
              <w:rPr>
                <w:sz w:val="17"/>
              </w:rPr>
              <w:t>Paul E. Suckow</w:t>
            </w:r>
          </w:p>
        </w:tc>
      </w:tr>
      <w:tr>
        <w:trPr/>
        <w:tc>
          <w:tcPr>
            <w:tcW w:w="1010" w:type="dxa"/>
            <w:tcBorders/>
            <w:shd w:fill="auto" w:val="clear"/>
            <w:vAlign w:val="center"/>
          </w:tcPr>
          <w:p>
            <w:pPr>
              <w:pStyle w:val="TableContents"/>
              <w:spacing w:before="0" w:after="283"/>
              <w:jc w:val="left"/>
              <w:rPr>
                <w:sz w:val="17"/>
              </w:rPr>
            </w:pPr>
            <w:r>
              <w:rPr>
                <w:sz w:val="17"/>
              </w:rPr>
              <w:t>Allan H. Selig</w:t>
            </w:r>
          </w:p>
        </w:tc>
        <w:tc>
          <w:tcPr>
            <w:tcW w:w="1535" w:type="dxa"/>
            <w:tcBorders/>
            <w:shd w:fill="auto" w:val="clear"/>
            <w:vAlign w:val="center"/>
          </w:tcPr>
          <w:p>
            <w:pPr>
              <w:pStyle w:val="TableContents"/>
              <w:spacing w:before="0" w:after="283"/>
              <w:jc w:val="left"/>
              <w:rPr>
                <w:sz w:val="17"/>
              </w:rPr>
            </w:pPr>
            <w:r>
              <w:rPr>
                <w:sz w:val="17"/>
              </w:rPr>
              <w:t>Lawrence E. Washow</w:t>
            </w:r>
          </w:p>
        </w:tc>
      </w:tr>
    </w:tbl>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Board of Directors has not adopted any categorical standards for independence, in making these determinations the Board of Directors noted that none of Messrs. Cole, Selig, Suckow and Washow:</w:t>
      </w:r>
    </w:p>
    <w:tbl>
      <w:tblPr>
        <w:tblW w:w="5000" w:type="pct"/>
        <w:jc w:val="left"/>
        <w:tblInd w:w="0" w:type="dxa"/>
        <w:tblCellMar>
          <w:top w:w="0" w:type="dxa"/>
          <w:left w:w="0" w:type="dxa"/>
          <w:bottom w:w="0" w:type="dxa"/>
          <w:right w:w="0" w:type="dxa"/>
        </w:tblCellMar>
      </w:tblPr>
      <w:tblGrid>
        <w:gridCol w:w="42"/>
        <w:gridCol w:w="241"/>
        <w:gridCol w:w="9922"/>
      </w:tblGrid>
      <w:tr>
        <w:trPr/>
        <w:tc>
          <w:tcPr>
            <w:tcW w:w="4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17"/>
              </w:rPr>
            </w:pPr>
            <w:r>
              <w:rPr>
                <w:sz w:val="17"/>
              </w:rPr>
              <w:t>(a)</w:t>
            </w:r>
          </w:p>
        </w:tc>
        <w:tc>
          <w:tcPr>
            <w:tcW w:w="9922" w:type="dxa"/>
            <w:tcBorders/>
            <w:shd w:fill="auto" w:val="clear"/>
            <w:vAlign w:val="center"/>
          </w:tcPr>
          <w:p>
            <w:pPr>
              <w:pStyle w:val="TableContents"/>
              <w:spacing w:before="0" w:after="283"/>
              <w:jc w:val="both"/>
              <w:rPr>
                <w:sz w:val="17"/>
              </w:rPr>
            </w:pPr>
            <w:r>
              <w:rPr>
                <w:sz w:val="17"/>
              </w:rPr>
              <w:t>receives direct compensation from the Company other than director annual retainers and meeting fees paid to current directors;</w:t>
            </w:r>
          </w:p>
        </w:tc>
      </w:tr>
    </w:tbl>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17"/>
              </w:rPr>
            </w:pPr>
            <w:r>
              <w:rPr>
                <w:sz w:val="17"/>
              </w:rPr>
              <w:t>(b)</w:t>
            </w:r>
          </w:p>
        </w:tc>
        <w:tc>
          <w:tcPr>
            <w:tcW w:w="9939" w:type="dxa"/>
            <w:tcBorders/>
            <w:shd w:fill="auto" w:val="clear"/>
            <w:vAlign w:val="center"/>
          </w:tcPr>
          <w:p>
            <w:pPr>
              <w:pStyle w:val="TableContents"/>
              <w:spacing w:before="0" w:after="283"/>
              <w:jc w:val="both"/>
              <w:rPr>
                <w:sz w:val="17"/>
              </w:rPr>
            </w:pPr>
            <w:r>
              <w:rPr>
                <w:sz w:val="17"/>
              </w:rPr>
              <w:t>has any relationship with the Company or a third party that would preclude independence under the NYSE Corporate Governance Standards; or</w:t>
            </w:r>
          </w:p>
        </w:tc>
      </w:tr>
    </w:tbl>
    <w:tbl>
      <w:tblPr>
        <w:tblW w:w="5000" w:type="pct"/>
        <w:jc w:val="left"/>
        <w:tblInd w:w="0" w:type="dxa"/>
        <w:tblCellMar>
          <w:top w:w="0" w:type="dxa"/>
          <w:left w:w="0" w:type="dxa"/>
          <w:bottom w:w="0" w:type="dxa"/>
          <w:right w:w="0" w:type="dxa"/>
        </w:tblCellMar>
      </w:tblPr>
      <w:tblGrid>
        <w:gridCol w:w="70"/>
        <w:gridCol w:w="402"/>
        <w:gridCol w:w="9733"/>
      </w:tblGrid>
      <w:tr>
        <w:trPr/>
        <w:tc>
          <w:tcPr>
            <w:tcW w:w="7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17"/>
              </w:rPr>
            </w:pPr>
            <w:r>
              <w:rPr>
                <w:sz w:val="17"/>
              </w:rPr>
              <w:t>(c)</w:t>
            </w:r>
          </w:p>
        </w:tc>
        <w:tc>
          <w:tcPr>
            <w:tcW w:w="9733" w:type="dxa"/>
            <w:tcBorders/>
            <w:shd w:fill="auto" w:val="clear"/>
            <w:vAlign w:val="center"/>
          </w:tcPr>
          <w:p>
            <w:pPr>
              <w:pStyle w:val="TableContents"/>
              <w:spacing w:before="0" w:after="283"/>
              <w:jc w:val="both"/>
              <w:rPr>
                <w:sz w:val="17"/>
              </w:rPr>
            </w:pPr>
            <w:r>
              <w:rPr>
                <w:sz w:val="17"/>
              </w:rPr>
              <w:t>has any other material relationship with the Company and its management.</w:t>
            </w:r>
          </w:p>
        </w:tc>
      </w:tr>
    </w:tbl>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last three years, we have not made any contributions in excess of $1 million or 2% of our consolidated gross revenues to any tax-exempt organization in which an independent director serves as an executive officer.</w:t>
      </w:r>
    </w:p>
    <w:p>
      <w:pPr>
        <w:pStyle w:val="TextBody"/>
        <w:spacing w:before="0" w:after="200"/>
        <w:jc w:val="center"/>
        <w:rPr>
          <w:rFonts w:ascii="Times New Roman;Times;Serif" w:hAnsi="Times New Roman;Times;Serif"/>
          <w:b/>
          <w:i w:val="false"/>
          <w:caps w:val="false"/>
          <w:smallCaps w:val="false"/>
          <w:sz w:val="20"/>
        </w:rPr>
      </w:pPr>
      <w:bookmarkStart w:id="13" w:name="a_Toc339007552"/>
      <w:bookmarkEnd w:id="13"/>
      <w:r>
        <w:rPr>
          <w:rFonts w:ascii="Times New Roman;Times;Serif" w:hAnsi="Times New Roman;Times;Serif"/>
          <w:b/>
          <w:i w:val="false"/>
          <w:caps w:val="false"/>
          <w:smallCaps w:val="false"/>
          <w:sz w:val="20"/>
        </w:rPr>
        <w:t>Executive Sessions of Non-Management Directors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Non-management directors meet in executive sessions of our Board of Directors in which management directors (Messrs. Richard M. and Daniel S. Jaffee) and other members of management do not participate. These sessions are scheduled for non-management directors at all regular meetings of our Board of Directors. Under our Corporate Governance Guidelines, the chairman of our Audit Committee (currently Mr. Suckow) presides at all executive sessions of non-management and independent directors unless otherwise determined by the directors attending any given executive session.</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center"/>
        <w:rPr>
          <w:rFonts w:ascii="Times New Roman;Times;Serif" w:hAnsi="Times New Roman;Times;Serif"/>
          <w:b/>
          <w:i w:val="false"/>
          <w:caps w:val="false"/>
          <w:smallCaps w:val="false"/>
          <w:sz w:val="20"/>
        </w:rPr>
      </w:pPr>
      <w:bookmarkStart w:id="14" w:name="a_Toc339007553"/>
      <w:bookmarkEnd w:id="14"/>
      <w:r>
        <w:rPr>
          <w:rFonts w:ascii="Times New Roman;Times;Serif" w:hAnsi="Times New Roman;Times;Serif"/>
          <w:b/>
          <w:i w:val="false"/>
          <w:caps w:val="false"/>
          <w:smallCaps w:val="false"/>
          <w:sz w:val="20"/>
        </w:rPr>
        <w:t>Board of Directors Committee Membership and Meetings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current membership of the committees of our Board of Directors.</w:t>
      </w:r>
    </w:p>
    <w:tbl>
      <w:tblPr>
        <w:tblW w:w="3755" w:type="dxa"/>
        <w:jc w:val="center"/>
        <w:tblInd w:w="0" w:type="dxa"/>
        <w:tblCellMar>
          <w:top w:w="0" w:type="dxa"/>
          <w:left w:w="0" w:type="dxa"/>
          <w:bottom w:w="40" w:type="dxa"/>
          <w:right w:w="0" w:type="dxa"/>
        </w:tblCellMar>
      </w:tblPr>
      <w:tblGrid>
        <w:gridCol w:w="1535"/>
        <w:gridCol w:w="425"/>
        <w:gridCol w:w="1055"/>
        <w:gridCol w:w="740"/>
      </w:tblGrid>
      <w:tr>
        <w:trPr/>
        <w:tc>
          <w:tcPr>
            <w:tcW w:w="1535" w:type="dxa"/>
            <w:tcBorders>
              <w:bottom w:val="single" w:sz="8" w:space="0" w:color="000000"/>
            </w:tcBorders>
            <w:shd w:fill="auto" w:val="clear"/>
            <w:vAlign w:val="center"/>
          </w:tcPr>
          <w:p>
            <w:pPr>
              <w:pStyle w:val="TableContents"/>
              <w:spacing w:before="0" w:after="283"/>
              <w:jc w:val="left"/>
              <w:rPr>
                <w:b/>
                <w:sz w:val="17"/>
              </w:rPr>
            </w:pPr>
            <w:r>
              <w:rPr>
                <w:b/>
                <w:sz w:val="17"/>
              </w:rPr>
              <w:t>Name</w:t>
            </w:r>
          </w:p>
        </w:tc>
        <w:tc>
          <w:tcPr>
            <w:tcW w:w="425" w:type="dxa"/>
            <w:tcBorders>
              <w:bottom w:val="single" w:sz="8" w:space="0" w:color="000000"/>
            </w:tcBorders>
            <w:shd w:fill="auto" w:val="clear"/>
            <w:vAlign w:val="center"/>
          </w:tcPr>
          <w:p>
            <w:pPr>
              <w:pStyle w:val="TableContents"/>
              <w:spacing w:before="0" w:after="283"/>
              <w:jc w:val="center"/>
              <w:rPr>
                <w:b/>
                <w:sz w:val="17"/>
              </w:rPr>
            </w:pPr>
            <w:r>
              <w:rPr>
                <w:b/>
                <w:sz w:val="17"/>
              </w:rPr>
              <w:t>Audit</w:t>
            </w:r>
          </w:p>
        </w:tc>
        <w:tc>
          <w:tcPr>
            <w:tcW w:w="1055" w:type="dxa"/>
            <w:tcBorders>
              <w:bottom w:val="single" w:sz="8" w:space="0" w:color="000000"/>
            </w:tcBorders>
            <w:shd w:fill="auto" w:val="clear"/>
            <w:vAlign w:val="center"/>
          </w:tcPr>
          <w:p>
            <w:pPr>
              <w:pStyle w:val="TableContents"/>
              <w:spacing w:before="0" w:after="283"/>
              <w:jc w:val="center"/>
              <w:rPr>
                <w:b/>
                <w:sz w:val="17"/>
              </w:rPr>
            </w:pPr>
            <w:r>
              <w:rPr>
                <w:b/>
                <w:sz w:val="17"/>
              </w:rPr>
              <w:t>Compensation</w:t>
            </w:r>
          </w:p>
        </w:tc>
        <w:tc>
          <w:tcPr>
            <w:tcW w:w="740" w:type="dxa"/>
            <w:tcBorders>
              <w:bottom w:val="single" w:sz="8" w:space="0" w:color="000000"/>
            </w:tcBorders>
            <w:shd w:fill="auto" w:val="clear"/>
            <w:vAlign w:val="center"/>
          </w:tcPr>
          <w:p>
            <w:pPr>
              <w:pStyle w:val="TableContents"/>
              <w:spacing w:before="0" w:after="283"/>
              <w:jc w:val="center"/>
              <w:rPr>
                <w:b/>
                <w:sz w:val="17"/>
              </w:rPr>
            </w:pPr>
            <w:r>
              <w:rPr>
                <w:b/>
                <w:sz w:val="17"/>
              </w:rPr>
              <w:t>Executive</w:t>
            </w:r>
          </w:p>
        </w:tc>
      </w:tr>
      <w:tr>
        <w:trPr/>
        <w:tc>
          <w:tcPr>
            <w:tcW w:w="1535" w:type="dxa"/>
            <w:tcBorders/>
            <w:shd w:fill="CCEEFF" w:val="clear"/>
            <w:tcMar>
              <w:bottom w:w="0" w:type="dxa"/>
            </w:tcMar>
            <w:vAlign w:val="center"/>
          </w:tcPr>
          <w:p>
            <w:pPr>
              <w:pStyle w:val="TableContents"/>
              <w:spacing w:before="0" w:after="283"/>
              <w:jc w:val="left"/>
              <w:rPr>
                <w:sz w:val="17"/>
              </w:rPr>
            </w:pPr>
            <w:r>
              <w:rPr>
                <w:sz w:val="17"/>
              </w:rPr>
              <w:t>J. Steven Cole</w:t>
            </w:r>
          </w:p>
        </w:tc>
        <w:tc>
          <w:tcPr>
            <w:tcW w:w="425" w:type="dxa"/>
            <w:tcBorders/>
            <w:shd w:fill="CCEEFF" w:val="clear"/>
            <w:tcMar>
              <w:bottom w:w="0" w:type="dxa"/>
            </w:tcMar>
            <w:vAlign w:val="center"/>
          </w:tcPr>
          <w:p>
            <w:pPr>
              <w:pStyle w:val="TableContents"/>
              <w:spacing w:before="0" w:after="283"/>
              <w:jc w:val="center"/>
              <w:rPr>
                <w:sz w:val="17"/>
              </w:rPr>
            </w:pPr>
            <w:r>
              <w:rPr>
                <w:sz w:val="17"/>
              </w:rPr>
              <w:tab/>
              <w:t>X</w:t>
            </w:r>
          </w:p>
        </w:tc>
        <w:tc>
          <w:tcPr>
            <w:tcW w:w="1055" w:type="dxa"/>
            <w:tcBorders/>
            <w:shd w:fill="CCEEFF" w:val="clear"/>
            <w:tcMar>
              <w:bottom w:w="0" w:type="dxa"/>
            </w:tcMar>
            <w:vAlign w:val="center"/>
          </w:tcPr>
          <w:p>
            <w:pPr>
              <w:pStyle w:val="TableContents"/>
              <w:spacing w:before="0" w:after="283"/>
              <w:jc w:val="left"/>
              <w:rPr/>
            </w:pPr>
            <w:r>
              <w:rPr/>
              <w:t> </w:t>
            </w:r>
          </w:p>
        </w:tc>
        <w:tc>
          <w:tcPr>
            <w:tcW w:w="740" w:type="dxa"/>
            <w:tcBorders/>
            <w:shd w:fill="CCEEFF" w:val="clear"/>
            <w:tcMar>
              <w:bottom w:w="0" w:type="dxa"/>
            </w:tcMar>
            <w:vAlign w:val="center"/>
          </w:tcPr>
          <w:p>
            <w:pPr>
              <w:pStyle w:val="TableContents"/>
              <w:spacing w:before="0" w:after="283"/>
              <w:jc w:val="center"/>
              <w:rPr>
                <w:sz w:val="17"/>
              </w:rPr>
            </w:pPr>
            <w:r>
              <w:rPr>
                <w:sz w:val="17"/>
              </w:rPr>
              <w:tab/>
              <w:t>X</w:t>
            </w:r>
          </w:p>
        </w:tc>
      </w:tr>
      <w:tr>
        <w:trPr/>
        <w:tc>
          <w:tcPr>
            <w:tcW w:w="1535" w:type="dxa"/>
            <w:tcBorders/>
            <w:shd w:fill="FFFFFF" w:val="clear"/>
            <w:tcMar>
              <w:bottom w:w="0" w:type="dxa"/>
            </w:tcMar>
            <w:vAlign w:val="center"/>
          </w:tcPr>
          <w:p>
            <w:pPr>
              <w:pStyle w:val="TableContents"/>
              <w:spacing w:before="0" w:after="283"/>
              <w:jc w:val="left"/>
              <w:rPr>
                <w:sz w:val="17"/>
              </w:rPr>
            </w:pPr>
            <w:r>
              <w:rPr>
                <w:sz w:val="17"/>
              </w:rPr>
              <w:t>Daniel S. Jaffee</w:t>
            </w:r>
          </w:p>
        </w:tc>
        <w:tc>
          <w:tcPr>
            <w:tcW w:w="425" w:type="dxa"/>
            <w:tcBorders/>
            <w:shd w:fill="FFFFFF" w:val="clear"/>
            <w:tcMar>
              <w:bottom w:w="0" w:type="dxa"/>
            </w:tcMar>
            <w:vAlign w:val="center"/>
          </w:tcPr>
          <w:p>
            <w:pPr>
              <w:pStyle w:val="TableContents"/>
              <w:spacing w:before="0" w:after="283"/>
              <w:jc w:val="left"/>
              <w:rPr/>
            </w:pPr>
            <w:r>
              <w:rPr/>
              <w:t> </w:t>
            </w:r>
          </w:p>
        </w:tc>
        <w:tc>
          <w:tcPr>
            <w:tcW w:w="1055" w:type="dxa"/>
            <w:tcBorders/>
            <w:shd w:fill="FFFFFF" w:val="clear"/>
            <w:tcMar>
              <w:bottom w:w="0" w:type="dxa"/>
            </w:tcMar>
            <w:vAlign w:val="center"/>
          </w:tcPr>
          <w:p>
            <w:pPr>
              <w:pStyle w:val="TableContents"/>
              <w:spacing w:before="0" w:after="283"/>
              <w:jc w:val="left"/>
              <w:rPr/>
            </w:pPr>
            <w:r>
              <w:rPr/>
              <w:t> </w:t>
            </w:r>
          </w:p>
        </w:tc>
        <w:tc>
          <w:tcPr>
            <w:tcW w:w="740" w:type="dxa"/>
            <w:tcBorders/>
            <w:shd w:fill="FFFFFF" w:val="clear"/>
            <w:tcMar>
              <w:bottom w:w="0" w:type="dxa"/>
            </w:tcMar>
            <w:vAlign w:val="center"/>
          </w:tcPr>
          <w:p>
            <w:pPr>
              <w:pStyle w:val="TableContents"/>
              <w:spacing w:before="0" w:after="283"/>
              <w:jc w:val="center"/>
              <w:rPr>
                <w:sz w:val="17"/>
              </w:rPr>
            </w:pPr>
            <w:r>
              <w:rPr>
                <w:sz w:val="17"/>
              </w:rPr>
              <w:tab/>
              <w:t>X</w:t>
            </w:r>
          </w:p>
        </w:tc>
      </w:tr>
      <w:tr>
        <w:trPr/>
        <w:tc>
          <w:tcPr>
            <w:tcW w:w="1535" w:type="dxa"/>
            <w:tcBorders/>
            <w:shd w:fill="CCEEFF" w:val="clear"/>
            <w:tcMar>
              <w:bottom w:w="0" w:type="dxa"/>
            </w:tcMar>
            <w:vAlign w:val="center"/>
          </w:tcPr>
          <w:p>
            <w:pPr>
              <w:pStyle w:val="TableContents"/>
              <w:spacing w:before="0" w:after="283"/>
              <w:jc w:val="left"/>
              <w:rPr>
                <w:sz w:val="17"/>
              </w:rPr>
            </w:pPr>
            <w:r>
              <w:rPr>
                <w:sz w:val="17"/>
              </w:rPr>
              <w:t>Richard M. Jaffee</w:t>
            </w:r>
          </w:p>
        </w:tc>
        <w:tc>
          <w:tcPr>
            <w:tcW w:w="425" w:type="dxa"/>
            <w:tcBorders/>
            <w:shd w:fill="CCEEFF" w:val="clear"/>
            <w:tcMar>
              <w:bottom w:w="0" w:type="dxa"/>
            </w:tcMar>
            <w:vAlign w:val="center"/>
          </w:tcPr>
          <w:p>
            <w:pPr>
              <w:pStyle w:val="TableContents"/>
              <w:spacing w:before="0" w:after="283"/>
              <w:jc w:val="left"/>
              <w:rPr/>
            </w:pPr>
            <w:r>
              <w:rPr/>
              <w:t> </w:t>
            </w:r>
          </w:p>
        </w:tc>
        <w:tc>
          <w:tcPr>
            <w:tcW w:w="1055" w:type="dxa"/>
            <w:tcBorders/>
            <w:shd w:fill="CCEEFF" w:val="clear"/>
            <w:tcMar>
              <w:bottom w:w="0" w:type="dxa"/>
            </w:tcMar>
            <w:vAlign w:val="center"/>
          </w:tcPr>
          <w:p>
            <w:pPr>
              <w:pStyle w:val="TableContents"/>
              <w:spacing w:before="0" w:after="283"/>
              <w:jc w:val="left"/>
              <w:rPr/>
            </w:pPr>
            <w:r>
              <w:rPr/>
              <w:t> </w:t>
            </w:r>
          </w:p>
        </w:tc>
        <w:tc>
          <w:tcPr>
            <w:tcW w:w="740" w:type="dxa"/>
            <w:tcBorders/>
            <w:shd w:fill="CCEEFF" w:val="clear"/>
            <w:tcMar>
              <w:bottom w:w="0" w:type="dxa"/>
            </w:tcMar>
            <w:vAlign w:val="center"/>
          </w:tcPr>
          <w:p>
            <w:pPr>
              <w:pStyle w:val="TableContents"/>
              <w:spacing w:before="0" w:after="283"/>
              <w:jc w:val="center"/>
              <w:rPr>
                <w:sz w:val="17"/>
              </w:rPr>
            </w:pPr>
            <w:r>
              <w:rPr>
                <w:sz w:val="17"/>
              </w:rPr>
              <w:tab/>
              <w:t>X*</w:t>
            </w:r>
          </w:p>
        </w:tc>
      </w:tr>
      <w:tr>
        <w:trPr/>
        <w:tc>
          <w:tcPr>
            <w:tcW w:w="1535" w:type="dxa"/>
            <w:tcBorders/>
            <w:shd w:fill="FFFFFF" w:val="clear"/>
            <w:tcMar>
              <w:bottom w:w="0" w:type="dxa"/>
            </w:tcMar>
            <w:vAlign w:val="center"/>
          </w:tcPr>
          <w:p>
            <w:pPr>
              <w:pStyle w:val="TableContents"/>
              <w:spacing w:before="0" w:after="283"/>
              <w:jc w:val="left"/>
              <w:rPr>
                <w:sz w:val="17"/>
              </w:rPr>
            </w:pPr>
            <w:r>
              <w:rPr>
                <w:sz w:val="17"/>
              </w:rPr>
              <w:t>Joseph C. Miller</w:t>
            </w:r>
          </w:p>
        </w:tc>
        <w:tc>
          <w:tcPr>
            <w:tcW w:w="425" w:type="dxa"/>
            <w:tcBorders/>
            <w:shd w:fill="FFFFFF" w:val="clear"/>
            <w:tcMar>
              <w:bottom w:w="0" w:type="dxa"/>
            </w:tcMar>
            <w:vAlign w:val="center"/>
          </w:tcPr>
          <w:p>
            <w:pPr>
              <w:pStyle w:val="TableContents"/>
              <w:spacing w:before="0" w:after="283"/>
              <w:jc w:val="left"/>
              <w:rPr/>
            </w:pPr>
            <w:r>
              <w:rPr/>
              <w:t> </w:t>
            </w:r>
          </w:p>
        </w:tc>
        <w:tc>
          <w:tcPr>
            <w:tcW w:w="1055" w:type="dxa"/>
            <w:tcBorders/>
            <w:shd w:fill="FFFFFF" w:val="clear"/>
            <w:tcMar>
              <w:bottom w:w="0" w:type="dxa"/>
            </w:tcMar>
            <w:vAlign w:val="center"/>
          </w:tcPr>
          <w:p>
            <w:pPr>
              <w:pStyle w:val="TableContents"/>
              <w:spacing w:before="0" w:after="283"/>
              <w:jc w:val="center"/>
              <w:rPr>
                <w:sz w:val="17"/>
              </w:rPr>
            </w:pPr>
            <w:r>
              <w:rPr>
                <w:sz w:val="17"/>
              </w:rPr>
              <w:tab/>
              <w:t>X</w:t>
            </w:r>
          </w:p>
        </w:tc>
        <w:tc>
          <w:tcPr>
            <w:tcW w:w="740" w:type="dxa"/>
            <w:tcBorders/>
            <w:shd w:fill="FFFFFF" w:val="clear"/>
            <w:tcMar>
              <w:bottom w:w="0" w:type="dxa"/>
            </w:tcMar>
            <w:vAlign w:val="center"/>
          </w:tcPr>
          <w:p>
            <w:pPr>
              <w:pStyle w:val="TableContents"/>
              <w:spacing w:before="0" w:after="283"/>
              <w:jc w:val="left"/>
              <w:rPr/>
            </w:pPr>
            <w:r>
              <w:rPr/>
              <w:t> </w:t>
            </w:r>
          </w:p>
        </w:tc>
      </w:tr>
      <w:tr>
        <w:trPr/>
        <w:tc>
          <w:tcPr>
            <w:tcW w:w="1535" w:type="dxa"/>
            <w:tcBorders/>
            <w:shd w:fill="CCEEFF" w:val="clear"/>
            <w:tcMar>
              <w:bottom w:w="0" w:type="dxa"/>
            </w:tcMar>
            <w:vAlign w:val="center"/>
          </w:tcPr>
          <w:p>
            <w:pPr>
              <w:pStyle w:val="TableContents"/>
              <w:spacing w:before="0" w:after="283"/>
              <w:jc w:val="left"/>
              <w:rPr>
                <w:sz w:val="17"/>
              </w:rPr>
            </w:pPr>
            <w:r>
              <w:rPr>
                <w:sz w:val="17"/>
              </w:rPr>
              <w:t>Michael A. Nemeroff</w:t>
            </w:r>
          </w:p>
        </w:tc>
        <w:tc>
          <w:tcPr>
            <w:tcW w:w="425" w:type="dxa"/>
            <w:tcBorders/>
            <w:shd w:fill="CCEEFF" w:val="clear"/>
            <w:tcMar>
              <w:bottom w:w="0" w:type="dxa"/>
            </w:tcMar>
            <w:vAlign w:val="center"/>
          </w:tcPr>
          <w:p>
            <w:pPr>
              <w:pStyle w:val="TableContents"/>
              <w:spacing w:before="0" w:after="283"/>
              <w:jc w:val="left"/>
              <w:rPr/>
            </w:pPr>
            <w:r>
              <w:rPr/>
              <w:t> </w:t>
            </w:r>
          </w:p>
        </w:tc>
        <w:tc>
          <w:tcPr>
            <w:tcW w:w="1055" w:type="dxa"/>
            <w:tcBorders/>
            <w:shd w:fill="CCEEFF" w:val="clear"/>
            <w:tcMar>
              <w:bottom w:w="0" w:type="dxa"/>
            </w:tcMar>
            <w:vAlign w:val="center"/>
          </w:tcPr>
          <w:p>
            <w:pPr>
              <w:pStyle w:val="TableContents"/>
              <w:spacing w:before="0" w:after="283"/>
              <w:jc w:val="center"/>
              <w:rPr>
                <w:sz w:val="17"/>
              </w:rPr>
            </w:pPr>
            <w:r>
              <w:rPr>
                <w:sz w:val="17"/>
              </w:rPr>
              <w:tab/>
              <w:t>X</w:t>
            </w:r>
          </w:p>
        </w:tc>
        <w:tc>
          <w:tcPr>
            <w:tcW w:w="740" w:type="dxa"/>
            <w:tcBorders/>
            <w:shd w:fill="CCEEFF" w:val="clear"/>
            <w:tcMar>
              <w:bottom w:w="0" w:type="dxa"/>
            </w:tcMar>
            <w:vAlign w:val="center"/>
          </w:tcPr>
          <w:p>
            <w:pPr>
              <w:pStyle w:val="TableContents"/>
              <w:spacing w:before="0" w:after="283"/>
              <w:jc w:val="left"/>
              <w:rPr/>
            </w:pPr>
            <w:r>
              <w:rPr/>
              <w:t> </w:t>
            </w:r>
          </w:p>
        </w:tc>
      </w:tr>
      <w:tr>
        <w:trPr/>
        <w:tc>
          <w:tcPr>
            <w:tcW w:w="1535" w:type="dxa"/>
            <w:tcBorders/>
            <w:shd w:fill="FFFFFF" w:val="clear"/>
            <w:tcMar>
              <w:bottom w:w="0" w:type="dxa"/>
            </w:tcMar>
            <w:vAlign w:val="center"/>
          </w:tcPr>
          <w:p>
            <w:pPr>
              <w:pStyle w:val="TableContents"/>
              <w:spacing w:before="0" w:after="283"/>
              <w:jc w:val="left"/>
              <w:rPr>
                <w:sz w:val="17"/>
              </w:rPr>
            </w:pPr>
            <w:r>
              <w:rPr>
                <w:sz w:val="17"/>
              </w:rPr>
              <w:t>Allan H. Selig</w:t>
            </w:r>
          </w:p>
        </w:tc>
        <w:tc>
          <w:tcPr>
            <w:tcW w:w="425" w:type="dxa"/>
            <w:tcBorders/>
            <w:shd w:fill="FFFFFF" w:val="clear"/>
            <w:tcMar>
              <w:bottom w:w="0" w:type="dxa"/>
            </w:tcMar>
            <w:vAlign w:val="center"/>
          </w:tcPr>
          <w:p>
            <w:pPr>
              <w:pStyle w:val="TableContents"/>
              <w:spacing w:before="0" w:after="283"/>
              <w:jc w:val="left"/>
              <w:rPr/>
            </w:pPr>
            <w:r>
              <w:rPr/>
              <w:t> </w:t>
            </w:r>
          </w:p>
        </w:tc>
        <w:tc>
          <w:tcPr>
            <w:tcW w:w="1055" w:type="dxa"/>
            <w:tcBorders/>
            <w:shd w:fill="FFFFFF" w:val="clear"/>
            <w:tcMar>
              <w:bottom w:w="0" w:type="dxa"/>
            </w:tcMar>
            <w:vAlign w:val="center"/>
          </w:tcPr>
          <w:p>
            <w:pPr>
              <w:pStyle w:val="TableContents"/>
              <w:spacing w:before="0" w:after="283"/>
              <w:jc w:val="center"/>
              <w:rPr>
                <w:sz w:val="17"/>
              </w:rPr>
            </w:pPr>
            <w:r>
              <w:rPr>
                <w:sz w:val="17"/>
              </w:rPr>
              <w:tab/>
              <w:t>X*</w:t>
            </w:r>
          </w:p>
        </w:tc>
        <w:tc>
          <w:tcPr>
            <w:tcW w:w="740" w:type="dxa"/>
            <w:tcBorders/>
            <w:shd w:fill="FFFFFF" w:val="clear"/>
            <w:tcMar>
              <w:bottom w:w="0" w:type="dxa"/>
            </w:tcMar>
            <w:vAlign w:val="center"/>
          </w:tcPr>
          <w:p>
            <w:pPr>
              <w:pStyle w:val="TableContents"/>
              <w:spacing w:before="0" w:after="283"/>
              <w:jc w:val="left"/>
              <w:rPr/>
            </w:pPr>
            <w:r>
              <w:rPr/>
              <w:t> </w:t>
            </w:r>
          </w:p>
        </w:tc>
      </w:tr>
      <w:tr>
        <w:trPr/>
        <w:tc>
          <w:tcPr>
            <w:tcW w:w="1535" w:type="dxa"/>
            <w:tcBorders/>
            <w:shd w:fill="CCEEFF" w:val="clear"/>
            <w:tcMar>
              <w:bottom w:w="0" w:type="dxa"/>
            </w:tcMar>
            <w:vAlign w:val="center"/>
          </w:tcPr>
          <w:p>
            <w:pPr>
              <w:pStyle w:val="TableContents"/>
              <w:spacing w:before="0" w:after="283"/>
              <w:jc w:val="left"/>
              <w:rPr>
                <w:sz w:val="17"/>
              </w:rPr>
            </w:pPr>
            <w:r>
              <w:rPr>
                <w:sz w:val="17"/>
              </w:rPr>
              <w:t>Paul E. Suckow</w:t>
            </w:r>
          </w:p>
        </w:tc>
        <w:tc>
          <w:tcPr>
            <w:tcW w:w="425" w:type="dxa"/>
            <w:tcBorders/>
            <w:shd w:fill="CCEEFF" w:val="clear"/>
            <w:tcMar>
              <w:bottom w:w="0" w:type="dxa"/>
            </w:tcMar>
            <w:vAlign w:val="center"/>
          </w:tcPr>
          <w:p>
            <w:pPr>
              <w:pStyle w:val="TableContents"/>
              <w:spacing w:before="0" w:after="283"/>
              <w:jc w:val="center"/>
              <w:rPr>
                <w:sz w:val="17"/>
              </w:rPr>
            </w:pPr>
            <w:r>
              <w:rPr>
                <w:sz w:val="17"/>
              </w:rPr>
              <w:tab/>
              <w:t>X*</w:t>
            </w:r>
          </w:p>
        </w:tc>
        <w:tc>
          <w:tcPr>
            <w:tcW w:w="1055" w:type="dxa"/>
            <w:tcBorders/>
            <w:shd w:fill="CCEEFF" w:val="clear"/>
            <w:tcMar>
              <w:bottom w:w="0" w:type="dxa"/>
            </w:tcMar>
            <w:vAlign w:val="center"/>
          </w:tcPr>
          <w:p>
            <w:pPr>
              <w:pStyle w:val="TableContents"/>
              <w:spacing w:before="0" w:after="283"/>
              <w:jc w:val="left"/>
              <w:rPr/>
            </w:pPr>
            <w:r>
              <w:rPr/>
              <w:t> </w:t>
            </w:r>
          </w:p>
        </w:tc>
        <w:tc>
          <w:tcPr>
            <w:tcW w:w="740" w:type="dxa"/>
            <w:tcBorders/>
            <w:shd w:fill="CCEEFF" w:val="clear"/>
            <w:tcMar>
              <w:bottom w:w="0" w:type="dxa"/>
            </w:tcMar>
            <w:vAlign w:val="center"/>
          </w:tcPr>
          <w:p>
            <w:pPr>
              <w:pStyle w:val="TableContents"/>
              <w:spacing w:before="0" w:after="283"/>
              <w:jc w:val="left"/>
              <w:rPr/>
            </w:pPr>
            <w:r>
              <w:rPr/>
              <w:t> </w:t>
            </w:r>
          </w:p>
        </w:tc>
      </w:tr>
      <w:tr>
        <w:trPr/>
        <w:tc>
          <w:tcPr>
            <w:tcW w:w="1535" w:type="dxa"/>
            <w:tcBorders>
              <w:bottom w:val="single" w:sz="8" w:space="0" w:color="000000"/>
            </w:tcBorders>
            <w:shd w:fill="FFFFFF" w:val="clear"/>
            <w:vAlign w:val="center"/>
          </w:tcPr>
          <w:p>
            <w:pPr>
              <w:pStyle w:val="TableContents"/>
              <w:spacing w:before="0" w:after="283"/>
              <w:jc w:val="left"/>
              <w:rPr>
                <w:sz w:val="17"/>
              </w:rPr>
            </w:pPr>
            <w:r>
              <w:rPr>
                <w:sz w:val="17"/>
              </w:rPr>
              <w:t>Lawrence E. Washow</w:t>
            </w:r>
          </w:p>
        </w:tc>
        <w:tc>
          <w:tcPr>
            <w:tcW w:w="425" w:type="dxa"/>
            <w:tcBorders>
              <w:bottom w:val="single" w:sz="8" w:space="0" w:color="000000"/>
            </w:tcBorders>
            <w:shd w:fill="FFFFFF" w:val="clear"/>
            <w:vAlign w:val="center"/>
          </w:tcPr>
          <w:p>
            <w:pPr>
              <w:pStyle w:val="TableContents"/>
              <w:spacing w:before="0" w:after="283"/>
              <w:jc w:val="center"/>
              <w:rPr>
                <w:sz w:val="17"/>
              </w:rPr>
            </w:pPr>
            <w:r>
              <w:rPr>
                <w:sz w:val="17"/>
              </w:rPr>
              <w:tab/>
              <w:t>X</w:t>
            </w:r>
          </w:p>
        </w:tc>
        <w:tc>
          <w:tcPr>
            <w:tcW w:w="1055" w:type="dxa"/>
            <w:tcBorders>
              <w:bottom w:val="single" w:sz="8" w:space="0" w:color="000000"/>
            </w:tcBorders>
            <w:shd w:fill="FFFFFF" w:val="clear"/>
            <w:vAlign w:val="center"/>
          </w:tcPr>
          <w:p>
            <w:pPr>
              <w:pStyle w:val="TableContents"/>
              <w:spacing w:before="0" w:after="283"/>
              <w:jc w:val="left"/>
              <w:rPr/>
            </w:pPr>
            <w:r>
              <w:rPr/>
              <w:t> </w:t>
            </w:r>
          </w:p>
        </w:tc>
        <w:tc>
          <w:tcPr>
            <w:tcW w:w="740" w:type="dxa"/>
            <w:tcBorders>
              <w:bottom w:val="single" w:sz="8" w:space="0" w:color="000000"/>
            </w:tcBorders>
            <w:shd w:fill="FFFFFF" w:val="clear"/>
            <w:vAlign w:val="center"/>
          </w:tcPr>
          <w:p>
            <w:pPr>
              <w:pStyle w:val="TableContents"/>
              <w:spacing w:before="0" w:after="283"/>
              <w:jc w:val="left"/>
              <w:rPr/>
            </w:pPr>
            <w:r>
              <w:rPr/>
              <w:t> </w:t>
            </w:r>
          </w:p>
        </w:tc>
      </w:tr>
      <w:tr>
        <w:trPr/>
        <w:tc>
          <w:tcPr>
            <w:tcW w:w="1535" w:type="dxa"/>
            <w:tcBorders/>
            <w:shd w:fill="CCEEFF" w:val="clear"/>
            <w:tcMar>
              <w:bottom w:w="0" w:type="dxa"/>
            </w:tcMar>
            <w:vAlign w:val="center"/>
          </w:tcPr>
          <w:p>
            <w:pPr>
              <w:pStyle w:val="TableContents"/>
              <w:spacing w:before="0" w:after="283"/>
              <w:jc w:val="left"/>
              <w:rPr/>
            </w:pPr>
            <w:r>
              <w:rPr>
                <w:sz w:val="17"/>
              </w:rPr>
              <w:t>Number of Meetings</w:t>
            </w:r>
            <w:r>
              <w:rPr/>
              <w:br/>
            </w:r>
            <w:r>
              <w:rPr>
                <w:sz w:val="17"/>
              </w:rPr>
              <w:t>in Fiscal 2014</w:t>
            </w:r>
          </w:p>
        </w:tc>
        <w:tc>
          <w:tcPr>
            <w:tcW w:w="425" w:type="dxa"/>
            <w:tcBorders/>
            <w:shd w:fill="CCEEFF" w:val="clear"/>
            <w:tcMar>
              <w:bottom w:w="0" w:type="dxa"/>
            </w:tcMar>
            <w:vAlign w:val="center"/>
          </w:tcPr>
          <w:p>
            <w:pPr>
              <w:pStyle w:val="TableContents"/>
              <w:spacing w:before="0" w:after="283"/>
              <w:jc w:val="center"/>
              <w:rPr>
                <w:sz w:val="17"/>
              </w:rPr>
            </w:pPr>
            <w:r>
              <w:rPr>
                <w:sz w:val="17"/>
              </w:rPr>
              <w:tab/>
              <w:t>4</w:t>
            </w:r>
          </w:p>
        </w:tc>
        <w:tc>
          <w:tcPr>
            <w:tcW w:w="1055" w:type="dxa"/>
            <w:tcBorders/>
            <w:shd w:fill="CCEEFF" w:val="clear"/>
            <w:tcMar>
              <w:bottom w:w="0" w:type="dxa"/>
            </w:tcMar>
            <w:vAlign w:val="center"/>
          </w:tcPr>
          <w:p>
            <w:pPr>
              <w:pStyle w:val="TableContents"/>
              <w:spacing w:before="0" w:after="283"/>
              <w:jc w:val="center"/>
              <w:rPr>
                <w:sz w:val="17"/>
              </w:rPr>
            </w:pPr>
            <w:r>
              <w:rPr>
                <w:sz w:val="17"/>
              </w:rPr>
              <w:tab/>
              <w:t>1</w:t>
            </w:r>
          </w:p>
        </w:tc>
        <w:tc>
          <w:tcPr>
            <w:tcW w:w="740" w:type="dxa"/>
            <w:tcBorders/>
            <w:shd w:fill="CCEEFF" w:val="clear"/>
            <w:tcMar>
              <w:bottom w:w="0" w:type="dxa"/>
            </w:tcMar>
            <w:vAlign w:val="center"/>
          </w:tcPr>
          <w:p>
            <w:pPr>
              <w:pStyle w:val="TableContents"/>
              <w:spacing w:before="0" w:after="283"/>
              <w:jc w:val="center"/>
              <w:rPr>
                <w:sz w:val="17"/>
              </w:rPr>
            </w:pPr>
            <w:r>
              <w:rPr>
                <w:sz w:val="17"/>
              </w:rPr>
              <w:tab/>
              <w:t>0</w:t>
            </w:r>
          </w:p>
        </w:tc>
      </w:tr>
      <w:tr>
        <w:trPr/>
        <w:tc>
          <w:tcPr>
            <w:tcW w:w="3755" w:type="dxa"/>
            <w:gridSpan w:val="4"/>
            <w:tcBorders/>
            <w:shd w:fill="FFFFFF" w:val="clear"/>
            <w:tcMar>
              <w:bottom w:w="0" w:type="dxa"/>
            </w:tcMar>
            <w:vAlign w:val="center"/>
          </w:tcPr>
          <w:p>
            <w:pPr>
              <w:pStyle w:val="TableContents"/>
              <w:spacing w:before="0" w:after="283"/>
              <w:jc w:val="left"/>
              <w:rPr>
                <w:sz w:val="17"/>
              </w:rPr>
            </w:pPr>
            <w:r>
              <w:rPr>
                <w:sz w:val="17"/>
              </w:rPr>
              <w:t>* Chairman</w:t>
            </w:r>
          </w:p>
        </w:tc>
      </w:tr>
    </w:tbl>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2014, our Board of Directors held five meetings. Each director attended 100% of the aggregate number of meetings of our Board of Directors and each director (other than Mr. Cole) attended 100% of the aggregate number of meetings of the committees on which he served. Mr. Cole attended 75% of the aggregate number of meetings of our Audit Committee.</w:t>
      </w:r>
    </w:p>
    <w:p>
      <w:pPr>
        <w:pStyle w:val="TextBody"/>
        <w:spacing w:before="0" w:after="20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spacing w:before="0" w:after="1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Charter sets out the duties and responsibilities of our Audit Committee. Those duties include, without limitation:</w:t>
      </w:r>
    </w:p>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 xml:space="preserve">selection and appointment of the independent auditor, review of its independence and of other services provided by it, and of the fees and other arrangements regarding its services; </w:t>
            </w:r>
          </w:p>
        </w:tc>
      </w:tr>
    </w:tbl>
    <w:tbl>
      <w:tblPr>
        <w:tblW w:w="5000" w:type="pct"/>
        <w:jc w:val="left"/>
        <w:tblInd w:w="0" w:type="dxa"/>
        <w:tblCellMar>
          <w:top w:w="0" w:type="dxa"/>
          <w:left w:w="0" w:type="dxa"/>
          <w:bottom w:w="0" w:type="dxa"/>
          <w:right w:w="0" w:type="dxa"/>
        </w:tblCellMar>
      </w:tblPr>
      <w:tblGrid>
        <w:gridCol w:w="39"/>
        <w:gridCol w:w="99"/>
        <w:gridCol w:w="10067"/>
      </w:tblGrid>
      <w:tr>
        <w:trPr/>
        <w:tc>
          <w:tcPr>
            <w:tcW w:w="39"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67" w:type="dxa"/>
            <w:tcBorders/>
            <w:shd w:fill="auto" w:val="clear"/>
            <w:vAlign w:val="center"/>
          </w:tcPr>
          <w:p>
            <w:pPr>
              <w:pStyle w:val="TableContents"/>
              <w:spacing w:before="0" w:after="283"/>
              <w:jc w:val="both"/>
              <w:rPr>
                <w:sz w:val="17"/>
              </w:rPr>
            </w:pPr>
            <w:r>
              <w:rPr>
                <w:sz w:val="17"/>
              </w:rPr>
              <w:t>review with the independent auditor and management of the scope of the audit, and of significant financial reporting issues and judgments;</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review with the independent auditor and management of the annual audited financial statements and of the quarterly financial statements and press releases;</w:t>
            </w:r>
          </w:p>
        </w:tc>
      </w:tr>
    </w:tbl>
    <w:tbl>
      <w:tblPr>
        <w:tblW w:w="5000" w:type="pct"/>
        <w:jc w:val="left"/>
        <w:tblInd w:w="0" w:type="dxa"/>
        <w:tblCellMar>
          <w:top w:w="0" w:type="dxa"/>
          <w:left w:w="0" w:type="dxa"/>
          <w:bottom w:w="0" w:type="dxa"/>
          <w:right w:w="0" w:type="dxa"/>
        </w:tblCellMar>
      </w:tblPr>
      <w:tblGrid>
        <w:gridCol w:w="50"/>
        <w:gridCol w:w="128"/>
        <w:gridCol w:w="10027"/>
      </w:tblGrid>
      <w:tr>
        <w:trPr/>
        <w:tc>
          <w:tcPr>
            <w:tcW w:w="5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7" w:type="dxa"/>
            <w:tcBorders/>
            <w:shd w:fill="auto" w:val="clear"/>
            <w:vAlign w:val="center"/>
          </w:tcPr>
          <w:p>
            <w:pPr>
              <w:pStyle w:val="TableContents"/>
              <w:spacing w:before="0" w:after="283"/>
              <w:jc w:val="both"/>
              <w:rPr>
                <w:sz w:val="17"/>
              </w:rPr>
            </w:pPr>
            <w:r>
              <w:rPr>
                <w:sz w:val="17"/>
              </w:rPr>
              <w:t>review with the independent auditor and management of the quality and adequacy of internal controls; and</w:t>
            </w:r>
          </w:p>
        </w:tc>
      </w:tr>
    </w:tbl>
    <w:tbl>
      <w:tblPr>
        <w:tblW w:w="5000" w:type="pct"/>
        <w:jc w:val="left"/>
        <w:tblInd w:w="0" w:type="dxa"/>
        <w:tblCellMar>
          <w:top w:w="0" w:type="dxa"/>
          <w:left w:w="0" w:type="dxa"/>
          <w:bottom w:w="0" w:type="dxa"/>
          <w:right w:w="0" w:type="dxa"/>
        </w:tblCellMar>
      </w:tblPr>
      <w:tblGrid>
        <w:gridCol w:w="62"/>
        <w:gridCol w:w="157"/>
        <w:gridCol w:w="9986"/>
      </w:tblGrid>
      <w:tr>
        <w:trPr/>
        <w:tc>
          <w:tcPr>
            <w:tcW w:w="6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9986" w:type="dxa"/>
            <w:tcBorders/>
            <w:shd w:fill="auto" w:val="clear"/>
            <w:vAlign w:val="center"/>
          </w:tcPr>
          <w:p>
            <w:pPr>
              <w:pStyle w:val="TableContents"/>
              <w:spacing w:before="0" w:after="283"/>
              <w:jc w:val="both"/>
              <w:rPr>
                <w:sz w:val="17"/>
              </w:rPr>
            </w:pPr>
            <w:r>
              <w:rPr>
                <w:sz w:val="17"/>
              </w:rPr>
              <w:t>preparation of the report required by SEC rules to be included in this Proxy Statement.</w:t>
            </w:r>
          </w:p>
        </w:tc>
      </w:tr>
    </w:tbl>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each member of our Audit Committee meets the independence and experience requirements of the NYSE. Our Board of Directors also has determined that each member of our Audit Committee is an “audit committee financial expert” within the meaning of SEC rules and that each member meets the accounting or related financial management expertise standard required by NYSE rules.</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spacing w:before="0" w:after="1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responsible for review and general oversight of our compensation programs, including all programs in which our executive officers participate. Specifically, our Compensation Committee is responsible for:</w:t>
      </w:r>
    </w:p>
    <w:tbl>
      <w:tblPr>
        <w:tblW w:w="5000" w:type="pct"/>
        <w:jc w:val="left"/>
        <w:tblInd w:w="0" w:type="dxa"/>
        <w:tblCellMar>
          <w:top w:w="0" w:type="dxa"/>
          <w:left w:w="0" w:type="dxa"/>
          <w:bottom w:w="0" w:type="dxa"/>
          <w:right w:w="0" w:type="dxa"/>
        </w:tblCellMar>
      </w:tblPr>
      <w:tblGrid>
        <w:gridCol w:w="42"/>
        <w:gridCol w:w="105"/>
        <w:gridCol w:w="10058"/>
      </w:tblGrid>
      <w:tr>
        <w:trPr/>
        <w:tc>
          <w:tcPr>
            <w:tcW w:w="42"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8" w:type="dxa"/>
            <w:tcBorders/>
            <w:shd w:fill="auto" w:val="clear"/>
            <w:vAlign w:val="center"/>
          </w:tcPr>
          <w:p>
            <w:pPr>
              <w:pStyle w:val="TableContents"/>
              <w:spacing w:before="0" w:after="283"/>
              <w:jc w:val="both"/>
              <w:rPr>
                <w:sz w:val="17"/>
              </w:rPr>
            </w:pPr>
            <w:r>
              <w:rPr>
                <w:sz w:val="17"/>
              </w:rPr>
              <w:t>determining the compensation, including benefits, of our CEO after reviewing the recommendation of the Chairman of the Board;</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determining the reasonableness of and approving the compensation of our other executive officers as recommended by our CEO (subject to our CEO’s authority to make changes in compensation under certain circumstances during the course of a fiscal year);</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 during the course of a fiscal year) and setting payout ranges for our CEO;</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administration of our equity incentive plans with assistance from our human resources staff and granting awards under those plans to employees, including our executive officers, and to non-employee directors; and</w:t>
            </w:r>
          </w:p>
        </w:tc>
      </w:tr>
    </w:tbl>
    <w:tbl>
      <w:tblPr>
        <w:tblW w:w="5000" w:type="pct"/>
        <w:jc w:val="left"/>
        <w:tblInd w:w="0" w:type="dxa"/>
        <w:tblCellMar>
          <w:top w:w="0" w:type="dxa"/>
          <w:left w:w="0" w:type="dxa"/>
          <w:bottom w:w="0" w:type="dxa"/>
          <w:right w:w="0" w:type="dxa"/>
        </w:tblCellMar>
      </w:tblPr>
      <w:tblGrid>
        <w:gridCol w:w="53"/>
        <w:gridCol w:w="134"/>
        <w:gridCol w:w="10018"/>
      </w:tblGrid>
      <w:tr>
        <w:trPr/>
        <w:tc>
          <w:tcPr>
            <w:tcW w:w="5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18" w:type="dxa"/>
            <w:tcBorders/>
            <w:shd w:fill="auto" w:val="clear"/>
            <w:vAlign w:val="center"/>
          </w:tcPr>
          <w:p>
            <w:pPr>
              <w:pStyle w:val="TableContents"/>
              <w:spacing w:before="0" w:after="283"/>
              <w:jc w:val="both"/>
              <w:rPr>
                <w:sz w:val="17"/>
              </w:rPr>
            </w:pPr>
            <w:r>
              <w:rPr>
                <w:sz w:val="17"/>
              </w:rPr>
              <w:t>making recommendations to our Board of Directors or stockholders on compensation-related matters.</w:t>
            </w:r>
          </w:p>
        </w:tc>
      </w:tr>
    </w:tbl>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carrying out these responsibilities, our Compensation Committee acts on recommendations from and consults with the Chairman of the Board and our CEO. During fiscal 2014, our Compensation Committee did not retain an executive compensation consultant. Additional details of our processes and procedures for considering and determining executive compensation are in the Compensation Discussion and Analysis.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allowed by a “controlled company” exemption from the NYSE Corporate Governance Standards, our Compensation Committee is not comprised entirely of independent directors; two members, Messrs. Miller and Nemeroff, have not been determined by our Board of Directors to be independent directors. As also allowed by this “controlled company” exemption, our Compensation Committee does not have a written charter.</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members of our Compensation Committee, Messrs. Selig and Miller, are non-employee directors within the meaning of Rule 16b-3 under the Securities Exchange Act of 1934, as amended, and are authorized to act independently with respect to awards made under our equity incentive plans to individuals subject to Section 16 of that act, including our executive officers and directors.</w:t>
      </w:r>
    </w:p>
    <w:p>
      <w:pPr>
        <w:pStyle w:val="TextBody"/>
        <w:spacing w:before="0" w:after="200"/>
        <w:jc w:val="center"/>
        <w:rPr>
          <w:rFonts w:ascii="Times New Roman;Times;Serif" w:hAnsi="Times New Roman;Times;Serif"/>
          <w:b/>
          <w:i w:val="false"/>
          <w:caps w:val="false"/>
          <w:smallCaps w:val="false"/>
          <w:sz w:val="20"/>
        </w:rPr>
      </w:pPr>
      <w:bookmarkStart w:id="15" w:name="a_Toc339007554"/>
      <w:bookmarkEnd w:id="15"/>
      <w:r>
        <w:rPr>
          <w:rFonts w:ascii="Times New Roman;Times;Serif" w:hAnsi="Times New Roman;Times;Serif"/>
          <w:b/>
          <w:i w:val="false"/>
          <w:caps w:val="false"/>
          <w:smallCaps w:val="false"/>
          <w:sz w:val="20"/>
        </w:rPr>
        <w:t>Compensation Committee Interlocks and Insider Participation</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exception of Mr. Miller, who served as an officer of the Company from 1989 to 2000, none of the members of our Compensation Committee is or ever has been an executive officer or employee of the Company. Mr. Nemeroff, a member of our Compensation Committee, is President and Chief Executive Officer of Vedder Price P.C., a law firm that regularly provides services to the Company. There are no Compensation Committee interlocks as defined by SEC rules.</w:t>
      </w:r>
    </w:p>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Committee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Committee has all of the powers and authority of our Board of Directors in the management of our business and other affairs, subject only to any limitations provided for in our Certificate of Incorporation and Amended and Restated By-Laws (each as amended from time to time) or imposed by applicable law or the NYSE Corporate Governance Standards. Our Executive Committee does not have a written charter. Our Executive Committee did not hold any meetings during fiscal 2014 and historically has only exercised its authority to act on behalf of the Board of Directors in limited circumstances.</w:t>
      </w:r>
    </w:p>
    <w:p>
      <w:pPr>
        <w:pStyle w:val="TextBody"/>
        <w:spacing w:before="0" w:after="200"/>
        <w:jc w:val="center"/>
        <w:rPr>
          <w:rFonts w:ascii="Times New Roman;Times;Serif" w:hAnsi="Times New Roman;Times;Serif"/>
          <w:b/>
          <w:i w:val="false"/>
          <w:caps w:val="false"/>
          <w:smallCaps w:val="false"/>
          <w:sz w:val="20"/>
        </w:rPr>
      </w:pPr>
      <w:bookmarkStart w:id="16" w:name="a_Toc339007555"/>
      <w:bookmarkEnd w:id="16"/>
      <w:r>
        <w:rPr>
          <w:rFonts w:ascii="Times New Roman;Times;Serif" w:hAnsi="Times New Roman;Times;Serif"/>
          <w:b/>
          <w:i w:val="false"/>
          <w:caps w:val="false"/>
          <w:smallCaps w:val="false"/>
          <w:sz w:val="20"/>
        </w:rPr>
        <w:t>Director Nominations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allowed by a “controlled company” exemption from the NYSE Corporate Governance Standards, we do not have a standing nominating committee or other committee of our Board of Directors performing a similar function. As a “controlled company,” and with five of our eight current directors having served on our Board of Directors for at least 10 years, the Board of Directors believes it is appropriate for the Company not to have a nominating committee. It has been our practice, as reflected in our Corporate Governance Guidelines, that our Chairman, Richard M. Jaffee, recommends to the entire Board of Directors candidates for nomination to the Board of Directors. Directors Richard M. Jaffee, Daniel S. Jaffee, Joseph C. Miller and Michael A. Nemeroff, who have not been determined by the Board of Directors to be independent, participate along with the independent directors in the nominating process. Our Board of Directors may also solicit ideas for possible candidates from a number of sources, including our executives, individuals personally known to members of the Board of Directors and executive search firms.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Governance Guidelines provide that a director who would be 75 years of age or older at the time of election may not stand for re-election unless our Board of Directors postpones or otherwise waives the age 75 service limit as to that director. At its October 16, 2014 meeting, our Board of Directors granted such a waiver with respect to Richard M. Jaffee, our Chairman, J. Steven Cole and Allan H. Selig, chairman of our Compensation Committee. Our Board of Directors considered a waiver of the age 75 service limit in these cases appropriate and in the best interests of the Company in light of Messrs. Jaffee’s, Cole’s and Selig’s valuable expertise and experience.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date we first mailed our proxy materials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of Directors; and any other information relating to such candidate that would be required to be disclosed in solicitations of proxies for elections of directors, or would otherwise be required, pursuant to SEC rules. 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candidates for director, our Board of Directors seeks directors who will best represent the long-term interests of our stockholders. The view of our Board of Directors is that all directors should possess the highest personal and professional ethics, integrity and values. In evaluating the suitability of the candidates, the Board of Directors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of Directors. Although we do not have a formal diversity policy, our Board of Directors considers diversity in evaluating candidates for membership to the Board of Directors. As outlined in our Corporate Governance Guidelines, the Board’s objective in choosing candidates is to assemble membership for each committee of the Board of Directors and our Board of Directors as a whole that represents diverse viewpoints that will guide the Company effectively in pursuit of its strategic goals.</w:t>
      </w:r>
    </w:p>
    <w:p>
      <w:pPr>
        <w:pStyle w:val="TextBody"/>
        <w:spacing w:before="0" w:after="200"/>
        <w:jc w:val="center"/>
        <w:rPr>
          <w:rFonts w:ascii="Times New Roman;Times;Serif" w:hAnsi="Times New Roman;Times;Serif"/>
          <w:b/>
          <w:i w:val="false"/>
          <w:caps w:val="false"/>
          <w:smallCaps w:val="false"/>
          <w:sz w:val="20"/>
        </w:rPr>
      </w:pPr>
      <w:bookmarkStart w:id="17" w:name="a_Toc339007556"/>
      <w:bookmarkEnd w:id="17"/>
      <w:r>
        <w:rPr>
          <w:rFonts w:ascii="Times New Roman;Times;Serif" w:hAnsi="Times New Roman;Times;Serif"/>
          <w:b/>
          <w:i w:val="false"/>
          <w:caps w:val="false"/>
          <w:smallCaps w:val="false"/>
          <w:sz w:val="20"/>
        </w:rPr>
        <w:t>Board Leadership Structure and Role in Risk Oversight</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does not have a policy regarding the separation of the roles of Chairman of the Board and Chief Executive Officer. Currently the roles are separate, but have been combined in the past. Under our Corporate Governance Guidelines, we believe that this issue is simply a part of the larger succession planning process and that it is in the best interests of the Company for the Board of Directors to make a specific determination whenever either office becomes vacant. Our Board of Directors receives regular reports from our CEO, COO, CFO and other members of our senior management regarding areas of significant risk to the Company, including operational, strategic, legal, regulatory and financial risks. Certain risks that are under the purview of a committee are monitored by that committee, which then reports to the full Board of Directors as appropriate. For example, our internal audit function, which identifies and manages a wide area of risk company-wide, reports to the Audit Committee and senior management, who in turn report significant developments to the full Board of Directors.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to the Compensation Committee and senior management, who in turn report significant developments to the full Board of Directors.</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center"/>
        <w:rPr>
          <w:rFonts w:ascii="Times New Roman;Times;Serif" w:hAnsi="Times New Roman;Times;Serif"/>
          <w:b/>
          <w:i w:val="false"/>
          <w:caps w:val="false"/>
          <w:smallCaps w:val="false"/>
          <w:sz w:val="20"/>
        </w:rPr>
      </w:pPr>
      <w:bookmarkStart w:id="18" w:name="a_Toc339007557"/>
      <w:bookmarkEnd w:id="18"/>
      <w:r>
        <w:rPr>
          <w:rFonts w:ascii="Times New Roman;Times;Serif" w:hAnsi="Times New Roman;Times;Serif"/>
          <w:b/>
          <w:i w:val="false"/>
          <w:caps w:val="false"/>
          <w:smallCaps w:val="false"/>
          <w:sz w:val="20"/>
        </w:rPr>
        <w:t>Communication with the Board of Directors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All but one of the members of the Board of Directors attended the 2013 annual meeting in person.</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at Oil-Dri Corporation of America, c/o Corporate Secretary, 410 North Michigan Avenue, Suite 400, Chicago, Illinois 60611-4213. Stockholders may also report concerns anonymously in this manner.</w:t>
      </w:r>
    </w:p>
    <w:p>
      <w:pPr>
        <w:pStyle w:val="TextBody"/>
        <w:spacing w:before="0" w:after="200"/>
        <w:jc w:val="center"/>
        <w:rPr>
          <w:rFonts w:ascii="Times New Roman;Times;Serif" w:hAnsi="Times New Roman;Times;Serif"/>
          <w:b/>
          <w:i w:val="false"/>
          <w:caps w:val="false"/>
          <w:smallCaps w:val="false"/>
          <w:sz w:val="20"/>
        </w:rPr>
      </w:pPr>
      <w:bookmarkStart w:id="19" w:name="a_Toc339007558"/>
      <w:bookmarkEnd w:id="19"/>
      <w:r>
        <w:rPr>
          <w:rFonts w:ascii="Times New Roman;Times;Serif" w:hAnsi="Times New Roman;Times;Serif"/>
          <w:b/>
          <w:i w:val="false"/>
          <w:caps w:val="false"/>
          <w:smallCaps w:val="false"/>
          <w:sz w:val="20"/>
        </w:rPr>
        <w:t>Director Compensation</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provide a competitive compensation program to attract and retain quality non-employee directors. The compensation received by our non-employee directors, other than Richard M. Jaffee (whose consulting agreement is described in the following paragraph), consists of an annual cash retainer of $18,000 for calendar year 2013 and $20,000 for calendar year 2014 and a $3,000 fee for each Board or committee meeting attended in person ($1,500 for attendance by phone). In addition, Mr. Suckow received an annual cash retainer of $12,000 for calendar year 2013 and $15,000 for calendar year 2014 as chairman of our Audit Committee and Mr. Selig received an annual cash retainer of $6,000 for calendar year 2013 and $7,500 for calendar year 2014 as chairman of our Compensation Committee. Employee directors do not receive additional compensation for their service on our Board of Directors. Mr. Miller also receives a pension benefit under our pension plan earned during his years of service as an employee. Directors are also reimbursed for expenses incurred in connection with attendance at meetings.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consulting agreement with Richard M. Jaffee, Chairman of our Board of Directors, that was originally entered into in October 1989 and has since been amended four times. The initial term of the agreement (as amended) expired on January 31, 2011; however, pursuant to the terms thereof, it automatically renews for successive one-year periods thereafter unless either party gives the other at least 90 days’ prior written notice of termination. No termination notice has been given by either party and thus the current renewal term of the agreement expires on January 31, 2016. Under the terms of the agreement, Mr. Jaffee performs all assignments given him from time to time by our Board of Directors or our CEO. He receives an annual consulting fee of $240,000; he does not receive a retainer or any meeting fees as director. We also provide him with an office and administrative support. In addition, we provide lifetime coverage to Mr. Jaffee and his spouse under our medical plan at no cost to them. This coverage is secondary to the coverage provided to them by Medicare. Because we have a self-insured medical plan, our cost for this coverage is the amount of any actual medical claims we pay. We also pay Mr. Jaffee an annuity of $45,725 annually that he earned during an earlier five years (2001 to 2006) of his consulting agreement. All directors are eligible to defer cash compensation that they receive from the Company into our executive deferred compensation plan. Mr. Jaffee chose to defer the full amount of his consulting fees and his annuity into our executive deferred compensation plan in fiscal 2014. Mr. Jaffee also receives a pension benefit under our pension plan earned during his years of service as an employee.</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about compensation paid to our directors for their service in fiscal 2014.</w:t>
      </w:r>
    </w:p>
    <w:p>
      <w:pPr>
        <w:pStyle w:val="TextBody"/>
        <w:spacing w:before="0" w:after="200"/>
        <w:jc w:val="center"/>
        <w:rPr>
          <w:rFonts w:ascii="Times New Roman;Times;Serif" w:hAnsi="Times New Roman;Times;Serif"/>
          <w:b/>
          <w:i w:val="false"/>
          <w:caps w:val="false"/>
          <w:smallCaps w:val="false"/>
          <w:sz w:val="20"/>
        </w:rPr>
      </w:pPr>
      <w:bookmarkStart w:id="20" w:name="a_Toc339007559"/>
      <w:bookmarkEnd w:id="20"/>
      <w:r>
        <w:rPr>
          <w:rFonts w:ascii="Times New Roman;Times;Serif" w:hAnsi="Times New Roman;Times;Serif"/>
          <w:b/>
          <w:i w:val="false"/>
          <w:caps w:val="false"/>
          <w:smallCaps w:val="false"/>
          <w:sz w:val="20"/>
        </w:rPr>
        <w:t>Director Compensation Table</w:t>
      </w:r>
    </w:p>
    <w:tbl>
      <w:tblPr>
        <w:tblW w:w="10205" w:type="dxa"/>
        <w:jc w:val="left"/>
        <w:tblInd w:w="0" w:type="dxa"/>
        <w:tblCellMar>
          <w:top w:w="0" w:type="dxa"/>
          <w:left w:w="0" w:type="dxa"/>
          <w:bottom w:w="28" w:type="dxa"/>
          <w:right w:w="0" w:type="dxa"/>
        </w:tblCellMar>
      </w:tblPr>
      <w:tblGrid>
        <w:gridCol w:w="1060"/>
        <w:gridCol w:w="60"/>
        <w:gridCol w:w="163"/>
        <w:gridCol w:w="793"/>
        <w:gridCol w:w="69"/>
        <w:gridCol w:w="60"/>
        <w:gridCol w:w="104"/>
        <w:gridCol w:w="666"/>
        <w:gridCol w:w="106"/>
        <w:gridCol w:w="60"/>
        <w:gridCol w:w="105"/>
        <w:gridCol w:w="673"/>
        <w:gridCol w:w="107"/>
        <w:gridCol w:w="60"/>
        <w:gridCol w:w="178"/>
        <w:gridCol w:w="1132"/>
        <w:gridCol w:w="180"/>
        <w:gridCol w:w="60"/>
        <w:gridCol w:w="308"/>
        <w:gridCol w:w="1496"/>
        <w:gridCol w:w="132"/>
        <w:gridCol w:w="60"/>
        <w:gridCol w:w="208"/>
        <w:gridCol w:w="1192"/>
        <w:gridCol w:w="90"/>
        <w:gridCol w:w="60"/>
        <w:gridCol w:w="140"/>
        <w:gridCol w:w="800"/>
        <w:gridCol w:w="83"/>
      </w:tblGrid>
      <w:tr>
        <w:trPr/>
        <w:tc>
          <w:tcPr>
            <w:tcW w:w="1060" w:type="dxa"/>
            <w:tcBorders>
              <w:bottom w:val="single" w:sz="8" w:space="0" w:color="000000"/>
            </w:tcBorders>
            <w:shd w:fill="auto" w:val="clear"/>
            <w:vAlign w:val="center"/>
          </w:tcPr>
          <w:p>
            <w:pPr>
              <w:pStyle w:val="TableContents"/>
              <w:spacing w:before="0" w:after="283"/>
              <w:jc w:val="left"/>
              <w:rPr>
                <w:b/>
              </w:rPr>
            </w:pPr>
            <w:r>
              <w:rPr>
                <w:b/>
              </w:rPr>
              <w:t>Name</w:t>
            </w:r>
          </w:p>
        </w:tc>
        <w:tc>
          <w:tcPr>
            <w:tcW w:w="60" w:type="dxa"/>
            <w:tcBorders>
              <w:bottom w:val="single" w:sz="8" w:space="0" w:color="000000"/>
            </w:tcBorders>
            <w:shd w:fill="auto" w:val="clear"/>
            <w:vAlign w:val="center"/>
          </w:tcPr>
          <w:p>
            <w:pPr>
              <w:pStyle w:val="TableContents"/>
              <w:spacing w:before="0" w:after="283"/>
              <w:rPr/>
            </w:pPr>
            <w:r>
              <w:rPr/>
              <w:t> </w:t>
            </w:r>
          </w:p>
        </w:tc>
        <w:tc>
          <w:tcPr>
            <w:tcW w:w="1025" w:type="dxa"/>
            <w:gridSpan w:val="3"/>
            <w:tcBorders>
              <w:bottom w:val="single" w:sz="8" w:space="0" w:color="000000"/>
            </w:tcBorders>
            <w:shd w:fill="auto" w:val="clear"/>
            <w:vAlign w:val="center"/>
          </w:tcPr>
          <w:p>
            <w:pPr>
              <w:pStyle w:val="TableContents"/>
              <w:spacing w:before="0" w:after="283"/>
              <w:jc w:val="center"/>
              <w:rPr>
                <w:b/>
              </w:rPr>
            </w:pPr>
            <w:r>
              <w:rPr>
                <w:b/>
              </w:rPr>
              <w:t xml:space="preserve">Fees Earned or Paid in Cash </w:t>
              <w:br/>
              <w:t>($)</w:t>
            </w:r>
          </w:p>
        </w:tc>
        <w:tc>
          <w:tcPr>
            <w:tcW w:w="60" w:type="dxa"/>
            <w:tcBorders>
              <w:bottom w:val="single" w:sz="8" w:space="0" w:color="000000"/>
            </w:tcBorders>
            <w:shd w:fill="auto" w:val="clear"/>
            <w:vAlign w:val="center"/>
          </w:tcPr>
          <w:p>
            <w:pPr>
              <w:pStyle w:val="TableContents"/>
              <w:spacing w:before="0" w:after="283"/>
              <w:rPr/>
            </w:pPr>
            <w:r>
              <w:rPr/>
              <w:t> </w:t>
            </w:r>
          </w:p>
        </w:tc>
        <w:tc>
          <w:tcPr>
            <w:tcW w:w="876" w:type="dxa"/>
            <w:gridSpan w:val="3"/>
            <w:tcBorders>
              <w:bottom w:val="single" w:sz="8" w:space="0" w:color="000000"/>
            </w:tcBorders>
            <w:shd w:fill="auto" w:val="clear"/>
            <w:vAlign w:val="center"/>
          </w:tcPr>
          <w:p>
            <w:pPr>
              <w:pStyle w:val="TableContents"/>
              <w:spacing w:before="0" w:after="283"/>
              <w:jc w:val="center"/>
              <w:rPr>
                <w:b/>
              </w:rPr>
            </w:pPr>
            <w:r>
              <w:rPr>
                <w:b/>
              </w:rPr>
              <w:t xml:space="preserve">Stock Awards </w:t>
              <w:br/>
              <w:t>($)</w:t>
            </w:r>
          </w:p>
        </w:tc>
        <w:tc>
          <w:tcPr>
            <w:tcW w:w="60" w:type="dxa"/>
            <w:tcBorders>
              <w:bottom w:val="single" w:sz="8" w:space="0" w:color="000000"/>
            </w:tcBorders>
            <w:shd w:fill="auto" w:val="clear"/>
            <w:vAlign w:val="center"/>
          </w:tcPr>
          <w:p>
            <w:pPr>
              <w:pStyle w:val="TableContents"/>
              <w:spacing w:before="0" w:after="283"/>
              <w:rPr/>
            </w:pPr>
            <w:r>
              <w:rPr/>
              <w:t> </w:t>
            </w:r>
          </w:p>
        </w:tc>
        <w:tc>
          <w:tcPr>
            <w:tcW w:w="885" w:type="dxa"/>
            <w:gridSpan w:val="3"/>
            <w:tcBorders>
              <w:bottom w:val="single" w:sz="8" w:space="0" w:color="000000"/>
            </w:tcBorders>
            <w:shd w:fill="auto" w:val="clear"/>
            <w:vAlign w:val="center"/>
          </w:tcPr>
          <w:p>
            <w:pPr>
              <w:pStyle w:val="TableContents"/>
              <w:spacing w:before="0" w:after="283"/>
              <w:jc w:val="center"/>
              <w:rPr>
                <w:b/>
              </w:rPr>
            </w:pPr>
            <w:r>
              <w:rPr>
                <w:b/>
              </w:rPr>
              <w:t xml:space="preserve">Option Awards </w:t>
              <w:br/>
              <w:t xml:space="preserve">($) </w:t>
              <w:br/>
              <w:t>(1)</w:t>
            </w:r>
          </w:p>
        </w:tc>
        <w:tc>
          <w:tcPr>
            <w:tcW w:w="60" w:type="dxa"/>
            <w:tcBorders>
              <w:bottom w:val="single" w:sz="8" w:space="0" w:color="000000"/>
            </w:tcBorders>
            <w:shd w:fill="auto" w:val="clear"/>
            <w:vAlign w:val="center"/>
          </w:tcPr>
          <w:p>
            <w:pPr>
              <w:pStyle w:val="TableContents"/>
              <w:spacing w:before="0" w:after="283"/>
              <w:rPr/>
            </w:pPr>
            <w:r>
              <w:rPr/>
              <w:t> </w:t>
            </w:r>
          </w:p>
        </w:tc>
        <w:tc>
          <w:tcPr>
            <w:tcW w:w="1490" w:type="dxa"/>
            <w:gridSpan w:val="3"/>
            <w:tcBorders>
              <w:bottom w:val="single" w:sz="8" w:space="0" w:color="000000"/>
            </w:tcBorders>
            <w:shd w:fill="auto" w:val="clear"/>
            <w:vAlign w:val="center"/>
          </w:tcPr>
          <w:p>
            <w:pPr>
              <w:pStyle w:val="TableContents"/>
              <w:spacing w:before="0" w:after="283"/>
              <w:jc w:val="center"/>
              <w:rPr>
                <w:b/>
              </w:rPr>
            </w:pPr>
            <w:r>
              <w:rPr>
                <w:b/>
              </w:rPr>
              <w:t>Non-Equity</w:t>
              <w:br/>
              <w:t>Incentive</w:t>
              <w:br/>
              <w:t>Compensation</w:t>
              <w:br/>
              <w:t>($)</w:t>
            </w:r>
          </w:p>
        </w:tc>
        <w:tc>
          <w:tcPr>
            <w:tcW w:w="60" w:type="dxa"/>
            <w:tcBorders>
              <w:bottom w:val="single" w:sz="8" w:space="0" w:color="000000"/>
            </w:tcBorders>
            <w:shd w:fill="auto" w:val="clear"/>
            <w:vAlign w:val="center"/>
          </w:tcPr>
          <w:p>
            <w:pPr>
              <w:pStyle w:val="TableContents"/>
              <w:spacing w:before="0" w:after="283"/>
              <w:rPr/>
            </w:pPr>
            <w:r>
              <w:rPr/>
              <w:t> </w:t>
            </w:r>
          </w:p>
        </w:tc>
        <w:tc>
          <w:tcPr>
            <w:tcW w:w="1936" w:type="dxa"/>
            <w:gridSpan w:val="3"/>
            <w:tcBorders>
              <w:bottom w:val="single" w:sz="8" w:space="0" w:color="000000"/>
            </w:tcBorders>
            <w:shd w:fill="auto" w:val="clear"/>
            <w:vAlign w:val="center"/>
          </w:tcPr>
          <w:p>
            <w:pPr>
              <w:pStyle w:val="TableContents"/>
              <w:spacing w:before="0" w:after="283"/>
              <w:jc w:val="center"/>
              <w:rPr>
                <w:b/>
              </w:rPr>
            </w:pPr>
            <w:r>
              <w:rPr>
                <w:b/>
              </w:rPr>
              <w:t xml:space="preserve">Change in Pension Value and Nonqualified Deferred Compensation Earnings </w:t>
              <w:br/>
              <w:t xml:space="preserve">($) </w:t>
              <w:br/>
              <w:t>(2)</w:t>
            </w:r>
          </w:p>
        </w:tc>
        <w:tc>
          <w:tcPr>
            <w:tcW w:w="60" w:type="dxa"/>
            <w:tcBorders>
              <w:bottom w:val="single" w:sz="8" w:space="0" w:color="000000"/>
            </w:tcBorders>
            <w:shd w:fill="auto" w:val="clear"/>
            <w:vAlign w:val="center"/>
          </w:tcPr>
          <w:p>
            <w:pPr>
              <w:pStyle w:val="TableContents"/>
              <w:spacing w:before="0" w:after="283"/>
              <w:rPr/>
            </w:pPr>
            <w:r>
              <w:rPr/>
              <w:t> </w:t>
            </w:r>
          </w:p>
        </w:tc>
        <w:tc>
          <w:tcPr>
            <w:tcW w:w="1490" w:type="dxa"/>
            <w:gridSpan w:val="3"/>
            <w:tcBorders>
              <w:bottom w:val="single" w:sz="8" w:space="0" w:color="000000"/>
            </w:tcBorders>
            <w:shd w:fill="auto" w:val="clear"/>
            <w:vAlign w:val="center"/>
          </w:tcPr>
          <w:p>
            <w:pPr>
              <w:pStyle w:val="TableContents"/>
              <w:spacing w:before="0" w:after="283"/>
              <w:jc w:val="center"/>
              <w:rPr>
                <w:b/>
              </w:rPr>
            </w:pPr>
            <w:r>
              <w:rPr>
                <w:b/>
              </w:rPr>
              <w:t>All Other</w:t>
              <w:br/>
              <w:t>Compensation</w:t>
              <w:br/>
              <w:t>($)</w:t>
            </w:r>
          </w:p>
        </w:tc>
        <w:tc>
          <w:tcPr>
            <w:tcW w:w="60" w:type="dxa"/>
            <w:tcBorders>
              <w:bottom w:val="single" w:sz="8" w:space="0" w:color="000000"/>
            </w:tcBorders>
            <w:shd w:fill="auto" w:val="clear"/>
            <w:vAlign w:val="center"/>
          </w:tcPr>
          <w:p>
            <w:pPr>
              <w:pStyle w:val="TableContents"/>
              <w:spacing w:before="0" w:after="283"/>
              <w:rPr/>
            </w:pPr>
            <w:r>
              <w:rPr/>
              <w:t> </w:t>
            </w:r>
          </w:p>
        </w:tc>
        <w:tc>
          <w:tcPr>
            <w:tcW w:w="1023" w:type="dxa"/>
            <w:gridSpan w:val="3"/>
            <w:tcBorders>
              <w:bottom w:val="single" w:sz="8" w:space="0" w:color="000000"/>
            </w:tcBorders>
            <w:shd w:fill="auto" w:val="clear"/>
            <w:vAlign w:val="center"/>
          </w:tcPr>
          <w:p>
            <w:pPr>
              <w:pStyle w:val="TableContents"/>
              <w:spacing w:before="0" w:after="283"/>
              <w:jc w:val="center"/>
              <w:rPr>
                <w:b/>
              </w:rPr>
            </w:pPr>
            <w:r>
              <w:rPr>
                <w:b/>
              </w:rPr>
              <w:t xml:space="preserve">Total </w:t>
              <w:br/>
              <w:t>($)</w:t>
            </w:r>
          </w:p>
        </w:tc>
      </w:tr>
      <w:tr>
        <w:trPr/>
        <w:tc>
          <w:tcPr>
            <w:tcW w:w="1060" w:type="dxa"/>
            <w:tcBorders/>
            <w:shd w:fill="CCEEFF" w:val="clear"/>
            <w:tcMar>
              <w:bottom w:w="0" w:type="dxa"/>
            </w:tcMar>
            <w:vAlign w:val="center"/>
          </w:tcPr>
          <w:p>
            <w:pPr>
              <w:pStyle w:val="TableContents"/>
              <w:spacing w:before="0" w:after="283"/>
              <w:jc w:val="left"/>
              <w:rPr/>
            </w:pPr>
            <w:r>
              <w:rPr/>
              <w:t>Richard M. Jaffee</w:t>
            </w:r>
          </w:p>
        </w:tc>
        <w:tc>
          <w:tcPr>
            <w:tcW w:w="60" w:type="dxa"/>
            <w:tcBorders/>
            <w:shd w:fill="CCEEFF" w:val="clear"/>
            <w:tcMar>
              <w:bottom w:w="0" w:type="dxa"/>
            </w:tcMar>
            <w:vAlign w:val="center"/>
          </w:tcPr>
          <w:p>
            <w:pPr>
              <w:pStyle w:val="TableContents"/>
              <w:spacing w:before="0" w:after="283"/>
              <w:rPr/>
            </w:pPr>
            <w:r>
              <w:rPr/>
              <w:t> </w:t>
            </w:r>
          </w:p>
        </w:tc>
        <w:tc>
          <w:tcPr>
            <w:tcW w:w="163" w:type="dxa"/>
            <w:tcBorders/>
            <w:shd w:fill="CCEEFF" w:val="clear"/>
            <w:tcMar>
              <w:bottom w:w="0" w:type="dxa"/>
            </w:tcMar>
            <w:vAlign w:val="center"/>
          </w:tcPr>
          <w:p>
            <w:pPr>
              <w:pStyle w:val="TableContents"/>
              <w:spacing w:before="0" w:after="283"/>
              <w:jc w:val="left"/>
              <w:rPr/>
            </w:pPr>
            <w:r>
              <w:rPr/>
              <w:t> </w:t>
            </w:r>
          </w:p>
        </w:tc>
        <w:tc>
          <w:tcPr>
            <w:tcW w:w="793" w:type="dxa"/>
            <w:tcBorders/>
            <w:shd w:fill="CCEEFF" w:val="clear"/>
            <w:tcMar>
              <w:bottom w:w="0" w:type="dxa"/>
            </w:tcMar>
            <w:vAlign w:val="center"/>
          </w:tcPr>
          <w:p>
            <w:pPr>
              <w:pStyle w:val="TableContents"/>
              <w:spacing w:before="0" w:after="283"/>
              <w:jc w:val="right"/>
              <w:rPr/>
            </w:pPr>
            <w:r>
              <w:rPr/>
              <w:t>—  </w:t>
            </w:r>
          </w:p>
        </w:tc>
        <w:tc>
          <w:tcPr>
            <w:tcW w:w="6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4" w:type="dxa"/>
            <w:tcBorders/>
            <w:shd w:fill="CCEEFF" w:val="clear"/>
            <w:tcMar>
              <w:bottom w:w="0" w:type="dxa"/>
            </w:tcMar>
            <w:vAlign w:val="center"/>
          </w:tcPr>
          <w:p>
            <w:pPr>
              <w:pStyle w:val="TableContents"/>
              <w:spacing w:before="0" w:after="283"/>
              <w:jc w:val="left"/>
              <w:rPr/>
            </w:pPr>
            <w:r>
              <w:rPr/>
              <w:t> </w:t>
            </w:r>
          </w:p>
        </w:tc>
        <w:tc>
          <w:tcPr>
            <w:tcW w:w="666" w:type="dxa"/>
            <w:tcBorders/>
            <w:shd w:fill="CCEEFF" w:val="clear"/>
            <w:tcMar>
              <w:bottom w:w="0" w:type="dxa"/>
            </w:tcMar>
            <w:vAlign w:val="center"/>
          </w:tcPr>
          <w:p>
            <w:pPr>
              <w:pStyle w:val="TableContents"/>
              <w:spacing w:before="0" w:after="283"/>
              <w:jc w:val="right"/>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673" w:type="dxa"/>
            <w:tcBorders/>
            <w:shd w:fill="CCEEFF" w:val="clear"/>
            <w:tcMar>
              <w:bottom w:w="0" w:type="dxa"/>
            </w:tcMar>
            <w:vAlign w:val="center"/>
          </w:tcPr>
          <w:p>
            <w:pPr>
              <w:pStyle w:val="TableContents"/>
              <w:spacing w:before="0" w:after="283"/>
              <w:jc w:val="right"/>
              <w:rPr/>
            </w:pPr>
            <w:r>
              <w:rPr/>
              <w:t>—  </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78" w:type="dxa"/>
            <w:tcBorders/>
            <w:shd w:fill="CCEEFF" w:val="clear"/>
            <w:tcMar>
              <w:bottom w:w="0" w:type="dxa"/>
            </w:tcMar>
            <w:vAlign w:val="center"/>
          </w:tcPr>
          <w:p>
            <w:pPr>
              <w:pStyle w:val="TableContents"/>
              <w:spacing w:before="0" w:after="283"/>
              <w:jc w:val="left"/>
              <w:rPr/>
            </w:pPr>
            <w:r>
              <w:rPr/>
              <w:t> </w:t>
            </w:r>
          </w:p>
        </w:tc>
        <w:tc>
          <w:tcPr>
            <w:tcW w:w="1132" w:type="dxa"/>
            <w:tcBorders/>
            <w:shd w:fill="CCEEFF" w:val="clear"/>
            <w:tcMar>
              <w:bottom w:w="0" w:type="dxa"/>
            </w:tcMar>
            <w:vAlign w:val="center"/>
          </w:tcPr>
          <w:p>
            <w:pPr>
              <w:pStyle w:val="TableContents"/>
              <w:spacing w:before="0" w:after="283"/>
              <w:jc w:val="right"/>
              <w:rPr/>
            </w:pPr>
            <w:r>
              <w:rPr/>
              <w:t>—  </w:t>
            </w:r>
          </w:p>
        </w:tc>
        <w:tc>
          <w:tcPr>
            <w:tcW w:w="1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08" w:type="dxa"/>
            <w:tcBorders/>
            <w:shd w:fill="CCEEFF" w:val="clear"/>
            <w:tcMar>
              <w:bottom w:w="0" w:type="dxa"/>
            </w:tcMar>
            <w:vAlign w:val="center"/>
          </w:tcPr>
          <w:p>
            <w:pPr>
              <w:pStyle w:val="TableContents"/>
              <w:spacing w:before="0" w:after="283"/>
              <w:jc w:val="left"/>
              <w:rPr/>
            </w:pPr>
            <w:r>
              <w:rPr/>
              <w:t>$</w:t>
            </w:r>
          </w:p>
        </w:tc>
        <w:tc>
          <w:tcPr>
            <w:tcW w:w="1496" w:type="dxa"/>
            <w:tcBorders/>
            <w:shd w:fill="CCEEFF" w:val="clear"/>
            <w:tcMar>
              <w:bottom w:w="0" w:type="dxa"/>
            </w:tcMar>
            <w:vAlign w:val="center"/>
          </w:tcPr>
          <w:p>
            <w:pPr>
              <w:pStyle w:val="TableContents"/>
              <w:spacing w:before="0" w:after="283"/>
              <w:jc w:val="right"/>
              <w:rPr/>
            </w:pPr>
            <w:r>
              <w:rPr/>
              <w:t>49,187</w:t>
            </w:r>
          </w:p>
        </w:tc>
        <w:tc>
          <w:tcPr>
            <w:tcW w:w="132"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w:t>
            </w:r>
          </w:p>
        </w:tc>
        <w:tc>
          <w:tcPr>
            <w:tcW w:w="1192" w:type="dxa"/>
            <w:tcBorders/>
            <w:shd w:fill="CCEEFF" w:val="clear"/>
            <w:tcMar>
              <w:bottom w:w="0" w:type="dxa"/>
            </w:tcMar>
            <w:vAlign w:val="center"/>
          </w:tcPr>
          <w:p>
            <w:pPr>
              <w:pStyle w:val="TableContents"/>
              <w:spacing w:before="0" w:after="283"/>
              <w:jc w:val="right"/>
              <w:rPr/>
            </w:pPr>
            <w:r>
              <w:rPr/>
              <w:t>240,000</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289,187</w:t>
            </w:r>
          </w:p>
        </w:tc>
        <w:tc>
          <w:tcPr>
            <w:tcW w:w="83" w:type="dxa"/>
            <w:tcBorders/>
            <w:shd w:fill="CCEEFF" w:val="clear"/>
            <w:tcMar>
              <w:bottom w:w="0" w:type="dxa"/>
            </w:tcMar>
            <w:vAlign w:val="center"/>
          </w:tcPr>
          <w:p>
            <w:pPr>
              <w:pStyle w:val="TableContents"/>
              <w:spacing w:before="0" w:after="283"/>
              <w:jc w:val="left"/>
              <w:rPr/>
            </w:pPr>
            <w:r>
              <w:rPr/>
              <w:t> </w:t>
            </w:r>
          </w:p>
        </w:tc>
      </w:tr>
      <w:tr>
        <w:trPr/>
        <w:tc>
          <w:tcPr>
            <w:tcW w:w="1060" w:type="dxa"/>
            <w:tcBorders/>
            <w:shd w:fill="FFFFFF" w:val="clear"/>
            <w:tcMar>
              <w:bottom w:w="0" w:type="dxa"/>
            </w:tcMar>
            <w:vAlign w:val="center"/>
          </w:tcPr>
          <w:p>
            <w:pPr>
              <w:pStyle w:val="TableContents"/>
              <w:spacing w:before="0" w:after="283"/>
              <w:jc w:val="left"/>
              <w:rPr/>
            </w:pPr>
            <w:r>
              <w:rPr/>
              <w:t>Daniel S. Jaffee (3)</w:t>
            </w:r>
          </w:p>
        </w:tc>
        <w:tc>
          <w:tcPr>
            <w:tcW w:w="60" w:type="dxa"/>
            <w:tcBorders/>
            <w:shd w:fill="FFFFFF" w:val="clear"/>
            <w:tcMar>
              <w:bottom w:w="0" w:type="dxa"/>
            </w:tcMar>
            <w:vAlign w:val="center"/>
          </w:tcPr>
          <w:p>
            <w:pPr>
              <w:pStyle w:val="TableContents"/>
              <w:spacing w:before="0" w:after="283"/>
              <w:rPr/>
            </w:pPr>
            <w:r>
              <w:rPr/>
              <w:t> </w:t>
            </w:r>
          </w:p>
        </w:tc>
        <w:tc>
          <w:tcPr>
            <w:tcW w:w="163" w:type="dxa"/>
            <w:tcBorders/>
            <w:shd w:fill="FFFFFF" w:val="clear"/>
            <w:tcMar>
              <w:bottom w:w="0" w:type="dxa"/>
            </w:tcMar>
            <w:vAlign w:val="center"/>
          </w:tcPr>
          <w:p>
            <w:pPr>
              <w:pStyle w:val="TableContents"/>
              <w:spacing w:before="0" w:after="283"/>
              <w:jc w:val="left"/>
              <w:rPr/>
            </w:pPr>
            <w:r>
              <w:rPr/>
              <w:t> </w:t>
            </w:r>
          </w:p>
        </w:tc>
        <w:tc>
          <w:tcPr>
            <w:tcW w:w="793" w:type="dxa"/>
            <w:tcBorders/>
            <w:shd w:fill="FFFFFF" w:val="clear"/>
            <w:tcMar>
              <w:bottom w:w="0" w:type="dxa"/>
            </w:tcMar>
            <w:vAlign w:val="center"/>
          </w:tcPr>
          <w:p>
            <w:pPr>
              <w:pStyle w:val="TableContents"/>
              <w:spacing w:before="0" w:after="283"/>
              <w:jc w:val="right"/>
              <w:rPr/>
            </w:pPr>
            <w:r>
              <w:rPr/>
              <w:t>—  </w:t>
            </w:r>
          </w:p>
        </w:tc>
        <w:tc>
          <w:tcPr>
            <w:tcW w:w="6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4" w:type="dxa"/>
            <w:tcBorders/>
            <w:shd w:fill="FFFFFF" w:val="clear"/>
            <w:tcMar>
              <w:bottom w:w="0" w:type="dxa"/>
            </w:tcMar>
            <w:vAlign w:val="center"/>
          </w:tcPr>
          <w:p>
            <w:pPr>
              <w:pStyle w:val="TableContents"/>
              <w:spacing w:before="0" w:after="283"/>
              <w:jc w:val="left"/>
              <w:rPr/>
            </w:pPr>
            <w:r>
              <w:rPr/>
              <w:t> </w:t>
            </w:r>
          </w:p>
        </w:tc>
        <w:tc>
          <w:tcPr>
            <w:tcW w:w="666" w:type="dxa"/>
            <w:tcBorders/>
            <w:shd w:fill="FFFFFF" w:val="clear"/>
            <w:tcMar>
              <w:bottom w:w="0" w:type="dxa"/>
            </w:tcMar>
            <w:vAlign w:val="center"/>
          </w:tcPr>
          <w:p>
            <w:pPr>
              <w:pStyle w:val="TableContents"/>
              <w:spacing w:before="0" w:after="283"/>
              <w:jc w:val="right"/>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673"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8" w:type="dxa"/>
            <w:tcBorders/>
            <w:shd w:fill="FFFFFF" w:val="clear"/>
            <w:tcMar>
              <w:bottom w:w="0" w:type="dxa"/>
            </w:tcMar>
            <w:vAlign w:val="center"/>
          </w:tcPr>
          <w:p>
            <w:pPr>
              <w:pStyle w:val="TableContents"/>
              <w:spacing w:before="0" w:after="283"/>
              <w:jc w:val="left"/>
              <w:rPr/>
            </w:pPr>
            <w:r>
              <w:rPr/>
              <w:t> </w:t>
            </w:r>
          </w:p>
        </w:tc>
        <w:tc>
          <w:tcPr>
            <w:tcW w:w="1132" w:type="dxa"/>
            <w:tcBorders/>
            <w:shd w:fill="FFFFFF" w:val="clear"/>
            <w:tcMar>
              <w:bottom w:w="0" w:type="dxa"/>
            </w:tcMar>
            <w:vAlign w:val="center"/>
          </w:tcPr>
          <w:p>
            <w:pPr>
              <w:pStyle w:val="TableContents"/>
              <w:spacing w:before="0" w:after="283"/>
              <w:jc w:val="right"/>
              <w:rPr/>
            </w:pPr>
            <w:r>
              <w:rPr/>
              <w:t>—  </w:t>
            </w:r>
          </w:p>
        </w:tc>
        <w:tc>
          <w:tcPr>
            <w:tcW w:w="18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08" w:type="dxa"/>
            <w:tcBorders/>
            <w:shd w:fill="FFFFFF" w:val="clear"/>
            <w:tcMar>
              <w:bottom w:w="0" w:type="dxa"/>
            </w:tcMar>
            <w:vAlign w:val="center"/>
          </w:tcPr>
          <w:p>
            <w:pPr>
              <w:pStyle w:val="TableContents"/>
              <w:spacing w:before="0" w:after="283"/>
              <w:jc w:val="left"/>
              <w:rPr/>
            </w:pPr>
            <w:r>
              <w:rPr/>
              <w:t> </w:t>
            </w:r>
          </w:p>
        </w:tc>
        <w:tc>
          <w:tcPr>
            <w:tcW w:w="1496" w:type="dxa"/>
            <w:tcBorders/>
            <w:shd w:fill="FFFFFF" w:val="clear"/>
            <w:tcMar>
              <w:bottom w:w="0" w:type="dxa"/>
            </w:tcMar>
            <w:vAlign w:val="center"/>
          </w:tcPr>
          <w:p>
            <w:pPr>
              <w:pStyle w:val="TableContents"/>
              <w:spacing w:before="0" w:after="283"/>
              <w:jc w:val="right"/>
              <w:rPr/>
            </w:pPr>
            <w:r>
              <w:rPr/>
              <w:t>—  </w:t>
            </w:r>
          </w:p>
        </w:tc>
        <w:tc>
          <w:tcPr>
            <w:tcW w:w="132"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 </w:t>
            </w:r>
          </w:p>
        </w:tc>
        <w:tc>
          <w:tcPr>
            <w:tcW w:w="1192" w:type="dxa"/>
            <w:tcBorders/>
            <w:shd w:fill="FFFFFF" w:val="clear"/>
            <w:tcMar>
              <w:bottom w:w="0" w:type="dxa"/>
            </w:tcMar>
            <w:vAlign w:val="center"/>
          </w:tcPr>
          <w:p>
            <w:pPr>
              <w:pStyle w:val="TableContents"/>
              <w:spacing w:before="0" w:after="283"/>
              <w:jc w:val="right"/>
              <w:rPr/>
            </w:pPr>
            <w:r>
              <w:rPr/>
              <w:t>—  </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83" w:type="dxa"/>
            <w:tcBorders/>
            <w:shd w:fill="FFFFFF" w:val="clear"/>
            <w:tcMar>
              <w:bottom w:w="0" w:type="dxa"/>
            </w:tcMar>
            <w:vAlign w:val="center"/>
          </w:tcPr>
          <w:p>
            <w:pPr>
              <w:pStyle w:val="TableContents"/>
              <w:spacing w:before="0" w:after="283"/>
              <w:jc w:val="left"/>
              <w:rPr/>
            </w:pPr>
            <w:r>
              <w:rPr/>
              <w:t> </w:t>
            </w:r>
          </w:p>
        </w:tc>
      </w:tr>
      <w:tr>
        <w:trPr/>
        <w:tc>
          <w:tcPr>
            <w:tcW w:w="1060" w:type="dxa"/>
            <w:tcBorders/>
            <w:shd w:fill="CCEEFF" w:val="clear"/>
            <w:tcMar>
              <w:bottom w:w="0" w:type="dxa"/>
            </w:tcMar>
            <w:vAlign w:val="center"/>
          </w:tcPr>
          <w:p>
            <w:pPr>
              <w:pStyle w:val="TableContents"/>
              <w:spacing w:before="0" w:after="283"/>
              <w:jc w:val="left"/>
              <w:rPr/>
            </w:pPr>
            <w:r>
              <w:rPr/>
              <w:t>J. Steven Cole</w:t>
            </w:r>
          </w:p>
        </w:tc>
        <w:tc>
          <w:tcPr>
            <w:tcW w:w="60" w:type="dxa"/>
            <w:tcBorders/>
            <w:shd w:fill="CCEEFF" w:val="clear"/>
            <w:tcMar>
              <w:bottom w:w="0" w:type="dxa"/>
            </w:tcMar>
            <w:vAlign w:val="center"/>
          </w:tcPr>
          <w:p>
            <w:pPr>
              <w:pStyle w:val="TableContents"/>
              <w:spacing w:before="0" w:after="283"/>
              <w:rPr/>
            </w:pPr>
            <w:r>
              <w:rPr/>
              <w:t> </w:t>
            </w:r>
          </w:p>
        </w:tc>
        <w:tc>
          <w:tcPr>
            <w:tcW w:w="163" w:type="dxa"/>
            <w:tcBorders/>
            <w:shd w:fill="CCEEFF" w:val="clear"/>
            <w:tcMar>
              <w:bottom w:w="0" w:type="dxa"/>
            </w:tcMar>
            <w:vAlign w:val="center"/>
          </w:tcPr>
          <w:p>
            <w:pPr>
              <w:pStyle w:val="TableContents"/>
              <w:spacing w:before="0" w:after="283"/>
              <w:jc w:val="left"/>
              <w:rPr/>
            </w:pPr>
            <w:r>
              <w:rPr/>
              <w:t>$</w:t>
            </w:r>
          </w:p>
        </w:tc>
        <w:tc>
          <w:tcPr>
            <w:tcW w:w="793" w:type="dxa"/>
            <w:tcBorders/>
            <w:shd w:fill="CCEEFF" w:val="clear"/>
            <w:tcMar>
              <w:bottom w:w="0" w:type="dxa"/>
            </w:tcMar>
            <w:vAlign w:val="center"/>
          </w:tcPr>
          <w:p>
            <w:pPr>
              <w:pStyle w:val="TableContents"/>
              <w:spacing w:before="0" w:after="283"/>
              <w:jc w:val="right"/>
              <w:rPr/>
            </w:pPr>
            <w:r>
              <w:rPr/>
              <w:t>42,500</w:t>
            </w:r>
          </w:p>
        </w:tc>
        <w:tc>
          <w:tcPr>
            <w:tcW w:w="6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4" w:type="dxa"/>
            <w:tcBorders/>
            <w:shd w:fill="CCEEFF" w:val="clear"/>
            <w:tcMar>
              <w:bottom w:w="0" w:type="dxa"/>
            </w:tcMar>
            <w:vAlign w:val="center"/>
          </w:tcPr>
          <w:p>
            <w:pPr>
              <w:pStyle w:val="TableContents"/>
              <w:spacing w:before="0" w:after="283"/>
              <w:jc w:val="left"/>
              <w:rPr/>
            </w:pPr>
            <w:r>
              <w:rPr/>
              <w:t> </w:t>
            </w:r>
          </w:p>
        </w:tc>
        <w:tc>
          <w:tcPr>
            <w:tcW w:w="666" w:type="dxa"/>
            <w:tcBorders/>
            <w:shd w:fill="CCEEFF" w:val="clear"/>
            <w:tcMar>
              <w:bottom w:w="0" w:type="dxa"/>
            </w:tcMar>
            <w:vAlign w:val="center"/>
          </w:tcPr>
          <w:p>
            <w:pPr>
              <w:pStyle w:val="TableContents"/>
              <w:spacing w:before="0" w:after="283"/>
              <w:jc w:val="right"/>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673" w:type="dxa"/>
            <w:tcBorders/>
            <w:shd w:fill="CCEEFF" w:val="clear"/>
            <w:tcMar>
              <w:bottom w:w="0" w:type="dxa"/>
            </w:tcMar>
            <w:vAlign w:val="center"/>
          </w:tcPr>
          <w:p>
            <w:pPr>
              <w:pStyle w:val="TableContents"/>
              <w:spacing w:before="0" w:after="283"/>
              <w:jc w:val="right"/>
              <w:rPr/>
            </w:pPr>
            <w:r>
              <w:rPr/>
              <w:t>—  </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78" w:type="dxa"/>
            <w:tcBorders/>
            <w:shd w:fill="CCEEFF" w:val="clear"/>
            <w:tcMar>
              <w:bottom w:w="0" w:type="dxa"/>
            </w:tcMar>
            <w:vAlign w:val="center"/>
          </w:tcPr>
          <w:p>
            <w:pPr>
              <w:pStyle w:val="TableContents"/>
              <w:spacing w:before="0" w:after="283"/>
              <w:jc w:val="left"/>
              <w:rPr/>
            </w:pPr>
            <w:r>
              <w:rPr/>
              <w:t> </w:t>
            </w:r>
          </w:p>
        </w:tc>
        <w:tc>
          <w:tcPr>
            <w:tcW w:w="1132" w:type="dxa"/>
            <w:tcBorders/>
            <w:shd w:fill="CCEEFF" w:val="clear"/>
            <w:tcMar>
              <w:bottom w:w="0" w:type="dxa"/>
            </w:tcMar>
            <w:vAlign w:val="center"/>
          </w:tcPr>
          <w:p>
            <w:pPr>
              <w:pStyle w:val="TableContents"/>
              <w:spacing w:before="0" w:after="283"/>
              <w:jc w:val="right"/>
              <w:rPr/>
            </w:pPr>
            <w:r>
              <w:rPr/>
              <w:t>—  </w:t>
            </w:r>
          </w:p>
        </w:tc>
        <w:tc>
          <w:tcPr>
            <w:tcW w:w="1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08" w:type="dxa"/>
            <w:tcBorders/>
            <w:shd w:fill="CCEEFF" w:val="clear"/>
            <w:tcMar>
              <w:bottom w:w="0" w:type="dxa"/>
            </w:tcMar>
            <w:vAlign w:val="center"/>
          </w:tcPr>
          <w:p>
            <w:pPr>
              <w:pStyle w:val="TableContents"/>
              <w:spacing w:before="0" w:after="283"/>
              <w:jc w:val="left"/>
              <w:rPr/>
            </w:pPr>
            <w:r>
              <w:rPr/>
              <w:t> </w:t>
            </w:r>
          </w:p>
        </w:tc>
        <w:tc>
          <w:tcPr>
            <w:tcW w:w="1496" w:type="dxa"/>
            <w:tcBorders/>
            <w:shd w:fill="CCEEFF" w:val="clear"/>
            <w:tcMar>
              <w:bottom w:w="0" w:type="dxa"/>
            </w:tcMar>
            <w:vAlign w:val="center"/>
          </w:tcPr>
          <w:p>
            <w:pPr>
              <w:pStyle w:val="TableContents"/>
              <w:spacing w:before="0" w:after="283"/>
              <w:jc w:val="right"/>
              <w:rPr/>
            </w:pPr>
            <w:r>
              <w:rPr/>
              <w:t>—  </w:t>
            </w:r>
          </w:p>
        </w:tc>
        <w:tc>
          <w:tcPr>
            <w:tcW w:w="132"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 </w:t>
            </w:r>
          </w:p>
        </w:tc>
        <w:tc>
          <w:tcPr>
            <w:tcW w:w="1192" w:type="dxa"/>
            <w:tcBorders/>
            <w:shd w:fill="CCEEFF" w:val="clear"/>
            <w:tcMar>
              <w:bottom w:w="0" w:type="dxa"/>
            </w:tcMar>
            <w:vAlign w:val="center"/>
          </w:tcPr>
          <w:p>
            <w:pPr>
              <w:pStyle w:val="TableContents"/>
              <w:spacing w:before="0" w:after="283"/>
              <w:jc w:val="right"/>
              <w:rPr/>
            </w:pPr>
            <w:r>
              <w:rPr/>
              <w:t>—  </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42,500</w:t>
            </w:r>
          </w:p>
        </w:tc>
        <w:tc>
          <w:tcPr>
            <w:tcW w:w="83" w:type="dxa"/>
            <w:tcBorders/>
            <w:shd w:fill="CCEEFF" w:val="clear"/>
            <w:tcMar>
              <w:bottom w:w="0" w:type="dxa"/>
            </w:tcMar>
            <w:vAlign w:val="center"/>
          </w:tcPr>
          <w:p>
            <w:pPr>
              <w:pStyle w:val="TableContents"/>
              <w:spacing w:before="0" w:after="283"/>
              <w:jc w:val="left"/>
              <w:rPr/>
            </w:pPr>
            <w:r>
              <w:rPr/>
              <w:t> </w:t>
            </w:r>
          </w:p>
        </w:tc>
      </w:tr>
      <w:tr>
        <w:trPr/>
        <w:tc>
          <w:tcPr>
            <w:tcW w:w="1060" w:type="dxa"/>
            <w:tcBorders/>
            <w:shd w:fill="FFFFFF" w:val="clear"/>
            <w:tcMar>
              <w:bottom w:w="0" w:type="dxa"/>
            </w:tcMar>
            <w:vAlign w:val="center"/>
          </w:tcPr>
          <w:p>
            <w:pPr>
              <w:pStyle w:val="TableContents"/>
              <w:spacing w:before="0" w:after="283"/>
              <w:jc w:val="left"/>
              <w:rPr/>
            </w:pPr>
            <w:r>
              <w:rPr/>
              <w:t>Joseph C. Miller</w:t>
            </w:r>
          </w:p>
        </w:tc>
        <w:tc>
          <w:tcPr>
            <w:tcW w:w="60" w:type="dxa"/>
            <w:tcBorders/>
            <w:shd w:fill="FFFFFF" w:val="clear"/>
            <w:tcMar>
              <w:bottom w:w="0" w:type="dxa"/>
            </w:tcMar>
            <w:vAlign w:val="center"/>
          </w:tcPr>
          <w:p>
            <w:pPr>
              <w:pStyle w:val="TableContents"/>
              <w:spacing w:before="0" w:after="283"/>
              <w:rPr/>
            </w:pPr>
            <w:r>
              <w:rPr/>
              <w:t> </w:t>
            </w:r>
          </w:p>
        </w:tc>
        <w:tc>
          <w:tcPr>
            <w:tcW w:w="163" w:type="dxa"/>
            <w:tcBorders/>
            <w:shd w:fill="FFFFFF" w:val="clear"/>
            <w:tcMar>
              <w:bottom w:w="0" w:type="dxa"/>
            </w:tcMar>
            <w:vAlign w:val="center"/>
          </w:tcPr>
          <w:p>
            <w:pPr>
              <w:pStyle w:val="TableContents"/>
              <w:spacing w:before="0" w:after="283"/>
              <w:jc w:val="left"/>
              <w:rPr/>
            </w:pPr>
            <w:r>
              <w:rPr/>
              <w:t>$</w:t>
            </w:r>
          </w:p>
        </w:tc>
        <w:tc>
          <w:tcPr>
            <w:tcW w:w="793" w:type="dxa"/>
            <w:tcBorders/>
            <w:shd w:fill="FFFFFF" w:val="clear"/>
            <w:tcMar>
              <w:bottom w:w="0" w:type="dxa"/>
            </w:tcMar>
            <w:vAlign w:val="center"/>
          </w:tcPr>
          <w:p>
            <w:pPr>
              <w:pStyle w:val="TableContents"/>
              <w:spacing w:before="0" w:after="283"/>
              <w:jc w:val="right"/>
              <w:rPr/>
            </w:pPr>
            <w:r>
              <w:rPr/>
              <w:t>36,500</w:t>
            </w:r>
          </w:p>
        </w:tc>
        <w:tc>
          <w:tcPr>
            <w:tcW w:w="6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4" w:type="dxa"/>
            <w:tcBorders/>
            <w:shd w:fill="FFFFFF" w:val="clear"/>
            <w:tcMar>
              <w:bottom w:w="0" w:type="dxa"/>
            </w:tcMar>
            <w:vAlign w:val="center"/>
          </w:tcPr>
          <w:p>
            <w:pPr>
              <w:pStyle w:val="TableContents"/>
              <w:spacing w:before="0" w:after="283"/>
              <w:jc w:val="left"/>
              <w:rPr/>
            </w:pPr>
            <w:r>
              <w:rPr/>
              <w:t> </w:t>
            </w:r>
          </w:p>
        </w:tc>
        <w:tc>
          <w:tcPr>
            <w:tcW w:w="666" w:type="dxa"/>
            <w:tcBorders/>
            <w:shd w:fill="FFFFFF" w:val="clear"/>
            <w:tcMar>
              <w:bottom w:w="0" w:type="dxa"/>
            </w:tcMar>
            <w:vAlign w:val="center"/>
          </w:tcPr>
          <w:p>
            <w:pPr>
              <w:pStyle w:val="TableContents"/>
              <w:spacing w:before="0" w:after="283"/>
              <w:jc w:val="right"/>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673"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8" w:type="dxa"/>
            <w:tcBorders/>
            <w:shd w:fill="FFFFFF" w:val="clear"/>
            <w:tcMar>
              <w:bottom w:w="0" w:type="dxa"/>
            </w:tcMar>
            <w:vAlign w:val="center"/>
          </w:tcPr>
          <w:p>
            <w:pPr>
              <w:pStyle w:val="TableContents"/>
              <w:spacing w:before="0" w:after="283"/>
              <w:jc w:val="left"/>
              <w:rPr/>
            </w:pPr>
            <w:r>
              <w:rPr/>
              <w:t> </w:t>
            </w:r>
          </w:p>
        </w:tc>
        <w:tc>
          <w:tcPr>
            <w:tcW w:w="1132" w:type="dxa"/>
            <w:tcBorders/>
            <w:shd w:fill="FFFFFF" w:val="clear"/>
            <w:tcMar>
              <w:bottom w:w="0" w:type="dxa"/>
            </w:tcMar>
            <w:vAlign w:val="center"/>
          </w:tcPr>
          <w:p>
            <w:pPr>
              <w:pStyle w:val="TableContents"/>
              <w:spacing w:before="0" w:after="283"/>
              <w:jc w:val="right"/>
              <w:rPr/>
            </w:pPr>
            <w:r>
              <w:rPr/>
              <w:t>—  </w:t>
            </w:r>
          </w:p>
        </w:tc>
        <w:tc>
          <w:tcPr>
            <w:tcW w:w="18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08" w:type="dxa"/>
            <w:tcBorders/>
            <w:shd w:fill="FFFFFF" w:val="clear"/>
            <w:tcMar>
              <w:bottom w:w="0" w:type="dxa"/>
            </w:tcMar>
            <w:vAlign w:val="center"/>
          </w:tcPr>
          <w:p>
            <w:pPr>
              <w:pStyle w:val="TableContents"/>
              <w:spacing w:before="0" w:after="283"/>
              <w:jc w:val="left"/>
              <w:rPr/>
            </w:pPr>
            <w:r>
              <w:rPr/>
              <w:t> </w:t>
            </w:r>
          </w:p>
        </w:tc>
        <w:tc>
          <w:tcPr>
            <w:tcW w:w="1496" w:type="dxa"/>
            <w:tcBorders/>
            <w:shd w:fill="FFFFFF" w:val="clear"/>
            <w:tcMar>
              <w:bottom w:w="0" w:type="dxa"/>
            </w:tcMar>
            <w:vAlign w:val="center"/>
          </w:tcPr>
          <w:p>
            <w:pPr>
              <w:pStyle w:val="TableContents"/>
              <w:spacing w:before="0" w:after="283"/>
              <w:jc w:val="right"/>
              <w:rPr/>
            </w:pPr>
            <w:r>
              <w:rPr/>
              <w:t>—  </w:t>
            </w:r>
          </w:p>
        </w:tc>
        <w:tc>
          <w:tcPr>
            <w:tcW w:w="132"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 </w:t>
            </w:r>
          </w:p>
        </w:tc>
        <w:tc>
          <w:tcPr>
            <w:tcW w:w="1192" w:type="dxa"/>
            <w:tcBorders/>
            <w:shd w:fill="FFFFFF" w:val="clear"/>
            <w:tcMar>
              <w:bottom w:w="0" w:type="dxa"/>
            </w:tcMar>
            <w:vAlign w:val="center"/>
          </w:tcPr>
          <w:p>
            <w:pPr>
              <w:pStyle w:val="TableContents"/>
              <w:spacing w:before="0" w:after="283"/>
              <w:jc w:val="right"/>
              <w:rPr/>
            </w:pPr>
            <w:r>
              <w:rPr/>
              <w:t>—  </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36,500</w:t>
            </w:r>
          </w:p>
        </w:tc>
        <w:tc>
          <w:tcPr>
            <w:tcW w:w="83" w:type="dxa"/>
            <w:tcBorders/>
            <w:shd w:fill="FFFFFF" w:val="clear"/>
            <w:tcMar>
              <w:bottom w:w="0" w:type="dxa"/>
            </w:tcMar>
            <w:vAlign w:val="center"/>
          </w:tcPr>
          <w:p>
            <w:pPr>
              <w:pStyle w:val="TableContents"/>
              <w:spacing w:before="0" w:after="283"/>
              <w:jc w:val="left"/>
              <w:rPr/>
            </w:pPr>
            <w:r>
              <w:rPr/>
              <w:t> </w:t>
            </w:r>
          </w:p>
        </w:tc>
      </w:tr>
      <w:tr>
        <w:trPr/>
        <w:tc>
          <w:tcPr>
            <w:tcW w:w="1060" w:type="dxa"/>
            <w:tcBorders/>
            <w:shd w:fill="CCEEFF" w:val="clear"/>
            <w:tcMar>
              <w:bottom w:w="0" w:type="dxa"/>
            </w:tcMar>
            <w:vAlign w:val="center"/>
          </w:tcPr>
          <w:p>
            <w:pPr>
              <w:pStyle w:val="TableContents"/>
              <w:spacing w:before="0" w:after="283"/>
              <w:jc w:val="left"/>
              <w:rPr/>
            </w:pPr>
            <w:r>
              <w:rPr/>
              <w:t>Michael A. Nemeroff</w:t>
            </w:r>
          </w:p>
        </w:tc>
        <w:tc>
          <w:tcPr>
            <w:tcW w:w="60" w:type="dxa"/>
            <w:tcBorders/>
            <w:shd w:fill="CCEEFF" w:val="clear"/>
            <w:tcMar>
              <w:bottom w:w="0" w:type="dxa"/>
            </w:tcMar>
            <w:vAlign w:val="center"/>
          </w:tcPr>
          <w:p>
            <w:pPr>
              <w:pStyle w:val="TableContents"/>
              <w:spacing w:before="0" w:after="283"/>
              <w:rPr/>
            </w:pPr>
            <w:r>
              <w:rPr/>
              <w:t> </w:t>
            </w:r>
          </w:p>
        </w:tc>
        <w:tc>
          <w:tcPr>
            <w:tcW w:w="163" w:type="dxa"/>
            <w:tcBorders/>
            <w:shd w:fill="CCEEFF" w:val="clear"/>
            <w:tcMar>
              <w:bottom w:w="0" w:type="dxa"/>
            </w:tcMar>
            <w:vAlign w:val="center"/>
          </w:tcPr>
          <w:p>
            <w:pPr>
              <w:pStyle w:val="TableContents"/>
              <w:spacing w:before="0" w:after="283"/>
              <w:jc w:val="left"/>
              <w:rPr/>
            </w:pPr>
            <w:r>
              <w:rPr/>
              <w:t>$</w:t>
            </w:r>
          </w:p>
        </w:tc>
        <w:tc>
          <w:tcPr>
            <w:tcW w:w="793" w:type="dxa"/>
            <w:tcBorders/>
            <w:shd w:fill="CCEEFF" w:val="clear"/>
            <w:tcMar>
              <w:bottom w:w="0" w:type="dxa"/>
            </w:tcMar>
            <w:vAlign w:val="center"/>
          </w:tcPr>
          <w:p>
            <w:pPr>
              <w:pStyle w:val="TableContents"/>
              <w:spacing w:before="0" w:after="283"/>
              <w:jc w:val="right"/>
              <w:rPr/>
            </w:pPr>
            <w:r>
              <w:rPr/>
              <w:t>36,500</w:t>
            </w:r>
          </w:p>
        </w:tc>
        <w:tc>
          <w:tcPr>
            <w:tcW w:w="6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4" w:type="dxa"/>
            <w:tcBorders/>
            <w:shd w:fill="CCEEFF" w:val="clear"/>
            <w:tcMar>
              <w:bottom w:w="0" w:type="dxa"/>
            </w:tcMar>
            <w:vAlign w:val="center"/>
          </w:tcPr>
          <w:p>
            <w:pPr>
              <w:pStyle w:val="TableContents"/>
              <w:spacing w:before="0" w:after="283"/>
              <w:jc w:val="left"/>
              <w:rPr/>
            </w:pPr>
            <w:r>
              <w:rPr/>
              <w:t> </w:t>
            </w:r>
          </w:p>
        </w:tc>
        <w:tc>
          <w:tcPr>
            <w:tcW w:w="666" w:type="dxa"/>
            <w:tcBorders/>
            <w:shd w:fill="CCEEFF" w:val="clear"/>
            <w:tcMar>
              <w:bottom w:w="0" w:type="dxa"/>
            </w:tcMar>
            <w:vAlign w:val="center"/>
          </w:tcPr>
          <w:p>
            <w:pPr>
              <w:pStyle w:val="TableContents"/>
              <w:spacing w:before="0" w:after="283"/>
              <w:jc w:val="right"/>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673" w:type="dxa"/>
            <w:tcBorders/>
            <w:shd w:fill="CCEEFF" w:val="clear"/>
            <w:tcMar>
              <w:bottom w:w="0" w:type="dxa"/>
            </w:tcMar>
            <w:vAlign w:val="center"/>
          </w:tcPr>
          <w:p>
            <w:pPr>
              <w:pStyle w:val="TableContents"/>
              <w:spacing w:before="0" w:after="283"/>
              <w:jc w:val="right"/>
              <w:rPr/>
            </w:pPr>
            <w:r>
              <w:rPr/>
              <w:t>—  </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78" w:type="dxa"/>
            <w:tcBorders/>
            <w:shd w:fill="CCEEFF" w:val="clear"/>
            <w:tcMar>
              <w:bottom w:w="0" w:type="dxa"/>
            </w:tcMar>
            <w:vAlign w:val="center"/>
          </w:tcPr>
          <w:p>
            <w:pPr>
              <w:pStyle w:val="TableContents"/>
              <w:spacing w:before="0" w:after="283"/>
              <w:jc w:val="left"/>
              <w:rPr/>
            </w:pPr>
            <w:r>
              <w:rPr/>
              <w:t> </w:t>
            </w:r>
          </w:p>
        </w:tc>
        <w:tc>
          <w:tcPr>
            <w:tcW w:w="1132" w:type="dxa"/>
            <w:tcBorders/>
            <w:shd w:fill="CCEEFF" w:val="clear"/>
            <w:tcMar>
              <w:bottom w:w="0" w:type="dxa"/>
            </w:tcMar>
            <w:vAlign w:val="center"/>
          </w:tcPr>
          <w:p>
            <w:pPr>
              <w:pStyle w:val="TableContents"/>
              <w:spacing w:before="0" w:after="283"/>
              <w:jc w:val="right"/>
              <w:rPr/>
            </w:pPr>
            <w:r>
              <w:rPr/>
              <w:t>—  </w:t>
            </w:r>
          </w:p>
        </w:tc>
        <w:tc>
          <w:tcPr>
            <w:tcW w:w="1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08" w:type="dxa"/>
            <w:tcBorders/>
            <w:shd w:fill="CCEEFF" w:val="clear"/>
            <w:tcMar>
              <w:bottom w:w="0" w:type="dxa"/>
            </w:tcMar>
            <w:vAlign w:val="center"/>
          </w:tcPr>
          <w:p>
            <w:pPr>
              <w:pStyle w:val="TableContents"/>
              <w:spacing w:before="0" w:after="283"/>
              <w:jc w:val="left"/>
              <w:rPr/>
            </w:pPr>
            <w:r>
              <w:rPr/>
              <w:t> </w:t>
            </w:r>
          </w:p>
        </w:tc>
        <w:tc>
          <w:tcPr>
            <w:tcW w:w="1496" w:type="dxa"/>
            <w:tcBorders/>
            <w:shd w:fill="CCEEFF" w:val="clear"/>
            <w:tcMar>
              <w:bottom w:w="0" w:type="dxa"/>
            </w:tcMar>
            <w:vAlign w:val="center"/>
          </w:tcPr>
          <w:p>
            <w:pPr>
              <w:pStyle w:val="TableContents"/>
              <w:spacing w:before="0" w:after="283"/>
              <w:jc w:val="right"/>
              <w:rPr/>
            </w:pPr>
            <w:r>
              <w:rPr/>
              <w:t>—  </w:t>
            </w:r>
          </w:p>
        </w:tc>
        <w:tc>
          <w:tcPr>
            <w:tcW w:w="132"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 </w:t>
            </w:r>
          </w:p>
        </w:tc>
        <w:tc>
          <w:tcPr>
            <w:tcW w:w="1192" w:type="dxa"/>
            <w:tcBorders/>
            <w:shd w:fill="CCEEFF" w:val="clear"/>
            <w:tcMar>
              <w:bottom w:w="0" w:type="dxa"/>
            </w:tcMar>
            <w:vAlign w:val="center"/>
          </w:tcPr>
          <w:p>
            <w:pPr>
              <w:pStyle w:val="TableContents"/>
              <w:spacing w:before="0" w:after="283"/>
              <w:jc w:val="right"/>
              <w:rPr/>
            </w:pPr>
            <w:r>
              <w:rPr/>
              <w:t>—  </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36,500</w:t>
            </w:r>
          </w:p>
        </w:tc>
        <w:tc>
          <w:tcPr>
            <w:tcW w:w="83" w:type="dxa"/>
            <w:tcBorders/>
            <w:shd w:fill="CCEEFF" w:val="clear"/>
            <w:tcMar>
              <w:bottom w:w="0" w:type="dxa"/>
            </w:tcMar>
            <w:vAlign w:val="center"/>
          </w:tcPr>
          <w:p>
            <w:pPr>
              <w:pStyle w:val="TableContents"/>
              <w:spacing w:before="0" w:after="283"/>
              <w:jc w:val="left"/>
              <w:rPr/>
            </w:pPr>
            <w:r>
              <w:rPr/>
              <w:t> </w:t>
            </w:r>
          </w:p>
        </w:tc>
      </w:tr>
      <w:tr>
        <w:trPr/>
        <w:tc>
          <w:tcPr>
            <w:tcW w:w="1060" w:type="dxa"/>
            <w:tcBorders/>
            <w:shd w:fill="FFFFFF" w:val="clear"/>
            <w:tcMar>
              <w:bottom w:w="0" w:type="dxa"/>
            </w:tcMar>
            <w:vAlign w:val="center"/>
          </w:tcPr>
          <w:p>
            <w:pPr>
              <w:pStyle w:val="TableContents"/>
              <w:spacing w:before="0" w:after="283"/>
              <w:jc w:val="left"/>
              <w:rPr/>
            </w:pPr>
            <w:r>
              <w:rPr/>
              <w:t>Allan H. Selig</w:t>
            </w:r>
          </w:p>
        </w:tc>
        <w:tc>
          <w:tcPr>
            <w:tcW w:w="60" w:type="dxa"/>
            <w:tcBorders/>
            <w:shd w:fill="FFFFFF" w:val="clear"/>
            <w:tcMar>
              <w:bottom w:w="0" w:type="dxa"/>
            </w:tcMar>
            <w:vAlign w:val="center"/>
          </w:tcPr>
          <w:p>
            <w:pPr>
              <w:pStyle w:val="TableContents"/>
              <w:spacing w:before="0" w:after="283"/>
              <w:rPr/>
            </w:pPr>
            <w:r>
              <w:rPr/>
              <w:t> </w:t>
            </w:r>
          </w:p>
        </w:tc>
        <w:tc>
          <w:tcPr>
            <w:tcW w:w="163" w:type="dxa"/>
            <w:tcBorders/>
            <w:shd w:fill="FFFFFF" w:val="clear"/>
            <w:tcMar>
              <w:bottom w:w="0" w:type="dxa"/>
            </w:tcMar>
            <w:vAlign w:val="center"/>
          </w:tcPr>
          <w:p>
            <w:pPr>
              <w:pStyle w:val="TableContents"/>
              <w:spacing w:before="0" w:after="283"/>
              <w:jc w:val="left"/>
              <w:rPr/>
            </w:pPr>
            <w:r>
              <w:rPr/>
              <w:t>$</w:t>
            </w:r>
          </w:p>
        </w:tc>
        <w:tc>
          <w:tcPr>
            <w:tcW w:w="793" w:type="dxa"/>
            <w:tcBorders/>
            <w:shd w:fill="FFFFFF" w:val="clear"/>
            <w:tcMar>
              <w:bottom w:w="0" w:type="dxa"/>
            </w:tcMar>
            <w:vAlign w:val="center"/>
          </w:tcPr>
          <w:p>
            <w:pPr>
              <w:pStyle w:val="TableContents"/>
              <w:spacing w:before="0" w:after="283"/>
              <w:jc w:val="right"/>
              <w:rPr/>
            </w:pPr>
            <w:r>
              <w:rPr/>
              <w:t>41,000</w:t>
            </w:r>
          </w:p>
        </w:tc>
        <w:tc>
          <w:tcPr>
            <w:tcW w:w="6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4" w:type="dxa"/>
            <w:tcBorders/>
            <w:shd w:fill="FFFFFF" w:val="clear"/>
            <w:tcMar>
              <w:bottom w:w="0" w:type="dxa"/>
            </w:tcMar>
            <w:vAlign w:val="center"/>
          </w:tcPr>
          <w:p>
            <w:pPr>
              <w:pStyle w:val="TableContents"/>
              <w:spacing w:before="0" w:after="283"/>
              <w:jc w:val="left"/>
              <w:rPr/>
            </w:pPr>
            <w:r>
              <w:rPr/>
              <w:t> </w:t>
            </w:r>
          </w:p>
        </w:tc>
        <w:tc>
          <w:tcPr>
            <w:tcW w:w="666" w:type="dxa"/>
            <w:tcBorders/>
            <w:shd w:fill="FFFFFF" w:val="clear"/>
            <w:tcMar>
              <w:bottom w:w="0" w:type="dxa"/>
            </w:tcMar>
            <w:vAlign w:val="center"/>
          </w:tcPr>
          <w:p>
            <w:pPr>
              <w:pStyle w:val="TableContents"/>
              <w:spacing w:before="0" w:after="283"/>
              <w:jc w:val="right"/>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673"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8" w:type="dxa"/>
            <w:tcBorders/>
            <w:shd w:fill="FFFFFF" w:val="clear"/>
            <w:tcMar>
              <w:bottom w:w="0" w:type="dxa"/>
            </w:tcMar>
            <w:vAlign w:val="center"/>
          </w:tcPr>
          <w:p>
            <w:pPr>
              <w:pStyle w:val="TableContents"/>
              <w:spacing w:before="0" w:after="283"/>
              <w:jc w:val="left"/>
              <w:rPr/>
            </w:pPr>
            <w:r>
              <w:rPr/>
              <w:t> </w:t>
            </w:r>
          </w:p>
        </w:tc>
        <w:tc>
          <w:tcPr>
            <w:tcW w:w="1132" w:type="dxa"/>
            <w:tcBorders/>
            <w:shd w:fill="FFFFFF" w:val="clear"/>
            <w:tcMar>
              <w:bottom w:w="0" w:type="dxa"/>
            </w:tcMar>
            <w:vAlign w:val="center"/>
          </w:tcPr>
          <w:p>
            <w:pPr>
              <w:pStyle w:val="TableContents"/>
              <w:spacing w:before="0" w:after="283"/>
              <w:jc w:val="right"/>
              <w:rPr/>
            </w:pPr>
            <w:r>
              <w:rPr/>
              <w:t>—  </w:t>
            </w:r>
          </w:p>
        </w:tc>
        <w:tc>
          <w:tcPr>
            <w:tcW w:w="18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08" w:type="dxa"/>
            <w:tcBorders/>
            <w:shd w:fill="FFFFFF" w:val="clear"/>
            <w:tcMar>
              <w:bottom w:w="0" w:type="dxa"/>
            </w:tcMar>
            <w:vAlign w:val="center"/>
          </w:tcPr>
          <w:p>
            <w:pPr>
              <w:pStyle w:val="TableContents"/>
              <w:spacing w:before="0" w:after="283"/>
              <w:jc w:val="left"/>
              <w:rPr/>
            </w:pPr>
            <w:r>
              <w:rPr/>
              <w:t> </w:t>
            </w:r>
          </w:p>
        </w:tc>
        <w:tc>
          <w:tcPr>
            <w:tcW w:w="1496" w:type="dxa"/>
            <w:tcBorders/>
            <w:shd w:fill="FFFFFF" w:val="clear"/>
            <w:tcMar>
              <w:bottom w:w="0" w:type="dxa"/>
            </w:tcMar>
            <w:vAlign w:val="center"/>
          </w:tcPr>
          <w:p>
            <w:pPr>
              <w:pStyle w:val="TableContents"/>
              <w:spacing w:before="0" w:after="283"/>
              <w:jc w:val="right"/>
              <w:rPr/>
            </w:pPr>
            <w:r>
              <w:rPr/>
              <w:t>—  </w:t>
            </w:r>
          </w:p>
        </w:tc>
        <w:tc>
          <w:tcPr>
            <w:tcW w:w="132"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 </w:t>
            </w:r>
          </w:p>
        </w:tc>
        <w:tc>
          <w:tcPr>
            <w:tcW w:w="1192" w:type="dxa"/>
            <w:tcBorders/>
            <w:shd w:fill="FFFFFF" w:val="clear"/>
            <w:tcMar>
              <w:bottom w:w="0" w:type="dxa"/>
            </w:tcMar>
            <w:vAlign w:val="center"/>
          </w:tcPr>
          <w:p>
            <w:pPr>
              <w:pStyle w:val="TableContents"/>
              <w:spacing w:before="0" w:after="283"/>
              <w:jc w:val="right"/>
              <w:rPr/>
            </w:pPr>
            <w:r>
              <w:rPr/>
              <w:t>—  </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41,000</w:t>
            </w:r>
          </w:p>
        </w:tc>
        <w:tc>
          <w:tcPr>
            <w:tcW w:w="83" w:type="dxa"/>
            <w:tcBorders/>
            <w:shd w:fill="FFFFFF" w:val="clear"/>
            <w:tcMar>
              <w:bottom w:w="0" w:type="dxa"/>
            </w:tcMar>
            <w:vAlign w:val="center"/>
          </w:tcPr>
          <w:p>
            <w:pPr>
              <w:pStyle w:val="TableContents"/>
              <w:spacing w:before="0" w:after="283"/>
              <w:jc w:val="left"/>
              <w:rPr/>
            </w:pPr>
            <w:r>
              <w:rPr/>
              <w:t> </w:t>
            </w:r>
          </w:p>
        </w:tc>
      </w:tr>
      <w:tr>
        <w:trPr/>
        <w:tc>
          <w:tcPr>
            <w:tcW w:w="1060" w:type="dxa"/>
            <w:tcBorders/>
            <w:shd w:fill="CCEEFF" w:val="clear"/>
            <w:tcMar>
              <w:bottom w:w="0" w:type="dxa"/>
            </w:tcMar>
            <w:vAlign w:val="center"/>
          </w:tcPr>
          <w:p>
            <w:pPr>
              <w:pStyle w:val="TableContents"/>
              <w:spacing w:before="0" w:after="283"/>
              <w:jc w:val="left"/>
              <w:rPr/>
            </w:pPr>
            <w:r>
              <w:rPr/>
              <w:t>Paul E. Suckow</w:t>
            </w:r>
          </w:p>
        </w:tc>
        <w:tc>
          <w:tcPr>
            <w:tcW w:w="60" w:type="dxa"/>
            <w:tcBorders/>
            <w:shd w:fill="CCEEFF" w:val="clear"/>
            <w:tcMar>
              <w:bottom w:w="0" w:type="dxa"/>
            </w:tcMar>
            <w:vAlign w:val="center"/>
          </w:tcPr>
          <w:p>
            <w:pPr>
              <w:pStyle w:val="TableContents"/>
              <w:spacing w:before="0" w:after="283"/>
              <w:rPr/>
            </w:pPr>
            <w:r>
              <w:rPr/>
              <w:t> </w:t>
            </w:r>
          </w:p>
        </w:tc>
        <w:tc>
          <w:tcPr>
            <w:tcW w:w="163" w:type="dxa"/>
            <w:tcBorders/>
            <w:shd w:fill="CCEEFF" w:val="clear"/>
            <w:tcMar>
              <w:bottom w:w="0" w:type="dxa"/>
            </w:tcMar>
            <w:vAlign w:val="center"/>
          </w:tcPr>
          <w:p>
            <w:pPr>
              <w:pStyle w:val="TableContents"/>
              <w:spacing w:before="0" w:after="283"/>
              <w:jc w:val="left"/>
              <w:rPr/>
            </w:pPr>
            <w:r>
              <w:rPr/>
              <w:t>$</w:t>
            </w:r>
          </w:p>
        </w:tc>
        <w:tc>
          <w:tcPr>
            <w:tcW w:w="793" w:type="dxa"/>
            <w:tcBorders/>
            <w:shd w:fill="CCEEFF" w:val="clear"/>
            <w:tcMar>
              <w:bottom w:w="0" w:type="dxa"/>
            </w:tcMar>
            <w:vAlign w:val="center"/>
          </w:tcPr>
          <w:p>
            <w:pPr>
              <w:pStyle w:val="TableContents"/>
              <w:spacing w:before="0" w:after="283"/>
              <w:jc w:val="right"/>
              <w:rPr/>
            </w:pPr>
            <w:r>
              <w:rPr/>
              <w:t>59,000</w:t>
            </w:r>
          </w:p>
        </w:tc>
        <w:tc>
          <w:tcPr>
            <w:tcW w:w="6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4" w:type="dxa"/>
            <w:tcBorders/>
            <w:shd w:fill="CCEEFF" w:val="clear"/>
            <w:tcMar>
              <w:bottom w:w="0" w:type="dxa"/>
            </w:tcMar>
            <w:vAlign w:val="center"/>
          </w:tcPr>
          <w:p>
            <w:pPr>
              <w:pStyle w:val="TableContents"/>
              <w:spacing w:before="0" w:after="283"/>
              <w:jc w:val="left"/>
              <w:rPr/>
            </w:pPr>
            <w:r>
              <w:rPr/>
              <w:t> </w:t>
            </w:r>
          </w:p>
        </w:tc>
        <w:tc>
          <w:tcPr>
            <w:tcW w:w="666" w:type="dxa"/>
            <w:tcBorders/>
            <w:shd w:fill="CCEEFF" w:val="clear"/>
            <w:tcMar>
              <w:bottom w:w="0" w:type="dxa"/>
            </w:tcMar>
            <w:vAlign w:val="center"/>
          </w:tcPr>
          <w:p>
            <w:pPr>
              <w:pStyle w:val="TableContents"/>
              <w:spacing w:before="0" w:after="283"/>
              <w:jc w:val="right"/>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5" w:type="dxa"/>
            <w:tcBorders/>
            <w:shd w:fill="CCEEFF" w:val="clear"/>
            <w:tcMar>
              <w:bottom w:w="0" w:type="dxa"/>
            </w:tcMar>
            <w:vAlign w:val="center"/>
          </w:tcPr>
          <w:p>
            <w:pPr>
              <w:pStyle w:val="TableContents"/>
              <w:spacing w:before="0" w:after="283"/>
              <w:jc w:val="left"/>
              <w:rPr/>
            </w:pPr>
            <w:r>
              <w:rPr/>
              <w:t> </w:t>
            </w:r>
          </w:p>
        </w:tc>
        <w:tc>
          <w:tcPr>
            <w:tcW w:w="673" w:type="dxa"/>
            <w:tcBorders/>
            <w:shd w:fill="CCEEFF" w:val="clear"/>
            <w:tcMar>
              <w:bottom w:w="0" w:type="dxa"/>
            </w:tcMar>
            <w:vAlign w:val="center"/>
          </w:tcPr>
          <w:p>
            <w:pPr>
              <w:pStyle w:val="TableContents"/>
              <w:spacing w:before="0" w:after="283"/>
              <w:jc w:val="right"/>
              <w:rPr/>
            </w:pPr>
            <w:r>
              <w:rPr/>
              <w:t>—  </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78" w:type="dxa"/>
            <w:tcBorders/>
            <w:shd w:fill="CCEEFF" w:val="clear"/>
            <w:tcMar>
              <w:bottom w:w="0" w:type="dxa"/>
            </w:tcMar>
            <w:vAlign w:val="center"/>
          </w:tcPr>
          <w:p>
            <w:pPr>
              <w:pStyle w:val="TableContents"/>
              <w:spacing w:before="0" w:after="283"/>
              <w:jc w:val="left"/>
              <w:rPr/>
            </w:pPr>
            <w:r>
              <w:rPr/>
              <w:t> </w:t>
            </w:r>
          </w:p>
        </w:tc>
        <w:tc>
          <w:tcPr>
            <w:tcW w:w="1132" w:type="dxa"/>
            <w:tcBorders/>
            <w:shd w:fill="CCEEFF" w:val="clear"/>
            <w:tcMar>
              <w:bottom w:w="0" w:type="dxa"/>
            </w:tcMar>
            <w:vAlign w:val="center"/>
          </w:tcPr>
          <w:p>
            <w:pPr>
              <w:pStyle w:val="TableContents"/>
              <w:spacing w:before="0" w:after="283"/>
              <w:jc w:val="right"/>
              <w:rPr/>
            </w:pPr>
            <w:r>
              <w:rPr/>
              <w:t>—  </w:t>
            </w:r>
          </w:p>
        </w:tc>
        <w:tc>
          <w:tcPr>
            <w:tcW w:w="1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08" w:type="dxa"/>
            <w:tcBorders/>
            <w:shd w:fill="CCEEFF" w:val="clear"/>
            <w:tcMar>
              <w:bottom w:w="0" w:type="dxa"/>
            </w:tcMar>
            <w:vAlign w:val="center"/>
          </w:tcPr>
          <w:p>
            <w:pPr>
              <w:pStyle w:val="TableContents"/>
              <w:spacing w:before="0" w:after="283"/>
              <w:jc w:val="left"/>
              <w:rPr/>
            </w:pPr>
            <w:r>
              <w:rPr/>
              <w:t> </w:t>
            </w:r>
          </w:p>
        </w:tc>
        <w:tc>
          <w:tcPr>
            <w:tcW w:w="1496" w:type="dxa"/>
            <w:tcBorders/>
            <w:shd w:fill="CCEEFF" w:val="clear"/>
            <w:tcMar>
              <w:bottom w:w="0" w:type="dxa"/>
            </w:tcMar>
            <w:vAlign w:val="center"/>
          </w:tcPr>
          <w:p>
            <w:pPr>
              <w:pStyle w:val="TableContents"/>
              <w:spacing w:before="0" w:after="283"/>
              <w:jc w:val="right"/>
              <w:rPr/>
            </w:pPr>
            <w:r>
              <w:rPr/>
              <w:t>—  </w:t>
            </w:r>
          </w:p>
        </w:tc>
        <w:tc>
          <w:tcPr>
            <w:tcW w:w="132"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 </w:t>
            </w:r>
          </w:p>
        </w:tc>
        <w:tc>
          <w:tcPr>
            <w:tcW w:w="1192" w:type="dxa"/>
            <w:tcBorders/>
            <w:shd w:fill="CCEEFF" w:val="clear"/>
            <w:tcMar>
              <w:bottom w:w="0" w:type="dxa"/>
            </w:tcMar>
            <w:vAlign w:val="center"/>
          </w:tcPr>
          <w:p>
            <w:pPr>
              <w:pStyle w:val="TableContents"/>
              <w:spacing w:before="0" w:after="283"/>
              <w:jc w:val="right"/>
              <w:rPr/>
            </w:pPr>
            <w:r>
              <w:rPr/>
              <w:t>—  </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59,000</w:t>
            </w:r>
          </w:p>
        </w:tc>
        <w:tc>
          <w:tcPr>
            <w:tcW w:w="83" w:type="dxa"/>
            <w:tcBorders/>
            <w:shd w:fill="CCEEFF" w:val="clear"/>
            <w:tcMar>
              <w:bottom w:w="0" w:type="dxa"/>
            </w:tcMar>
            <w:vAlign w:val="center"/>
          </w:tcPr>
          <w:p>
            <w:pPr>
              <w:pStyle w:val="TableContents"/>
              <w:spacing w:before="0" w:after="283"/>
              <w:jc w:val="left"/>
              <w:rPr/>
            </w:pPr>
            <w:r>
              <w:rPr/>
              <w:t> </w:t>
            </w:r>
          </w:p>
        </w:tc>
      </w:tr>
      <w:tr>
        <w:trPr/>
        <w:tc>
          <w:tcPr>
            <w:tcW w:w="1060" w:type="dxa"/>
            <w:tcBorders/>
            <w:shd w:fill="FFFFFF" w:val="clear"/>
            <w:tcMar>
              <w:bottom w:w="0" w:type="dxa"/>
            </w:tcMar>
            <w:vAlign w:val="center"/>
          </w:tcPr>
          <w:p>
            <w:pPr>
              <w:pStyle w:val="TableContents"/>
              <w:spacing w:before="0" w:after="283"/>
              <w:jc w:val="left"/>
              <w:rPr/>
            </w:pPr>
            <w:r>
              <w:rPr/>
              <w:t>Lawrence E. Washow</w:t>
            </w:r>
          </w:p>
        </w:tc>
        <w:tc>
          <w:tcPr>
            <w:tcW w:w="60" w:type="dxa"/>
            <w:tcBorders/>
            <w:shd w:fill="FFFFFF" w:val="clear"/>
            <w:tcMar>
              <w:bottom w:w="0" w:type="dxa"/>
            </w:tcMar>
            <w:vAlign w:val="center"/>
          </w:tcPr>
          <w:p>
            <w:pPr>
              <w:pStyle w:val="TableContents"/>
              <w:spacing w:before="0" w:after="283"/>
              <w:rPr/>
            </w:pPr>
            <w:r>
              <w:rPr/>
              <w:t> </w:t>
            </w:r>
          </w:p>
        </w:tc>
        <w:tc>
          <w:tcPr>
            <w:tcW w:w="163" w:type="dxa"/>
            <w:tcBorders/>
            <w:shd w:fill="FFFFFF" w:val="clear"/>
            <w:tcMar>
              <w:bottom w:w="0" w:type="dxa"/>
            </w:tcMar>
            <w:vAlign w:val="center"/>
          </w:tcPr>
          <w:p>
            <w:pPr>
              <w:pStyle w:val="TableContents"/>
              <w:spacing w:before="0" w:after="283"/>
              <w:jc w:val="left"/>
              <w:rPr/>
            </w:pPr>
            <w:r>
              <w:rPr/>
              <w:t>$</w:t>
            </w:r>
          </w:p>
        </w:tc>
        <w:tc>
          <w:tcPr>
            <w:tcW w:w="793" w:type="dxa"/>
            <w:tcBorders/>
            <w:shd w:fill="FFFFFF" w:val="clear"/>
            <w:tcMar>
              <w:bottom w:w="0" w:type="dxa"/>
            </w:tcMar>
            <w:vAlign w:val="center"/>
          </w:tcPr>
          <w:p>
            <w:pPr>
              <w:pStyle w:val="TableContents"/>
              <w:spacing w:before="0" w:after="283"/>
              <w:jc w:val="right"/>
              <w:rPr/>
            </w:pPr>
            <w:r>
              <w:rPr/>
              <w:t>45,500</w:t>
            </w:r>
          </w:p>
        </w:tc>
        <w:tc>
          <w:tcPr>
            <w:tcW w:w="6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4" w:type="dxa"/>
            <w:tcBorders/>
            <w:shd w:fill="FFFFFF" w:val="clear"/>
            <w:tcMar>
              <w:bottom w:w="0" w:type="dxa"/>
            </w:tcMar>
            <w:vAlign w:val="center"/>
          </w:tcPr>
          <w:p>
            <w:pPr>
              <w:pStyle w:val="TableContents"/>
              <w:spacing w:before="0" w:after="283"/>
              <w:jc w:val="left"/>
              <w:rPr/>
            </w:pPr>
            <w:r>
              <w:rPr/>
              <w:t> </w:t>
            </w:r>
          </w:p>
        </w:tc>
        <w:tc>
          <w:tcPr>
            <w:tcW w:w="666" w:type="dxa"/>
            <w:tcBorders/>
            <w:shd w:fill="FFFFFF" w:val="clear"/>
            <w:tcMar>
              <w:bottom w:w="0" w:type="dxa"/>
            </w:tcMar>
            <w:vAlign w:val="center"/>
          </w:tcPr>
          <w:p>
            <w:pPr>
              <w:pStyle w:val="TableContents"/>
              <w:spacing w:before="0" w:after="283"/>
              <w:jc w:val="right"/>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center"/>
          </w:tcPr>
          <w:p>
            <w:pPr>
              <w:pStyle w:val="TableContents"/>
              <w:spacing w:before="0" w:after="283"/>
              <w:jc w:val="left"/>
              <w:rPr/>
            </w:pPr>
            <w:r>
              <w:rPr/>
              <w:t> </w:t>
            </w:r>
          </w:p>
        </w:tc>
        <w:tc>
          <w:tcPr>
            <w:tcW w:w="673"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8" w:type="dxa"/>
            <w:tcBorders/>
            <w:shd w:fill="FFFFFF" w:val="clear"/>
            <w:tcMar>
              <w:bottom w:w="0" w:type="dxa"/>
            </w:tcMar>
            <w:vAlign w:val="center"/>
          </w:tcPr>
          <w:p>
            <w:pPr>
              <w:pStyle w:val="TableContents"/>
              <w:spacing w:before="0" w:after="283"/>
              <w:jc w:val="left"/>
              <w:rPr/>
            </w:pPr>
            <w:r>
              <w:rPr/>
              <w:t> </w:t>
            </w:r>
          </w:p>
        </w:tc>
        <w:tc>
          <w:tcPr>
            <w:tcW w:w="1132" w:type="dxa"/>
            <w:tcBorders/>
            <w:shd w:fill="FFFFFF" w:val="clear"/>
            <w:tcMar>
              <w:bottom w:w="0" w:type="dxa"/>
            </w:tcMar>
            <w:vAlign w:val="center"/>
          </w:tcPr>
          <w:p>
            <w:pPr>
              <w:pStyle w:val="TableContents"/>
              <w:spacing w:before="0" w:after="283"/>
              <w:jc w:val="right"/>
              <w:rPr/>
            </w:pPr>
            <w:r>
              <w:rPr/>
              <w:t>—  </w:t>
            </w:r>
          </w:p>
        </w:tc>
        <w:tc>
          <w:tcPr>
            <w:tcW w:w="18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08" w:type="dxa"/>
            <w:tcBorders/>
            <w:shd w:fill="FFFFFF" w:val="clear"/>
            <w:tcMar>
              <w:bottom w:w="0" w:type="dxa"/>
            </w:tcMar>
            <w:vAlign w:val="center"/>
          </w:tcPr>
          <w:p>
            <w:pPr>
              <w:pStyle w:val="TableContents"/>
              <w:spacing w:before="0" w:after="283"/>
              <w:jc w:val="left"/>
              <w:rPr/>
            </w:pPr>
            <w:r>
              <w:rPr/>
              <w:t> </w:t>
            </w:r>
          </w:p>
        </w:tc>
        <w:tc>
          <w:tcPr>
            <w:tcW w:w="1496" w:type="dxa"/>
            <w:tcBorders/>
            <w:shd w:fill="FFFFFF" w:val="clear"/>
            <w:tcMar>
              <w:bottom w:w="0" w:type="dxa"/>
            </w:tcMar>
            <w:vAlign w:val="center"/>
          </w:tcPr>
          <w:p>
            <w:pPr>
              <w:pStyle w:val="TableContents"/>
              <w:spacing w:before="0" w:after="283"/>
              <w:jc w:val="right"/>
              <w:rPr/>
            </w:pPr>
            <w:r>
              <w:rPr/>
              <w:t>—  </w:t>
            </w:r>
          </w:p>
        </w:tc>
        <w:tc>
          <w:tcPr>
            <w:tcW w:w="132"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 </w:t>
            </w:r>
          </w:p>
        </w:tc>
        <w:tc>
          <w:tcPr>
            <w:tcW w:w="1192" w:type="dxa"/>
            <w:tcBorders/>
            <w:shd w:fill="FFFFFF" w:val="clear"/>
            <w:tcMar>
              <w:bottom w:w="0" w:type="dxa"/>
            </w:tcMar>
            <w:vAlign w:val="center"/>
          </w:tcPr>
          <w:p>
            <w:pPr>
              <w:pStyle w:val="TableContents"/>
              <w:spacing w:before="0" w:after="283"/>
              <w:jc w:val="right"/>
              <w:rPr/>
            </w:pPr>
            <w:r>
              <w:rPr/>
              <w:t>—  </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45,500</w:t>
            </w:r>
          </w:p>
        </w:tc>
        <w:tc>
          <w:tcPr>
            <w:tcW w:w="83" w:type="dxa"/>
            <w:tcBorders/>
            <w:shd w:fill="FFFFFF" w:val="clear"/>
            <w:tcMar>
              <w:bottom w:w="0" w:type="dxa"/>
            </w:tcMar>
            <w:vAlign w:val="center"/>
          </w:tcPr>
          <w:p>
            <w:pPr>
              <w:pStyle w:val="TableContents"/>
              <w:spacing w:before="0" w:after="283"/>
              <w:jc w:val="left"/>
              <w:rPr/>
            </w:pPr>
            <w:r>
              <w:rPr/>
              <w:t> </w:t>
            </w:r>
          </w:p>
        </w:tc>
      </w:tr>
    </w:tbl>
    <w:p>
      <w:pPr>
        <w:pStyle w:val="TextBody"/>
        <w:spacing w:before="100" w:after="100"/>
        <w:ind w:left="100" w:right="100" w:hanging="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       There were no option awards to directors in fiscal 2014. Option awards outstanding as of July 31, 2014 are shown in the Directors’ Option Awards Outstanding Table below.</w:t>
      </w:r>
    </w:p>
    <w:p>
      <w:pPr>
        <w:pStyle w:val="TextBody"/>
        <w:spacing w:before="0" w:after="200"/>
        <w:ind w:left="0" w:right="0" w:hanging="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       The amount shown consists of earnings in excess of 120% of the applicable federal rate on the aggregate balances in our executive deferred compensation plan in which Richard M. Jaffee, Chairman of our Board of Directors, participates. A portion of the aggregate balances in this plan earns a rate of return of 2.5% in excess of Moody's Annual Average of Yields on Aaa bonds, while the remainder earns a return equal to our long-term cost of borrowing plus 1%. No director other than Mr. Jaffee has elected to participate in this plan. In fiscal 2014, Mr. Jaffee received distributions of $76,349 from his account in this plan associated with deferrals he made while an employee and officer of the Company.</w:t>
      </w:r>
    </w:p>
    <w:p>
      <w:pPr>
        <w:pStyle w:val="TextBody"/>
        <w:spacing w:before="0" w:after="200"/>
        <w:ind w:left="0" w:right="0" w:hanging="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(3)       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w:t>
      </w:r>
    </w:p>
    <w:p>
      <w:pPr>
        <w:pStyle w:val="TextBody"/>
        <w:jc w:val="center"/>
        <w:rPr>
          <w:rFonts w:ascii="Times New Roman;Times;Serif" w:hAnsi="Times New Roman;Times;Serif"/>
          <w:b/>
          <w:i w:val="false"/>
          <w:caps w:val="false"/>
          <w:smallCaps w:val="false"/>
          <w:sz w:val="20"/>
        </w:rPr>
      </w:pPr>
      <w:bookmarkStart w:id="21" w:name="a_Toc339007560"/>
      <w:bookmarkEnd w:id="21"/>
      <w:r>
        <w:rPr>
          <w:rFonts w:ascii="Times New Roman;Times;Serif" w:hAnsi="Times New Roman;Times;Serif"/>
          <w:b/>
          <w:i w:val="false"/>
          <w:caps w:val="false"/>
          <w:smallCaps w:val="false"/>
          <w:sz w:val="20"/>
        </w:rPr>
        <w:t>Directors’ Option Awards Outstanding Table</w:t>
      </w:r>
    </w:p>
    <w:p>
      <w:pPr>
        <w:pStyle w:val="TextBody"/>
        <w:spacing w:before="200" w:after="160"/>
        <w:ind w:left="200" w:right="20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2014, our directors held the following options to purchase shares of our Common Stock.</w:t>
      </w:r>
    </w:p>
    <w:tbl>
      <w:tblPr>
        <w:tblW w:w="2860" w:type="dxa"/>
        <w:jc w:val="center"/>
        <w:tblInd w:w="0" w:type="dxa"/>
        <w:tblCellMar>
          <w:top w:w="0" w:type="dxa"/>
          <w:left w:w="0" w:type="dxa"/>
          <w:bottom w:w="40" w:type="dxa"/>
          <w:right w:w="0" w:type="dxa"/>
        </w:tblCellMar>
      </w:tblPr>
      <w:tblGrid>
        <w:gridCol w:w="1520"/>
        <w:gridCol w:w="1340"/>
      </w:tblGrid>
      <w:tr>
        <w:trPr/>
        <w:tc>
          <w:tcPr>
            <w:tcW w:w="1520" w:type="dxa"/>
            <w:tcBorders>
              <w:bottom w:val="single" w:sz="8" w:space="0" w:color="000000"/>
            </w:tcBorders>
            <w:shd w:fill="auto" w:val="clear"/>
            <w:vAlign w:val="center"/>
          </w:tcPr>
          <w:p>
            <w:pPr>
              <w:pStyle w:val="TableContents"/>
              <w:spacing w:before="0" w:after="283"/>
              <w:jc w:val="left"/>
              <w:rPr>
                <w:b/>
                <w:sz w:val="17"/>
              </w:rPr>
            </w:pPr>
            <w:r>
              <w:rPr>
                <w:b/>
                <w:sz w:val="17"/>
              </w:rPr>
              <w:t>Name</w:t>
            </w:r>
          </w:p>
        </w:tc>
        <w:tc>
          <w:tcPr>
            <w:tcW w:w="1340" w:type="dxa"/>
            <w:tcBorders>
              <w:bottom w:val="single" w:sz="8" w:space="0" w:color="000000"/>
            </w:tcBorders>
            <w:shd w:fill="auto" w:val="clear"/>
            <w:vAlign w:val="center"/>
          </w:tcPr>
          <w:p>
            <w:pPr>
              <w:pStyle w:val="TableContents"/>
              <w:spacing w:before="0" w:after="283"/>
              <w:jc w:val="right"/>
              <w:rPr>
                <w:b/>
                <w:sz w:val="17"/>
              </w:rPr>
            </w:pPr>
            <w:r>
              <w:rPr>
                <w:b/>
                <w:sz w:val="17"/>
              </w:rPr>
              <w:t>Number of Shares</w:t>
            </w:r>
          </w:p>
        </w:tc>
      </w:tr>
      <w:tr>
        <w:trPr/>
        <w:tc>
          <w:tcPr>
            <w:tcW w:w="1520" w:type="dxa"/>
            <w:tcBorders/>
            <w:shd w:fill="CCEEFF" w:val="clear"/>
            <w:tcMar>
              <w:bottom w:w="0" w:type="dxa"/>
            </w:tcMar>
            <w:vAlign w:val="center"/>
          </w:tcPr>
          <w:p>
            <w:pPr>
              <w:pStyle w:val="TableContents"/>
              <w:spacing w:before="0" w:after="283"/>
              <w:jc w:val="left"/>
              <w:rPr>
                <w:sz w:val="17"/>
              </w:rPr>
            </w:pPr>
            <w:r>
              <w:rPr>
                <w:sz w:val="17"/>
              </w:rPr>
              <w:t>Michael A. Nemeroff</w:t>
            </w:r>
          </w:p>
        </w:tc>
        <w:tc>
          <w:tcPr>
            <w:tcW w:w="1340" w:type="dxa"/>
            <w:tcBorders/>
            <w:shd w:fill="CCEEFF" w:val="clear"/>
            <w:tcMar>
              <w:bottom w:w="0" w:type="dxa"/>
            </w:tcMar>
            <w:vAlign w:val="center"/>
          </w:tcPr>
          <w:p>
            <w:pPr>
              <w:pStyle w:val="TableContents"/>
              <w:spacing w:before="0" w:after="283"/>
              <w:jc w:val="right"/>
              <w:rPr>
                <w:sz w:val="17"/>
              </w:rPr>
            </w:pPr>
            <w:r>
              <w:rPr>
                <w:sz w:val="17"/>
              </w:rPr>
              <w:t>12,500</w:t>
            </w:r>
          </w:p>
        </w:tc>
      </w:tr>
      <w:tr>
        <w:trPr/>
        <w:tc>
          <w:tcPr>
            <w:tcW w:w="1520" w:type="dxa"/>
            <w:tcBorders/>
            <w:shd w:fill="FFFFFF" w:val="clear"/>
            <w:tcMar>
              <w:bottom w:w="0" w:type="dxa"/>
            </w:tcMar>
            <w:vAlign w:val="center"/>
          </w:tcPr>
          <w:p>
            <w:pPr>
              <w:pStyle w:val="TableContents"/>
              <w:spacing w:before="0" w:after="283"/>
              <w:jc w:val="left"/>
              <w:rPr>
                <w:sz w:val="17"/>
              </w:rPr>
            </w:pPr>
            <w:r>
              <w:rPr>
                <w:sz w:val="17"/>
              </w:rPr>
              <w:t>Paul E. Suckow</w:t>
            </w:r>
          </w:p>
        </w:tc>
        <w:tc>
          <w:tcPr>
            <w:tcW w:w="1340" w:type="dxa"/>
            <w:tcBorders/>
            <w:shd w:fill="FFFFFF" w:val="clear"/>
            <w:tcMar>
              <w:bottom w:w="0" w:type="dxa"/>
            </w:tcMar>
            <w:vAlign w:val="center"/>
          </w:tcPr>
          <w:p>
            <w:pPr>
              <w:pStyle w:val="TableContents"/>
              <w:spacing w:before="0" w:after="283"/>
              <w:jc w:val="right"/>
              <w:rPr>
                <w:sz w:val="17"/>
              </w:rPr>
            </w:pPr>
            <w:r>
              <w:rPr>
                <w:sz w:val="17"/>
              </w:rPr>
              <w:t>12,500</w:t>
            </w:r>
          </w:p>
        </w:tc>
      </w:tr>
    </w:tbl>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22" w:name="a_Toc339007561"/>
      <w:bookmarkEnd w:id="22"/>
      <w:r>
        <w:rPr>
          <w:rFonts w:ascii="Times New Roman;Times;Serif" w:hAnsi="Times New Roman;Times;Serif"/>
          <w:b/>
          <w:i w:val="false"/>
          <w:caps w:val="false"/>
          <w:smallCaps w:val="false"/>
          <w:sz w:val="20"/>
        </w:rPr>
        <w:t>Corporate Governance Guidelines and Code of Ethics</w:t>
      </w:r>
    </w:p>
    <w:p>
      <w:pPr>
        <w:pStyle w:val="TextBody"/>
        <w:spacing w:before="200" w:after="200"/>
        <w:ind w:left="200" w:right="20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Corporate Governance Guidelines and a Code of Ethics and Business Conduct. The Code of Ethics and Business Conduct applies to all our employees, officers and directors. The Corporate Governance Guidelines and the Code of Ethics and Business Conduct are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a “controlled company” exemption from the NYSE Corporate Governance Standards, we do not have a corporate governance committee.</w:t>
      </w:r>
    </w:p>
    <w:p>
      <w:pPr>
        <w:pStyle w:val="TextBody"/>
        <w:spacing w:before="0" w:after="200"/>
        <w:jc w:val="center"/>
        <w:rPr>
          <w:rFonts w:ascii="Times New Roman;Times;Serif" w:hAnsi="Times New Roman;Times;Serif"/>
          <w:b/>
          <w:i w:val="false"/>
          <w:caps w:val="false"/>
          <w:smallCaps w:val="false"/>
          <w:sz w:val="20"/>
        </w:rPr>
      </w:pPr>
      <w:bookmarkStart w:id="23" w:name="a_Toc339007562"/>
      <w:bookmarkEnd w:id="23"/>
      <w:r>
        <w:rPr>
          <w:rFonts w:ascii="Times New Roman;Times;Serif" w:hAnsi="Times New Roman;Times;Serif"/>
          <w:b/>
          <w:i w:val="false"/>
          <w:caps w:val="false"/>
          <w:smallCaps w:val="false"/>
          <w:sz w:val="20"/>
        </w:rPr>
        <w:t>Certain Relationships and Related Party Transactions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 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Karen Jaffee Cofsky on a part-time basis as Vice President of Compensation and Benefits. She is the daughter of Richard M. Jaffee, the Chairman of our Board of Directors. She is also the spouse of Thomas F. Cofsky and the sister of Daniel S. Jaffee, both of whom are named executive officers of the Company. Mrs. Cofsky’s compensation is based on her education, experience and the responsibilities of her position.</w:t>
      </w:r>
    </w:p>
    <w:p>
      <w:pPr>
        <w:pStyle w:val="TextBody"/>
        <w:spacing w:before="200" w:after="200"/>
        <w:ind w:left="200" w:right="20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A. Nemeroff, a member of our Board of Directors and of its Compensation Committee, is the President and Chief Executive Officer as well as a director of Vedder Price P.C., a law firm that regularly provides services to the Company. During fiscal 2014, we paid Vedder Price P.C. $286,816 for services provided to the Company.</w:t>
      </w:r>
    </w:p>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center"/>
        <w:rPr>
          <w:rFonts w:ascii="Times New Roman;Times;Serif" w:hAnsi="Times New Roman;Times;Serif"/>
          <w:b/>
          <w:i w:val="false"/>
          <w:caps w:val="false"/>
          <w:smallCaps w:val="false"/>
          <w:sz w:val="20"/>
        </w:rPr>
      </w:pPr>
      <w:bookmarkStart w:id="24" w:name="a_Toc339007563"/>
      <w:bookmarkEnd w:id="24"/>
      <w:r>
        <w:rPr>
          <w:rFonts w:ascii="Times New Roman;Times;Serif" w:hAnsi="Times New Roman;Times;Serif"/>
          <w:b/>
          <w:i w:val="false"/>
          <w:caps w:val="false"/>
          <w:smallCaps w:val="false"/>
          <w:sz w:val="20"/>
        </w:rPr>
        <w:t>Report of the Audit Committee of the Board of Directors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controls practices, and our compliance with legal and regulatory requirements.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primarily responsible for our financial statements and reporting process, including our accounting and financial reporting principles, internal control over financial reporting and disclosure controls and procedures. Grant Thornton LLP, our independent registered public accounting firm, is responsible for auditing our consolidated financial statements in accordance with the auditing standards of the Public Company Accounting Oversight Board (United States) and for issuing a report on those statements. Grant Thornton LLP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reviewed and discussed our audited consolidated financial statements and related footnotes for fiscal 2014 and our independent auditor’s report on those financial statements with our management and internal audit manager.</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discussed with Grant Thornton LLP the matters required to be discussed by Statement on Auditing Standards No. 61, as amended (AICPA, Professional Standards, Vol. 1. AU Section 380), as adopted by the Public Company Accounting Oversight Board in Rule 3200T.</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received the written disclosures and the letter from Grant Thornton LLP required by the applicable requirements of the Public Company Accounting Oversight Board regarding the independent auditor’s communications with the Audit Committee concerning independence and has discussed with Grant Thornton LLP its independence.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the Audit Committee recommended to the Board of Directors that our audited consolidated financial statements for fiscal 2014 be included in our Annual Report on Form 10-K for fiscal 2014 filed with the SEC.</w:t>
      </w:r>
    </w:p>
    <w:tbl>
      <w:tblPr>
        <w:tblW w:w="1970" w:type="dxa"/>
        <w:jc w:val="left"/>
        <w:tblInd w:w="0" w:type="dxa"/>
        <w:tblCellMar>
          <w:top w:w="0" w:type="dxa"/>
          <w:left w:w="0" w:type="dxa"/>
          <w:bottom w:w="0" w:type="dxa"/>
          <w:right w:w="0" w:type="dxa"/>
        </w:tblCellMar>
      </w:tblPr>
      <w:tblGrid>
        <w:gridCol w:w="75"/>
        <w:gridCol w:w="1895"/>
      </w:tblGrid>
      <w:tr>
        <w:trPr/>
        <w:tc>
          <w:tcPr>
            <w:tcW w:w="75" w:type="dxa"/>
            <w:tcBorders/>
            <w:shd w:fill="auto" w:val="clear"/>
            <w:vAlign w:val="center"/>
          </w:tcPr>
          <w:p>
            <w:pPr>
              <w:pStyle w:val="TableContents"/>
              <w:spacing w:before="0" w:after="283"/>
              <w:jc w:val="both"/>
              <w:rPr/>
            </w:pPr>
            <w:r>
              <w:rPr/>
              <w:t> </w:t>
            </w:r>
          </w:p>
        </w:tc>
        <w:tc>
          <w:tcPr>
            <w:tcW w:w="1895" w:type="dxa"/>
            <w:tcBorders/>
            <w:shd w:fill="auto" w:val="clear"/>
            <w:vAlign w:val="center"/>
          </w:tcPr>
          <w:p>
            <w:pPr>
              <w:pStyle w:val="TableContents"/>
              <w:spacing w:before="0" w:after="283"/>
              <w:jc w:val="both"/>
              <w:rPr>
                <w:sz w:val="17"/>
              </w:rPr>
            </w:pPr>
            <w:r>
              <w:rPr>
                <w:sz w:val="17"/>
              </w:rPr>
              <w:t>AUDIT COMMITTEE</w:t>
            </w:r>
          </w:p>
        </w:tc>
      </w:tr>
      <w:tr>
        <w:trPr/>
        <w:tc>
          <w:tcPr>
            <w:tcW w:w="75" w:type="dxa"/>
            <w:tcBorders/>
            <w:shd w:fill="auto" w:val="clear"/>
            <w:vAlign w:val="center"/>
          </w:tcPr>
          <w:p>
            <w:pPr>
              <w:pStyle w:val="TableContents"/>
              <w:spacing w:before="0" w:after="283"/>
              <w:jc w:val="both"/>
              <w:rPr/>
            </w:pPr>
            <w:r>
              <w:rPr/>
              <w:t> </w:t>
            </w:r>
          </w:p>
        </w:tc>
        <w:tc>
          <w:tcPr>
            <w:tcW w:w="189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895" w:type="dxa"/>
            <w:tcBorders/>
            <w:shd w:fill="auto" w:val="clear"/>
            <w:vAlign w:val="center"/>
          </w:tcPr>
          <w:p>
            <w:pPr>
              <w:pStyle w:val="TableContents"/>
              <w:spacing w:before="0" w:after="283"/>
              <w:jc w:val="both"/>
              <w:rPr>
                <w:sz w:val="17"/>
              </w:rPr>
            </w:pPr>
            <w:r>
              <w:rPr>
                <w:sz w:val="17"/>
              </w:rPr>
              <w:t>Paul E. Suckow, Chairman</w:t>
            </w:r>
          </w:p>
        </w:tc>
      </w:tr>
      <w:tr>
        <w:trPr/>
        <w:tc>
          <w:tcPr>
            <w:tcW w:w="75" w:type="dxa"/>
            <w:tcBorders/>
            <w:shd w:fill="auto" w:val="clear"/>
            <w:vAlign w:val="center"/>
          </w:tcPr>
          <w:p>
            <w:pPr>
              <w:pStyle w:val="TableContents"/>
              <w:spacing w:before="0" w:after="283"/>
              <w:jc w:val="both"/>
              <w:rPr/>
            </w:pPr>
            <w:r>
              <w:rPr/>
              <w:t> </w:t>
            </w:r>
          </w:p>
        </w:tc>
        <w:tc>
          <w:tcPr>
            <w:tcW w:w="1895" w:type="dxa"/>
            <w:tcBorders/>
            <w:shd w:fill="auto" w:val="clear"/>
            <w:vAlign w:val="center"/>
          </w:tcPr>
          <w:p>
            <w:pPr>
              <w:pStyle w:val="TableContents"/>
              <w:spacing w:before="0" w:after="283"/>
              <w:jc w:val="both"/>
              <w:rPr>
                <w:sz w:val="17"/>
              </w:rPr>
            </w:pPr>
            <w:r>
              <w:rPr>
                <w:sz w:val="17"/>
              </w:rPr>
              <w:t>J. Steven Cole</w:t>
            </w:r>
          </w:p>
        </w:tc>
      </w:tr>
      <w:tr>
        <w:trPr/>
        <w:tc>
          <w:tcPr>
            <w:tcW w:w="75" w:type="dxa"/>
            <w:tcBorders/>
            <w:shd w:fill="auto" w:val="clear"/>
            <w:vAlign w:val="center"/>
          </w:tcPr>
          <w:p>
            <w:pPr>
              <w:pStyle w:val="TableContents"/>
              <w:spacing w:before="0" w:after="283"/>
              <w:jc w:val="both"/>
              <w:rPr/>
            </w:pPr>
            <w:r>
              <w:rPr/>
              <w:t> </w:t>
            </w:r>
          </w:p>
        </w:tc>
        <w:tc>
          <w:tcPr>
            <w:tcW w:w="1895" w:type="dxa"/>
            <w:tcBorders/>
            <w:shd w:fill="auto" w:val="clear"/>
            <w:vAlign w:val="center"/>
          </w:tcPr>
          <w:p>
            <w:pPr>
              <w:pStyle w:val="TableContents"/>
              <w:spacing w:before="0" w:after="283"/>
              <w:jc w:val="both"/>
              <w:rPr>
                <w:sz w:val="17"/>
              </w:rPr>
            </w:pPr>
            <w:r>
              <w:rPr>
                <w:sz w:val="17"/>
              </w:rPr>
              <w:t>Lawrence E. Washow</w:t>
            </w:r>
          </w:p>
        </w:tc>
      </w:tr>
    </w:tbl>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spacing w:before="0" w:after="20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center"/>
        <w:rPr>
          <w:rFonts w:ascii="Times New Roman;Times;Serif" w:hAnsi="Times New Roman;Times;Serif"/>
          <w:b/>
          <w:i w:val="false"/>
          <w:caps w:val="false"/>
          <w:smallCaps w:val="false"/>
          <w:sz w:val="20"/>
        </w:rPr>
      </w:pPr>
      <w:bookmarkStart w:id="25" w:name="a_Toc339007564"/>
      <w:bookmarkEnd w:id="25"/>
      <w:r>
        <w:rPr>
          <w:rFonts w:ascii="Times New Roman;Times;Serif" w:hAnsi="Times New Roman;Times;Serif"/>
          <w:b/>
          <w:i w:val="false"/>
          <w:caps w:val="false"/>
          <w:smallCaps w:val="false"/>
          <w:sz w:val="20"/>
        </w:rPr>
        <w:t>EXECUTIVE OFFICERS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gives certain information with respect to our current executive officers.</w:t>
      </w:r>
    </w:p>
    <w:tbl>
      <w:tblPr>
        <w:tblW w:w="10205" w:type="dxa"/>
        <w:jc w:val="left"/>
        <w:tblInd w:w="0" w:type="dxa"/>
        <w:tblCellMar>
          <w:top w:w="0" w:type="dxa"/>
          <w:left w:w="0" w:type="dxa"/>
          <w:bottom w:w="40" w:type="dxa"/>
          <w:right w:w="0" w:type="dxa"/>
        </w:tblCellMar>
      </w:tblPr>
      <w:tblGrid>
        <w:gridCol w:w="1001"/>
        <w:gridCol w:w="8883"/>
        <w:gridCol w:w="321"/>
      </w:tblGrid>
      <w:tr>
        <w:trPr/>
        <w:tc>
          <w:tcPr>
            <w:tcW w:w="1001" w:type="dxa"/>
            <w:tcBorders>
              <w:bottom w:val="single" w:sz="8" w:space="0" w:color="000000"/>
            </w:tcBorders>
            <w:shd w:fill="auto" w:val="clear"/>
            <w:vAlign w:val="center"/>
          </w:tcPr>
          <w:p>
            <w:pPr>
              <w:pStyle w:val="TableContents"/>
              <w:spacing w:before="0" w:after="283"/>
              <w:jc w:val="left"/>
              <w:rPr>
                <w:b/>
                <w:sz w:val="17"/>
              </w:rPr>
            </w:pPr>
            <w:r>
              <w:rPr>
                <w:b/>
                <w:sz w:val="17"/>
              </w:rPr>
              <w:t>Name</w:t>
            </w:r>
          </w:p>
        </w:tc>
        <w:tc>
          <w:tcPr>
            <w:tcW w:w="8883" w:type="dxa"/>
            <w:tcBorders>
              <w:bottom w:val="single" w:sz="8" w:space="0" w:color="000000"/>
            </w:tcBorders>
            <w:shd w:fill="auto" w:val="clear"/>
            <w:vAlign w:val="center"/>
          </w:tcPr>
          <w:p>
            <w:pPr>
              <w:pStyle w:val="TableContents"/>
              <w:spacing w:before="0" w:after="283"/>
              <w:jc w:val="left"/>
              <w:rPr>
                <w:b/>
                <w:sz w:val="17"/>
              </w:rPr>
            </w:pPr>
            <w:r>
              <w:rPr>
                <w:b/>
                <w:sz w:val="17"/>
              </w:rPr>
              <w:t>Principal Occupation for Last Five Years</w:t>
            </w:r>
          </w:p>
        </w:tc>
        <w:tc>
          <w:tcPr>
            <w:tcW w:w="321" w:type="dxa"/>
            <w:tcBorders>
              <w:bottom w:val="single" w:sz="8" w:space="0" w:color="000000"/>
            </w:tcBorders>
            <w:shd w:fill="auto" w:val="clear"/>
            <w:vAlign w:val="center"/>
          </w:tcPr>
          <w:p>
            <w:pPr>
              <w:pStyle w:val="TableContents"/>
              <w:spacing w:before="0" w:after="283"/>
              <w:jc w:val="center"/>
              <w:rPr>
                <w:b/>
                <w:sz w:val="17"/>
              </w:rPr>
            </w:pPr>
            <w:r>
              <w:rPr>
                <w:b/>
                <w:sz w:val="17"/>
              </w:rPr>
              <w:t>Age</w:t>
            </w:r>
          </w:p>
        </w:tc>
      </w:tr>
      <w:tr>
        <w:trPr/>
        <w:tc>
          <w:tcPr>
            <w:tcW w:w="1001" w:type="dxa"/>
            <w:tcBorders/>
            <w:shd w:fill="CCEEFF" w:val="clear"/>
            <w:tcMar>
              <w:bottom w:w="0" w:type="dxa"/>
            </w:tcMar>
            <w:vAlign w:val="center"/>
          </w:tcPr>
          <w:p>
            <w:pPr>
              <w:pStyle w:val="TableContents"/>
              <w:spacing w:before="0" w:after="283"/>
              <w:jc w:val="left"/>
              <w:rPr>
                <w:sz w:val="17"/>
              </w:rPr>
            </w:pPr>
            <w:r>
              <w:rPr>
                <w:sz w:val="17"/>
              </w:rPr>
              <w:t>Daniel S. Jaffee (1)</w:t>
            </w:r>
          </w:p>
        </w:tc>
        <w:tc>
          <w:tcPr>
            <w:tcW w:w="8883" w:type="dxa"/>
            <w:tcBorders/>
            <w:shd w:fill="CCEEFF" w:val="clear"/>
            <w:tcMar>
              <w:bottom w:w="0" w:type="dxa"/>
            </w:tcMar>
            <w:vAlign w:val="center"/>
          </w:tcPr>
          <w:p>
            <w:pPr>
              <w:pStyle w:val="TableContents"/>
              <w:spacing w:before="0" w:after="283"/>
              <w:jc w:val="left"/>
              <w:rPr>
                <w:sz w:val="17"/>
              </w:rPr>
            </w:pPr>
            <w:r>
              <w:rPr>
                <w:sz w:val="17"/>
              </w:rPr>
              <w:t>President and Chief Executive Officer of the Company since 1997.</w:t>
            </w:r>
          </w:p>
        </w:tc>
        <w:tc>
          <w:tcPr>
            <w:tcW w:w="321" w:type="dxa"/>
            <w:tcBorders/>
            <w:shd w:fill="CCEEFF" w:val="clear"/>
            <w:tcMar>
              <w:bottom w:w="0" w:type="dxa"/>
            </w:tcMar>
            <w:vAlign w:val="center"/>
          </w:tcPr>
          <w:p>
            <w:pPr>
              <w:pStyle w:val="TableContents"/>
              <w:spacing w:before="0" w:after="283"/>
              <w:jc w:val="center"/>
              <w:rPr>
                <w:sz w:val="17"/>
              </w:rPr>
            </w:pPr>
            <w:r>
              <w:rPr>
                <w:sz w:val="17"/>
              </w:rPr>
              <w:t>50</w:t>
            </w:r>
          </w:p>
        </w:tc>
      </w:tr>
      <w:tr>
        <w:trPr/>
        <w:tc>
          <w:tcPr>
            <w:tcW w:w="1001" w:type="dxa"/>
            <w:tcBorders/>
            <w:shd w:fill="FFFFFF" w:val="clear"/>
            <w:tcMar>
              <w:bottom w:w="0" w:type="dxa"/>
            </w:tcMar>
            <w:vAlign w:val="center"/>
          </w:tcPr>
          <w:p>
            <w:pPr>
              <w:pStyle w:val="TableContents"/>
              <w:spacing w:before="0" w:after="283"/>
              <w:jc w:val="left"/>
              <w:rPr>
                <w:sz w:val="17"/>
              </w:rPr>
            </w:pPr>
            <w:r>
              <w:rPr>
                <w:sz w:val="17"/>
              </w:rPr>
              <w:t>Daniel T. Smith</w:t>
            </w:r>
          </w:p>
        </w:tc>
        <w:tc>
          <w:tcPr>
            <w:tcW w:w="8883" w:type="dxa"/>
            <w:tcBorders/>
            <w:shd w:fill="FFFFFF" w:val="clear"/>
            <w:tcMar>
              <w:bottom w:w="0" w:type="dxa"/>
            </w:tcMar>
            <w:vAlign w:val="center"/>
          </w:tcPr>
          <w:p>
            <w:pPr>
              <w:pStyle w:val="TableContents"/>
              <w:spacing w:before="0" w:after="283"/>
              <w:jc w:val="left"/>
              <w:rPr>
                <w:sz w:val="17"/>
              </w:rPr>
            </w:pPr>
            <w:r>
              <w:rPr>
                <w:sz w:val="17"/>
              </w:rPr>
              <w:t>Vice President, Chief Financial Officer of the Company since June 2012; Vice President, Chief Accounting Officer and Controller of the Company from February 2011 to May 2012; Vice President and Controller of the Company from 2001 to February 2011.</w:t>
            </w:r>
          </w:p>
        </w:tc>
        <w:tc>
          <w:tcPr>
            <w:tcW w:w="321" w:type="dxa"/>
            <w:tcBorders/>
            <w:shd w:fill="FFFFFF" w:val="clear"/>
            <w:tcMar>
              <w:bottom w:w="0" w:type="dxa"/>
            </w:tcMar>
            <w:vAlign w:val="center"/>
          </w:tcPr>
          <w:p>
            <w:pPr>
              <w:pStyle w:val="TableContents"/>
              <w:spacing w:before="0" w:after="283"/>
              <w:jc w:val="center"/>
              <w:rPr>
                <w:sz w:val="17"/>
              </w:rPr>
            </w:pPr>
            <w:r>
              <w:rPr>
                <w:sz w:val="17"/>
              </w:rPr>
              <w:t>55</w:t>
            </w:r>
          </w:p>
        </w:tc>
      </w:tr>
      <w:tr>
        <w:trPr/>
        <w:tc>
          <w:tcPr>
            <w:tcW w:w="1001" w:type="dxa"/>
            <w:tcBorders/>
            <w:shd w:fill="CCEEFF" w:val="clear"/>
            <w:tcMar>
              <w:bottom w:w="0" w:type="dxa"/>
            </w:tcMar>
            <w:vAlign w:val="center"/>
          </w:tcPr>
          <w:p>
            <w:pPr>
              <w:pStyle w:val="TableContents"/>
              <w:spacing w:before="0" w:after="283"/>
              <w:jc w:val="left"/>
              <w:rPr>
                <w:sz w:val="17"/>
              </w:rPr>
            </w:pPr>
            <w:r>
              <w:rPr>
                <w:sz w:val="17"/>
              </w:rPr>
              <w:t>Thomas F. Cofsky (2)</w:t>
            </w:r>
          </w:p>
        </w:tc>
        <w:tc>
          <w:tcPr>
            <w:tcW w:w="8883" w:type="dxa"/>
            <w:tcBorders/>
            <w:shd w:fill="CCEEFF" w:val="clear"/>
            <w:tcMar>
              <w:bottom w:w="0" w:type="dxa"/>
            </w:tcMar>
            <w:vAlign w:val="center"/>
          </w:tcPr>
          <w:p>
            <w:pPr>
              <w:pStyle w:val="TableContents"/>
              <w:spacing w:before="0" w:after="283"/>
              <w:jc w:val="left"/>
              <w:rPr>
                <w:sz w:val="17"/>
              </w:rPr>
            </w:pPr>
            <w:r>
              <w:rPr>
                <w:sz w:val="17"/>
              </w:rPr>
              <w:t>Vice President, Manufacturing of the Company since October 2011; Vice President of Manufacturing and Logistics of the Company from 1999 to October 2011.</w:t>
            </w:r>
          </w:p>
        </w:tc>
        <w:tc>
          <w:tcPr>
            <w:tcW w:w="321" w:type="dxa"/>
            <w:tcBorders/>
            <w:shd w:fill="CCEEFF" w:val="clear"/>
            <w:tcMar>
              <w:bottom w:w="0" w:type="dxa"/>
            </w:tcMar>
            <w:vAlign w:val="center"/>
          </w:tcPr>
          <w:p>
            <w:pPr>
              <w:pStyle w:val="TableContents"/>
              <w:spacing w:before="0" w:after="283"/>
              <w:jc w:val="center"/>
              <w:rPr>
                <w:sz w:val="17"/>
              </w:rPr>
            </w:pPr>
            <w:r>
              <w:rPr>
                <w:sz w:val="17"/>
              </w:rPr>
              <w:t>54</w:t>
            </w:r>
          </w:p>
        </w:tc>
      </w:tr>
      <w:tr>
        <w:trPr/>
        <w:tc>
          <w:tcPr>
            <w:tcW w:w="1001" w:type="dxa"/>
            <w:tcBorders/>
            <w:shd w:fill="FFFFFF" w:val="clear"/>
            <w:tcMar>
              <w:bottom w:w="0" w:type="dxa"/>
            </w:tcMar>
            <w:vAlign w:val="center"/>
          </w:tcPr>
          <w:p>
            <w:pPr>
              <w:pStyle w:val="TableContents"/>
              <w:spacing w:before="0" w:after="283"/>
              <w:jc w:val="left"/>
              <w:rPr>
                <w:sz w:val="17"/>
              </w:rPr>
            </w:pPr>
            <w:r>
              <w:rPr>
                <w:sz w:val="17"/>
              </w:rPr>
              <w:t>Douglas A. Graham</w:t>
            </w:r>
          </w:p>
        </w:tc>
        <w:tc>
          <w:tcPr>
            <w:tcW w:w="8883" w:type="dxa"/>
            <w:tcBorders/>
            <w:shd w:fill="FFFFFF" w:val="clear"/>
            <w:tcMar>
              <w:bottom w:w="0" w:type="dxa"/>
            </w:tcMar>
            <w:vAlign w:val="center"/>
          </w:tcPr>
          <w:p>
            <w:pPr>
              <w:pStyle w:val="TableContents"/>
              <w:spacing w:before="0" w:after="283"/>
              <w:jc w:val="left"/>
              <w:rPr>
                <w:sz w:val="17"/>
              </w:rPr>
            </w:pPr>
            <w:r>
              <w:rPr>
                <w:sz w:val="17"/>
              </w:rPr>
              <w:t>Vice President, General Counsel and Secretary of the Company since March 2011; General Counsel of the Company since February 2011; Assistant General Counsel at Commonwealth Edison Company from January 2008 to February 2011.</w:t>
            </w:r>
          </w:p>
        </w:tc>
        <w:tc>
          <w:tcPr>
            <w:tcW w:w="321" w:type="dxa"/>
            <w:tcBorders/>
            <w:shd w:fill="FFFFFF" w:val="clear"/>
            <w:tcMar>
              <w:bottom w:w="0" w:type="dxa"/>
            </w:tcMar>
            <w:vAlign w:val="center"/>
          </w:tcPr>
          <w:p>
            <w:pPr>
              <w:pStyle w:val="TableContents"/>
              <w:spacing w:before="0" w:after="283"/>
              <w:jc w:val="center"/>
              <w:rPr>
                <w:sz w:val="17"/>
              </w:rPr>
            </w:pPr>
            <w:r>
              <w:rPr>
                <w:sz w:val="17"/>
              </w:rPr>
              <w:t>51</w:t>
            </w:r>
          </w:p>
        </w:tc>
      </w:tr>
      <w:tr>
        <w:trPr/>
        <w:tc>
          <w:tcPr>
            <w:tcW w:w="1001" w:type="dxa"/>
            <w:tcBorders/>
            <w:shd w:fill="CCEEFF" w:val="clear"/>
            <w:tcMar>
              <w:bottom w:w="0" w:type="dxa"/>
            </w:tcMar>
            <w:vAlign w:val="center"/>
          </w:tcPr>
          <w:p>
            <w:pPr>
              <w:pStyle w:val="TableContents"/>
              <w:spacing w:before="0" w:after="283"/>
              <w:jc w:val="left"/>
              <w:rPr>
                <w:sz w:val="17"/>
              </w:rPr>
            </w:pPr>
            <w:r>
              <w:rPr>
                <w:sz w:val="17"/>
              </w:rPr>
              <w:t>Mark E. Lewry</w:t>
            </w:r>
          </w:p>
        </w:tc>
        <w:tc>
          <w:tcPr>
            <w:tcW w:w="8883" w:type="dxa"/>
            <w:tcBorders/>
            <w:shd w:fill="CCEEFF" w:val="clear"/>
            <w:tcMar>
              <w:bottom w:w="0" w:type="dxa"/>
            </w:tcMar>
            <w:vAlign w:val="center"/>
          </w:tcPr>
          <w:p>
            <w:pPr>
              <w:pStyle w:val="TableContents"/>
              <w:spacing w:before="0" w:after="283"/>
              <w:jc w:val="left"/>
              <w:rPr>
                <w:sz w:val="17"/>
              </w:rPr>
            </w:pPr>
            <w:r>
              <w:rPr>
                <w:sz w:val="17"/>
              </w:rPr>
              <w:t>Chief Operating Officer of the Company since April 2014; Group President, The Marmon Group/A Berkshire Hathaway Company from July 2011 to April 2013; President and CEO, Conwed Plastics from 2003 to 2011.</w:t>
            </w:r>
          </w:p>
        </w:tc>
        <w:tc>
          <w:tcPr>
            <w:tcW w:w="321" w:type="dxa"/>
            <w:tcBorders/>
            <w:shd w:fill="CCEEFF" w:val="clear"/>
            <w:tcMar>
              <w:bottom w:w="0" w:type="dxa"/>
            </w:tcMar>
            <w:vAlign w:val="center"/>
          </w:tcPr>
          <w:p>
            <w:pPr>
              <w:pStyle w:val="TableContents"/>
              <w:spacing w:before="0" w:after="283"/>
              <w:jc w:val="center"/>
              <w:rPr>
                <w:sz w:val="17"/>
              </w:rPr>
            </w:pPr>
            <w:r>
              <w:rPr>
                <w:sz w:val="17"/>
              </w:rPr>
              <w:t>56</w:t>
            </w:r>
          </w:p>
        </w:tc>
      </w:tr>
      <w:tr>
        <w:trPr/>
        <w:tc>
          <w:tcPr>
            <w:tcW w:w="1001" w:type="dxa"/>
            <w:tcBorders/>
            <w:shd w:fill="FFFFFF" w:val="clear"/>
            <w:tcMar>
              <w:bottom w:w="0" w:type="dxa"/>
            </w:tcMar>
            <w:vAlign w:val="center"/>
          </w:tcPr>
          <w:p>
            <w:pPr>
              <w:pStyle w:val="TableContents"/>
              <w:spacing w:before="0" w:after="283"/>
              <w:jc w:val="left"/>
              <w:rPr>
                <w:sz w:val="17"/>
              </w:rPr>
            </w:pPr>
            <w:r>
              <w:rPr>
                <w:sz w:val="17"/>
              </w:rPr>
              <w:t>Paul D. Ziemnisky Jr.</w:t>
            </w:r>
          </w:p>
        </w:tc>
        <w:tc>
          <w:tcPr>
            <w:tcW w:w="8883" w:type="dxa"/>
            <w:tcBorders/>
            <w:shd w:fill="FFFFFF" w:val="clear"/>
            <w:tcMar>
              <w:bottom w:w="0" w:type="dxa"/>
            </w:tcMar>
            <w:vAlign w:val="center"/>
          </w:tcPr>
          <w:p>
            <w:pPr>
              <w:pStyle w:val="TableContents"/>
              <w:spacing w:before="0" w:after="283"/>
              <w:jc w:val="left"/>
              <w:rPr>
                <w:sz w:val="17"/>
              </w:rPr>
            </w:pPr>
            <w:r>
              <w:rPr>
                <w:sz w:val="17"/>
              </w:rPr>
              <w:t>Vice President, General Manager, Consumer Packaged Goods of the Company since October 2013; General Manager, Consumer Packaged Goods of the Company since September 2013; Senior Vice President of Marketing, Lehigh Group, a division of Jarden Corporation from September 2010 to June 2013; Senior Marketing Director at Rust-Oleum Corporation from June 2008 to September 2010.</w:t>
            </w:r>
          </w:p>
        </w:tc>
        <w:tc>
          <w:tcPr>
            <w:tcW w:w="321" w:type="dxa"/>
            <w:tcBorders/>
            <w:shd w:fill="FFFFFF" w:val="clear"/>
            <w:tcMar>
              <w:bottom w:w="0" w:type="dxa"/>
            </w:tcMar>
            <w:vAlign w:val="center"/>
          </w:tcPr>
          <w:p>
            <w:pPr>
              <w:pStyle w:val="TableContents"/>
              <w:spacing w:before="0" w:after="283"/>
              <w:jc w:val="center"/>
              <w:rPr>
                <w:sz w:val="17"/>
              </w:rPr>
            </w:pPr>
            <w:r>
              <w:rPr>
                <w:sz w:val="17"/>
              </w:rPr>
              <w:t>44</w:t>
            </w:r>
          </w:p>
        </w:tc>
      </w:tr>
    </w:tbl>
    <w:p>
      <w:pPr>
        <w:pStyle w:val="TextBody"/>
        <w:spacing w:before="200" w:after="1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are appointed annually (other than Mr. Lewry, who was appointed in April 2014) and serve at the pleasure of our Board of Directors.</w:t>
      </w:r>
    </w:p>
    <w:p>
      <w:pPr>
        <w:pStyle w:val="TextBody"/>
        <w:spacing w:before="0" w:after="100"/>
        <w:ind w:left="0" w:right="0" w:hanging="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(1)       Of the persons in this table, only Daniel S. Jaffee is also a director. Daniel S. Jaffee is the son of our Chairman of the Board, Richard M. Jaffee, and the brother-in-law of Thomas F. Cofsky, an executive officer of the Company.</w:t>
      </w:r>
    </w:p>
    <w:p>
      <w:pPr>
        <w:pStyle w:val="TextBody"/>
        <w:spacing w:before="0" w:after="200"/>
        <w:ind w:left="0" w:right="0" w:hanging="0"/>
        <w:jc w:val="both"/>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(2)       Thomas F. Cofsky is Daniel S. Jaffee’s brother-in-law and the son-in-law of our Chairman of the Board, Richard M. Jaffee.</w:t>
      </w:r>
    </w:p>
    <w:p>
      <w:pPr>
        <w:pStyle w:val="TextBody"/>
        <w:spacing w:lineRule="auto" w:line="276" w:before="0" w:after="20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26" w:name="ex_comp"/>
      <w:bookmarkEnd w:id="26"/>
      <w:r>
        <w:rPr>
          <w:rFonts w:ascii="Times New Roman;Times;Serif" w:hAnsi="Times New Roman;Times;Serif"/>
          <w:b/>
          <w:i w:val="false"/>
          <w:caps w:val="false"/>
          <w:smallCaps w:val="false"/>
          <w:sz w:val="20"/>
        </w:rPr>
        <w:t>EXECUTIVE COMPENSATION</w:t>
      </w:r>
    </w:p>
    <w:p>
      <w:pPr>
        <w:pStyle w:val="TextBody"/>
        <w:spacing w:before="200" w:after="200"/>
        <w:ind w:left="200" w:right="200" w:hanging="0"/>
        <w:jc w:val="center"/>
        <w:rPr>
          <w:rFonts w:ascii="Times New Roman;Times;Serif" w:hAnsi="Times New Roman;Times;Serif"/>
          <w:b/>
          <w:i w:val="false"/>
          <w:caps w:val="false"/>
          <w:smallCaps w:val="false"/>
          <w:sz w:val="20"/>
        </w:rPr>
      </w:pPr>
      <w:bookmarkStart w:id="27" w:name="a_Toc339007566"/>
      <w:bookmarkEnd w:id="27"/>
      <w:r>
        <w:rPr>
          <w:rFonts w:ascii="Times New Roman;Times;Serif" w:hAnsi="Times New Roman;Times;Serif"/>
          <w:b/>
          <w:i w:val="false"/>
          <w:caps w:val="false"/>
          <w:smallCaps w:val="false"/>
          <w:sz w:val="20"/>
        </w:rPr>
        <w:t>Compensation Discussion and Analysis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Compensation Discussion and Analysis presents an overview of our compensation program, focusing on the elements of compensation awarded or paid to our executive officers, including the named executive officers. This Compensation Discussion and Analysis, the compensation tables and related narrative and tabular disclosures refer to the named executive officers for fiscal 2014, as defined by Item 402 of Regulation S-K. Our current executive officers, which include the named executive officers, are listed on the preceding page.</w:t>
      </w:r>
    </w:p>
    <w:p>
      <w:pPr>
        <w:pStyle w:val="TextBody"/>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Summary</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program is designed to attract and retain skilled executives and maintain a strong link between corporate financial performance and pay by rewarding achievement of company-wide goals. Our compensation philosophy and objectives emphasize teamwork and close collaboration between executive officers. We employ all executives at-will, without written employment agreements or a prospective severance plan. We provide modest perquisites that are designed to help executives fulfill their duties to the Company. None of our employees, including the named executive officers, are entitled to any payment or accelerated benefit upon change in control of the Company unless benefits are provided for in compensation plans that apply to all participants. We emphasize our core values and belief in teamwork by focusing on one corporate financial target for all salaried employees in our annual incentive plan. The annual incentive plan also involves communication to employees of expectations for the Company’s performance and links Company performance and annual compensation. As a result, our annual incentive plan provides an opportunity for essentially all salaried employees (including our executive officers) to earn a performance-based cash incentive award. Through such broad-based participation, each salaried employee recognizes that he or she can contribute to our success. Finally, our compensation program provides equivalent benefits for all U.S.-based salaried employees and similar benefits for hourly-paid manufacturing employees.</w:t>
      </w:r>
    </w:p>
    <w:p>
      <w:pPr>
        <w:pStyle w:val="TextBody"/>
        <w:spacing w:before="0" w:after="20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2014</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2014 corporate financial performance failed to meet the threshold for payment of a performance-based cash incentive award. However, our annual incentive plan gives our CEO the discretion to adjust the performance measures, targets and payout ranges used for incentive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Due to a variety of factors, including the Company’s top-line financial performance in fiscal 2014 and the occurrence of certain events (e.g., the integration of our acquisition of MFM private label cat litter assets, the opening of our China subsidiary, and the expansion of our lightweight branded cat litter products), and after consulting with our CFO, our Chairman of the Board and each member of our Compensation Committee, our CEO used such discretionary authority for fiscal 2014 to pay a bonus under our annual incentive plan of approximately 25% of the total dollar amount of the overall target bonus pool for all employees. At its September 18, 2014 meeting, for the reasons set forth above (among others), our Compensation Committee set the cash incentive bonus paid to our CEO to $2,000.</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2014 corporate financial performance did not meet the threshold level for earning executive deferred bonus awards listed below. Our adjusted, pre-tax, pre-bonus income resulted in no executive deferred bonus awards to our executive officers and no bonus-based stock awards to our CEO and Vice President of Manufacturing. Annual cash and executive deferred bonus awards are shown in the Summary Compensation Table in the column captioned “Non-Equity Incentive Plan Compensation.”</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2014, we made equity incentive awards to our CEO, Daniel S. Jaffee, to our Vice President of Manufacturing, Thomas F. Cofsky, to our Chief Operating Officer, Mark E. Lewry, and to Vice President, Paul D. Ziemnisky Jr., under the terms of our 2006 Long Term Incentive Plan. At its October 16, 2013 meeting, our Compensation Committee made the following two equity awards: (i) an award of 6,390 restricted shares of Class B Stock to Mr. Jaffee, which is equal to the executive deferred bonus award he would have received had he not chosen to be excluded from that portion of our annual incentive plan for fiscal 2013, and (ii) an award of 3,791 restricted shares of Class B Stock to Mr. Cofsky, which is equal to the executive deferred bonus award he would have received had he not chosen to be excluded from that portion of our annual incentive plan for fiscal 2013. All of such restricted shares of Class B Stock awarded to Messrs. Jaffee and Cofsky will “cliff” vest in full on July 31, 2016, provided that Messrs. Jaffee and Cofsky (as applicable) are employed by us on that date. On October 16, 2013, Mr. Ziemnisky received an award of 10,000 restricted shares of Common Stock, all of which will “cliff” vest in full on October 16, 2018, provided Mr. Ziemnisky is employed by us on that date. On April 7, 2014, Mr. Lewry received an award of 12,000 restricted shares of Common Stock, all of which will “cliff” vest in full on April 7, 2019, provided Mr. Lewry is employed by us on that date. No other equity awards were made to our named executive officers during fiscal 2014.</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September 18, 2014 meeting, our Compensation Committee also conducted its annual review of our CEO’s performance. The review included a report by the Chairman of our Board of Directors on our CEO’s performance in fiscal 2014, a review of the total direct compensation our CEO received in fiscal 2014 (base salary, cash incentive and stock awards) and company-wide compensation data. Based on such review, our Compensation Committee did not change our CEO’s base salary for fiscal year 2015.</w:t>
      </w:r>
    </w:p>
    <w:p>
      <w:pPr>
        <w:pStyle w:val="TextBody"/>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Philosophy and Objectives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philosophy is to provide total compensation opportunities, which include base salary, bonus and a full benefits package, that allow us to attract, retain and motivate the people we need to carry out our strategic plan, mission, goals and values. Our Compensation Committee oversees our philosophies and practices in the area of compensation and benefits (generally with regard to all employees and specifically with regard to our executive officers). Our Compensation Committee ensures that the total compensation paid to our executive officers is fair and reasonable.</w:t>
      </w:r>
    </w:p>
    <w:p>
      <w:pPr>
        <w:pStyle w:val="TextBody"/>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Policy</w:t>
      </w:r>
    </w:p>
    <w:p>
      <w:pPr>
        <w:pStyle w:val="TextBody"/>
        <w:spacing w:before="0" w:after="1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is to provide our executive officers and other salaried employees with compensation opportunities that:</w:t>
      </w:r>
    </w:p>
    <w:tbl>
      <w:tblPr>
        <w:tblW w:w="5000" w:type="pct"/>
        <w:jc w:val="left"/>
        <w:tblInd w:w="0" w:type="dxa"/>
        <w:tblCellMar>
          <w:top w:w="0" w:type="dxa"/>
          <w:left w:w="0" w:type="dxa"/>
          <w:bottom w:w="0" w:type="dxa"/>
          <w:right w:w="0" w:type="dxa"/>
        </w:tblCellMar>
      </w:tblPr>
      <w:tblGrid>
        <w:gridCol w:w="101"/>
        <w:gridCol w:w="256"/>
        <w:gridCol w:w="9848"/>
      </w:tblGrid>
      <w:tr>
        <w:trPr/>
        <w:tc>
          <w:tcPr>
            <w:tcW w:w="10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9848" w:type="dxa"/>
            <w:tcBorders/>
            <w:shd w:fill="auto" w:val="clear"/>
            <w:vAlign w:val="center"/>
          </w:tcPr>
          <w:p>
            <w:pPr>
              <w:pStyle w:val="TableContents"/>
              <w:spacing w:before="0" w:after="283"/>
              <w:jc w:val="both"/>
              <w:rPr>
                <w:sz w:val="17"/>
              </w:rPr>
            </w:pPr>
            <w:r>
              <w:rPr>
                <w:sz w:val="17"/>
              </w:rPr>
              <w:t>Are competitive with companies of comparable size;</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Align compensation with the Company’s overall performance by including annual incentive opportunities based on Company performance or other pre-determined performance goals and employees’ levels of responsibility; and</w:t>
            </w:r>
          </w:p>
        </w:tc>
      </w:tr>
    </w:tbl>
    <w:tbl>
      <w:tblPr>
        <w:tblW w:w="5000" w:type="pct"/>
        <w:jc w:val="left"/>
        <w:tblInd w:w="0" w:type="dxa"/>
        <w:tblCellMar>
          <w:top w:w="0" w:type="dxa"/>
          <w:left w:w="0" w:type="dxa"/>
          <w:bottom w:w="0" w:type="dxa"/>
          <w:right w:w="0" w:type="dxa"/>
        </w:tblCellMar>
      </w:tblPr>
      <w:tblGrid>
        <w:gridCol w:w="39"/>
        <w:gridCol w:w="99"/>
        <w:gridCol w:w="10067"/>
      </w:tblGrid>
      <w:tr>
        <w:trPr/>
        <w:tc>
          <w:tcPr>
            <w:tcW w:w="39"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67" w:type="dxa"/>
            <w:tcBorders/>
            <w:shd w:fill="auto" w:val="clear"/>
            <w:vAlign w:val="center"/>
          </w:tcPr>
          <w:p>
            <w:pPr>
              <w:pStyle w:val="TableContents"/>
              <w:spacing w:before="0" w:after="283"/>
              <w:jc w:val="both"/>
              <w:rPr>
                <w:sz w:val="17"/>
              </w:rPr>
            </w:pPr>
            <w:r>
              <w:rPr>
                <w:sz w:val="17"/>
              </w:rPr>
              <w:t>Provide longer-term incentives to executive officers and other senior managers to remain with the Company and contribute to our growth.</w:t>
            </w:r>
          </w:p>
        </w:tc>
      </w:tr>
    </w:tbl>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86"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comparing our executive compensation with pertinent market data, we refer to publicly available salary surveys prepared and published by several large consulting firms and other information reflecting a broad range of entities. The surveys we review provide broad-based compensation data for a vast range of positions. We review these surveys and information to obtain a general understanding of current compensation practices for specific positions. On occasion, we also consult with our outside legal counsel whose expertise is in the area of executive compensation. We do not, however, target our executive officers’ compensation at a certain level or percentage based on other companies’ compensation arrangements. Based on our review of these sources, we believe that our compensation policy approximates the median of the marketplace in base salary and the 70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percentile in total cash compensation, if full target bonus is paid under our annual incentive plan.</w:t>
      </w:r>
    </w:p>
    <w:p>
      <w:pPr>
        <w:pStyle w:val="TextBody"/>
        <w:spacing w:before="0" w:after="200"/>
        <w:ind w:left="86"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Executive Compensation Program and Components</w:t>
      </w:r>
    </w:p>
    <w:p>
      <w:pPr>
        <w:pStyle w:val="TextBody"/>
        <w:spacing w:before="0" w:after="200"/>
        <w:ind w:left="86"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program generally provides equivalent benefits for all U.S.-based salaried employees and similar benefits for hourly-paid manufacturing employees. We provide additional compensation for our senior managers, including our executive officers, designed to reward performance and provide retirement benefits commensurate with the executives’ earnings during their working lives. For fiscal 2014, the principal components of compensation for our executive officers were:</w:t>
      </w:r>
    </w:p>
    <w:tbl>
      <w:tblPr>
        <w:tblW w:w="5000" w:type="pct"/>
        <w:jc w:val="left"/>
        <w:tblInd w:w="0" w:type="dxa"/>
        <w:tblCellMar>
          <w:top w:w="0" w:type="dxa"/>
          <w:left w:w="0" w:type="dxa"/>
          <w:bottom w:w="0" w:type="dxa"/>
          <w:right w:w="0" w:type="dxa"/>
        </w:tblCellMar>
      </w:tblPr>
      <w:tblGrid>
        <w:gridCol w:w="396"/>
        <w:gridCol w:w="991"/>
        <w:gridCol w:w="8818"/>
      </w:tblGrid>
      <w:tr>
        <w:trPr/>
        <w:tc>
          <w:tcPr>
            <w:tcW w:w="39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8818" w:type="dxa"/>
            <w:tcBorders/>
            <w:shd w:fill="auto" w:val="clear"/>
            <w:vAlign w:val="center"/>
          </w:tcPr>
          <w:p>
            <w:pPr>
              <w:pStyle w:val="TableContents"/>
              <w:spacing w:before="0" w:after="283"/>
              <w:jc w:val="both"/>
              <w:rPr>
                <w:sz w:val="17"/>
              </w:rPr>
            </w:pPr>
            <w:r>
              <w:rPr>
                <w:sz w:val="17"/>
              </w:rPr>
              <w:t>Base salary;</w:t>
            </w:r>
          </w:p>
        </w:tc>
      </w:tr>
    </w:tbl>
    <w:tbl>
      <w:tblPr>
        <w:tblW w:w="5000" w:type="pct"/>
        <w:jc w:val="left"/>
        <w:tblInd w:w="0" w:type="dxa"/>
        <w:tblCellMar>
          <w:top w:w="0" w:type="dxa"/>
          <w:left w:w="0" w:type="dxa"/>
          <w:bottom w:w="0" w:type="dxa"/>
          <w:right w:w="0" w:type="dxa"/>
        </w:tblCellMar>
      </w:tblPr>
      <w:tblGrid>
        <w:gridCol w:w="93"/>
        <w:gridCol w:w="235"/>
        <w:gridCol w:w="9877"/>
      </w:tblGrid>
      <w:tr>
        <w:trPr/>
        <w:tc>
          <w:tcPr>
            <w:tcW w:w="9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9877" w:type="dxa"/>
            <w:tcBorders/>
            <w:shd w:fill="auto" w:val="clear"/>
            <w:vAlign w:val="center"/>
          </w:tcPr>
          <w:p>
            <w:pPr>
              <w:pStyle w:val="TableContents"/>
              <w:spacing w:before="0" w:after="283"/>
              <w:jc w:val="both"/>
              <w:rPr>
                <w:sz w:val="17"/>
              </w:rPr>
            </w:pPr>
            <w:r>
              <w:rPr>
                <w:sz w:val="17"/>
              </w:rPr>
              <w:t>Annual performance-based cash incentive compensation;</w:t>
            </w:r>
          </w:p>
        </w:tc>
      </w:tr>
    </w:tbl>
    <w:tbl>
      <w:tblPr>
        <w:tblW w:w="5000" w:type="pct"/>
        <w:jc w:val="left"/>
        <w:tblInd w:w="0" w:type="dxa"/>
        <w:tblCellMar>
          <w:top w:w="0" w:type="dxa"/>
          <w:left w:w="0" w:type="dxa"/>
          <w:bottom w:w="0" w:type="dxa"/>
          <w:right w:w="0" w:type="dxa"/>
        </w:tblCellMar>
      </w:tblPr>
      <w:tblGrid>
        <w:gridCol w:w="91"/>
        <w:gridCol w:w="229"/>
        <w:gridCol w:w="9885"/>
      </w:tblGrid>
      <w:tr>
        <w:trPr/>
        <w:tc>
          <w:tcPr>
            <w:tcW w:w="9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9885" w:type="dxa"/>
            <w:tcBorders/>
            <w:shd w:fill="auto" w:val="clear"/>
            <w:vAlign w:val="center"/>
          </w:tcPr>
          <w:p>
            <w:pPr>
              <w:pStyle w:val="TableContents"/>
              <w:spacing w:before="0" w:after="283"/>
              <w:jc w:val="both"/>
              <w:rPr>
                <w:sz w:val="17"/>
              </w:rPr>
            </w:pPr>
            <w:r>
              <w:rPr>
                <w:sz w:val="17"/>
              </w:rPr>
              <w:t>Deferred performance-based cash incentive compensation;</w:t>
            </w:r>
          </w:p>
        </w:tc>
      </w:tr>
    </w:tbl>
    <w:tbl>
      <w:tblPr>
        <w:tblW w:w="5000" w:type="pct"/>
        <w:jc w:val="left"/>
        <w:tblInd w:w="0" w:type="dxa"/>
        <w:tblCellMar>
          <w:top w:w="0" w:type="dxa"/>
          <w:left w:w="0" w:type="dxa"/>
          <w:bottom w:w="0" w:type="dxa"/>
          <w:right w:w="0" w:type="dxa"/>
        </w:tblCellMar>
      </w:tblPr>
      <w:tblGrid>
        <w:gridCol w:w="209"/>
        <w:gridCol w:w="525"/>
        <w:gridCol w:w="9471"/>
      </w:tblGrid>
      <w:tr>
        <w:trPr/>
        <w:tc>
          <w:tcPr>
            <w:tcW w:w="2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9471" w:type="dxa"/>
            <w:tcBorders/>
            <w:shd w:fill="auto" w:val="clear"/>
            <w:vAlign w:val="center"/>
          </w:tcPr>
          <w:p>
            <w:pPr>
              <w:pStyle w:val="TableContents"/>
              <w:spacing w:before="0" w:after="283"/>
              <w:jc w:val="both"/>
              <w:rPr>
                <w:sz w:val="17"/>
              </w:rPr>
            </w:pPr>
            <w:r>
              <w:rPr>
                <w:sz w:val="17"/>
              </w:rPr>
              <w:t>Retirement benefits; and</w:t>
            </w:r>
          </w:p>
        </w:tc>
      </w:tr>
    </w:tbl>
    <w:tbl>
      <w:tblPr>
        <w:tblW w:w="5000" w:type="pct"/>
        <w:jc w:val="left"/>
        <w:tblInd w:w="0" w:type="dxa"/>
        <w:tblCellMar>
          <w:top w:w="0" w:type="dxa"/>
          <w:left w:w="0" w:type="dxa"/>
          <w:bottom w:w="0" w:type="dxa"/>
          <w:right w:w="0" w:type="dxa"/>
        </w:tblCellMar>
      </w:tblPr>
      <w:tblGrid>
        <w:gridCol w:w="121"/>
        <w:gridCol w:w="305"/>
        <w:gridCol w:w="9779"/>
      </w:tblGrid>
      <w:tr>
        <w:trPr/>
        <w:tc>
          <w:tcPr>
            <w:tcW w:w="12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9779" w:type="dxa"/>
            <w:tcBorders/>
            <w:shd w:fill="auto" w:val="clear"/>
            <w:vAlign w:val="center"/>
          </w:tcPr>
          <w:p>
            <w:pPr>
              <w:pStyle w:val="TableContents"/>
              <w:spacing w:before="0" w:after="283"/>
              <w:jc w:val="both"/>
              <w:rPr>
                <w:sz w:val="17"/>
              </w:rPr>
            </w:pPr>
            <w:r>
              <w:rPr>
                <w:sz w:val="17"/>
              </w:rPr>
              <w:t>Health and welfare benefits and perquisites.</w:t>
            </w:r>
          </w:p>
        </w:tc>
      </w:tr>
    </w:tbl>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xml:space="preserve"> Prior to the beginning of each fiscal year, our human resources staff presents to our Compensation Committee, for its review and approval, proposed merit increase guidelines and proposed shifts in the mid-points of all salary ranges and any proposed change in salary ranges for the upcoming fiscal year.</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determines the base salary and other compensation to be paid to our CEO for the upcoming year and reviews and approves our CEO’s goals and objectives for that year. In connection with its review and determination, our Compensation Committee considers the input of the Chairman of our Board of Directors, who conducts a detailed review of the performance of our CEO at the end of each fiscal year and presents that review to our Compensation Committee at its first regular meeting of each fiscal year. At that time, the Chairman of our Board of Directors also presents his recommendation for any change in base salary or other compensation components for our CEO and his recommendation for our CEO’s goals and objectives for the upcoming year.</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determines the reasonableness of and approves the compensation of our other executive officers as recommended by our CEO. In connection with such determinations, our CEO reviews the performance of, and proposes salary increases for, all managers who reported to him or to our Chief Operating Officer (“COO”) during the fiscal year, including executive officers other than himself. Any increases are generally based upon the individual’s performance during the previous year and/or any significant change in responsibilities for the upcoming year. Our Compensation Committee reviews the reasonableness of any proposed changes in base salary and the total compensation package provided to our executive officers. In conducting its review and making its determinations, our Compensation Committee reviews a three-year history of base salary, cash incentive bonus targets and payouts, and gains on equity awards, prepared by our human resources staff. During the fiscal year, our CEO may change the base salary of the managers who report to him or our COO, including our executive officers, without prior approval of our Compensation Committee, due to significant changes in the individual’s responsibilities, to be competitive in the market or for other business reasons. Our CEO exercised this authority during fiscal 2014 as shown below.</w:t>
      </w:r>
    </w:p>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2014, changes in base salary for the named executive officers were as follows:</w:t>
      </w:r>
    </w:p>
    <w:tbl>
      <w:tblPr>
        <w:tblW w:w="7682" w:type="dxa"/>
        <w:jc w:val="center"/>
        <w:tblInd w:w="0" w:type="dxa"/>
        <w:tblCellMar>
          <w:top w:w="0" w:type="dxa"/>
          <w:left w:w="0" w:type="dxa"/>
          <w:bottom w:w="28" w:type="dxa"/>
          <w:right w:w="0" w:type="dxa"/>
        </w:tblCellMar>
      </w:tblPr>
      <w:tblGrid>
        <w:gridCol w:w="2105"/>
        <w:gridCol w:w="60"/>
        <w:gridCol w:w="2105"/>
        <w:gridCol w:w="60"/>
        <w:gridCol w:w="251"/>
        <w:gridCol w:w="1220"/>
        <w:gridCol w:w="107"/>
        <w:gridCol w:w="60"/>
        <w:gridCol w:w="140"/>
        <w:gridCol w:w="1033"/>
        <w:gridCol w:w="541"/>
      </w:tblGrid>
      <w:tr>
        <w:trPr/>
        <w:tc>
          <w:tcPr>
            <w:tcW w:w="2105" w:type="dxa"/>
            <w:tcBorders>
              <w:bottom w:val="single" w:sz="8" w:space="0" w:color="000000"/>
            </w:tcBorders>
            <w:shd w:fill="auto" w:val="clear"/>
            <w:vAlign w:val="center"/>
          </w:tcPr>
          <w:p>
            <w:pPr>
              <w:pStyle w:val="TableContents"/>
              <w:spacing w:before="0" w:after="283"/>
              <w:jc w:val="left"/>
              <w:rPr>
                <w:b/>
              </w:rPr>
            </w:pPr>
            <w:r>
              <w:rPr>
                <w:b/>
              </w:rPr>
              <w:t>Name</w:t>
            </w:r>
          </w:p>
        </w:tc>
        <w:tc>
          <w:tcPr>
            <w:tcW w:w="60" w:type="dxa"/>
            <w:tcBorders>
              <w:bottom w:val="single" w:sz="8" w:space="0" w:color="000000"/>
            </w:tcBorders>
            <w:shd w:fill="auto" w:val="clear"/>
            <w:vAlign w:val="center"/>
          </w:tcPr>
          <w:p>
            <w:pPr>
              <w:pStyle w:val="TableContents"/>
              <w:spacing w:before="0" w:after="283"/>
              <w:rPr/>
            </w:pPr>
            <w:r>
              <w:rPr/>
              <w:t> </w:t>
            </w:r>
          </w:p>
        </w:tc>
        <w:tc>
          <w:tcPr>
            <w:tcW w:w="2105" w:type="dxa"/>
            <w:tcBorders>
              <w:bottom w:val="single" w:sz="8" w:space="0" w:color="000000"/>
            </w:tcBorders>
            <w:shd w:fill="auto" w:val="clear"/>
            <w:vAlign w:val="center"/>
          </w:tcPr>
          <w:p>
            <w:pPr>
              <w:pStyle w:val="TableContents"/>
              <w:spacing w:before="0" w:after="283"/>
              <w:jc w:val="center"/>
              <w:rPr>
                <w:b/>
              </w:rPr>
            </w:pPr>
            <w:r>
              <w:rPr>
                <w:b/>
              </w:rPr>
              <w:t>Type of Change</w:t>
            </w:r>
          </w:p>
        </w:tc>
        <w:tc>
          <w:tcPr>
            <w:tcW w:w="60" w:type="dxa"/>
            <w:tcBorders>
              <w:bottom w:val="single" w:sz="8" w:space="0" w:color="000000"/>
            </w:tcBorders>
            <w:shd w:fill="auto" w:val="clear"/>
            <w:vAlign w:val="center"/>
          </w:tcPr>
          <w:p>
            <w:pPr>
              <w:pStyle w:val="TableContents"/>
              <w:spacing w:before="0" w:after="283"/>
              <w:rPr/>
            </w:pPr>
            <w:r>
              <w:rPr/>
              <w:t> </w:t>
            </w:r>
          </w:p>
        </w:tc>
        <w:tc>
          <w:tcPr>
            <w:tcW w:w="1578" w:type="dxa"/>
            <w:gridSpan w:val="3"/>
            <w:tcBorders>
              <w:bottom w:val="single" w:sz="8" w:space="0" w:color="000000"/>
            </w:tcBorders>
            <w:shd w:fill="auto" w:val="clear"/>
            <w:vAlign w:val="center"/>
          </w:tcPr>
          <w:p>
            <w:pPr>
              <w:pStyle w:val="TableContents"/>
              <w:spacing w:before="0" w:after="283"/>
              <w:jc w:val="center"/>
              <w:rPr>
                <w:b/>
              </w:rPr>
            </w:pPr>
            <w:r>
              <w:rPr>
                <w:b/>
              </w:rPr>
              <w:t>$ of Change (1)</w:t>
            </w:r>
          </w:p>
        </w:tc>
        <w:tc>
          <w:tcPr>
            <w:tcW w:w="60" w:type="dxa"/>
            <w:tcBorders>
              <w:bottom w:val="single" w:sz="8" w:space="0" w:color="000000"/>
            </w:tcBorders>
            <w:shd w:fill="auto" w:val="clear"/>
            <w:vAlign w:val="center"/>
          </w:tcPr>
          <w:p>
            <w:pPr>
              <w:pStyle w:val="TableContents"/>
              <w:spacing w:before="0" w:after="283"/>
              <w:rPr/>
            </w:pPr>
            <w:r>
              <w:rPr/>
              <w:t> </w:t>
            </w:r>
          </w:p>
        </w:tc>
        <w:tc>
          <w:tcPr>
            <w:tcW w:w="1714" w:type="dxa"/>
            <w:gridSpan w:val="3"/>
            <w:tcBorders>
              <w:bottom w:val="single" w:sz="8" w:space="0" w:color="000000"/>
            </w:tcBorders>
            <w:shd w:fill="auto" w:val="clear"/>
            <w:vAlign w:val="center"/>
          </w:tcPr>
          <w:p>
            <w:pPr>
              <w:pStyle w:val="TableContents"/>
              <w:spacing w:before="0" w:after="283"/>
              <w:jc w:val="center"/>
              <w:rPr>
                <w:b/>
              </w:rPr>
            </w:pPr>
            <w:r>
              <w:rPr>
                <w:b/>
              </w:rPr>
              <w:t>% of Change (2)</w:t>
            </w:r>
          </w:p>
        </w:tc>
      </w:tr>
      <w:tr>
        <w:trPr/>
        <w:tc>
          <w:tcPr>
            <w:tcW w:w="2105" w:type="dxa"/>
            <w:tcBorders/>
            <w:shd w:fill="CCEEFF" w:val="clear"/>
            <w:tcMar>
              <w:bottom w:w="0" w:type="dxa"/>
            </w:tcMar>
            <w:vAlign w:val="center"/>
          </w:tcPr>
          <w:p>
            <w:pPr>
              <w:pStyle w:val="TableContents"/>
              <w:spacing w:before="0" w:after="283"/>
              <w:jc w:val="left"/>
              <w:rPr/>
            </w:pPr>
            <w:r>
              <w:rPr/>
              <w:t>Daniel S. Jaffee (3)</w:t>
            </w:r>
          </w:p>
        </w:tc>
        <w:tc>
          <w:tcPr>
            <w:tcW w:w="60" w:type="dxa"/>
            <w:tcBorders/>
            <w:shd w:fill="CCEEFF" w:val="clear"/>
            <w:tcMar>
              <w:bottom w:w="0" w:type="dxa"/>
            </w:tcMar>
            <w:vAlign w:val="center"/>
          </w:tcPr>
          <w:p>
            <w:pPr>
              <w:pStyle w:val="TableContents"/>
              <w:spacing w:before="0" w:after="283"/>
              <w:rPr/>
            </w:pPr>
            <w:r>
              <w:rPr/>
              <w:t> </w:t>
            </w:r>
          </w:p>
        </w:tc>
        <w:tc>
          <w:tcPr>
            <w:tcW w:w="2105" w:type="dxa"/>
            <w:tcBorders/>
            <w:shd w:fill="CCEEFF" w:val="clear"/>
            <w:tcMar>
              <w:bottom w:w="0" w:type="dxa"/>
            </w:tcMar>
            <w:vAlign w:val="center"/>
          </w:tcPr>
          <w:p>
            <w:pPr>
              <w:pStyle w:val="TableContents"/>
              <w:spacing w:before="0" w:after="283"/>
              <w:jc w:val="center"/>
              <w:rPr/>
            </w:pPr>
            <w:r>
              <w:rPr/>
              <w:t>Merit Increase</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w:t>
            </w:r>
          </w:p>
        </w:tc>
        <w:tc>
          <w:tcPr>
            <w:tcW w:w="1220" w:type="dxa"/>
            <w:tcBorders/>
            <w:shd w:fill="CCEEFF" w:val="clear"/>
            <w:tcMar>
              <w:bottom w:w="0" w:type="dxa"/>
            </w:tcMar>
            <w:vAlign w:val="center"/>
          </w:tcPr>
          <w:p>
            <w:pPr>
              <w:pStyle w:val="TableContents"/>
              <w:spacing w:before="0" w:after="283"/>
              <w:jc w:val="right"/>
              <w:rPr/>
            </w:pPr>
            <w:r>
              <w:rPr/>
              <w:t>25,000</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1033" w:type="dxa"/>
            <w:tcBorders/>
            <w:shd w:fill="CCEEFF" w:val="clear"/>
            <w:tcMar>
              <w:bottom w:w="0" w:type="dxa"/>
            </w:tcMar>
            <w:vAlign w:val="center"/>
          </w:tcPr>
          <w:p>
            <w:pPr>
              <w:pStyle w:val="TableContents"/>
              <w:spacing w:before="0" w:after="283"/>
              <w:jc w:val="right"/>
              <w:rPr/>
            </w:pPr>
            <w:r>
              <w:rPr/>
              <w:t>4.76</w:t>
            </w:r>
          </w:p>
        </w:tc>
        <w:tc>
          <w:tcPr>
            <w:tcW w:w="541" w:type="dxa"/>
            <w:tcBorders/>
            <w:shd w:fill="CCEEFF" w:val="clear"/>
            <w:tcMar>
              <w:bottom w:w="0" w:type="dxa"/>
            </w:tcMar>
            <w:vAlign w:val="center"/>
          </w:tcPr>
          <w:p>
            <w:pPr>
              <w:pStyle w:val="TableContents"/>
              <w:spacing w:before="0" w:after="283"/>
              <w:jc w:val="left"/>
              <w:rPr/>
            </w:pPr>
            <w:r>
              <w:rPr/>
              <w:t>%</w:t>
            </w:r>
          </w:p>
        </w:tc>
      </w:tr>
      <w:tr>
        <w:trPr/>
        <w:tc>
          <w:tcPr>
            <w:tcW w:w="2105" w:type="dxa"/>
            <w:tcBorders/>
            <w:shd w:fill="FFFFFF" w:val="clear"/>
            <w:tcMar>
              <w:bottom w:w="0" w:type="dxa"/>
            </w:tcMar>
            <w:vAlign w:val="center"/>
          </w:tcPr>
          <w:p>
            <w:pPr>
              <w:pStyle w:val="TableContents"/>
              <w:spacing w:before="0" w:after="283"/>
              <w:jc w:val="left"/>
              <w:rPr/>
            </w:pPr>
            <w:r>
              <w:rPr/>
              <w:t>Daniel T. Smith</w:t>
            </w:r>
          </w:p>
        </w:tc>
        <w:tc>
          <w:tcPr>
            <w:tcW w:w="60" w:type="dxa"/>
            <w:tcBorders/>
            <w:shd w:fill="FFFFFF" w:val="clear"/>
            <w:tcMar>
              <w:bottom w:w="0" w:type="dxa"/>
            </w:tcMar>
            <w:vAlign w:val="center"/>
          </w:tcPr>
          <w:p>
            <w:pPr>
              <w:pStyle w:val="TableContents"/>
              <w:spacing w:before="0" w:after="283"/>
              <w:rPr/>
            </w:pPr>
            <w:r>
              <w:rPr/>
              <w:t> </w:t>
            </w:r>
          </w:p>
        </w:tc>
        <w:tc>
          <w:tcPr>
            <w:tcW w:w="2105" w:type="dxa"/>
            <w:tcBorders/>
            <w:shd w:fill="FFFFFF" w:val="clear"/>
            <w:tcMar>
              <w:bottom w:w="0" w:type="dxa"/>
            </w:tcMar>
            <w:vAlign w:val="center"/>
          </w:tcPr>
          <w:p>
            <w:pPr>
              <w:pStyle w:val="TableContents"/>
              <w:spacing w:before="0" w:after="283"/>
              <w:jc w:val="center"/>
              <w:rPr/>
            </w:pPr>
            <w:r>
              <w:rPr/>
              <w:t>Merit/Market Increase</w:t>
            </w:r>
          </w:p>
        </w:tc>
        <w:tc>
          <w:tcPr>
            <w:tcW w:w="60" w:type="dxa"/>
            <w:tcBorders/>
            <w:shd w:fill="FFFFFF" w:val="clear"/>
            <w:tcMar>
              <w:bottom w:w="0" w:type="dxa"/>
            </w:tcMar>
            <w:vAlign w:val="center"/>
          </w:tcPr>
          <w:p>
            <w:pPr>
              <w:pStyle w:val="TableContents"/>
              <w:spacing w:before="0" w:after="283"/>
              <w:rPr/>
            </w:pPr>
            <w:r>
              <w:rPr/>
              <w:t> </w:t>
            </w:r>
          </w:p>
        </w:tc>
        <w:tc>
          <w:tcPr>
            <w:tcW w:w="251" w:type="dxa"/>
            <w:tcBorders/>
            <w:shd w:fill="FFFFFF" w:val="clear"/>
            <w:tcMar>
              <w:bottom w:w="0" w:type="dxa"/>
            </w:tcMar>
            <w:vAlign w:val="center"/>
          </w:tcPr>
          <w:p>
            <w:pPr>
              <w:pStyle w:val="TableContents"/>
              <w:spacing w:before="0" w:after="283"/>
              <w:jc w:val="left"/>
              <w:rPr/>
            </w:pPr>
            <w:r>
              <w:rPr/>
              <w:t>$</w:t>
            </w:r>
          </w:p>
        </w:tc>
        <w:tc>
          <w:tcPr>
            <w:tcW w:w="1220" w:type="dxa"/>
            <w:tcBorders/>
            <w:shd w:fill="FFFFFF" w:val="clear"/>
            <w:tcMar>
              <w:bottom w:w="0" w:type="dxa"/>
            </w:tcMar>
            <w:vAlign w:val="center"/>
          </w:tcPr>
          <w:p>
            <w:pPr>
              <w:pStyle w:val="TableContents"/>
              <w:spacing w:before="0" w:after="283"/>
              <w:jc w:val="right"/>
              <w:rPr/>
            </w:pPr>
            <w:r>
              <w:rPr/>
              <w:t>15,000</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033" w:type="dxa"/>
            <w:tcBorders/>
            <w:shd w:fill="FFFFFF" w:val="clear"/>
            <w:tcMar>
              <w:bottom w:w="0" w:type="dxa"/>
            </w:tcMar>
            <w:vAlign w:val="center"/>
          </w:tcPr>
          <w:p>
            <w:pPr>
              <w:pStyle w:val="TableContents"/>
              <w:spacing w:before="0" w:after="283"/>
              <w:jc w:val="right"/>
              <w:rPr/>
            </w:pPr>
            <w:r>
              <w:rPr/>
              <w:t>7.14</w:t>
            </w:r>
          </w:p>
        </w:tc>
        <w:tc>
          <w:tcPr>
            <w:tcW w:w="541" w:type="dxa"/>
            <w:tcBorders/>
            <w:shd w:fill="FFFFFF" w:val="clear"/>
            <w:tcMar>
              <w:bottom w:w="0" w:type="dxa"/>
            </w:tcMar>
            <w:vAlign w:val="center"/>
          </w:tcPr>
          <w:p>
            <w:pPr>
              <w:pStyle w:val="TableContents"/>
              <w:spacing w:before="0" w:after="283"/>
              <w:jc w:val="left"/>
              <w:rPr/>
            </w:pPr>
            <w:r>
              <w:rPr/>
              <w:t>%</w:t>
            </w:r>
          </w:p>
        </w:tc>
      </w:tr>
      <w:tr>
        <w:trPr/>
        <w:tc>
          <w:tcPr>
            <w:tcW w:w="2105" w:type="dxa"/>
            <w:tcBorders/>
            <w:shd w:fill="CCEEFF" w:val="clear"/>
            <w:tcMar>
              <w:bottom w:w="0" w:type="dxa"/>
            </w:tcMar>
            <w:vAlign w:val="center"/>
          </w:tcPr>
          <w:p>
            <w:pPr>
              <w:pStyle w:val="TableContents"/>
              <w:spacing w:before="0" w:after="283"/>
              <w:jc w:val="left"/>
              <w:rPr/>
            </w:pPr>
            <w:r>
              <w:rPr/>
              <w:t>Thomas F. Cofsky</w:t>
            </w:r>
          </w:p>
        </w:tc>
        <w:tc>
          <w:tcPr>
            <w:tcW w:w="60" w:type="dxa"/>
            <w:tcBorders/>
            <w:shd w:fill="CCEEFF" w:val="clear"/>
            <w:tcMar>
              <w:bottom w:w="0" w:type="dxa"/>
            </w:tcMar>
            <w:vAlign w:val="center"/>
          </w:tcPr>
          <w:p>
            <w:pPr>
              <w:pStyle w:val="TableContents"/>
              <w:spacing w:before="0" w:after="283"/>
              <w:rPr/>
            </w:pPr>
            <w:r>
              <w:rPr/>
              <w:t> </w:t>
            </w:r>
          </w:p>
        </w:tc>
        <w:tc>
          <w:tcPr>
            <w:tcW w:w="2105" w:type="dxa"/>
            <w:tcBorders/>
            <w:shd w:fill="CCEEFF" w:val="clear"/>
            <w:tcMar>
              <w:bottom w:w="0" w:type="dxa"/>
            </w:tcMar>
            <w:vAlign w:val="center"/>
          </w:tcPr>
          <w:p>
            <w:pPr>
              <w:pStyle w:val="TableContents"/>
              <w:spacing w:before="0" w:after="283"/>
              <w:jc w:val="center"/>
              <w:rPr/>
            </w:pPr>
            <w:r>
              <w:rPr/>
              <w:t>Merit Increase</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w:t>
            </w:r>
          </w:p>
        </w:tc>
        <w:tc>
          <w:tcPr>
            <w:tcW w:w="1220" w:type="dxa"/>
            <w:tcBorders/>
            <w:shd w:fill="CCEEFF" w:val="clear"/>
            <w:tcMar>
              <w:bottom w:w="0" w:type="dxa"/>
            </w:tcMar>
            <w:vAlign w:val="center"/>
          </w:tcPr>
          <w:p>
            <w:pPr>
              <w:pStyle w:val="TableContents"/>
              <w:spacing w:before="0" w:after="283"/>
              <w:jc w:val="right"/>
              <w:rPr/>
            </w:pPr>
            <w:r>
              <w:rPr/>
              <w:t>4,000</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1033" w:type="dxa"/>
            <w:tcBorders/>
            <w:shd w:fill="CCEEFF" w:val="clear"/>
            <w:tcMar>
              <w:bottom w:w="0" w:type="dxa"/>
            </w:tcMar>
            <w:vAlign w:val="center"/>
          </w:tcPr>
          <w:p>
            <w:pPr>
              <w:pStyle w:val="TableContents"/>
              <w:spacing w:before="0" w:after="283"/>
              <w:jc w:val="right"/>
              <w:rPr/>
            </w:pPr>
            <w:r>
              <w:rPr/>
              <w:t>1.60</w:t>
            </w:r>
          </w:p>
        </w:tc>
        <w:tc>
          <w:tcPr>
            <w:tcW w:w="541" w:type="dxa"/>
            <w:tcBorders/>
            <w:shd w:fill="CCEEFF" w:val="clear"/>
            <w:tcMar>
              <w:bottom w:w="0" w:type="dxa"/>
            </w:tcMar>
            <w:vAlign w:val="center"/>
          </w:tcPr>
          <w:p>
            <w:pPr>
              <w:pStyle w:val="TableContents"/>
              <w:spacing w:before="0" w:after="283"/>
              <w:jc w:val="left"/>
              <w:rPr/>
            </w:pPr>
            <w:r>
              <w:rPr/>
              <w:t>%</w:t>
            </w:r>
          </w:p>
        </w:tc>
      </w:tr>
      <w:tr>
        <w:trPr/>
        <w:tc>
          <w:tcPr>
            <w:tcW w:w="2105" w:type="dxa"/>
            <w:tcBorders/>
            <w:shd w:fill="FFFFFF" w:val="clear"/>
            <w:tcMar>
              <w:bottom w:w="0" w:type="dxa"/>
            </w:tcMar>
            <w:vAlign w:val="center"/>
          </w:tcPr>
          <w:p>
            <w:pPr>
              <w:pStyle w:val="TableContents"/>
              <w:spacing w:before="0" w:after="283"/>
              <w:jc w:val="left"/>
              <w:rPr/>
            </w:pPr>
            <w:r>
              <w:rPr/>
              <w:t>Mark E. Lewry</w:t>
            </w:r>
          </w:p>
        </w:tc>
        <w:tc>
          <w:tcPr>
            <w:tcW w:w="60" w:type="dxa"/>
            <w:tcBorders/>
            <w:shd w:fill="FFFFFF" w:val="clear"/>
            <w:tcMar>
              <w:bottom w:w="0" w:type="dxa"/>
            </w:tcMar>
            <w:vAlign w:val="center"/>
          </w:tcPr>
          <w:p>
            <w:pPr>
              <w:pStyle w:val="TableContents"/>
              <w:spacing w:before="0" w:after="283"/>
              <w:rPr/>
            </w:pPr>
            <w:r>
              <w:rPr/>
              <w:t> </w:t>
            </w:r>
          </w:p>
        </w:tc>
        <w:tc>
          <w:tcPr>
            <w:tcW w:w="2105" w:type="dxa"/>
            <w:tcBorders/>
            <w:shd w:fill="FFFFFF" w:val="clear"/>
            <w:tcMar>
              <w:bottom w:w="0" w:type="dxa"/>
            </w:tcMar>
            <w:vAlign w:val="center"/>
          </w:tcPr>
          <w:p>
            <w:pPr>
              <w:pStyle w:val="TableContents"/>
              <w:spacing w:before="0" w:after="283"/>
              <w:jc w:val="center"/>
              <w:rPr/>
            </w:pPr>
            <w:r>
              <w:rPr/>
              <w:t>None</w:t>
            </w:r>
          </w:p>
        </w:tc>
        <w:tc>
          <w:tcPr>
            <w:tcW w:w="60" w:type="dxa"/>
            <w:tcBorders/>
            <w:shd w:fill="FFFFFF" w:val="clear"/>
            <w:tcMar>
              <w:bottom w:w="0" w:type="dxa"/>
            </w:tcMar>
            <w:vAlign w:val="center"/>
          </w:tcPr>
          <w:p>
            <w:pPr>
              <w:pStyle w:val="TableContents"/>
              <w:spacing w:before="0" w:after="283"/>
              <w:rPr/>
            </w:pPr>
            <w:r>
              <w:rPr/>
              <w:t> </w:t>
            </w:r>
          </w:p>
        </w:tc>
        <w:tc>
          <w:tcPr>
            <w:tcW w:w="251" w:type="dxa"/>
            <w:tcBorders/>
            <w:shd w:fill="FFFFFF" w:val="clear"/>
            <w:tcMar>
              <w:bottom w:w="0" w:type="dxa"/>
            </w:tcMar>
            <w:vAlign w:val="center"/>
          </w:tcPr>
          <w:p>
            <w:pPr>
              <w:pStyle w:val="TableContents"/>
              <w:spacing w:before="0" w:after="283"/>
              <w:jc w:val="left"/>
              <w:rPr/>
            </w:pPr>
            <w:r>
              <w:rPr/>
              <w:t> </w:t>
            </w:r>
          </w:p>
        </w:tc>
        <w:tc>
          <w:tcPr>
            <w:tcW w:w="1220"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033" w:type="dxa"/>
            <w:tcBorders/>
            <w:shd w:fill="FFFFFF" w:val="clear"/>
            <w:tcMar>
              <w:bottom w:w="0" w:type="dxa"/>
            </w:tcMar>
            <w:vAlign w:val="center"/>
          </w:tcPr>
          <w:p>
            <w:pPr>
              <w:pStyle w:val="TableContents"/>
              <w:spacing w:before="0" w:after="283"/>
              <w:jc w:val="right"/>
              <w:rPr/>
            </w:pPr>
            <w:r>
              <w:rPr/>
              <w:t>—  </w:t>
            </w:r>
          </w:p>
        </w:tc>
        <w:tc>
          <w:tcPr>
            <w:tcW w:w="541" w:type="dxa"/>
            <w:tcBorders/>
            <w:shd w:fill="FFFFFF" w:val="clear"/>
            <w:tcMar>
              <w:bottom w:w="0" w:type="dxa"/>
            </w:tcMar>
            <w:vAlign w:val="center"/>
          </w:tcPr>
          <w:p>
            <w:pPr>
              <w:pStyle w:val="TableContents"/>
              <w:spacing w:before="0" w:after="283"/>
              <w:jc w:val="left"/>
              <w:rPr/>
            </w:pPr>
            <w:r>
              <w:rPr/>
              <w:t> </w:t>
            </w:r>
          </w:p>
        </w:tc>
      </w:tr>
      <w:tr>
        <w:trPr/>
        <w:tc>
          <w:tcPr>
            <w:tcW w:w="2105" w:type="dxa"/>
            <w:tcBorders/>
            <w:shd w:fill="CCEEFF" w:val="clear"/>
            <w:tcMar>
              <w:bottom w:w="0" w:type="dxa"/>
            </w:tcMar>
            <w:vAlign w:val="center"/>
          </w:tcPr>
          <w:p>
            <w:pPr>
              <w:pStyle w:val="TableContents"/>
              <w:spacing w:before="0" w:after="283"/>
              <w:jc w:val="left"/>
              <w:rPr/>
            </w:pPr>
            <w:r>
              <w:rPr/>
              <w:t>Paul D. Ziemnisky Jr.</w:t>
            </w:r>
          </w:p>
        </w:tc>
        <w:tc>
          <w:tcPr>
            <w:tcW w:w="60" w:type="dxa"/>
            <w:tcBorders/>
            <w:shd w:fill="CCEEFF" w:val="clear"/>
            <w:tcMar>
              <w:bottom w:w="0" w:type="dxa"/>
            </w:tcMar>
            <w:vAlign w:val="center"/>
          </w:tcPr>
          <w:p>
            <w:pPr>
              <w:pStyle w:val="TableContents"/>
              <w:spacing w:before="0" w:after="283"/>
              <w:rPr/>
            </w:pPr>
            <w:r>
              <w:rPr/>
              <w:t> </w:t>
            </w:r>
          </w:p>
        </w:tc>
        <w:tc>
          <w:tcPr>
            <w:tcW w:w="2105" w:type="dxa"/>
            <w:tcBorders/>
            <w:shd w:fill="CCEEFF" w:val="clear"/>
            <w:tcMar>
              <w:bottom w:w="0" w:type="dxa"/>
            </w:tcMar>
            <w:vAlign w:val="center"/>
          </w:tcPr>
          <w:p>
            <w:pPr>
              <w:pStyle w:val="TableContents"/>
              <w:spacing w:before="0" w:after="283"/>
              <w:jc w:val="center"/>
              <w:rPr/>
            </w:pPr>
            <w:r>
              <w:rPr/>
              <w:t>None</w:t>
            </w:r>
          </w:p>
        </w:tc>
        <w:tc>
          <w:tcPr>
            <w:tcW w:w="60" w:type="dxa"/>
            <w:tcBorders/>
            <w:shd w:fill="CCEEFF" w:val="clear"/>
            <w:tcMar>
              <w:bottom w:w="0" w:type="dxa"/>
            </w:tcMar>
            <w:vAlign w:val="center"/>
          </w:tcPr>
          <w:p>
            <w:pPr>
              <w:pStyle w:val="TableContents"/>
              <w:spacing w:before="0" w:after="283"/>
              <w:rPr/>
            </w:pPr>
            <w:r>
              <w:rPr/>
              <w:t> </w:t>
            </w:r>
          </w:p>
        </w:tc>
        <w:tc>
          <w:tcPr>
            <w:tcW w:w="251" w:type="dxa"/>
            <w:tcBorders/>
            <w:shd w:fill="CCEEFF" w:val="clear"/>
            <w:tcMar>
              <w:bottom w:w="0" w:type="dxa"/>
            </w:tcMar>
            <w:vAlign w:val="center"/>
          </w:tcPr>
          <w:p>
            <w:pPr>
              <w:pStyle w:val="TableContents"/>
              <w:spacing w:before="0" w:after="283"/>
              <w:jc w:val="left"/>
              <w:rPr/>
            </w:pPr>
            <w:r>
              <w:rPr/>
              <w:t> </w:t>
            </w:r>
          </w:p>
        </w:tc>
        <w:tc>
          <w:tcPr>
            <w:tcW w:w="1220" w:type="dxa"/>
            <w:tcBorders/>
            <w:shd w:fill="CCEEFF" w:val="clear"/>
            <w:tcMar>
              <w:bottom w:w="0" w:type="dxa"/>
            </w:tcMar>
            <w:vAlign w:val="center"/>
          </w:tcPr>
          <w:p>
            <w:pPr>
              <w:pStyle w:val="TableContents"/>
              <w:spacing w:before="0" w:after="283"/>
              <w:jc w:val="right"/>
              <w:rPr/>
            </w:pPr>
            <w:r>
              <w:rPr/>
              <w:t>—  </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1033" w:type="dxa"/>
            <w:tcBorders/>
            <w:shd w:fill="CCEEFF" w:val="clear"/>
            <w:tcMar>
              <w:bottom w:w="0" w:type="dxa"/>
            </w:tcMar>
            <w:vAlign w:val="center"/>
          </w:tcPr>
          <w:p>
            <w:pPr>
              <w:pStyle w:val="TableContents"/>
              <w:spacing w:before="0" w:after="283"/>
              <w:jc w:val="right"/>
              <w:rPr/>
            </w:pPr>
            <w:r>
              <w:rPr/>
              <w:t>—  </w:t>
            </w:r>
          </w:p>
        </w:tc>
        <w:tc>
          <w:tcPr>
            <w:tcW w:w="541" w:type="dxa"/>
            <w:tcBorders/>
            <w:shd w:fill="CCEEFF" w:val="clear"/>
            <w:tcMar>
              <w:bottom w:w="0" w:type="dxa"/>
            </w:tcMar>
            <w:vAlign w:val="center"/>
          </w:tcPr>
          <w:p>
            <w:pPr>
              <w:pStyle w:val="TableContents"/>
              <w:spacing w:before="0" w:after="283"/>
              <w:jc w:val="left"/>
              <w:rPr/>
            </w:pPr>
            <w:r>
              <w:rPr/>
              <w:t> </w:t>
            </w:r>
          </w:p>
        </w:tc>
      </w:tr>
    </w:tbl>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 of Change” is the difference in dollars between the base salary in effect at July 31, 2013 (the end of fiscal 2013) and the base salary in effect at the end of fiscal 2014. Not all of the salary adjustments were effective at the beginning of fiscal 2014; some were effective later in the fiscal year.</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 of Change” is the dollar change as a percent of base salary in effect at the end of fiscal 2013.</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As noted above, our Compensation Committee determines the base salary and other compensation to be paid to our CEO.</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Annual and Deferred Incentive Compensation: </w:t>
      </w:r>
      <w:r>
        <w:rPr>
          <w:rFonts w:ascii="Times New Roman;Times;Serif" w:hAnsi="Times New Roman;Times;Serif"/>
          <w:b w:val="false"/>
          <w:i w:val="false"/>
          <w:caps w:val="false"/>
          <w:smallCaps w:val="false"/>
          <w:sz w:val="20"/>
        </w:rPr>
        <w:t>Our annual incentive plan provides for a target bonus equal to a percentage of each eligible employee’s annual base salary. This percentage is generally determined by salary grade, which reflects the level of responsibility and expected contribution of the employee’s position to our financial results. For employees in the higher salary grades (including our executive officers), a larger proportion of their compensation takes the form of at-risk incentive compensation than is the case for employees in the lower salary grades. For some of these employees, there is also an opportunity to earn an executive deferred bonus award. As part of its annual review of executive compensation, our Compensation Committee sets the bonus opportunity as a percent of base salary for our CEO and determines the reasonableness of the bonus opportunity proposed by our CEO for our other executive officers.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Annual Incentive Compensation:</w:t>
      </w:r>
      <w:r>
        <w:rPr>
          <w:rFonts w:ascii="Times New Roman;Times;Serif" w:hAnsi="Times New Roman;Times;Serif"/>
          <w:b w:val="false"/>
          <w:i w:val="false"/>
          <w:caps w:val="false"/>
          <w:smallCaps w:val="false"/>
          <w:sz w:val="20"/>
        </w:rPr>
        <w:t xml:space="preserve"> Our annual incentive plan provides for the possibility of awards based on corporate financial performance. This measure serves to unite all salaried employees to work together to improve the Company’s performance. Generally, if we meet our corporate financial performance target, full target bonus is paid to each eligible exempt employee. If we fail to meet our corporate financial performance target but meet certain financial performance thresholds, a bonus of less than 100% of target bonus may be paid. If we exceed our corporate financial performance target, bonuses above 100% of target may be paid; however, no employee can receive a bonus greater than 200% of target under this plan. Non-exempt employees would earn 100% of target bonus at the threshold level and at the other applicable levels. In addition, our annual incentive plan gives our CEO the discretion to adjust the performance measures, targets and payout ranges used for incentive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Due to a variety of factors, including the Company’s top-line financial performance in fiscal 2014 and the occurrence of certain events (e.g., the integration of our acquisition of MFM private label cat litter assets, the opening of our China subsidiary, and the expansion of our lightweight branded cat litter products), and after consulting with our CFO, our Chairman of the Board and each member of our Compensation Committee, our CEO used such discretionary authority for fiscal 2014 to pay a bonus under our annual incentive plan of approximately 25% of the total dollar amount of the overall target bonus pool for all employees.</w:t>
      </w:r>
    </w:p>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Deferred Incentive Compensation:</w:t>
      </w:r>
      <w:r>
        <w:rPr>
          <w:rFonts w:ascii="Times New Roman;Times;Serif" w:hAnsi="Times New Roman;Times;Serif"/>
          <w:b w:val="false"/>
          <w:i w:val="false"/>
          <w:caps w:val="false"/>
          <w:smallCaps w:val="false"/>
          <w:sz w:val="20"/>
        </w:rPr>
        <w:t xml:space="preserve"> Our annual incentive plan also provides the opportunity for our senior managers, including our executive officers, to earn an executive deferred bonus award. This award is designed to reward and retain talented executives. Payment of executive deferred bonus awards is deferred until the vesting date established for each fiscal year’s award. The annual incentive plan also provides for payout of executive deferred bonus awards upon death, retirement, disability or a change in control of the Company. We have established bookkeeping accounts for all executive deferred bonus awards, which earn interest at a rate equal to our long-term cost of borrowing plus 1%. At the request of each of our CEO and our Vice President of Manufacturing, neither was eligible for an executive deferred bonus award for fiscal 2014. All of our other executive officers were eligible. Executive deferred bonuses, if awarded for fiscal 2014 performance, would be deferred and paid in full at the end of three years (July 31, 2017) provided the executive is still employed by us at that time. Our annual incentive plan gives our CEO the discretion to adjust the performance measures, targets and payout ranges used for executive deferred bonus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Our adjusted, pre-tax, pre-bonus income for fiscal 2014 resulted in no executive deferred bonus awards to our executive officers.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Operation of the Annual Incentive Plan:</w:t>
      </w:r>
      <w:r>
        <w:rPr>
          <w:rFonts w:ascii="Times New Roman;Times;Serif" w:hAnsi="Times New Roman;Times;Serif"/>
          <w:b w:val="false"/>
          <w:i w:val="false"/>
          <w:caps w:val="false"/>
          <w:smallCaps w:val="false"/>
          <w:sz w:val="20"/>
        </w:rPr>
        <w:t xml:space="preserve"> At the beginning of each fiscal year, our CEO presents to our Compensation Committee his proposal for the performance measures that will determine the calculation of the incentive bonus for that year, along with specific performance targets and payout ranges. Our CFO, Vice President of Human Resources and Vice President of Compensation and Benefits may each participate in this presentation as well. Our Compensation Committee reviews these performance measures, targets and payout ranges and determines their reasonableness as they relate to the total compensation of our executive officers.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2014, the performance measure under the annual incentive plan was our adjusted pre-tax, pre-bonus income as compared with pre-tax, pre-bonus income specified in our fiscal 2014 annual incentive plan. Our adjusted pre-tax, pre-bonus income for fiscal 2014 was determined by adjusting pre-tax income as shown in our fiscal 2014 audited consolidated financial statements as follows: (i) adding the entire amount of annual incentive plan bonus, both cash and executive deferred, awarded for fiscal 2014; and (ii) subtracting the amortization for prior years’ executive deferred bonus awards. As a result of these adjustments, the financial performance measure under the annual incentive plan takes into consideration the full amount of any executive deferred bonus in the fiscal year for which it is awarded, rather than amortizing that bonus over its vesting period.</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that performance measure and after the effect of the adjustments described above, exempt employees, including our executive officers, would earn bonuses as shown below:</w:t>
      </w:r>
    </w:p>
    <w:tbl>
      <w:tblPr>
        <w:tblW w:w="4349" w:type="dxa"/>
        <w:jc w:val="center"/>
        <w:tblInd w:w="0" w:type="dxa"/>
        <w:tblCellMar>
          <w:top w:w="0" w:type="dxa"/>
          <w:left w:w="0" w:type="dxa"/>
          <w:bottom w:w="0" w:type="dxa"/>
          <w:right w:w="0" w:type="dxa"/>
        </w:tblCellMar>
      </w:tblPr>
      <w:tblGrid>
        <w:gridCol w:w="75"/>
        <w:gridCol w:w="740"/>
        <w:gridCol w:w="60"/>
        <w:gridCol w:w="60"/>
        <w:gridCol w:w="199"/>
        <w:gridCol w:w="1565"/>
        <w:gridCol w:w="86"/>
        <w:gridCol w:w="60"/>
        <w:gridCol w:w="133"/>
        <w:gridCol w:w="852"/>
        <w:gridCol w:w="519"/>
      </w:tblGrid>
      <w:tr>
        <w:trPr/>
        <w:tc>
          <w:tcPr>
            <w:tcW w:w="875" w:type="dxa"/>
            <w:gridSpan w:val="3"/>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50"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Adjusted Pre-Tax</w:t>
              <w:br/>
              <w:t>Pre-Bonus</w:t>
              <w:br/>
              <w:t>Income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04"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 xml:space="preserve">% of Target </w:t>
              <w:br/>
              <w:t>Bonus Earned</w:t>
            </w:r>
          </w:p>
        </w:tc>
      </w:tr>
      <w:tr>
        <w:trPr/>
        <w:tc>
          <w:tcPr>
            <w:tcW w:w="75" w:type="dxa"/>
            <w:tcBorders/>
            <w:shd w:fill="CCEEFF" w:val="clear"/>
            <w:vAlign w:val="center"/>
          </w:tcPr>
          <w:p>
            <w:pPr>
              <w:pStyle w:val="TableContents"/>
              <w:spacing w:before="0" w:after="283"/>
              <w:jc w:val="left"/>
              <w:rPr/>
            </w:pPr>
            <w:r>
              <w:rPr/>
              <w:t> </w:t>
            </w:r>
          </w:p>
        </w:tc>
        <w:tc>
          <w:tcPr>
            <w:tcW w:w="740" w:type="dxa"/>
            <w:tcBorders/>
            <w:shd w:fill="CCEEFF" w:val="clear"/>
            <w:vAlign w:val="center"/>
          </w:tcPr>
          <w:p>
            <w:pPr>
              <w:pStyle w:val="TableContents"/>
              <w:spacing w:before="0" w:after="283"/>
              <w:jc w:val="left"/>
              <w:rPr>
                <w:sz w:val="17"/>
              </w:rPr>
            </w:pPr>
            <w:r>
              <w:rPr>
                <w:sz w:val="17"/>
              </w:rPr>
              <w:t>Threshold</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w:t>
            </w:r>
          </w:p>
        </w:tc>
        <w:tc>
          <w:tcPr>
            <w:tcW w:w="1565" w:type="dxa"/>
            <w:tcBorders/>
            <w:shd w:fill="CCEEFF" w:val="clear"/>
            <w:vAlign w:val="center"/>
          </w:tcPr>
          <w:p>
            <w:pPr>
              <w:pStyle w:val="TableContents"/>
              <w:spacing w:before="0" w:after="283"/>
              <w:jc w:val="right"/>
              <w:rPr/>
            </w:pPr>
            <w:r>
              <w:rPr/>
              <w:t>16,857,000</w:t>
            </w:r>
          </w:p>
        </w:tc>
        <w:tc>
          <w:tcPr>
            <w:tcW w:w="86"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852" w:type="dxa"/>
            <w:tcBorders/>
            <w:shd w:fill="CCEEFF" w:val="clear"/>
            <w:vAlign w:val="center"/>
          </w:tcPr>
          <w:p>
            <w:pPr>
              <w:pStyle w:val="TableContents"/>
              <w:spacing w:before="0" w:after="283"/>
              <w:jc w:val="right"/>
              <w:rPr/>
            </w:pPr>
            <w:r>
              <w:rPr/>
              <w:t>25</w:t>
            </w:r>
          </w:p>
        </w:tc>
        <w:tc>
          <w:tcPr>
            <w:tcW w:w="519" w:type="dxa"/>
            <w:tcBorders/>
            <w:shd w:fill="CCEEFF" w:val="clear"/>
            <w:vAlign w:val="center"/>
          </w:tcPr>
          <w:p>
            <w:pPr>
              <w:pStyle w:val="TableContents"/>
              <w:spacing w:before="0" w:after="283"/>
              <w:jc w:val="left"/>
              <w:rPr/>
            </w:pPr>
            <w:r>
              <w:rPr/>
              <w:t>%</w:t>
            </w:r>
          </w:p>
        </w:tc>
      </w:tr>
      <w:tr>
        <w:trPr/>
        <w:tc>
          <w:tcPr>
            <w:tcW w:w="75" w:type="dxa"/>
            <w:tcBorders/>
            <w:shd w:fill="FFFFFF" w:val="clear"/>
            <w:vAlign w:val="center"/>
          </w:tcPr>
          <w:p>
            <w:pPr>
              <w:pStyle w:val="TableContents"/>
              <w:spacing w:before="0" w:after="283"/>
              <w:jc w:val="left"/>
              <w:rPr/>
            </w:pPr>
            <w:r>
              <w:rPr/>
              <w:t> </w:t>
            </w:r>
          </w:p>
        </w:tc>
        <w:tc>
          <w:tcPr>
            <w:tcW w:w="740" w:type="dxa"/>
            <w:tcBorders/>
            <w:shd w:fill="FFFFFF" w:val="clear"/>
            <w:vAlign w:val="center"/>
          </w:tcPr>
          <w:p>
            <w:pPr>
              <w:pStyle w:val="TableContents"/>
              <w:spacing w:before="0" w:after="283"/>
              <w:jc w:val="left"/>
              <w:rPr>
                <w:sz w:val="17"/>
              </w:rPr>
            </w:pPr>
            <w:r>
              <w:rPr>
                <w:sz w:val="17"/>
              </w:rPr>
              <w:t>Target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jc w:val="left"/>
              <w:rPr/>
            </w:pPr>
            <w:r>
              <w:rPr/>
              <w:t>$</w:t>
            </w:r>
          </w:p>
        </w:tc>
        <w:tc>
          <w:tcPr>
            <w:tcW w:w="1565" w:type="dxa"/>
            <w:tcBorders/>
            <w:shd w:fill="FFFFFF" w:val="clear"/>
            <w:vAlign w:val="center"/>
          </w:tcPr>
          <w:p>
            <w:pPr>
              <w:pStyle w:val="TableContents"/>
              <w:spacing w:before="0" w:after="283"/>
              <w:jc w:val="right"/>
              <w:rPr/>
            </w:pPr>
            <w:r>
              <w:rPr/>
              <w:t>22,801,000</w:t>
            </w:r>
          </w:p>
        </w:tc>
        <w:tc>
          <w:tcPr>
            <w:tcW w:w="8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852" w:type="dxa"/>
            <w:tcBorders/>
            <w:shd w:fill="FFFFFF" w:val="clear"/>
            <w:vAlign w:val="center"/>
          </w:tcPr>
          <w:p>
            <w:pPr>
              <w:pStyle w:val="TableContents"/>
              <w:spacing w:before="0" w:after="283"/>
              <w:jc w:val="right"/>
              <w:rPr/>
            </w:pPr>
            <w:r>
              <w:rPr/>
              <w:t>100</w:t>
            </w:r>
          </w:p>
        </w:tc>
        <w:tc>
          <w:tcPr>
            <w:tcW w:w="519" w:type="dxa"/>
            <w:tcBorders/>
            <w:shd w:fill="FFFFFF" w:val="clear"/>
            <w:vAlign w:val="center"/>
          </w:tcPr>
          <w:p>
            <w:pPr>
              <w:pStyle w:val="TableContents"/>
              <w:spacing w:before="0" w:after="283"/>
              <w:jc w:val="left"/>
              <w:rPr/>
            </w:pPr>
            <w:r>
              <w:rPr/>
              <w:t>%</w:t>
            </w:r>
          </w:p>
        </w:tc>
      </w:tr>
      <w:tr>
        <w:trPr/>
        <w:tc>
          <w:tcPr>
            <w:tcW w:w="75" w:type="dxa"/>
            <w:tcBorders/>
            <w:shd w:fill="CCEEFF" w:val="clear"/>
            <w:vAlign w:val="center"/>
          </w:tcPr>
          <w:p>
            <w:pPr>
              <w:pStyle w:val="TableContents"/>
              <w:spacing w:before="0" w:after="283"/>
              <w:jc w:val="left"/>
              <w:rPr/>
            </w:pPr>
            <w:r>
              <w:rPr/>
              <w:t> </w:t>
            </w:r>
          </w:p>
        </w:tc>
        <w:tc>
          <w:tcPr>
            <w:tcW w:w="740" w:type="dxa"/>
            <w:tcBorders/>
            <w:shd w:fill="CCEEFF" w:val="clear"/>
            <w:vAlign w:val="center"/>
          </w:tcPr>
          <w:p>
            <w:pPr>
              <w:pStyle w:val="TableContents"/>
              <w:spacing w:before="0" w:after="283"/>
              <w:jc w:val="left"/>
              <w:rPr>
                <w:sz w:val="17"/>
              </w:rPr>
            </w:pPr>
            <w:r>
              <w:rPr>
                <w:sz w:val="17"/>
              </w:rPr>
              <w:t>Maximum</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w:t>
            </w:r>
          </w:p>
        </w:tc>
        <w:tc>
          <w:tcPr>
            <w:tcW w:w="1565" w:type="dxa"/>
            <w:tcBorders/>
            <w:shd w:fill="CCEEFF" w:val="clear"/>
            <w:vAlign w:val="center"/>
          </w:tcPr>
          <w:p>
            <w:pPr>
              <w:pStyle w:val="TableContents"/>
              <w:spacing w:before="0" w:after="283"/>
              <w:jc w:val="right"/>
              <w:rPr/>
            </w:pPr>
            <w:r>
              <w:rPr/>
              <w:t>30,319,000</w:t>
            </w:r>
          </w:p>
        </w:tc>
        <w:tc>
          <w:tcPr>
            <w:tcW w:w="86"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852" w:type="dxa"/>
            <w:tcBorders/>
            <w:shd w:fill="CCEEFF" w:val="clear"/>
            <w:vAlign w:val="center"/>
          </w:tcPr>
          <w:p>
            <w:pPr>
              <w:pStyle w:val="TableContents"/>
              <w:spacing w:before="0" w:after="283"/>
              <w:jc w:val="right"/>
              <w:rPr/>
            </w:pPr>
            <w:r>
              <w:rPr/>
              <w:t>200</w:t>
            </w:r>
          </w:p>
        </w:tc>
        <w:tc>
          <w:tcPr>
            <w:tcW w:w="519" w:type="dxa"/>
            <w:tcBorders/>
            <w:shd w:fill="CCEEFF" w:val="clear"/>
            <w:vAlign w:val="center"/>
          </w:tcPr>
          <w:p>
            <w:pPr>
              <w:pStyle w:val="TableContents"/>
              <w:spacing w:before="0" w:after="283"/>
              <w:jc w:val="left"/>
              <w:rPr/>
            </w:pPr>
            <w:r>
              <w:rPr/>
              <w:t>%</w:t>
            </w:r>
          </w:p>
        </w:tc>
      </w:tr>
    </w:tbl>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targets were also specified. If performance fell between two of the specified targets, the target bonus payment percentage would be prorated. No executive deferred bonus was to be awarded unless 95% of target bonus was earned. Non-exempt employees would earn 100% of target bonus if payout were made at any of the levels listed above.</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bonus opportunity for fiscal 2014 as a percent of base salary for the named executive officers is shown below:</w:t>
      </w:r>
    </w:p>
    <w:tbl>
      <w:tblPr>
        <w:tblW w:w="10205" w:type="dxa"/>
        <w:jc w:val="left"/>
        <w:tblInd w:w="0" w:type="dxa"/>
        <w:tblCellMar>
          <w:top w:w="0" w:type="dxa"/>
          <w:left w:w="0" w:type="dxa"/>
          <w:bottom w:w="0" w:type="dxa"/>
          <w:right w:w="0" w:type="dxa"/>
        </w:tblCellMar>
      </w:tblPr>
      <w:tblGrid>
        <w:gridCol w:w="1503"/>
        <w:gridCol w:w="828"/>
        <w:gridCol w:w="60"/>
        <w:gridCol w:w="828"/>
        <w:gridCol w:w="870"/>
        <w:gridCol w:w="856"/>
        <w:gridCol w:w="60"/>
        <w:gridCol w:w="828"/>
        <w:gridCol w:w="870"/>
        <w:gridCol w:w="856"/>
        <w:gridCol w:w="60"/>
        <w:gridCol w:w="833"/>
        <w:gridCol w:w="870"/>
        <w:gridCol w:w="883"/>
      </w:tblGrid>
      <w:tr>
        <w:trPr/>
        <w:tc>
          <w:tcPr>
            <w:tcW w:w="1503" w:type="dxa"/>
            <w:tcBorders/>
            <w:shd w:fill="auto" w:val="clear"/>
            <w:vAlign w:val="center"/>
          </w:tcPr>
          <w:p>
            <w:pPr>
              <w:pStyle w:val="TableContents"/>
              <w:spacing w:before="0" w:after="283"/>
              <w:jc w:val="left"/>
              <w:rPr/>
            </w:pPr>
            <w:r>
              <w:rPr/>
              <w:t> </w:t>
            </w:r>
          </w:p>
        </w:tc>
        <w:tc>
          <w:tcPr>
            <w:tcW w:w="8702" w:type="dxa"/>
            <w:gridSpan w:val="13"/>
            <w:tcBorders>
              <w:bottom w:val="single" w:sz="8" w:space="0" w:color="000000"/>
            </w:tcBorders>
            <w:shd w:fill="auto" w:val="clear"/>
            <w:tcMar>
              <w:bottom w:w="40" w:type="dxa"/>
            </w:tcMar>
            <w:vAlign w:val="center"/>
          </w:tcPr>
          <w:p>
            <w:pPr>
              <w:pStyle w:val="TableContents"/>
              <w:spacing w:before="0" w:after="283"/>
              <w:jc w:val="center"/>
              <w:rPr>
                <w:b/>
                <w:sz w:val="17"/>
              </w:rPr>
            </w:pPr>
            <w:r>
              <w:rPr>
                <w:b/>
                <w:sz w:val="17"/>
              </w:rPr>
              <w:t>Bonus Opportunity as a % of Base Salary</w:t>
            </w:r>
          </w:p>
        </w:tc>
      </w:tr>
      <w:tr>
        <w:trPr/>
        <w:tc>
          <w:tcPr>
            <w:tcW w:w="1503" w:type="dxa"/>
            <w:tcBorders/>
            <w:shd w:fill="auto" w:val="clear"/>
            <w:vAlign w:val="center"/>
          </w:tcPr>
          <w:p>
            <w:pPr>
              <w:pStyle w:val="TableContents"/>
              <w:spacing w:before="0" w:after="283"/>
              <w:jc w:val="left"/>
              <w:rPr/>
            </w:pPr>
            <w:r>
              <w:rPr/>
              <w:t> </w:t>
            </w:r>
          </w:p>
        </w:tc>
        <w:tc>
          <w:tcPr>
            <w:tcW w:w="3442" w:type="dxa"/>
            <w:gridSpan w:val="5"/>
            <w:tcBorders>
              <w:bottom w:val="single" w:sz="8" w:space="0" w:color="000000"/>
            </w:tcBorders>
            <w:shd w:fill="auto" w:val="clear"/>
            <w:tcMar>
              <w:bottom w:w="40" w:type="dxa"/>
            </w:tcMar>
            <w:vAlign w:val="center"/>
          </w:tcPr>
          <w:p>
            <w:pPr>
              <w:pStyle w:val="TableContents"/>
              <w:spacing w:before="0" w:after="283"/>
              <w:jc w:val="center"/>
              <w:rPr>
                <w:b/>
                <w:sz w:val="17"/>
              </w:rPr>
            </w:pPr>
            <w:r>
              <w:rPr>
                <w:b/>
                <w:sz w:val="17"/>
              </w:rPr>
              <w:t>Threshold</w:t>
            </w:r>
          </w:p>
        </w:tc>
        <w:tc>
          <w:tcPr>
            <w:tcW w:w="60" w:type="dxa"/>
            <w:tcBorders/>
            <w:shd w:fill="auto" w:val="clear"/>
            <w:vAlign w:val="center"/>
          </w:tcPr>
          <w:p>
            <w:pPr>
              <w:pStyle w:val="TableContents"/>
              <w:spacing w:before="0" w:after="283"/>
              <w:jc w:val="left"/>
              <w:rPr/>
            </w:pPr>
            <w:r>
              <w:rPr/>
              <w:t> </w:t>
            </w:r>
          </w:p>
        </w:tc>
        <w:tc>
          <w:tcPr>
            <w:tcW w:w="2554" w:type="dxa"/>
            <w:gridSpan w:val="3"/>
            <w:tcBorders>
              <w:top w:val="single" w:sz="8" w:space="0" w:color="000000"/>
              <w:bottom w:val="single" w:sz="8" w:space="0" w:color="000000"/>
            </w:tcBorders>
            <w:shd w:fill="auto" w:val="clear"/>
            <w:tcMar>
              <w:top w:w="40" w:type="dxa"/>
              <w:bottom w:w="40" w:type="dxa"/>
            </w:tcMar>
            <w:vAlign w:val="center"/>
          </w:tcPr>
          <w:p>
            <w:pPr>
              <w:pStyle w:val="TableContents"/>
              <w:spacing w:before="0" w:after="283"/>
              <w:jc w:val="center"/>
              <w:rPr>
                <w:b/>
                <w:sz w:val="17"/>
              </w:rPr>
            </w:pPr>
            <w:r>
              <w:rPr>
                <w:b/>
                <w:sz w:val="17"/>
              </w:rPr>
              <w:t>Target</w:t>
            </w:r>
          </w:p>
        </w:tc>
        <w:tc>
          <w:tcPr>
            <w:tcW w:w="60" w:type="dxa"/>
            <w:tcBorders/>
            <w:shd w:fill="auto" w:val="clear"/>
            <w:vAlign w:val="center"/>
          </w:tcPr>
          <w:p>
            <w:pPr>
              <w:pStyle w:val="TableContents"/>
              <w:spacing w:before="0" w:after="283"/>
              <w:jc w:val="left"/>
              <w:rPr/>
            </w:pPr>
            <w:r>
              <w:rPr/>
              <w:t> </w:t>
            </w:r>
          </w:p>
        </w:tc>
        <w:tc>
          <w:tcPr>
            <w:tcW w:w="2586" w:type="dxa"/>
            <w:gridSpan w:val="3"/>
            <w:tcBorders>
              <w:top w:val="single" w:sz="8" w:space="0" w:color="000000"/>
              <w:bottom w:val="single" w:sz="8" w:space="0" w:color="000000"/>
            </w:tcBorders>
            <w:shd w:fill="auto" w:val="clear"/>
            <w:tcMar>
              <w:top w:w="40" w:type="dxa"/>
              <w:bottom w:w="40" w:type="dxa"/>
            </w:tcMar>
            <w:vAlign w:val="center"/>
          </w:tcPr>
          <w:p>
            <w:pPr>
              <w:pStyle w:val="TableContents"/>
              <w:spacing w:before="0" w:after="283"/>
              <w:jc w:val="center"/>
              <w:rPr>
                <w:b/>
                <w:sz w:val="17"/>
              </w:rPr>
            </w:pPr>
            <w:r>
              <w:rPr>
                <w:b/>
                <w:sz w:val="17"/>
              </w:rPr>
              <w:t>Maximum</w:t>
            </w:r>
          </w:p>
        </w:tc>
      </w:tr>
      <w:tr>
        <w:trPr/>
        <w:tc>
          <w:tcPr>
            <w:tcW w:w="1503" w:type="dxa"/>
            <w:tcBorders/>
            <w:shd w:fill="auto" w:val="clear"/>
            <w:vAlign w:val="center"/>
          </w:tcPr>
          <w:p>
            <w:pPr>
              <w:pStyle w:val="TableContents"/>
              <w:spacing w:before="0" w:after="283"/>
              <w:jc w:val="left"/>
              <w:rPr/>
            </w:pPr>
            <w:r>
              <w:rPr/>
              <w:t> </w:t>
            </w:r>
          </w:p>
        </w:tc>
        <w:tc>
          <w:tcPr>
            <w:tcW w:w="828" w:type="dxa"/>
            <w:tcBorders>
              <w:bottom w:val="single" w:sz="8" w:space="0" w:color="000000"/>
            </w:tcBorders>
            <w:shd w:fill="auto" w:val="clear"/>
            <w:tcMar>
              <w:bottom w:w="40" w:type="dxa"/>
            </w:tcMar>
            <w:vAlign w:val="center"/>
          </w:tcPr>
          <w:p>
            <w:pPr>
              <w:pStyle w:val="TableContents"/>
              <w:spacing w:before="0" w:after="283"/>
              <w:jc w:val="center"/>
              <w:rPr/>
            </w:pPr>
            <w:r>
              <w:rPr>
                <w:b/>
                <w:sz w:val="17"/>
              </w:rPr>
              <w:t>Cash Only</w:t>
            </w:r>
            <w:r>
              <w:rPr/>
              <w:br/>
            </w:r>
            <w:r>
              <w:rPr>
                <w:b/>
                <w:sz w:val="17"/>
              </w:rPr>
              <w:t>(1)</w:t>
            </w:r>
          </w:p>
        </w:tc>
        <w:tc>
          <w:tcPr>
            <w:tcW w:w="60" w:type="dxa"/>
            <w:tcBorders/>
            <w:shd w:fill="auto" w:val="clear"/>
            <w:vAlign w:val="center"/>
          </w:tcPr>
          <w:p>
            <w:pPr>
              <w:pStyle w:val="TableContents"/>
              <w:spacing w:before="0" w:after="283"/>
              <w:jc w:val="left"/>
              <w:rPr/>
            </w:pPr>
            <w:r>
              <w:rPr/>
              <w:t> </w:t>
            </w:r>
          </w:p>
        </w:tc>
        <w:tc>
          <w:tcPr>
            <w:tcW w:w="2554" w:type="dxa"/>
            <w:gridSpan w:val="3"/>
            <w:tcBorders>
              <w:bottom w:val="single" w:sz="8" w:space="0" w:color="000000"/>
            </w:tcBorders>
            <w:shd w:fill="auto" w:val="clear"/>
            <w:tcMar>
              <w:bottom w:w="40" w:type="dxa"/>
            </w:tcMar>
            <w:vAlign w:val="center"/>
          </w:tcPr>
          <w:p>
            <w:pPr>
              <w:pStyle w:val="TableContents"/>
              <w:spacing w:before="0" w:after="283"/>
              <w:jc w:val="center"/>
              <w:rPr>
                <w:b/>
                <w:sz w:val="17"/>
              </w:rPr>
            </w:pPr>
            <w:r>
              <w:rPr>
                <w:b/>
                <w:sz w:val="17"/>
              </w:rPr>
              <w:t>Deferred</w:t>
              <w:br/>
              <w:t>(2)</w:t>
            </w:r>
          </w:p>
        </w:tc>
        <w:tc>
          <w:tcPr>
            <w:tcW w:w="60" w:type="dxa"/>
            <w:tcBorders/>
            <w:shd w:fill="auto" w:val="clear"/>
            <w:vAlign w:val="center"/>
          </w:tcPr>
          <w:p>
            <w:pPr>
              <w:pStyle w:val="TableContents"/>
              <w:spacing w:before="0" w:after="283"/>
              <w:jc w:val="left"/>
              <w:rPr/>
            </w:pPr>
            <w:r>
              <w:rPr/>
              <w:t> </w:t>
            </w:r>
          </w:p>
        </w:tc>
        <w:tc>
          <w:tcPr>
            <w:tcW w:w="828" w:type="dxa"/>
            <w:tcBorders/>
            <w:shd w:fill="auto" w:val="clear"/>
            <w:vAlign w:val="center"/>
          </w:tcPr>
          <w:p>
            <w:pPr>
              <w:pStyle w:val="TableContents"/>
              <w:spacing w:before="0" w:after="283"/>
              <w:jc w:val="left"/>
              <w:rPr/>
            </w:pPr>
            <w:r>
              <w:rPr/>
              <w:t> </w:t>
            </w:r>
          </w:p>
        </w:tc>
        <w:tc>
          <w:tcPr>
            <w:tcW w:w="870" w:type="dxa"/>
            <w:tcBorders/>
            <w:shd w:fill="auto" w:val="clear"/>
            <w:vAlign w:val="center"/>
          </w:tcPr>
          <w:p>
            <w:pPr>
              <w:pStyle w:val="TableContents"/>
              <w:spacing w:before="0" w:after="283"/>
              <w:jc w:val="left"/>
              <w:rPr/>
            </w:pPr>
            <w:r>
              <w:rPr/>
              <w:t> </w:t>
            </w:r>
          </w:p>
        </w:tc>
        <w:tc>
          <w:tcPr>
            <w:tcW w:w="856"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jc w:val="left"/>
              <w:rPr/>
            </w:pPr>
            <w:r>
              <w:rPr/>
              <w:t> </w:t>
            </w:r>
          </w:p>
        </w:tc>
        <w:tc>
          <w:tcPr>
            <w:tcW w:w="833" w:type="dxa"/>
            <w:tcBorders/>
            <w:shd w:fill="auto" w:val="clear"/>
            <w:vAlign w:val="center"/>
          </w:tcPr>
          <w:p>
            <w:pPr>
              <w:pStyle w:val="TableContents"/>
              <w:spacing w:before="0" w:after="283"/>
              <w:jc w:val="left"/>
              <w:rPr/>
            </w:pPr>
            <w:r>
              <w:rPr/>
              <w:t> </w:t>
            </w:r>
          </w:p>
        </w:tc>
        <w:tc>
          <w:tcPr>
            <w:tcW w:w="870" w:type="dxa"/>
            <w:tcBorders/>
            <w:shd w:fill="auto" w:val="clear"/>
            <w:vAlign w:val="center"/>
          </w:tcPr>
          <w:p>
            <w:pPr>
              <w:pStyle w:val="TableContents"/>
              <w:spacing w:before="0" w:after="283"/>
              <w:jc w:val="left"/>
              <w:rPr/>
            </w:pPr>
            <w:r>
              <w:rPr/>
              <w:t> </w:t>
            </w:r>
          </w:p>
        </w:tc>
        <w:tc>
          <w:tcPr>
            <w:tcW w:w="883" w:type="dxa"/>
            <w:tcBorders/>
            <w:shd w:fill="auto" w:val="clear"/>
            <w:vAlign w:val="center"/>
          </w:tcPr>
          <w:p>
            <w:pPr>
              <w:pStyle w:val="TableContents"/>
              <w:spacing w:before="0" w:after="283"/>
              <w:jc w:val="left"/>
              <w:rPr/>
            </w:pPr>
            <w:r>
              <w:rPr/>
              <w:t> </w:t>
            </w:r>
          </w:p>
        </w:tc>
      </w:tr>
      <w:tr>
        <w:trPr/>
        <w:tc>
          <w:tcPr>
            <w:tcW w:w="1503" w:type="dxa"/>
            <w:tcBorders/>
            <w:shd w:fill="auto" w:val="clear"/>
            <w:vAlign w:val="center"/>
          </w:tcPr>
          <w:p>
            <w:pPr>
              <w:pStyle w:val="TableContents"/>
              <w:spacing w:before="0" w:after="283"/>
              <w:jc w:val="left"/>
              <w:rPr/>
            </w:pPr>
            <w:r>
              <w:rPr/>
              <w:t> </w:t>
            </w:r>
          </w:p>
        </w:tc>
        <w:tc>
          <w:tcPr>
            <w:tcW w:w="828" w:type="dxa"/>
            <w:tcBorders/>
            <w:shd w:fill="auto" w:val="clear"/>
            <w:vAlign w:val="center"/>
          </w:tcPr>
          <w:p>
            <w:pPr>
              <w:pStyle w:val="TableContents"/>
              <w:spacing w:before="0" w:after="283"/>
              <w:jc w:val="center"/>
              <w:rPr>
                <w:b/>
                <w:sz w:val="17"/>
              </w:rPr>
            </w:pPr>
            <w:r>
              <w:rPr>
                <w:b/>
                <w:sz w:val="17"/>
              </w:rPr>
              <w:t>Cash Bonus</w:t>
            </w:r>
          </w:p>
        </w:tc>
        <w:tc>
          <w:tcPr>
            <w:tcW w:w="60" w:type="dxa"/>
            <w:tcBorders/>
            <w:shd w:fill="auto" w:val="clear"/>
            <w:vAlign w:val="center"/>
          </w:tcPr>
          <w:p>
            <w:pPr>
              <w:pStyle w:val="TableContents"/>
              <w:spacing w:before="0" w:after="283"/>
              <w:jc w:val="left"/>
              <w:rPr/>
            </w:pPr>
            <w:r>
              <w:rPr/>
              <w:t> </w:t>
            </w:r>
          </w:p>
        </w:tc>
        <w:tc>
          <w:tcPr>
            <w:tcW w:w="828" w:type="dxa"/>
            <w:tcBorders/>
            <w:shd w:fill="auto" w:val="clear"/>
            <w:vAlign w:val="center"/>
          </w:tcPr>
          <w:p>
            <w:pPr>
              <w:pStyle w:val="TableContents"/>
              <w:spacing w:before="0" w:after="283"/>
              <w:jc w:val="center"/>
              <w:rPr>
                <w:b/>
                <w:sz w:val="17"/>
              </w:rPr>
            </w:pPr>
            <w:r>
              <w:rPr>
                <w:b/>
                <w:sz w:val="17"/>
              </w:rPr>
              <w:t>Cash Bonus</w:t>
            </w:r>
          </w:p>
        </w:tc>
        <w:tc>
          <w:tcPr>
            <w:tcW w:w="870" w:type="dxa"/>
            <w:tcBorders/>
            <w:shd w:fill="auto" w:val="clear"/>
            <w:vAlign w:val="center"/>
          </w:tcPr>
          <w:p>
            <w:pPr>
              <w:pStyle w:val="TableContents"/>
              <w:spacing w:before="0" w:after="283"/>
              <w:jc w:val="center"/>
              <w:rPr>
                <w:b/>
                <w:sz w:val="17"/>
              </w:rPr>
            </w:pPr>
            <w:r>
              <w:rPr>
                <w:b/>
                <w:sz w:val="17"/>
              </w:rPr>
              <w:t>Defer Bonus</w:t>
            </w:r>
          </w:p>
        </w:tc>
        <w:tc>
          <w:tcPr>
            <w:tcW w:w="856" w:type="dxa"/>
            <w:tcBorders/>
            <w:shd w:fill="auto" w:val="clear"/>
            <w:vAlign w:val="center"/>
          </w:tcPr>
          <w:p>
            <w:pPr>
              <w:pStyle w:val="TableContents"/>
              <w:spacing w:before="0" w:after="283"/>
              <w:jc w:val="center"/>
              <w:rPr>
                <w:b/>
                <w:sz w:val="17"/>
              </w:rPr>
            </w:pPr>
            <w:r>
              <w:rPr>
                <w:b/>
                <w:sz w:val="17"/>
              </w:rPr>
              <w:t>Total Bonus</w:t>
            </w:r>
          </w:p>
        </w:tc>
        <w:tc>
          <w:tcPr>
            <w:tcW w:w="60" w:type="dxa"/>
            <w:tcBorders/>
            <w:shd w:fill="auto" w:val="clear"/>
            <w:vAlign w:val="center"/>
          </w:tcPr>
          <w:p>
            <w:pPr>
              <w:pStyle w:val="TableContents"/>
              <w:spacing w:before="0" w:after="283"/>
              <w:jc w:val="left"/>
              <w:rPr/>
            </w:pPr>
            <w:r>
              <w:rPr/>
              <w:t> </w:t>
            </w:r>
          </w:p>
        </w:tc>
        <w:tc>
          <w:tcPr>
            <w:tcW w:w="828" w:type="dxa"/>
            <w:tcBorders/>
            <w:shd w:fill="auto" w:val="clear"/>
            <w:vAlign w:val="center"/>
          </w:tcPr>
          <w:p>
            <w:pPr>
              <w:pStyle w:val="TableContents"/>
              <w:spacing w:before="0" w:after="283"/>
              <w:jc w:val="center"/>
              <w:rPr>
                <w:b/>
                <w:sz w:val="17"/>
              </w:rPr>
            </w:pPr>
            <w:r>
              <w:rPr>
                <w:b/>
                <w:sz w:val="17"/>
              </w:rPr>
              <w:t>Cash Bonus</w:t>
            </w:r>
          </w:p>
        </w:tc>
        <w:tc>
          <w:tcPr>
            <w:tcW w:w="870" w:type="dxa"/>
            <w:tcBorders/>
            <w:shd w:fill="auto" w:val="clear"/>
            <w:vAlign w:val="center"/>
          </w:tcPr>
          <w:p>
            <w:pPr>
              <w:pStyle w:val="TableContents"/>
              <w:spacing w:before="0" w:after="283"/>
              <w:jc w:val="center"/>
              <w:rPr>
                <w:b/>
                <w:sz w:val="17"/>
              </w:rPr>
            </w:pPr>
            <w:r>
              <w:rPr>
                <w:b/>
                <w:sz w:val="17"/>
              </w:rPr>
              <w:t>Defer Bonus</w:t>
            </w:r>
          </w:p>
        </w:tc>
        <w:tc>
          <w:tcPr>
            <w:tcW w:w="856" w:type="dxa"/>
            <w:tcBorders/>
            <w:shd w:fill="auto" w:val="clear"/>
            <w:vAlign w:val="center"/>
          </w:tcPr>
          <w:p>
            <w:pPr>
              <w:pStyle w:val="TableContents"/>
              <w:spacing w:before="0" w:after="283"/>
              <w:jc w:val="center"/>
              <w:rPr>
                <w:b/>
                <w:sz w:val="17"/>
              </w:rPr>
            </w:pPr>
            <w:r>
              <w:rPr>
                <w:b/>
                <w:sz w:val="17"/>
              </w:rPr>
              <w:t>Total Bonus</w:t>
            </w:r>
          </w:p>
        </w:tc>
        <w:tc>
          <w:tcPr>
            <w:tcW w:w="60" w:type="dxa"/>
            <w:tcBorders/>
            <w:shd w:fill="auto" w:val="clear"/>
            <w:vAlign w:val="center"/>
          </w:tcPr>
          <w:p>
            <w:pPr>
              <w:pStyle w:val="TableContents"/>
              <w:spacing w:before="0" w:after="283"/>
              <w:jc w:val="left"/>
              <w:rPr/>
            </w:pPr>
            <w:r>
              <w:rPr/>
              <w:t> </w:t>
            </w:r>
          </w:p>
        </w:tc>
        <w:tc>
          <w:tcPr>
            <w:tcW w:w="833" w:type="dxa"/>
            <w:tcBorders/>
            <w:shd w:fill="auto" w:val="clear"/>
            <w:vAlign w:val="center"/>
          </w:tcPr>
          <w:p>
            <w:pPr>
              <w:pStyle w:val="TableContents"/>
              <w:spacing w:before="0" w:after="283"/>
              <w:jc w:val="center"/>
              <w:rPr>
                <w:b/>
                <w:sz w:val="17"/>
              </w:rPr>
            </w:pPr>
            <w:r>
              <w:rPr>
                <w:b/>
                <w:sz w:val="17"/>
              </w:rPr>
              <w:t>Cash Bonus</w:t>
            </w:r>
          </w:p>
        </w:tc>
        <w:tc>
          <w:tcPr>
            <w:tcW w:w="870" w:type="dxa"/>
            <w:tcBorders/>
            <w:shd w:fill="auto" w:val="clear"/>
            <w:vAlign w:val="center"/>
          </w:tcPr>
          <w:p>
            <w:pPr>
              <w:pStyle w:val="TableContents"/>
              <w:spacing w:before="0" w:after="283"/>
              <w:jc w:val="center"/>
              <w:rPr>
                <w:b/>
                <w:sz w:val="17"/>
              </w:rPr>
            </w:pPr>
            <w:r>
              <w:rPr>
                <w:b/>
                <w:sz w:val="17"/>
              </w:rPr>
              <w:t>Defer Bonus</w:t>
            </w:r>
          </w:p>
        </w:tc>
        <w:tc>
          <w:tcPr>
            <w:tcW w:w="883" w:type="dxa"/>
            <w:tcBorders/>
            <w:shd w:fill="auto" w:val="clear"/>
            <w:vAlign w:val="center"/>
          </w:tcPr>
          <w:p>
            <w:pPr>
              <w:pStyle w:val="TableContents"/>
              <w:spacing w:before="0" w:after="283"/>
              <w:jc w:val="center"/>
              <w:rPr>
                <w:b/>
                <w:sz w:val="17"/>
              </w:rPr>
            </w:pPr>
            <w:r>
              <w:rPr>
                <w:b/>
                <w:sz w:val="17"/>
              </w:rPr>
              <w:t>Total Bonus</w:t>
            </w:r>
          </w:p>
        </w:tc>
      </w:tr>
      <w:tr>
        <w:trPr/>
        <w:tc>
          <w:tcPr>
            <w:tcW w:w="1503" w:type="dxa"/>
            <w:tcBorders/>
            <w:shd w:fill="CCEEFF" w:val="clear"/>
            <w:vAlign w:val="center"/>
          </w:tcPr>
          <w:p>
            <w:pPr>
              <w:pStyle w:val="TableContents"/>
              <w:spacing w:before="0" w:after="283"/>
              <w:jc w:val="left"/>
              <w:rPr>
                <w:sz w:val="17"/>
              </w:rPr>
            </w:pPr>
            <w:r>
              <w:rPr>
                <w:sz w:val="17"/>
              </w:rPr>
              <w:t>Daniel S. Jaffee (3)</w:t>
            </w:r>
          </w:p>
        </w:tc>
        <w:tc>
          <w:tcPr>
            <w:tcW w:w="828" w:type="dxa"/>
            <w:tcBorders/>
            <w:shd w:fill="CCEEFF" w:val="clear"/>
            <w:vAlign w:val="center"/>
          </w:tcPr>
          <w:p>
            <w:pPr>
              <w:pStyle w:val="TableContents"/>
              <w:spacing w:before="0" w:after="283"/>
              <w:jc w:val="right"/>
              <w:rPr>
                <w:sz w:val="17"/>
              </w:rPr>
            </w:pPr>
            <w:r>
              <w:rPr>
                <w:sz w:val="17"/>
              </w:rPr>
              <w:t>12.50%</w:t>
            </w:r>
          </w:p>
        </w:tc>
        <w:tc>
          <w:tcPr>
            <w:tcW w:w="60" w:type="dxa"/>
            <w:tcBorders/>
            <w:shd w:fill="CCEEFF" w:val="clear"/>
            <w:vAlign w:val="center"/>
          </w:tcPr>
          <w:p>
            <w:pPr>
              <w:pStyle w:val="TableContents"/>
              <w:spacing w:before="0" w:after="283"/>
              <w:jc w:val="left"/>
              <w:rPr/>
            </w:pPr>
            <w:r>
              <w:rPr/>
              <w:t> </w:t>
            </w:r>
          </w:p>
        </w:tc>
        <w:tc>
          <w:tcPr>
            <w:tcW w:w="828" w:type="dxa"/>
            <w:tcBorders/>
            <w:shd w:fill="CCEEFF" w:val="clear"/>
            <w:vAlign w:val="center"/>
          </w:tcPr>
          <w:p>
            <w:pPr>
              <w:pStyle w:val="TableContents"/>
              <w:spacing w:before="0" w:after="283"/>
              <w:jc w:val="right"/>
              <w:rPr>
                <w:sz w:val="17"/>
              </w:rPr>
            </w:pPr>
            <w:r>
              <w:rPr>
                <w:sz w:val="17"/>
              </w:rPr>
              <w:t>37.50%</w:t>
            </w:r>
          </w:p>
        </w:tc>
        <w:tc>
          <w:tcPr>
            <w:tcW w:w="870" w:type="dxa"/>
            <w:tcBorders/>
            <w:shd w:fill="CCEEFF" w:val="clear"/>
            <w:vAlign w:val="center"/>
          </w:tcPr>
          <w:p>
            <w:pPr>
              <w:pStyle w:val="TableContents"/>
              <w:spacing w:before="0" w:after="283"/>
              <w:jc w:val="right"/>
              <w:rPr>
                <w:sz w:val="17"/>
              </w:rPr>
            </w:pPr>
            <w:r>
              <w:rPr>
                <w:sz w:val="17"/>
              </w:rPr>
              <w:t>N/A</w:t>
            </w:r>
          </w:p>
        </w:tc>
        <w:tc>
          <w:tcPr>
            <w:tcW w:w="856" w:type="dxa"/>
            <w:tcBorders/>
            <w:shd w:fill="CCEEFF" w:val="clear"/>
            <w:vAlign w:val="center"/>
          </w:tcPr>
          <w:p>
            <w:pPr>
              <w:pStyle w:val="TableContents"/>
              <w:spacing w:before="0" w:after="283"/>
              <w:jc w:val="right"/>
              <w:rPr>
                <w:sz w:val="17"/>
              </w:rPr>
            </w:pPr>
            <w:r>
              <w:rPr>
                <w:sz w:val="17"/>
              </w:rPr>
              <w:t>37.50%</w:t>
            </w:r>
          </w:p>
        </w:tc>
        <w:tc>
          <w:tcPr>
            <w:tcW w:w="60" w:type="dxa"/>
            <w:tcBorders/>
            <w:shd w:fill="CCEEFF" w:val="clear"/>
            <w:vAlign w:val="center"/>
          </w:tcPr>
          <w:p>
            <w:pPr>
              <w:pStyle w:val="TableContents"/>
              <w:spacing w:before="0" w:after="283"/>
              <w:jc w:val="left"/>
              <w:rPr/>
            </w:pPr>
            <w:r>
              <w:rPr/>
              <w:t> </w:t>
            </w:r>
          </w:p>
        </w:tc>
        <w:tc>
          <w:tcPr>
            <w:tcW w:w="828" w:type="dxa"/>
            <w:tcBorders/>
            <w:shd w:fill="CCEEFF" w:val="clear"/>
            <w:vAlign w:val="center"/>
          </w:tcPr>
          <w:p>
            <w:pPr>
              <w:pStyle w:val="TableContents"/>
              <w:spacing w:before="0" w:after="283"/>
              <w:jc w:val="right"/>
              <w:rPr>
                <w:sz w:val="17"/>
              </w:rPr>
            </w:pPr>
            <w:r>
              <w:rPr>
                <w:sz w:val="17"/>
              </w:rPr>
              <w:t>50.00%</w:t>
            </w:r>
          </w:p>
        </w:tc>
        <w:tc>
          <w:tcPr>
            <w:tcW w:w="870" w:type="dxa"/>
            <w:tcBorders/>
            <w:shd w:fill="CCEEFF" w:val="clear"/>
            <w:vAlign w:val="center"/>
          </w:tcPr>
          <w:p>
            <w:pPr>
              <w:pStyle w:val="TableContents"/>
              <w:spacing w:before="0" w:after="283"/>
              <w:jc w:val="right"/>
              <w:rPr>
                <w:sz w:val="17"/>
              </w:rPr>
            </w:pPr>
            <w:r>
              <w:rPr>
                <w:sz w:val="17"/>
              </w:rPr>
              <w:t>N/A</w:t>
            </w:r>
          </w:p>
        </w:tc>
        <w:tc>
          <w:tcPr>
            <w:tcW w:w="856" w:type="dxa"/>
            <w:tcBorders/>
            <w:shd w:fill="CCEEFF" w:val="clear"/>
            <w:vAlign w:val="center"/>
          </w:tcPr>
          <w:p>
            <w:pPr>
              <w:pStyle w:val="TableContents"/>
              <w:spacing w:before="0" w:after="283"/>
              <w:jc w:val="right"/>
              <w:rPr>
                <w:sz w:val="17"/>
              </w:rPr>
            </w:pPr>
            <w:r>
              <w:rPr>
                <w:sz w:val="17"/>
              </w:rPr>
              <w:t>50.00%</w:t>
            </w:r>
          </w:p>
        </w:tc>
        <w:tc>
          <w:tcPr>
            <w:tcW w:w="60" w:type="dxa"/>
            <w:tcBorders/>
            <w:shd w:fill="CCEEFF" w:val="clear"/>
            <w:vAlign w:val="center"/>
          </w:tcPr>
          <w:p>
            <w:pPr>
              <w:pStyle w:val="TableContents"/>
              <w:spacing w:before="0" w:after="283"/>
              <w:jc w:val="left"/>
              <w:rPr/>
            </w:pPr>
            <w:r>
              <w:rPr/>
              <w:t> </w:t>
            </w:r>
          </w:p>
        </w:tc>
        <w:tc>
          <w:tcPr>
            <w:tcW w:w="833" w:type="dxa"/>
            <w:tcBorders/>
            <w:shd w:fill="CCEEFF" w:val="clear"/>
            <w:vAlign w:val="center"/>
          </w:tcPr>
          <w:p>
            <w:pPr>
              <w:pStyle w:val="TableContents"/>
              <w:spacing w:before="0" w:after="283"/>
              <w:jc w:val="right"/>
              <w:rPr>
                <w:sz w:val="17"/>
              </w:rPr>
            </w:pPr>
            <w:r>
              <w:rPr>
                <w:sz w:val="17"/>
              </w:rPr>
              <w:t>100.00%</w:t>
            </w:r>
          </w:p>
        </w:tc>
        <w:tc>
          <w:tcPr>
            <w:tcW w:w="870" w:type="dxa"/>
            <w:tcBorders/>
            <w:shd w:fill="CCEEFF" w:val="clear"/>
            <w:vAlign w:val="center"/>
          </w:tcPr>
          <w:p>
            <w:pPr>
              <w:pStyle w:val="TableContents"/>
              <w:spacing w:before="0" w:after="283"/>
              <w:jc w:val="right"/>
              <w:rPr>
                <w:sz w:val="17"/>
              </w:rPr>
            </w:pPr>
            <w:r>
              <w:rPr>
                <w:sz w:val="17"/>
              </w:rPr>
              <w:t>N/A</w:t>
            </w:r>
          </w:p>
        </w:tc>
        <w:tc>
          <w:tcPr>
            <w:tcW w:w="883" w:type="dxa"/>
            <w:tcBorders/>
            <w:shd w:fill="CCEEFF" w:val="clear"/>
            <w:vAlign w:val="center"/>
          </w:tcPr>
          <w:p>
            <w:pPr>
              <w:pStyle w:val="TableContents"/>
              <w:spacing w:before="0" w:after="283"/>
              <w:jc w:val="right"/>
              <w:rPr>
                <w:sz w:val="17"/>
              </w:rPr>
            </w:pPr>
            <w:r>
              <w:rPr>
                <w:sz w:val="17"/>
              </w:rPr>
              <w:t>100.00%</w:t>
            </w:r>
          </w:p>
        </w:tc>
      </w:tr>
      <w:tr>
        <w:trPr/>
        <w:tc>
          <w:tcPr>
            <w:tcW w:w="1503" w:type="dxa"/>
            <w:tcBorders/>
            <w:shd w:fill="FFFFFF" w:val="clear"/>
            <w:vAlign w:val="center"/>
          </w:tcPr>
          <w:p>
            <w:pPr>
              <w:pStyle w:val="TableContents"/>
              <w:spacing w:before="0" w:after="283"/>
              <w:jc w:val="left"/>
              <w:rPr>
                <w:sz w:val="17"/>
              </w:rPr>
            </w:pPr>
            <w:r>
              <w:rPr>
                <w:sz w:val="17"/>
              </w:rPr>
              <w:t>Daniel T. Smith</w:t>
            </w:r>
          </w:p>
        </w:tc>
        <w:tc>
          <w:tcPr>
            <w:tcW w:w="828" w:type="dxa"/>
            <w:tcBorders/>
            <w:shd w:fill="FFFFFF" w:val="clear"/>
            <w:vAlign w:val="center"/>
          </w:tcPr>
          <w:p>
            <w:pPr>
              <w:pStyle w:val="TableContents"/>
              <w:spacing w:before="0" w:after="283"/>
              <w:jc w:val="right"/>
              <w:rPr>
                <w:sz w:val="17"/>
              </w:rPr>
            </w:pPr>
            <w:r>
              <w:rPr>
                <w:sz w:val="17"/>
              </w:rPr>
              <w:t>8.75%</w:t>
            </w:r>
          </w:p>
        </w:tc>
        <w:tc>
          <w:tcPr>
            <w:tcW w:w="60" w:type="dxa"/>
            <w:tcBorders/>
            <w:shd w:fill="FFFFFF" w:val="clear"/>
            <w:vAlign w:val="center"/>
          </w:tcPr>
          <w:p>
            <w:pPr>
              <w:pStyle w:val="TableContents"/>
              <w:spacing w:before="0" w:after="283"/>
              <w:jc w:val="left"/>
              <w:rPr/>
            </w:pPr>
            <w:r>
              <w:rPr/>
              <w:t> </w:t>
            </w:r>
          </w:p>
        </w:tc>
        <w:tc>
          <w:tcPr>
            <w:tcW w:w="828" w:type="dxa"/>
            <w:tcBorders/>
            <w:shd w:fill="FFFFFF" w:val="clear"/>
            <w:vAlign w:val="center"/>
          </w:tcPr>
          <w:p>
            <w:pPr>
              <w:pStyle w:val="TableContents"/>
              <w:spacing w:before="0" w:after="283"/>
              <w:jc w:val="right"/>
              <w:rPr>
                <w:sz w:val="17"/>
              </w:rPr>
            </w:pPr>
            <w:r>
              <w:rPr>
                <w:sz w:val="17"/>
              </w:rPr>
              <w:t>26.25%</w:t>
            </w:r>
          </w:p>
        </w:tc>
        <w:tc>
          <w:tcPr>
            <w:tcW w:w="870" w:type="dxa"/>
            <w:tcBorders/>
            <w:shd w:fill="FFFFFF" w:val="clear"/>
            <w:vAlign w:val="center"/>
          </w:tcPr>
          <w:p>
            <w:pPr>
              <w:pStyle w:val="TableContents"/>
              <w:spacing w:before="0" w:after="283"/>
              <w:jc w:val="right"/>
              <w:rPr>
                <w:sz w:val="17"/>
              </w:rPr>
            </w:pPr>
            <w:r>
              <w:rPr>
                <w:sz w:val="17"/>
              </w:rPr>
              <w:t>15.00%</w:t>
            </w:r>
          </w:p>
        </w:tc>
        <w:tc>
          <w:tcPr>
            <w:tcW w:w="856" w:type="dxa"/>
            <w:tcBorders/>
            <w:shd w:fill="FFFFFF" w:val="clear"/>
            <w:vAlign w:val="center"/>
          </w:tcPr>
          <w:p>
            <w:pPr>
              <w:pStyle w:val="TableContents"/>
              <w:spacing w:before="0" w:after="283"/>
              <w:jc w:val="right"/>
              <w:rPr>
                <w:sz w:val="17"/>
              </w:rPr>
            </w:pPr>
            <w:r>
              <w:rPr>
                <w:sz w:val="17"/>
              </w:rPr>
              <w:t>41.25%</w:t>
            </w:r>
          </w:p>
        </w:tc>
        <w:tc>
          <w:tcPr>
            <w:tcW w:w="60" w:type="dxa"/>
            <w:tcBorders/>
            <w:shd w:fill="FFFFFF" w:val="clear"/>
            <w:vAlign w:val="center"/>
          </w:tcPr>
          <w:p>
            <w:pPr>
              <w:pStyle w:val="TableContents"/>
              <w:spacing w:before="0" w:after="283"/>
              <w:jc w:val="left"/>
              <w:rPr/>
            </w:pPr>
            <w:r>
              <w:rPr/>
              <w:t> </w:t>
            </w:r>
          </w:p>
        </w:tc>
        <w:tc>
          <w:tcPr>
            <w:tcW w:w="828" w:type="dxa"/>
            <w:tcBorders/>
            <w:shd w:fill="FFFFFF" w:val="clear"/>
            <w:vAlign w:val="center"/>
          </w:tcPr>
          <w:p>
            <w:pPr>
              <w:pStyle w:val="TableContents"/>
              <w:spacing w:before="0" w:after="283"/>
              <w:jc w:val="right"/>
              <w:rPr>
                <w:sz w:val="17"/>
              </w:rPr>
            </w:pPr>
            <w:r>
              <w:rPr>
                <w:sz w:val="17"/>
              </w:rPr>
              <w:t>35.00%</w:t>
            </w:r>
          </w:p>
        </w:tc>
        <w:tc>
          <w:tcPr>
            <w:tcW w:w="870" w:type="dxa"/>
            <w:tcBorders/>
            <w:shd w:fill="FFFFFF" w:val="clear"/>
            <w:vAlign w:val="center"/>
          </w:tcPr>
          <w:p>
            <w:pPr>
              <w:pStyle w:val="TableContents"/>
              <w:spacing w:before="0" w:after="283"/>
              <w:jc w:val="right"/>
              <w:rPr>
                <w:sz w:val="17"/>
              </w:rPr>
            </w:pPr>
            <w:r>
              <w:rPr>
                <w:sz w:val="17"/>
              </w:rPr>
              <w:t>20.00%</w:t>
            </w:r>
          </w:p>
        </w:tc>
        <w:tc>
          <w:tcPr>
            <w:tcW w:w="856" w:type="dxa"/>
            <w:tcBorders/>
            <w:shd w:fill="FFFFFF" w:val="clear"/>
            <w:vAlign w:val="center"/>
          </w:tcPr>
          <w:p>
            <w:pPr>
              <w:pStyle w:val="TableContents"/>
              <w:spacing w:before="0" w:after="283"/>
              <w:jc w:val="right"/>
              <w:rPr>
                <w:sz w:val="17"/>
              </w:rPr>
            </w:pPr>
            <w:r>
              <w:rPr>
                <w:sz w:val="17"/>
              </w:rPr>
              <w:t>55.00%</w:t>
            </w:r>
          </w:p>
        </w:tc>
        <w:tc>
          <w:tcPr>
            <w:tcW w:w="60" w:type="dxa"/>
            <w:tcBorders/>
            <w:shd w:fill="FFFFFF" w:val="clear"/>
            <w:vAlign w:val="center"/>
          </w:tcPr>
          <w:p>
            <w:pPr>
              <w:pStyle w:val="TableContents"/>
              <w:spacing w:before="0" w:after="283"/>
              <w:jc w:val="left"/>
              <w:rPr/>
            </w:pPr>
            <w:r>
              <w:rPr/>
              <w:t> </w:t>
            </w:r>
          </w:p>
        </w:tc>
        <w:tc>
          <w:tcPr>
            <w:tcW w:w="833" w:type="dxa"/>
            <w:tcBorders/>
            <w:shd w:fill="FFFFFF" w:val="clear"/>
            <w:vAlign w:val="center"/>
          </w:tcPr>
          <w:p>
            <w:pPr>
              <w:pStyle w:val="TableContents"/>
              <w:spacing w:before="0" w:after="283"/>
              <w:jc w:val="right"/>
              <w:rPr>
                <w:sz w:val="17"/>
              </w:rPr>
            </w:pPr>
            <w:r>
              <w:rPr>
                <w:sz w:val="17"/>
              </w:rPr>
              <w:t>70.00%</w:t>
            </w:r>
          </w:p>
        </w:tc>
        <w:tc>
          <w:tcPr>
            <w:tcW w:w="870" w:type="dxa"/>
            <w:tcBorders/>
            <w:shd w:fill="FFFFFF" w:val="clear"/>
            <w:vAlign w:val="center"/>
          </w:tcPr>
          <w:p>
            <w:pPr>
              <w:pStyle w:val="TableContents"/>
              <w:spacing w:before="0" w:after="283"/>
              <w:jc w:val="right"/>
              <w:rPr>
                <w:sz w:val="17"/>
              </w:rPr>
            </w:pPr>
            <w:r>
              <w:rPr>
                <w:sz w:val="17"/>
              </w:rPr>
              <w:t>40.00%</w:t>
            </w:r>
          </w:p>
        </w:tc>
        <w:tc>
          <w:tcPr>
            <w:tcW w:w="883" w:type="dxa"/>
            <w:tcBorders/>
            <w:shd w:fill="FFFFFF" w:val="clear"/>
            <w:vAlign w:val="center"/>
          </w:tcPr>
          <w:p>
            <w:pPr>
              <w:pStyle w:val="TableContents"/>
              <w:spacing w:before="0" w:after="283"/>
              <w:jc w:val="right"/>
              <w:rPr>
                <w:sz w:val="17"/>
              </w:rPr>
            </w:pPr>
            <w:r>
              <w:rPr>
                <w:sz w:val="17"/>
              </w:rPr>
              <w:t>110.00%</w:t>
            </w:r>
          </w:p>
        </w:tc>
      </w:tr>
      <w:tr>
        <w:trPr/>
        <w:tc>
          <w:tcPr>
            <w:tcW w:w="1503" w:type="dxa"/>
            <w:tcBorders/>
            <w:shd w:fill="CCEEFF" w:val="clear"/>
            <w:vAlign w:val="center"/>
          </w:tcPr>
          <w:p>
            <w:pPr>
              <w:pStyle w:val="TableContents"/>
              <w:spacing w:before="0" w:after="283"/>
              <w:jc w:val="left"/>
              <w:rPr>
                <w:sz w:val="17"/>
              </w:rPr>
            </w:pPr>
            <w:r>
              <w:rPr>
                <w:sz w:val="17"/>
              </w:rPr>
              <w:t>Thomas F. Cofsky (3)</w:t>
            </w:r>
          </w:p>
        </w:tc>
        <w:tc>
          <w:tcPr>
            <w:tcW w:w="828" w:type="dxa"/>
            <w:tcBorders/>
            <w:shd w:fill="CCEEFF" w:val="clear"/>
            <w:vAlign w:val="center"/>
          </w:tcPr>
          <w:p>
            <w:pPr>
              <w:pStyle w:val="TableContents"/>
              <w:spacing w:before="0" w:after="283"/>
              <w:jc w:val="right"/>
              <w:rPr>
                <w:sz w:val="17"/>
              </w:rPr>
            </w:pPr>
            <w:r>
              <w:rPr>
                <w:sz w:val="17"/>
              </w:rPr>
              <w:t>10.00%</w:t>
            </w:r>
          </w:p>
        </w:tc>
        <w:tc>
          <w:tcPr>
            <w:tcW w:w="60" w:type="dxa"/>
            <w:tcBorders/>
            <w:shd w:fill="CCEEFF" w:val="clear"/>
            <w:vAlign w:val="center"/>
          </w:tcPr>
          <w:p>
            <w:pPr>
              <w:pStyle w:val="TableContents"/>
              <w:spacing w:before="0" w:after="283"/>
              <w:jc w:val="left"/>
              <w:rPr/>
            </w:pPr>
            <w:r>
              <w:rPr/>
              <w:t> </w:t>
            </w:r>
          </w:p>
        </w:tc>
        <w:tc>
          <w:tcPr>
            <w:tcW w:w="828" w:type="dxa"/>
            <w:tcBorders/>
            <w:shd w:fill="CCEEFF" w:val="clear"/>
            <w:vAlign w:val="center"/>
          </w:tcPr>
          <w:p>
            <w:pPr>
              <w:pStyle w:val="TableContents"/>
              <w:spacing w:before="0" w:after="283"/>
              <w:jc w:val="right"/>
              <w:rPr>
                <w:sz w:val="17"/>
              </w:rPr>
            </w:pPr>
            <w:r>
              <w:rPr>
                <w:sz w:val="17"/>
              </w:rPr>
              <w:t>30.00%</w:t>
            </w:r>
          </w:p>
        </w:tc>
        <w:tc>
          <w:tcPr>
            <w:tcW w:w="870" w:type="dxa"/>
            <w:tcBorders/>
            <w:shd w:fill="CCEEFF" w:val="clear"/>
            <w:vAlign w:val="center"/>
          </w:tcPr>
          <w:p>
            <w:pPr>
              <w:pStyle w:val="TableContents"/>
              <w:spacing w:before="0" w:after="283"/>
              <w:jc w:val="right"/>
              <w:rPr>
                <w:sz w:val="17"/>
              </w:rPr>
            </w:pPr>
            <w:r>
              <w:rPr>
                <w:sz w:val="17"/>
              </w:rPr>
              <w:t>N/A</w:t>
            </w:r>
          </w:p>
        </w:tc>
        <w:tc>
          <w:tcPr>
            <w:tcW w:w="856" w:type="dxa"/>
            <w:tcBorders/>
            <w:shd w:fill="CCEEFF" w:val="clear"/>
            <w:vAlign w:val="center"/>
          </w:tcPr>
          <w:p>
            <w:pPr>
              <w:pStyle w:val="TableContents"/>
              <w:spacing w:before="0" w:after="283"/>
              <w:jc w:val="right"/>
              <w:rPr>
                <w:sz w:val="17"/>
              </w:rPr>
            </w:pPr>
            <w:r>
              <w:rPr>
                <w:sz w:val="17"/>
              </w:rPr>
              <w:t>30.00%</w:t>
            </w:r>
          </w:p>
        </w:tc>
        <w:tc>
          <w:tcPr>
            <w:tcW w:w="60" w:type="dxa"/>
            <w:tcBorders/>
            <w:shd w:fill="CCEEFF" w:val="clear"/>
            <w:vAlign w:val="center"/>
          </w:tcPr>
          <w:p>
            <w:pPr>
              <w:pStyle w:val="TableContents"/>
              <w:spacing w:before="0" w:after="283"/>
              <w:jc w:val="left"/>
              <w:rPr/>
            </w:pPr>
            <w:r>
              <w:rPr/>
              <w:t> </w:t>
            </w:r>
          </w:p>
        </w:tc>
        <w:tc>
          <w:tcPr>
            <w:tcW w:w="828" w:type="dxa"/>
            <w:tcBorders/>
            <w:shd w:fill="CCEEFF" w:val="clear"/>
            <w:vAlign w:val="center"/>
          </w:tcPr>
          <w:p>
            <w:pPr>
              <w:pStyle w:val="TableContents"/>
              <w:spacing w:before="0" w:after="283"/>
              <w:jc w:val="right"/>
              <w:rPr>
                <w:sz w:val="17"/>
              </w:rPr>
            </w:pPr>
            <w:r>
              <w:rPr>
                <w:sz w:val="17"/>
              </w:rPr>
              <w:t>40.00%</w:t>
            </w:r>
          </w:p>
        </w:tc>
        <w:tc>
          <w:tcPr>
            <w:tcW w:w="870" w:type="dxa"/>
            <w:tcBorders/>
            <w:shd w:fill="CCEEFF" w:val="clear"/>
            <w:vAlign w:val="center"/>
          </w:tcPr>
          <w:p>
            <w:pPr>
              <w:pStyle w:val="TableContents"/>
              <w:spacing w:before="0" w:after="283"/>
              <w:jc w:val="right"/>
              <w:rPr>
                <w:sz w:val="17"/>
              </w:rPr>
            </w:pPr>
            <w:r>
              <w:rPr>
                <w:sz w:val="17"/>
              </w:rPr>
              <w:t>N/A</w:t>
            </w:r>
          </w:p>
        </w:tc>
        <w:tc>
          <w:tcPr>
            <w:tcW w:w="856" w:type="dxa"/>
            <w:tcBorders/>
            <w:shd w:fill="CCEEFF" w:val="clear"/>
            <w:vAlign w:val="center"/>
          </w:tcPr>
          <w:p>
            <w:pPr>
              <w:pStyle w:val="TableContents"/>
              <w:spacing w:before="0" w:after="283"/>
              <w:jc w:val="right"/>
              <w:rPr>
                <w:sz w:val="17"/>
              </w:rPr>
            </w:pPr>
            <w:r>
              <w:rPr>
                <w:sz w:val="17"/>
              </w:rPr>
              <w:t>40.00%</w:t>
            </w:r>
          </w:p>
        </w:tc>
        <w:tc>
          <w:tcPr>
            <w:tcW w:w="60" w:type="dxa"/>
            <w:tcBorders/>
            <w:shd w:fill="CCEEFF" w:val="clear"/>
            <w:vAlign w:val="center"/>
          </w:tcPr>
          <w:p>
            <w:pPr>
              <w:pStyle w:val="TableContents"/>
              <w:spacing w:before="0" w:after="283"/>
              <w:jc w:val="left"/>
              <w:rPr/>
            </w:pPr>
            <w:r>
              <w:rPr/>
              <w:t> </w:t>
            </w:r>
          </w:p>
        </w:tc>
        <w:tc>
          <w:tcPr>
            <w:tcW w:w="833" w:type="dxa"/>
            <w:tcBorders/>
            <w:shd w:fill="CCEEFF" w:val="clear"/>
            <w:vAlign w:val="center"/>
          </w:tcPr>
          <w:p>
            <w:pPr>
              <w:pStyle w:val="TableContents"/>
              <w:spacing w:before="0" w:after="283"/>
              <w:jc w:val="right"/>
              <w:rPr>
                <w:sz w:val="17"/>
              </w:rPr>
            </w:pPr>
            <w:r>
              <w:rPr>
                <w:sz w:val="17"/>
              </w:rPr>
              <w:t>80.00%</w:t>
            </w:r>
          </w:p>
        </w:tc>
        <w:tc>
          <w:tcPr>
            <w:tcW w:w="870" w:type="dxa"/>
            <w:tcBorders/>
            <w:shd w:fill="CCEEFF" w:val="clear"/>
            <w:vAlign w:val="center"/>
          </w:tcPr>
          <w:p>
            <w:pPr>
              <w:pStyle w:val="TableContents"/>
              <w:spacing w:before="0" w:after="283"/>
              <w:jc w:val="right"/>
              <w:rPr>
                <w:sz w:val="17"/>
              </w:rPr>
            </w:pPr>
            <w:r>
              <w:rPr>
                <w:sz w:val="17"/>
              </w:rPr>
              <w:t>N/A</w:t>
            </w:r>
          </w:p>
        </w:tc>
        <w:tc>
          <w:tcPr>
            <w:tcW w:w="883" w:type="dxa"/>
            <w:tcBorders/>
            <w:shd w:fill="CCEEFF" w:val="clear"/>
            <w:vAlign w:val="center"/>
          </w:tcPr>
          <w:p>
            <w:pPr>
              <w:pStyle w:val="TableContents"/>
              <w:spacing w:before="0" w:after="283"/>
              <w:jc w:val="right"/>
              <w:rPr>
                <w:sz w:val="17"/>
              </w:rPr>
            </w:pPr>
            <w:r>
              <w:rPr>
                <w:sz w:val="17"/>
              </w:rPr>
              <w:t>80.00%</w:t>
            </w:r>
          </w:p>
        </w:tc>
      </w:tr>
      <w:tr>
        <w:trPr/>
        <w:tc>
          <w:tcPr>
            <w:tcW w:w="1503" w:type="dxa"/>
            <w:tcBorders/>
            <w:shd w:fill="FFFFFF" w:val="clear"/>
            <w:vAlign w:val="center"/>
          </w:tcPr>
          <w:p>
            <w:pPr>
              <w:pStyle w:val="TableContents"/>
              <w:spacing w:before="0" w:after="283"/>
              <w:jc w:val="left"/>
              <w:rPr>
                <w:sz w:val="17"/>
              </w:rPr>
            </w:pPr>
            <w:r>
              <w:rPr>
                <w:sz w:val="17"/>
              </w:rPr>
              <w:t>Mark E. Lewry (4)</w:t>
            </w:r>
          </w:p>
        </w:tc>
        <w:tc>
          <w:tcPr>
            <w:tcW w:w="828" w:type="dxa"/>
            <w:tcBorders/>
            <w:shd w:fill="FFFFFF" w:val="clear"/>
            <w:vAlign w:val="center"/>
          </w:tcPr>
          <w:p>
            <w:pPr>
              <w:pStyle w:val="TableContents"/>
              <w:spacing w:before="0" w:after="283"/>
              <w:jc w:val="right"/>
              <w:rPr>
                <w:sz w:val="17"/>
              </w:rPr>
            </w:pPr>
            <w:r>
              <w:rPr>
                <w:sz w:val="17"/>
              </w:rPr>
              <w:t>10.00%</w:t>
            </w:r>
          </w:p>
        </w:tc>
        <w:tc>
          <w:tcPr>
            <w:tcW w:w="60" w:type="dxa"/>
            <w:tcBorders/>
            <w:shd w:fill="FFFFFF" w:val="clear"/>
            <w:vAlign w:val="center"/>
          </w:tcPr>
          <w:p>
            <w:pPr>
              <w:pStyle w:val="TableContents"/>
              <w:spacing w:before="0" w:after="283"/>
              <w:jc w:val="left"/>
              <w:rPr/>
            </w:pPr>
            <w:r>
              <w:rPr/>
              <w:t> </w:t>
            </w:r>
          </w:p>
        </w:tc>
        <w:tc>
          <w:tcPr>
            <w:tcW w:w="828" w:type="dxa"/>
            <w:tcBorders/>
            <w:shd w:fill="FFFFFF" w:val="clear"/>
            <w:vAlign w:val="center"/>
          </w:tcPr>
          <w:p>
            <w:pPr>
              <w:pStyle w:val="TableContents"/>
              <w:spacing w:before="0" w:after="283"/>
              <w:jc w:val="right"/>
              <w:rPr>
                <w:sz w:val="17"/>
              </w:rPr>
            </w:pPr>
            <w:r>
              <w:rPr>
                <w:sz w:val="17"/>
              </w:rPr>
              <w:t>30.00%</w:t>
            </w:r>
          </w:p>
        </w:tc>
        <w:tc>
          <w:tcPr>
            <w:tcW w:w="870" w:type="dxa"/>
            <w:tcBorders/>
            <w:shd w:fill="FFFFFF" w:val="clear"/>
            <w:vAlign w:val="center"/>
          </w:tcPr>
          <w:p>
            <w:pPr>
              <w:pStyle w:val="TableContents"/>
              <w:spacing w:before="0" w:after="283"/>
              <w:jc w:val="right"/>
              <w:rPr>
                <w:sz w:val="17"/>
              </w:rPr>
            </w:pPr>
            <w:r>
              <w:rPr>
                <w:sz w:val="17"/>
              </w:rPr>
              <w:t>N/A</w:t>
            </w:r>
          </w:p>
        </w:tc>
        <w:tc>
          <w:tcPr>
            <w:tcW w:w="856" w:type="dxa"/>
            <w:tcBorders/>
            <w:shd w:fill="FFFFFF" w:val="clear"/>
            <w:vAlign w:val="center"/>
          </w:tcPr>
          <w:p>
            <w:pPr>
              <w:pStyle w:val="TableContents"/>
              <w:spacing w:before="0" w:after="283"/>
              <w:jc w:val="right"/>
              <w:rPr>
                <w:sz w:val="17"/>
              </w:rPr>
            </w:pPr>
            <w:r>
              <w:rPr>
                <w:sz w:val="17"/>
              </w:rPr>
              <w:t>30.00%</w:t>
            </w:r>
          </w:p>
        </w:tc>
        <w:tc>
          <w:tcPr>
            <w:tcW w:w="60" w:type="dxa"/>
            <w:tcBorders/>
            <w:shd w:fill="FFFFFF" w:val="clear"/>
            <w:vAlign w:val="center"/>
          </w:tcPr>
          <w:p>
            <w:pPr>
              <w:pStyle w:val="TableContents"/>
              <w:spacing w:before="0" w:after="283"/>
              <w:jc w:val="left"/>
              <w:rPr/>
            </w:pPr>
            <w:r>
              <w:rPr/>
              <w:t> </w:t>
            </w:r>
          </w:p>
        </w:tc>
        <w:tc>
          <w:tcPr>
            <w:tcW w:w="828" w:type="dxa"/>
            <w:tcBorders/>
            <w:shd w:fill="FFFFFF" w:val="clear"/>
            <w:vAlign w:val="center"/>
          </w:tcPr>
          <w:p>
            <w:pPr>
              <w:pStyle w:val="TableContents"/>
              <w:spacing w:before="0" w:after="283"/>
              <w:jc w:val="right"/>
              <w:rPr>
                <w:sz w:val="17"/>
              </w:rPr>
            </w:pPr>
            <w:r>
              <w:rPr>
                <w:sz w:val="17"/>
              </w:rPr>
              <w:t>40.00%</w:t>
            </w:r>
          </w:p>
        </w:tc>
        <w:tc>
          <w:tcPr>
            <w:tcW w:w="870" w:type="dxa"/>
            <w:tcBorders/>
            <w:shd w:fill="FFFFFF" w:val="clear"/>
            <w:vAlign w:val="center"/>
          </w:tcPr>
          <w:p>
            <w:pPr>
              <w:pStyle w:val="TableContents"/>
              <w:spacing w:before="0" w:after="283"/>
              <w:jc w:val="right"/>
              <w:rPr>
                <w:sz w:val="17"/>
              </w:rPr>
            </w:pPr>
            <w:r>
              <w:rPr>
                <w:sz w:val="17"/>
              </w:rPr>
              <w:t>N/A</w:t>
            </w:r>
          </w:p>
        </w:tc>
        <w:tc>
          <w:tcPr>
            <w:tcW w:w="856" w:type="dxa"/>
            <w:tcBorders/>
            <w:shd w:fill="FFFFFF" w:val="clear"/>
            <w:vAlign w:val="center"/>
          </w:tcPr>
          <w:p>
            <w:pPr>
              <w:pStyle w:val="TableContents"/>
              <w:spacing w:before="0" w:after="283"/>
              <w:jc w:val="right"/>
              <w:rPr>
                <w:sz w:val="17"/>
              </w:rPr>
            </w:pPr>
            <w:r>
              <w:rPr>
                <w:sz w:val="17"/>
              </w:rPr>
              <w:t>40.00%</w:t>
            </w:r>
          </w:p>
        </w:tc>
        <w:tc>
          <w:tcPr>
            <w:tcW w:w="60" w:type="dxa"/>
            <w:tcBorders/>
            <w:shd w:fill="FFFFFF" w:val="clear"/>
            <w:vAlign w:val="center"/>
          </w:tcPr>
          <w:p>
            <w:pPr>
              <w:pStyle w:val="TableContents"/>
              <w:spacing w:before="0" w:after="283"/>
              <w:jc w:val="left"/>
              <w:rPr/>
            </w:pPr>
            <w:r>
              <w:rPr/>
              <w:t> </w:t>
            </w:r>
          </w:p>
        </w:tc>
        <w:tc>
          <w:tcPr>
            <w:tcW w:w="833" w:type="dxa"/>
            <w:tcBorders/>
            <w:shd w:fill="FFFFFF" w:val="clear"/>
            <w:vAlign w:val="center"/>
          </w:tcPr>
          <w:p>
            <w:pPr>
              <w:pStyle w:val="TableContents"/>
              <w:spacing w:before="0" w:after="283"/>
              <w:jc w:val="right"/>
              <w:rPr>
                <w:sz w:val="17"/>
              </w:rPr>
            </w:pPr>
            <w:r>
              <w:rPr>
                <w:sz w:val="17"/>
              </w:rPr>
              <w:t>80.00%</w:t>
            </w:r>
          </w:p>
        </w:tc>
        <w:tc>
          <w:tcPr>
            <w:tcW w:w="870" w:type="dxa"/>
            <w:tcBorders/>
            <w:shd w:fill="FFFFFF" w:val="clear"/>
            <w:vAlign w:val="center"/>
          </w:tcPr>
          <w:p>
            <w:pPr>
              <w:pStyle w:val="TableContents"/>
              <w:spacing w:before="0" w:after="283"/>
              <w:jc w:val="right"/>
              <w:rPr>
                <w:sz w:val="17"/>
              </w:rPr>
            </w:pPr>
            <w:r>
              <w:rPr>
                <w:sz w:val="17"/>
              </w:rPr>
              <w:t>N/A</w:t>
            </w:r>
          </w:p>
        </w:tc>
        <w:tc>
          <w:tcPr>
            <w:tcW w:w="883" w:type="dxa"/>
            <w:tcBorders/>
            <w:shd w:fill="FFFFFF" w:val="clear"/>
            <w:vAlign w:val="center"/>
          </w:tcPr>
          <w:p>
            <w:pPr>
              <w:pStyle w:val="TableContents"/>
              <w:spacing w:before="0" w:after="283"/>
              <w:jc w:val="right"/>
              <w:rPr>
                <w:sz w:val="17"/>
              </w:rPr>
            </w:pPr>
            <w:r>
              <w:rPr>
                <w:sz w:val="17"/>
              </w:rPr>
              <w:t>80.00%</w:t>
            </w:r>
          </w:p>
        </w:tc>
      </w:tr>
      <w:tr>
        <w:trPr/>
        <w:tc>
          <w:tcPr>
            <w:tcW w:w="1503" w:type="dxa"/>
            <w:tcBorders/>
            <w:shd w:fill="CCEEFF" w:val="clear"/>
            <w:vAlign w:val="center"/>
          </w:tcPr>
          <w:p>
            <w:pPr>
              <w:pStyle w:val="TableContents"/>
              <w:spacing w:before="0" w:after="283"/>
              <w:jc w:val="left"/>
              <w:rPr>
                <w:sz w:val="17"/>
              </w:rPr>
            </w:pPr>
            <w:r>
              <w:rPr>
                <w:sz w:val="17"/>
              </w:rPr>
              <w:t>Paul D. Ziemnisky Jr.</w:t>
            </w:r>
          </w:p>
        </w:tc>
        <w:tc>
          <w:tcPr>
            <w:tcW w:w="828" w:type="dxa"/>
            <w:tcBorders/>
            <w:shd w:fill="CCEEFF" w:val="clear"/>
            <w:vAlign w:val="center"/>
          </w:tcPr>
          <w:p>
            <w:pPr>
              <w:pStyle w:val="TableContents"/>
              <w:spacing w:before="0" w:after="283"/>
              <w:jc w:val="right"/>
              <w:rPr>
                <w:sz w:val="17"/>
              </w:rPr>
            </w:pPr>
            <w:r>
              <w:rPr>
                <w:sz w:val="17"/>
              </w:rPr>
              <w:t>8.75%</w:t>
            </w:r>
          </w:p>
        </w:tc>
        <w:tc>
          <w:tcPr>
            <w:tcW w:w="60" w:type="dxa"/>
            <w:tcBorders/>
            <w:shd w:fill="CCEEFF" w:val="clear"/>
            <w:vAlign w:val="center"/>
          </w:tcPr>
          <w:p>
            <w:pPr>
              <w:pStyle w:val="TableContents"/>
              <w:spacing w:before="0" w:after="283"/>
              <w:jc w:val="left"/>
              <w:rPr/>
            </w:pPr>
            <w:r>
              <w:rPr/>
              <w:t> </w:t>
            </w:r>
          </w:p>
        </w:tc>
        <w:tc>
          <w:tcPr>
            <w:tcW w:w="828" w:type="dxa"/>
            <w:tcBorders/>
            <w:shd w:fill="CCEEFF" w:val="clear"/>
            <w:vAlign w:val="center"/>
          </w:tcPr>
          <w:p>
            <w:pPr>
              <w:pStyle w:val="TableContents"/>
              <w:spacing w:before="0" w:after="283"/>
              <w:jc w:val="right"/>
              <w:rPr>
                <w:sz w:val="17"/>
              </w:rPr>
            </w:pPr>
            <w:r>
              <w:rPr>
                <w:sz w:val="17"/>
              </w:rPr>
              <w:t>26.25%</w:t>
            </w:r>
          </w:p>
        </w:tc>
        <w:tc>
          <w:tcPr>
            <w:tcW w:w="870" w:type="dxa"/>
            <w:tcBorders/>
            <w:shd w:fill="CCEEFF" w:val="clear"/>
            <w:vAlign w:val="center"/>
          </w:tcPr>
          <w:p>
            <w:pPr>
              <w:pStyle w:val="TableContents"/>
              <w:spacing w:before="0" w:after="283"/>
              <w:jc w:val="right"/>
              <w:rPr>
                <w:sz w:val="17"/>
              </w:rPr>
            </w:pPr>
            <w:r>
              <w:rPr>
                <w:sz w:val="17"/>
              </w:rPr>
              <w:t>11.25%</w:t>
            </w:r>
          </w:p>
        </w:tc>
        <w:tc>
          <w:tcPr>
            <w:tcW w:w="856" w:type="dxa"/>
            <w:tcBorders/>
            <w:shd w:fill="CCEEFF" w:val="clear"/>
            <w:vAlign w:val="center"/>
          </w:tcPr>
          <w:p>
            <w:pPr>
              <w:pStyle w:val="TableContents"/>
              <w:spacing w:before="0" w:after="283"/>
              <w:jc w:val="right"/>
              <w:rPr>
                <w:sz w:val="17"/>
              </w:rPr>
            </w:pPr>
            <w:r>
              <w:rPr>
                <w:sz w:val="17"/>
              </w:rPr>
              <w:t>37.50%</w:t>
            </w:r>
          </w:p>
        </w:tc>
        <w:tc>
          <w:tcPr>
            <w:tcW w:w="60" w:type="dxa"/>
            <w:tcBorders/>
            <w:shd w:fill="CCEEFF" w:val="clear"/>
            <w:vAlign w:val="center"/>
          </w:tcPr>
          <w:p>
            <w:pPr>
              <w:pStyle w:val="TableContents"/>
              <w:spacing w:before="0" w:after="283"/>
              <w:jc w:val="left"/>
              <w:rPr/>
            </w:pPr>
            <w:r>
              <w:rPr/>
              <w:t> </w:t>
            </w:r>
          </w:p>
        </w:tc>
        <w:tc>
          <w:tcPr>
            <w:tcW w:w="828" w:type="dxa"/>
            <w:tcBorders/>
            <w:shd w:fill="CCEEFF" w:val="clear"/>
            <w:vAlign w:val="center"/>
          </w:tcPr>
          <w:p>
            <w:pPr>
              <w:pStyle w:val="TableContents"/>
              <w:spacing w:before="0" w:after="283"/>
              <w:jc w:val="right"/>
              <w:rPr>
                <w:sz w:val="17"/>
              </w:rPr>
            </w:pPr>
            <w:r>
              <w:rPr>
                <w:sz w:val="17"/>
              </w:rPr>
              <w:t>35.00%</w:t>
            </w:r>
          </w:p>
        </w:tc>
        <w:tc>
          <w:tcPr>
            <w:tcW w:w="870" w:type="dxa"/>
            <w:tcBorders/>
            <w:shd w:fill="CCEEFF" w:val="clear"/>
            <w:vAlign w:val="center"/>
          </w:tcPr>
          <w:p>
            <w:pPr>
              <w:pStyle w:val="TableContents"/>
              <w:spacing w:before="0" w:after="283"/>
              <w:jc w:val="right"/>
              <w:rPr>
                <w:sz w:val="17"/>
              </w:rPr>
            </w:pPr>
            <w:r>
              <w:rPr>
                <w:sz w:val="17"/>
              </w:rPr>
              <w:t>15.00%</w:t>
            </w:r>
          </w:p>
        </w:tc>
        <w:tc>
          <w:tcPr>
            <w:tcW w:w="856" w:type="dxa"/>
            <w:tcBorders/>
            <w:shd w:fill="CCEEFF" w:val="clear"/>
            <w:vAlign w:val="center"/>
          </w:tcPr>
          <w:p>
            <w:pPr>
              <w:pStyle w:val="TableContents"/>
              <w:spacing w:before="0" w:after="283"/>
              <w:jc w:val="right"/>
              <w:rPr>
                <w:sz w:val="17"/>
              </w:rPr>
            </w:pPr>
            <w:r>
              <w:rPr>
                <w:sz w:val="17"/>
              </w:rPr>
              <w:t>50.00%</w:t>
            </w:r>
          </w:p>
        </w:tc>
        <w:tc>
          <w:tcPr>
            <w:tcW w:w="60" w:type="dxa"/>
            <w:tcBorders/>
            <w:shd w:fill="CCEEFF" w:val="clear"/>
            <w:vAlign w:val="center"/>
          </w:tcPr>
          <w:p>
            <w:pPr>
              <w:pStyle w:val="TableContents"/>
              <w:spacing w:before="0" w:after="283"/>
              <w:jc w:val="left"/>
              <w:rPr/>
            </w:pPr>
            <w:r>
              <w:rPr/>
              <w:t> </w:t>
            </w:r>
          </w:p>
        </w:tc>
        <w:tc>
          <w:tcPr>
            <w:tcW w:w="833" w:type="dxa"/>
            <w:tcBorders/>
            <w:shd w:fill="CCEEFF" w:val="clear"/>
            <w:vAlign w:val="center"/>
          </w:tcPr>
          <w:p>
            <w:pPr>
              <w:pStyle w:val="TableContents"/>
              <w:spacing w:before="0" w:after="283"/>
              <w:jc w:val="right"/>
              <w:rPr>
                <w:sz w:val="17"/>
              </w:rPr>
            </w:pPr>
            <w:r>
              <w:rPr>
                <w:sz w:val="17"/>
              </w:rPr>
              <w:t>70.00%</w:t>
            </w:r>
          </w:p>
        </w:tc>
        <w:tc>
          <w:tcPr>
            <w:tcW w:w="870" w:type="dxa"/>
            <w:tcBorders/>
            <w:shd w:fill="CCEEFF" w:val="clear"/>
            <w:vAlign w:val="center"/>
          </w:tcPr>
          <w:p>
            <w:pPr>
              <w:pStyle w:val="TableContents"/>
              <w:spacing w:before="0" w:after="283"/>
              <w:jc w:val="right"/>
              <w:rPr>
                <w:sz w:val="17"/>
              </w:rPr>
            </w:pPr>
            <w:r>
              <w:rPr>
                <w:sz w:val="17"/>
              </w:rPr>
              <w:t>30.00%</w:t>
            </w:r>
          </w:p>
        </w:tc>
        <w:tc>
          <w:tcPr>
            <w:tcW w:w="883" w:type="dxa"/>
            <w:tcBorders/>
            <w:shd w:fill="CCEEFF" w:val="clear"/>
            <w:vAlign w:val="center"/>
          </w:tcPr>
          <w:p>
            <w:pPr>
              <w:pStyle w:val="TableContents"/>
              <w:spacing w:before="0" w:after="283"/>
              <w:jc w:val="right"/>
              <w:rPr>
                <w:sz w:val="17"/>
              </w:rPr>
            </w:pPr>
            <w:r>
              <w:rPr>
                <w:sz w:val="17"/>
              </w:rPr>
              <w:t>100.00%</w:t>
            </w:r>
          </w:p>
        </w:tc>
      </w:tr>
    </w:tbl>
    <w:p>
      <w:pPr>
        <w:pStyle w:val="TextBody"/>
        <w:spacing w:before="200" w:after="100"/>
        <w:ind w:left="200" w:right="20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(1)               </w:t>
      </w:r>
      <w:r>
        <w:rPr>
          <w:rFonts w:ascii="Times New Roman;Times;Serif" w:hAnsi="Times New Roman;Times;Serif"/>
          <w:b w:val="false"/>
          <w:i w:val="false"/>
          <w:caps w:val="false"/>
          <w:smallCaps w:val="false"/>
          <w:sz w:val="17"/>
        </w:rPr>
        <w:t>The threshold for payment of a cash bonus was adjusted pre-tax, pre-bonus income corresponding to the achievement of 84% of our fiscal 2014 annual incentive plan. That achievement level would result in payment of 25% of target cash bonus. No executive deferred bonus would be awarded at that level of performance.</w:t>
      </w:r>
    </w:p>
    <w:p>
      <w:pPr>
        <w:pStyle w:val="TextBody"/>
        <w:spacing w:before="0" w:after="20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(2)               </w:t>
      </w:r>
      <w:r>
        <w:rPr>
          <w:rFonts w:ascii="Times New Roman;Times;Serif" w:hAnsi="Times New Roman;Times;Serif"/>
          <w:b w:val="false"/>
          <w:i w:val="false"/>
          <w:caps w:val="false"/>
          <w:smallCaps w:val="false"/>
          <w:sz w:val="17"/>
        </w:rPr>
        <w:t>The threshold for earning of an executive deferred bonus award was adjusted pre-tax, pre-bonus income corresponding to the achievement of 95% of our fiscal 2014 annual incentive plan. That achievement level would result in an award of 75% of target bonus for both cash and executive deferred bonuses.</w:t>
      </w:r>
    </w:p>
    <w:p>
      <w:pPr>
        <w:pStyle w:val="TextBody"/>
        <w:spacing w:before="0" w:after="20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(3)               </w:t>
      </w:r>
      <w:r>
        <w:rPr>
          <w:rFonts w:ascii="Times New Roman;Times;Serif" w:hAnsi="Times New Roman;Times;Serif"/>
          <w:b w:val="false"/>
          <w:i w:val="false"/>
          <w:caps w:val="false"/>
          <w:smallCaps w:val="false"/>
          <w:sz w:val="17"/>
        </w:rPr>
        <w:t>At the request of each of Messrs. Jaffee and Cofsky, neither was eligible for an executive deferred bonus award for fiscal 2014.</w:t>
      </w:r>
    </w:p>
    <w:p>
      <w:pPr>
        <w:pStyle w:val="TextBody"/>
        <w:spacing w:before="0" w:after="20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(4)               </w:t>
      </w:r>
      <w:r>
        <w:rPr>
          <w:rFonts w:ascii="Times New Roman;Times;Serif" w:hAnsi="Times New Roman;Times;Serif"/>
          <w:b w:val="false"/>
          <w:i w:val="false"/>
          <w:caps w:val="false"/>
          <w:smallCaps w:val="false"/>
          <w:sz w:val="17"/>
        </w:rPr>
        <w:t>Mr. Lewry became eligible for an executive deferred bonus effective August 1, 2014.</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2014 corporate financial performance did not meet the threshold for payment of a performance-based cash incentive award. Therefore, our adjusted, pre-tax, pre-bonus income resulted in no cash incentive bonuses being paid to eligible exempt employees, including our executive officers. However, as described above, for fiscal 2014, our CEO used the discretionary authority granted to him under our annual incentive plan to pay a bonus of approximately 25% of the total dollar amount of the overall target bonus pool for all employees. Similarly, at its September 18, 2014 meeting, our Compensation Committee set the cash incentive bonus paid to our CEO to $2,000. In addition, our fiscal 2014 corporate financial performance did not meet the threshold level for earning executive deferred bonus awards.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cash and executive deferred bonus awards are shown in the Summary Compensation Table in the column captioned “Non-Equity Incentive Plan Compensation.”</w:t>
      </w:r>
    </w:p>
    <w:p>
      <w:pPr>
        <w:pStyle w:val="TextBody"/>
        <w:spacing w:before="0" w:after="1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discretionary authority of our CEO described above to adjust the performance measures, targets and payout ranges for our employees generally, our CEO may also exercise discretion in determining the incentive bonus to be paid under the annual incentive plan to any employee, including our executive officers (except himself), by:</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100"/>
        <w:ind w:left="0" w:right="0" w:firstLine="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Increasing or decreasing any participant’s percent of corporate financial performance bonus earned by up to 25 percentage points, subject to limitations specified in the annual incentive plan. For example, if according to the corporate financial performance measure 75% of the corporate financial performance bonus has been earned, our CEO may adjust an individual participant’s percent of corporate financial performance bonus earned to as little as 50% or as much as 100%.</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Adjusting individual executive deferred bonus awards downward or upward, based on the participant’s individual performance and/or the performance of the participant’s department or division.</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 xml:space="preserve">Awarding a bonus under the annual incentive plan of up to 25% of the total dollar amount of the overall target bonus pool for all exempt employees (and up to 100% of the total dollar amount of the overall target bonus pool for all non-exempt employees) if the Company fails to achieve the minimum performance otherwise required for payment of an award. </w:t>
            </w:r>
          </w:p>
        </w:tc>
      </w:tr>
    </w:tbl>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September 18, 2014 meeting, our Compensation Committee also reviewed the annual incentive plan performance measure and targets suggested by our CEO for the fiscal year beginning August 1, 2014 (“fiscal 2015”). The performance measure continues to be corporate financial performance as measured by achievement of target pre-tax, pre-bonus income as specified in the fiscal 2015 annual incentive plan. Annual incentive plan target pre-tax, pre-bonus income for fiscal 2015 will be determined by adjusting pre-tax income as shown in our fiscal 2015 audited consolidated financial statements in the same manner as described above for fiscal 2014.</w:t>
      </w:r>
    </w:p>
    <w:p>
      <w:pPr>
        <w:pStyle w:val="TextBody"/>
        <w:spacing w:before="0" w:after="1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Retirement Benefits:</w:t>
      </w:r>
      <w:r>
        <w:rPr>
          <w:rFonts w:ascii="Times New Roman;Times;Serif" w:hAnsi="Times New Roman;Times;Serif"/>
          <w:b w:val="false"/>
          <w:i w:val="false"/>
          <w:caps w:val="false"/>
          <w:smallCaps w:val="false"/>
          <w:sz w:val="20"/>
        </w:rPr>
        <w:t xml:space="preserve"> We seek to retain highly qualified executives, including our executive officers, and reward them for their service, by providing the following retirement benefit plans:</w:t>
      </w:r>
    </w:p>
    <w:tbl>
      <w:tblPr>
        <w:tblW w:w="5000" w:type="pct"/>
        <w:jc w:val="left"/>
        <w:tblInd w:w="0" w:type="dxa"/>
        <w:tblCellMar>
          <w:top w:w="0" w:type="dxa"/>
          <w:left w:w="0" w:type="dxa"/>
          <w:bottom w:w="0" w:type="dxa"/>
          <w:right w:w="0" w:type="dxa"/>
        </w:tblCellMar>
      </w:tblPr>
      <w:tblGrid>
        <w:gridCol w:w="174"/>
        <w:gridCol w:w="436"/>
        <w:gridCol w:w="9595"/>
      </w:tblGrid>
      <w:tr>
        <w:trPr/>
        <w:tc>
          <w:tcPr>
            <w:tcW w:w="17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9595" w:type="dxa"/>
            <w:tcBorders/>
            <w:shd w:fill="auto" w:val="clear"/>
            <w:vAlign w:val="center"/>
          </w:tcPr>
          <w:p>
            <w:pPr>
              <w:pStyle w:val="TableContents"/>
              <w:spacing w:before="0" w:after="283"/>
              <w:jc w:val="both"/>
              <w:rPr>
                <w:sz w:val="17"/>
              </w:rPr>
            </w:pPr>
            <w:r>
              <w:rPr>
                <w:sz w:val="17"/>
              </w:rPr>
              <w:t>Defined benefit pension plan;</w:t>
            </w:r>
          </w:p>
        </w:tc>
      </w:tr>
    </w:tbl>
    <w:tbl>
      <w:tblPr>
        <w:tblW w:w="5000" w:type="pct"/>
        <w:jc w:val="left"/>
        <w:tblInd w:w="0" w:type="dxa"/>
        <w:tblCellMar>
          <w:top w:w="0" w:type="dxa"/>
          <w:left w:w="0" w:type="dxa"/>
          <w:bottom w:w="0" w:type="dxa"/>
          <w:right w:w="0" w:type="dxa"/>
        </w:tblCellMar>
      </w:tblPr>
      <w:tblGrid>
        <w:gridCol w:w="105"/>
        <w:gridCol w:w="265"/>
        <w:gridCol w:w="9835"/>
      </w:tblGrid>
      <w:tr>
        <w:trPr/>
        <w:tc>
          <w:tcPr>
            <w:tcW w:w="10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9835" w:type="dxa"/>
            <w:tcBorders/>
            <w:shd w:fill="auto" w:val="clear"/>
            <w:vAlign w:val="center"/>
          </w:tcPr>
          <w:p>
            <w:pPr>
              <w:pStyle w:val="TableContents"/>
              <w:spacing w:before="0" w:after="283"/>
              <w:jc w:val="both"/>
              <w:rPr>
                <w:sz w:val="17"/>
              </w:rPr>
            </w:pPr>
            <w:r>
              <w:rPr>
                <w:sz w:val="17"/>
              </w:rPr>
              <w:t>Supplemental executive retirement plan (“SERP”);</w:t>
            </w:r>
          </w:p>
        </w:tc>
      </w:tr>
    </w:tbl>
    <w:tbl>
      <w:tblPr>
        <w:tblW w:w="5000" w:type="pct"/>
        <w:jc w:val="left"/>
        <w:tblInd w:w="0" w:type="dxa"/>
        <w:tblCellMar>
          <w:top w:w="0" w:type="dxa"/>
          <w:left w:w="0" w:type="dxa"/>
          <w:bottom w:w="0" w:type="dxa"/>
          <w:right w:w="0" w:type="dxa"/>
        </w:tblCellMar>
      </w:tblPr>
      <w:tblGrid>
        <w:gridCol w:w="126"/>
        <w:gridCol w:w="317"/>
        <w:gridCol w:w="9762"/>
      </w:tblGrid>
      <w:tr>
        <w:trPr/>
        <w:tc>
          <w:tcPr>
            <w:tcW w:w="12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9762" w:type="dxa"/>
            <w:tcBorders/>
            <w:shd w:fill="auto" w:val="clear"/>
            <w:vAlign w:val="center"/>
          </w:tcPr>
          <w:p>
            <w:pPr>
              <w:pStyle w:val="TableContents"/>
              <w:spacing w:before="0" w:after="283"/>
              <w:jc w:val="both"/>
              <w:rPr>
                <w:sz w:val="17"/>
              </w:rPr>
            </w:pPr>
            <w:r>
              <w:rPr>
                <w:sz w:val="17"/>
              </w:rPr>
              <w:t>Defined contribution retirement plan; and</w:t>
            </w:r>
          </w:p>
        </w:tc>
      </w:tr>
    </w:tbl>
    <w:tbl>
      <w:tblPr>
        <w:tblW w:w="5000" w:type="pct"/>
        <w:jc w:val="left"/>
        <w:tblInd w:w="0" w:type="dxa"/>
        <w:tblCellMar>
          <w:top w:w="0" w:type="dxa"/>
          <w:left w:w="0" w:type="dxa"/>
          <w:bottom w:w="0" w:type="dxa"/>
          <w:right w:w="0" w:type="dxa"/>
        </w:tblCellMar>
      </w:tblPr>
      <w:tblGrid>
        <w:gridCol w:w="134"/>
        <w:gridCol w:w="336"/>
        <w:gridCol w:w="9735"/>
      </w:tblGrid>
      <w:tr>
        <w:trPr/>
        <w:tc>
          <w:tcPr>
            <w:tcW w:w="1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9735" w:type="dxa"/>
            <w:tcBorders/>
            <w:shd w:fill="auto" w:val="clear"/>
            <w:vAlign w:val="center"/>
          </w:tcPr>
          <w:p>
            <w:pPr>
              <w:pStyle w:val="TableContents"/>
              <w:spacing w:before="0" w:after="283"/>
              <w:jc w:val="both"/>
              <w:rPr>
                <w:sz w:val="17"/>
              </w:rPr>
            </w:pPr>
            <w:r>
              <w:rPr>
                <w:sz w:val="17"/>
              </w:rPr>
              <w:t>Executive deferred compensation plan.</w:t>
            </w:r>
          </w:p>
        </w:tc>
      </w:tr>
    </w:tbl>
    <w:p>
      <w:pPr>
        <w:pStyle w:val="TextBody"/>
        <w:spacing w:before="0" w:after="1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benefits under these plans are funded by a combination of employer and employee contributions as described below, thus encouraging employees to take an active part in saving for their own retirement years.</w:t>
      </w:r>
    </w:p>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b/>
                <w:sz w:val="17"/>
              </w:rPr>
              <w:t>Defined benefit pension plan:</w:t>
            </w:r>
            <w:r>
              <w:rPr>
                <w:sz w:val="17"/>
              </w:rPr>
              <w:t xml:space="preserve"> All U.S.-based employees participate in our Company-funded defined benefit pension plan. For salaried employees, the pension plan provides for pension benefits based on credited years of service and certain cash compensation (principally, base salary and commissions) earned during the highest paid consecutive five years during the last 10 years of employment. Our hourly-paid manufacturing employees also participate, but with a different pension benefit formula.</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b/>
                <w:sz w:val="17"/>
              </w:rPr>
              <w:t>SERP:</w:t>
            </w:r>
            <w:r>
              <w:rPr>
                <w:sz w:val="17"/>
              </w:rPr>
              <w:t xml:space="preserve"> Our SERP provides benefits that would have been provided under our pension plan absent the Internal Revenue Code of 1986, as amended (the “Code”), limitations on benefits and on compensation for purposes of calculating benefits, offset by the actual pension benefits. Benefits under the SERP will be paid from our general assets. All employees whose pension plan benefits are limited by the Code will participate in the SERP. Currently, our CEO is the only participant.</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b/>
                <w:sz w:val="17"/>
              </w:rPr>
              <w:t>Defined contribution retirement plan:</w:t>
            </w:r>
            <w:r>
              <w:rPr>
                <w:sz w:val="17"/>
              </w:rPr>
              <w:t xml:space="preserve"> All U.S.-based employees are eligible to participate in our 401(k) retirement savings plan. Employees may contribute from 2% to 50% of eligible compensation on a tax-deferred basis, subject to Code limits. We make a matching contribution of $0.50 for each $1.00 of the first 4% of compensation that employees contribute. For employees that were hired prior to May 1, 2012, our matching contribution is immediately vested. For employees that were hired on or after May 1, 2012, the Company’s matching contribution vests in accordance with the following schedule:</w:t>
            </w:r>
          </w:p>
        </w:tc>
      </w:tr>
    </w:tbl>
    <w:p>
      <w:pPr>
        <w:pStyle w:val="TextBody"/>
        <w:spacing w:before="0" w:after="20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tbl>
      <w:tblPr>
        <w:tblW w:w="3925" w:type="dxa"/>
        <w:jc w:val="left"/>
        <w:tblInd w:w="0" w:type="dxa"/>
        <w:tblCellMar>
          <w:top w:w="0" w:type="dxa"/>
          <w:left w:w="0" w:type="dxa"/>
          <w:bottom w:w="0" w:type="dxa"/>
          <w:right w:w="0" w:type="dxa"/>
        </w:tblCellMar>
      </w:tblPr>
      <w:tblGrid>
        <w:gridCol w:w="1475"/>
        <w:gridCol w:w="2450"/>
      </w:tblGrid>
      <w:tr>
        <w:trPr/>
        <w:tc>
          <w:tcPr>
            <w:tcW w:w="1475" w:type="dxa"/>
            <w:tcBorders/>
            <w:shd w:fill="auto" w:val="clear"/>
            <w:vAlign w:val="center"/>
          </w:tcPr>
          <w:p>
            <w:pPr>
              <w:pStyle w:val="TableContents"/>
              <w:ind w:left="0" w:right="0" w:firstLine="120"/>
              <w:jc w:val="center"/>
              <w:rPr>
                <w:caps w:val="false"/>
                <w:smallCaps w:val="false"/>
              </w:rPr>
            </w:pPr>
            <w:r>
              <w:rPr>
                <w:caps w:val="false"/>
                <w:smallCaps w:val="false"/>
              </w:rPr>
              <w:t> </w:t>
            </w:r>
          </w:p>
          <w:p>
            <w:pPr>
              <w:pStyle w:val="TableContents"/>
              <w:spacing w:before="0" w:after="240"/>
              <w:ind w:left="0" w:right="0" w:firstLine="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w:t>
              <w:br/>
            </w:r>
            <w:r>
              <w:rPr>
                <w:rFonts w:ascii="Times New Roman;Times;Serif" w:hAnsi="Times New Roman;Times;Serif"/>
                <w:b w:val="false"/>
                <w:i w:val="false"/>
                <w:caps w:val="false"/>
                <w:smallCaps w:val="false"/>
                <w:sz w:val="20"/>
                <w:u w:val="single"/>
              </w:rPr>
              <w:t>of Service</w:t>
            </w:r>
          </w:p>
        </w:tc>
        <w:tc>
          <w:tcPr>
            <w:tcW w:w="2450" w:type="dxa"/>
            <w:tcBorders/>
            <w:shd w:fill="auto" w:val="clear"/>
            <w:vAlign w:val="center"/>
          </w:tcPr>
          <w:p>
            <w:pPr>
              <w:pStyle w:val="TableContents"/>
              <w:spacing w:before="0" w:after="283"/>
              <w:ind w:left="0" w:right="0" w:firstLine="120"/>
              <w:jc w:val="center"/>
              <w:rPr/>
            </w:pPr>
            <w:r>
              <w:rPr/>
              <w:br/>
            </w:r>
            <w:r>
              <w:rPr>
                <w:sz w:val="17"/>
              </w:rPr>
              <w:t>Vested Percentage of Company’s</w:t>
            </w:r>
            <w:r>
              <w:rPr/>
              <w:br/>
            </w:r>
            <w:r>
              <w:rPr>
                <w:sz w:val="17"/>
                <w:u w:val="single"/>
              </w:rPr>
              <w:t>Matching Contribution</w:t>
            </w:r>
          </w:p>
        </w:tc>
      </w:tr>
      <w:tr>
        <w:trPr/>
        <w:tc>
          <w:tcPr>
            <w:tcW w:w="1475" w:type="dxa"/>
            <w:tcBorders/>
            <w:shd w:fill="auto" w:val="clear"/>
            <w:vAlign w:val="center"/>
          </w:tcPr>
          <w:p>
            <w:pPr>
              <w:pStyle w:val="TableContents"/>
              <w:ind w:left="0" w:right="0" w:firstLine="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but less than 2</w:t>
            </w:r>
          </w:p>
          <w:p>
            <w:pPr>
              <w:pStyle w:val="TableContents"/>
              <w:ind w:left="0" w:right="0" w:firstLine="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but less than 3</w:t>
            </w:r>
          </w:p>
          <w:p>
            <w:pPr>
              <w:pStyle w:val="TableContents"/>
              <w:ind w:left="0" w:right="0" w:firstLine="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but less than 4</w:t>
            </w:r>
          </w:p>
          <w:p>
            <w:pPr>
              <w:pStyle w:val="TableContents"/>
              <w:ind w:left="0" w:right="0" w:firstLine="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but less than 5</w:t>
            </w:r>
          </w:p>
          <w:p>
            <w:pPr>
              <w:pStyle w:val="TableContents"/>
              <w:spacing w:before="0" w:after="283"/>
              <w:ind w:left="0" w:right="0" w:firstLine="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or more</w:t>
            </w:r>
          </w:p>
        </w:tc>
        <w:tc>
          <w:tcPr>
            <w:tcW w:w="2450" w:type="dxa"/>
            <w:tcBorders/>
            <w:shd w:fill="auto" w:val="clear"/>
            <w:vAlign w:val="center"/>
          </w:tcPr>
          <w:p>
            <w:pPr>
              <w:pStyle w:val="TableContents"/>
              <w:ind w:left="0" w:right="0" w:firstLine="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p>
            <w:pPr>
              <w:pStyle w:val="TableContents"/>
              <w:ind w:left="0" w:right="0" w:firstLine="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p>
            <w:pPr>
              <w:pStyle w:val="TableContents"/>
              <w:ind w:left="0" w:right="0" w:firstLine="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p>
            <w:pPr>
              <w:pStyle w:val="TableContents"/>
              <w:ind w:left="0" w:right="0" w:firstLine="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p>
            <w:pPr>
              <w:pStyle w:val="TableContents"/>
              <w:spacing w:before="0" w:after="240"/>
              <w:ind w:left="0" w:right="0" w:firstLine="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bl>
    <w:p>
      <w:pPr>
        <w:pStyle w:val="TextBody"/>
        <w:spacing w:before="0" w:after="100"/>
        <w:ind w:left="1080" w:right="0" w:hanging="0"/>
        <w:jc w:val="both"/>
        <w:rPr>
          <w:caps w:val="false"/>
          <w:smallCaps w:val="false"/>
        </w:rPr>
      </w:pPr>
      <w:r>
        <w:rPr>
          <w:caps w:val="false"/>
          <w:smallCaps w:val="false"/>
        </w:rPr>
        <w:t> </w:t>
      </w:r>
    </w:p>
    <w:p>
      <w:pPr>
        <w:pStyle w:val="TextBody"/>
        <w:spacing w:before="0" w:after="10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employee is subject to the above vesting schedule and retires on or after such employee’s 65th birthday, the unvested portion, if any, of the Company’s matching contribution becomes vested.</w:t>
      </w:r>
    </w:p>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b/>
                <w:sz w:val="17"/>
              </w:rPr>
              <w:t>Executive deferred compensation plan:</w:t>
            </w:r>
            <w:r>
              <w:rPr>
                <w:sz w:val="17"/>
              </w:rPr>
              <w:t xml:space="preserve"> We provide an executive deferred compensation plan to assist executives and non-employee directors in saving for retirement or other financial needs. All executive officers are eligible to participate in this plan. Participating executives may defer up to 50% of base salary and 100% of annual incentive bonus into the plan. We make no contributions. Executives’ deferrals earn interest at a rate equal to our long-term cost of borrowing plus 1%.</w:t>
            </w:r>
          </w:p>
        </w:tc>
      </w:tr>
    </w:tbl>
    <w:p>
      <w:pPr>
        <w:pStyle w:val="TextBody"/>
        <w:spacing w:before="0" w:after="10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Retirement Benefits for the Named Executive Officers shown in the Tables:</w:t>
      </w:r>
    </w:p>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Summary Compensation Table: The actuarial change in pension and SERP benefits and earnings in excess of 120% of the applicable federal rate on deferred compensation plan balances are included in the “Change in Pension Value and Nonqualified Deferred Compensation Earnings” column of the Summary Compensation Table. Our contribution to the 401(k) retirement savings plan is included in the “All Other Compensation” column of that table.</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Pension Benefits Table: The present value of the accumulated benefits under the pension plan and the SERP is shown in the “Present Value of Accumulated Benefits” column of the Pension Benefits Table.</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Nonqualified Deferred Compensation Table: Contributions by the named executive officers to our executive deferred compensation plan are shown in the “Executive Contributions in Last Fiscal Year” column of the Nonqualified Deferred Compensation Table. Earnings on balances in that plan are included in the “Aggregate Earnings in Last Fiscal Year” column of that table.</w:t>
            </w:r>
          </w:p>
        </w:tc>
      </w:tr>
    </w:tbl>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Benefits:</w:t>
      </w:r>
      <w:r>
        <w:rPr>
          <w:rFonts w:ascii="Times New Roman;Times;Serif" w:hAnsi="Times New Roman;Times;Serif"/>
          <w:b w:val="false"/>
          <w:i w:val="false"/>
          <w:caps w:val="false"/>
          <w:smallCaps w:val="false"/>
          <w:sz w:val="20"/>
        </w:rPr>
        <w:t xml:space="preserve"> We provide health and welfare benefits, including medical and dental coverage and life and long-term disability insurance, which are available to our executive officers on the same terms as they are available to other employees. These benefits help us attract and retain talented employees and provide assistance to current employees and their families.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limited perquisites to the named executive officers to assist them in carrying out their duties. These perquisites may include a car allowance and paid parking. The value of these benefits is included in the “All Other Compensation” column of the Summary Compensation Table.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Employment and Severance Arrangements:</w:t>
      </w:r>
      <w:r>
        <w:rPr>
          <w:rFonts w:ascii="Times New Roman;Times;Serif" w:hAnsi="Times New Roman;Times;Serif"/>
          <w:b w:val="false"/>
          <w:i w:val="false"/>
          <w:caps w:val="false"/>
          <w:smallCaps w:val="false"/>
          <w:sz w:val="20"/>
        </w:rPr>
        <w:t xml:space="preserve"> We do not generally enter into written employment or prospective severance agreements with our executive officers, nor do we have a prospective severance plan that covers any of our executive officers. Currently, our only provisions for benefits upon termination of employment or change in control are in existing compensation plans and apply to all participants in those plans. For example, our equity incentive plans contain provisions for immediate vesting of benefits upon change in control, retirement, disability or death. The Benefits Upon Termination or Change in Control Table contains additional information concerning benefits upon the termination of employment of the named executive officers.</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Long-Term Equity Incentives:</w:t>
      </w:r>
      <w:r>
        <w:rPr>
          <w:rFonts w:ascii="Times New Roman;Times;Serif" w:hAnsi="Times New Roman;Times;Serif"/>
          <w:b w:val="false"/>
          <w:i w:val="false"/>
          <w:caps w:val="false"/>
          <w:smallCaps w:val="false"/>
          <w:sz w:val="20"/>
        </w:rPr>
        <w:t xml:space="preserve"> We favor performance-based cash incentives under our annual incentive plan over the use of equity incentive compensation. We continue to recognize, however, that long-term equity incentive compensation can be important in attracting and retaining key employees and outside directors, as evidenced by restricted stock grants extended to our two recent executive hires, Messrs. Lewry and Ziemnisky. Equity incentives for our CEO consist of a multi-year equity award as well as an annual restricted stock equity award that mirrors the value of the earned executive deferred bonus portion of the annual incentive for other executive officers.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September 18, 2014 meeting, our Compensation Committee stated its current intention to grant to our CEO, Daniel S. Jaffee, at a meeting following the end of fiscal 2015, an award of restricted shares of Class B Stock under the terms of our 2006 Long Term Incentive Plan, if he would have received an executive deferred bonus award as a result of our corporate financial performance in fiscal 2015 had he been a participant in that portion of our annual incentive plan. (As was the case in fiscal years 2008 through 2014, Mr. Jaffee has requested that he not be eligible for an executive deferred bonus award in fiscal 2015.) If corporate financial performance for fiscal 2015 meets the performance threshold for an award, an award may be granted for fiscal 2015 performance. If an award is granted, we anticipate that the number of restricted shares awarded would be determined by dividing the amount, if any, of an executive deferred bonus award each executive would have received under our annual incentive plan for fiscal 2015, had they each been participants in that portion of our annual incentive plan, by the average closing sale price of our Common Stock for the 30 trading days preceding the date of the grant (or other similar measure determined to be appropriate by our Compensation Committee).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Equity Grant Practices:</w:t>
      </w:r>
      <w:r>
        <w:rPr>
          <w:rFonts w:ascii="Times New Roman;Times;Serif" w:hAnsi="Times New Roman;Times;Serif"/>
          <w:b w:val="false"/>
          <w:i w:val="false"/>
          <w:caps w:val="false"/>
          <w:smallCaps w:val="false"/>
          <w:sz w:val="20"/>
        </w:rPr>
        <w:t xml:space="preserve"> We have a formal equity grant policy, adopted by our Board of Directors in 2007 and amended in 2012, which provides that equity awards generally should be made by our Compensation Committee at a regularly scheduled meeting or by our CEO under limited authority granted to him. Our CEO may make grants of either stock options or restricted stock, but the total number of either stock options or shares of restricted stock that our CEO may grant is limited, and the maximum employee award is designated by the employee’s salary grade. Our CEO may generally make awards only four times each year, during the two-week period beginning the third business day following our quarterly earnings release. If the grant date is not an NYSE trading day, then the grant date will be the immediately preceding NYSE trading day.</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adoption of our formal policy, in the case of grants made by our Compensation Committee, the grant date has been determined in accordance with the requirements of Financial Accounting Standards Board Accounting Standards Codification Topic 718 (“ASC 718”). The exercise price has always been the closing sale price of our Common Stock on the date of grant.</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Ownership Guidelines: We do not have guidelines or requirements for stock ownership by our executive officers or our directors. See “Security Ownership of Management” below for information on beneficial ownership of our Common Stock and Class B Stock by our directors and executive officers.</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400" w:after="200"/>
        <w:ind w:left="400" w:right="400" w:hanging="0"/>
        <w:jc w:val="center"/>
        <w:rPr>
          <w:rFonts w:ascii="Times New Roman;Times;Serif" w:hAnsi="Times New Roman;Times;Serif"/>
          <w:b/>
          <w:i w:val="false"/>
          <w:caps w:val="false"/>
          <w:smallCaps w:val="false"/>
          <w:sz w:val="20"/>
        </w:rPr>
      </w:pPr>
      <w:bookmarkStart w:id="28" w:name="a_Toc339007567"/>
      <w:bookmarkEnd w:id="28"/>
      <w:r>
        <w:rPr>
          <w:rFonts w:ascii="Times New Roman;Times;Serif" w:hAnsi="Times New Roman;Times;Serif"/>
          <w:b/>
          <w:i w:val="false"/>
          <w:caps w:val="false"/>
          <w:smallCaps w:val="false"/>
          <w:sz w:val="20"/>
        </w:rPr>
        <w:t>Tax and Accounting Implications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Limitation on Tax Deductibility:</w:t>
      </w:r>
      <w:r>
        <w:rPr>
          <w:rFonts w:ascii="Times New Roman;Times;Serif" w:hAnsi="Times New Roman;Times;Serif"/>
          <w:b w:val="false"/>
          <w:i w:val="false"/>
          <w:caps w:val="false"/>
          <w:smallCaps w:val="false"/>
          <w:sz w:val="20"/>
        </w:rPr>
        <w:t xml:space="preserve"> Section 162(m) of the Code limits to $1 million the tax deduction we may take for compensation paid to our CEO and the other named executive officers unless the compensation is “performance-based” and paid under a formal compensation plan that meets the Code’s requirements. Currently, certain awards made by our Compensation Committee do not qualify for the “performance-based” exception to the limitation on deductibility. Historically, Section 162(m) has not had a material effect on our compensation philosophy, tax planning or financial reporting. To maintain flexibility, however, we have no policy requiring that all compensation paid to the named executive officers be fully deductible.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Nonqualified Deferred Compensation:</w:t>
      </w:r>
      <w:r>
        <w:rPr>
          <w:rFonts w:ascii="Times New Roman;Times;Serif" w:hAnsi="Times New Roman;Times;Serif"/>
          <w:b w:val="false"/>
          <w:i w:val="false"/>
          <w:caps w:val="false"/>
          <w:smallCaps w:val="false"/>
          <w:sz w:val="20"/>
        </w:rPr>
        <w:t xml:space="preserve"> We intend that all of our benefit plans comply with Section 409A of the Code. We amended and restated all of our benefit plans that include deferred compensation elements in compliance with Section 409A. We believe we have been operating in good faith with Section 409A since its January 1, 2005 effective date.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Accounting for Stock-Based Compensation:</w:t>
      </w:r>
      <w:r>
        <w:rPr>
          <w:rFonts w:ascii="Times New Roman;Times;Serif" w:hAnsi="Times New Roman;Times;Serif"/>
          <w:b w:val="false"/>
          <w:i w:val="false"/>
          <w:caps w:val="false"/>
          <w:smallCaps w:val="false"/>
          <w:sz w:val="20"/>
        </w:rPr>
        <w:t xml:space="preserve"> We account for stock-based payments under our equity incentive plans in accordance with ASC 718.</w:t>
      </w:r>
    </w:p>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400" w:after="200"/>
        <w:ind w:left="400" w:right="400" w:hanging="0"/>
        <w:jc w:val="center"/>
        <w:rPr>
          <w:rFonts w:ascii="Times New Roman;Times;Serif" w:hAnsi="Times New Roman;Times;Serif"/>
          <w:b/>
          <w:i w:val="false"/>
          <w:caps w:val="false"/>
          <w:smallCaps w:val="false"/>
          <w:sz w:val="20"/>
        </w:rPr>
      </w:pPr>
      <w:bookmarkStart w:id="29" w:name="a_Toc339007568"/>
      <w:bookmarkEnd w:id="29"/>
      <w:r>
        <w:rPr>
          <w:rFonts w:ascii="Times New Roman;Times;Serif" w:hAnsi="Times New Roman;Times;Serif"/>
          <w:b/>
          <w:i w:val="false"/>
          <w:caps w:val="false"/>
          <w:smallCaps w:val="false"/>
          <w:sz w:val="20"/>
        </w:rPr>
        <w:t>Report of the Compensation Committee of the Board of Directors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reviewed and discussed with our management the foregoing Compensation Discussion and Analysis. Based on that review and discussion, the Compensation Committee recommended to the Board of Directors that the Compensation Discussion and Analysis be included in this Proxy Statement.</w:t>
      </w:r>
    </w:p>
    <w:tbl>
      <w:tblPr>
        <w:tblW w:w="3530" w:type="dxa"/>
        <w:jc w:val="left"/>
        <w:tblInd w:w="0" w:type="dxa"/>
        <w:tblCellMar>
          <w:top w:w="0" w:type="dxa"/>
          <w:left w:w="0" w:type="dxa"/>
          <w:bottom w:w="0" w:type="dxa"/>
          <w:right w:w="0" w:type="dxa"/>
        </w:tblCellMar>
      </w:tblPr>
      <w:tblGrid>
        <w:gridCol w:w="75"/>
        <w:gridCol w:w="3455"/>
      </w:tblGrid>
      <w:tr>
        <w:trPr/>
        <w:tc>
          <w:tcPr>
            <w:tcW w:w="75" w:type="dxa"/>
            <w:tcBorders/>
            <w:shd w:fill="auto" w:val="clear"/>
            <w:vAlign w:val="center"/>
          </w:tcPr>
          <w:p>
            <w:pPr>
              <w:pStyle w:val="TableContents"/>
              <w:spacing w:before="0" w:after="283"/>
              <w:jc w:val="both"/>
              <w:rPr/>
            </w:pPr>
            <w:r>
              <w:rPr/>
              <w:t> </w:t>
            </w:r>
          </w:p>
        </w:tc>
        <w:tc>
          <w:tcPr>
            <w:tcW w:w="3455" w:type="dxa"/>
            <w:tcBorders/>
            <w:shd w:fill="auto" w:val="clear"/>
            <w:vAlign w:val="center"/>
          </w:tcPr>
          <w:p>
            <w:pPr>
              <w:pStyle w:val="TableContents"/>
              <w:spacing w:before="0" w:after="283"/>
              <w:jc w:val="both"/>
              <w:rPr/>
            </w:pPr>
            <w:r>
              <w:rPr/>
              <w:t>COMPENSATION COMMITTEE</w:t>
            </w:r>
          </w:p>
        </w:tc>
      </w:tr>
      <w:tr>
        <w:trPr/>
        <w:tc>
          <w:tcPr>
            <w:tcW w:w="75" w:type="dxa"/>
            <w:tcBorders/>
            <w:shd w:fill="auto" w:val="clear"/>
            <w:vAlign w:val="center"/>
          </w:tcPr>
          <w:p>
            <w:pPr>
              <w:pStyle w:val="TableContents"/>
              <w:spacing w:before="0" w:after="283"/>
              <w:jc w:val="both"/>
              <w:rPr/>
            </w:pPr>
            <w:r>
              <w:rPr/>
              <w:t> </w:t>
            </w:r>
          </w:p>
        </w:tc>
        <w:tc>
          <w:tcPr>
            <w:tcW w:w="3455" w:type="dxa"/>
            <w:tcBorders/>
            <w:shd w:fill="auto" w:val="clear"/>
            <w:vAlign w:val="center"/>
          </w:tcPr>
          <w:p>
            <w:pPr>
              <w:pStyle w:val="TableContents"/>
              <w:spacing w:before="0" w:after="283"/>
              <w:jc w:val="both"/>
              <w:rPr/>
            </w:pPr>
            <w:r>
              <w:rPr/>
              <w:t>Allan H. Selig, Chairman</w:t>
            </w:r>
          </w:p>
        </w:tc>
      </w:tr>
      <w:tr>
        <w:trPr/>
        <w:tc>
          <w:tcPr>
            <w:tcW w:w="75" w:type="dxa"/>
            <w:tcBorders/>
            <w:shd w:fill="auto" w:val="clear"/>
            <w:vAlign w:val="center"/>
          </w:tcPr>
          <w:p>
            <w:pPr>
              <w:pStyle w:val="TableContents"/>
              <w:spacing w:before="0" w:after="283"/>
              <w:jc w:val="both"/>
              <w:rPr/>
            </w:pPr>
            <w:r>
              <w:rPr/>
              <w:t> </w:t>
            </w:r>
          </w:p>
        </w:tc>
        <w:tc>
          <w:tcPr>
            <w:tcW w:w="3455" w:type="dxa"/>
            <w:tcBorders/>
            <w:shd w:fill="auto" w:val="clear"/>
            <w:vAlign w:val="center"/>
          </w:tcPr>
          <w:p>
            <w:pPr>
              <w:pStyle w:val="TableContents"/>
              <w:spacing w:before="0" w:after="283"/>
              <w:jc w:val="both"/>
              <w:rPr/>
            </w:pPr>
            <w:r>
              <w:rPr/>
              <w:t>Joseph C. Miller</w:t>
            </w:r>
          </w:p>
        </w:tc>
      </w:tr>
      <w:tr>
        <w:trPr/>
        <w:tc>
          <w:tcPr>
            <w:tcW w:w="75" w:type="dxa"/>
            <w:tcBorders/>
            <w:shd w:fill="auto" w:val="clear"/>
            <w:vAlign w:val="center"/>
          </w:tcPr>
          <w:p>
            <w:pPr>
              <w:pStyle w:val="TableContents"/>
              <w:spacing w:before="0" w:after="283"/>
              <w:jc w:val="both"/>
              <w:rPr/>
            </w:pPr>
            <w:r>
              <w:rPr/>
              <w:t> </w:t>
            </w:r>
          </w:p>
        </w:tc>
        <w:tc>
          <w:tcPr>
            <w:tcW w:w="3455" w:type="dxa"/>
            <w:tcBorders/>
            <w:shd w:fill="auto" w:val="clear"/>
            <w:vAlign w:val="center"/>
          </w:tcPr>
          <w:p>
            <w:pPr>
              <w:pStyle w:val="TableContents"/>
              <w:spacing w:before="0" w:after="283"/>
              <w:jc w:val="both"/>
              <w:rPr/>
            </w:pPr>
            <w:r>
              <w:rPr/>
              <w:t>Michael A. Nemeroff</w:t>
            </w:r>
          </w:p>
        </w:tc>
      </w:tr>
    </w:tbl>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400" w:after="200"/>
        <w:ind w:left="400" w:right="400" w:hanging="0"/>
        <w:jc w:val="center"/>
        <w:rPr>
          <w:rFonts w:ascii="Times New Roman;Times;Serif" w:hAnsi="Times New Roman;Times;Serif"/>
          <w:b/>
          <w:i w:val="false"/>
          <w:caps w:val="false"/>
          <w:smallCaps w:val="false"/>
          <w:sz w:val="20"/>
        </w:rPr>
      </w:pPr>
      <w:bookmarkStart w:id="30" w:name="a_Toc339007569"/>
      <w:bookmarkEnd w:id="30"/>
      <w:r>
        <w:rPr>
          <w:rFonts w:ascii="Times New Roman;Times;Serif" w:hAnsi="Times New Roman;Times;Serif"/>
          <w:b/>
          <w:i w:val="false"/>
          <w:caps w:val="false"/>
          <w:smallCaps w:val="false"/>
          <w:sz w:val="20"/>
        </w:rPr>
        <w:t>Summary Compensation Table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total compensation earned by the named executive officers for services provided to the Company during the years detailed below.</w:t>
      </w:r>
    </w:p>
    <w:tbl>
      <w:tblPr>
        <w:tblW w:w="11956" w:type="dxa"/>
        <w:jc w:val="left"/>
        <w:tblInd w:w="0" w:type="dxa"/>
        <w:tblCellMar>
          <w:top w:w="0" w:type="dxa"/>
          <w:left w:w="0" w:type="dxa"/>
          <w:bottom w:w="28" w:type="dxa"/>
          <w:right w:w="0" w:type="dxa"/>
        </w:tblCellMar>
      </w:tblPr>
      <w:tblGrid>
        <w:gridCol w:w="1430"/>
        <w:gridCol w:w="60"/>
        <w:gridCol w:w="60"/>
        <w:gridCol w:w="500"/>
        <w:gridCol w:w="60"/>
        <w:gridCol w:w="60"/>
        <w:gridCol w:w="140"/>
        <w:gridCol w:w="800"/>
        <w:gridCol w:w="60"/>
        <w:gridCol w:w="60"/>
        <w:gridCol w:w="79"/>
        <w:gridCol w:w="505"/>
        <w:gridCol w:w="81"/>
        <w:gridCol w:w="60"/>
        <w:gridCol w:w="140"/>
        <w:gridCol w:w="800"/>
        <w:gridCol w:w="60"/>
        <w:gridCol w:w="60"/>
        <w:gridCol w:w="106"/>
        <w:gridCol w:w="676"/>
        <w:gridCol w:w="108"/>
        <w:gridCol w:w="60"/>
        <w:gridCol w:w="208"/>
        <w:gridCol w:w="1192"/>
        <w:gridCol w:w="90"/>
        <w:gridCol w:w="60"/>
        <w:gridCol w:w="201"/>
        <w:gridCol w:w="1151"/>
        <w:gridCol w:w="138"/>
        <w:gridCol w:w="60"/>
        <w:gridCol w:w="246"/>
        <w:gridCol w:w="1197"/>
        <w:gridCol w:w="107"/>
        <w:gridCol w:w="60"/>
        <w:gridCol w:w="140"/>
        <w:gridCol w:w="980"/>
        <w:gridCol w:w="161"/>
      </w:tblGrid>
      <w:tr>
        <w:trPr/>
        <w:tc>
          <w:tcPr>
            <w:tcW w:w="1430" w:type="dxa"/>
            <w:tcBorders>
              <w:bottom w:val="single" w:sz="8" w:space="0" w:color="000000"/>
            </w:tcBorders>
            <w:shd w:fill="auto" w:val="clear"/>
            <w:vAlign w:val="center"/>
          </w:tcPr>
          <w:p>
            <w:pPr>
              <w:pStyle w:val="TableContents"/>
              <w:spacing w:before="0" w:after="283"/>
              <w:jc w:val="left"/>
              <w:rPr>
                <w:b/>
              </w:rPr>
            </w:pPr>
            <w:r>
              <w:rPr>
                <w:b/>
              </w:rPr>
              <w:t>Name and Principal Position</w:t>
            </w:r>
          </w:p>
        </w:tc>
        <w:tc>
          <w:tcPr>
            <w:tcW w:w="60" w:type="dxa"/>
            <w:tcBorders>
              <w:bottom w:val="single" w:sz="8" w:space="0" w:color="000000"/>
            </w:tcBorders>
            <w:shd w:fill="auto" w:val="clear"/>
            <w:vAlign w:val="center"/>
          </w:tcPr>
          <w:p>
            <w:pPr>
              <w:pStyle w:val="TableContents"/>
              <w:spacing w:before="0" w:after="283"/>
              <w:rPr/>
            </w:pPr>
            <w:r>
              <w:rPr/>
              <w:t> </w:t>
            </w:r>
          </w:p>
        </w:tc>
        <w:tc>
          <w:tcPr>
            <w:tcW w:w="620" w:type="dxa"/>
            <w:gridSpan w:val="3"/>
            <w:tcBorders>
              <w:bottom w:val="single" w:sz="8" w:space="0" w:color="000000"/>
            </w:tcBorders>
            <w:shd w:fill="auto" w:val="clear"/>
            <w:vAlign w:val="center"/>
          </w:tcPr>
          <w:p>
            <w:pPr>
              <w:pStyle w:val="TableContents"/>
              <w:spacing w:before="0" w:after="283"/>
              <w:jc w:val="center"/>
              <w:rPr>
                <w:b/>
              </w:rPr>
            </w:pPr>
            <w:r>
              <w:rPr>
                <w:b/>
              </w:rPr>
              <w:t>Fiscal Year</w:t>
            </w:r>
          </w:p>
        </w:tc>
        <w:tc>
          <w:tcPr>
            <w:tcW w:w="60" w:type="dxa"/>
            <w:tcBorders>
              <w:bottom w:val="single" w:sz="8" w:space="0" w:color="000000"/>
            </w:tcBorders>
            <w:shd w:fill="auto" w:val="clear"/>
            <w:vAlign w:val="center"/>
          </w:tcPr>
          <w:p>
            <w:pPr>
              <w:pStyle w:val="TableContents"/>
              <w:spacing w:before="0" w:after="283"/>
              <w:rPr/>
            </w:pPr>
            <w:r>
              <w:rPr/>
              <w:t> </w:t>
            </w:r>
          </w:p>
        </w:tc>
        <w:tc>
          <w:tcPr>
            <w:tcW w:w="1000" w:type="dxa"/>
            <w:gridSpan w:val="3"/>
            <w:tcBorders>
              <w:bottom w:val="single" w:sz="8" w:space="0" w:color="000000"/>
            </w:tcBorders>
            <w:shd w:fill="auto" w:val="clear"/>
            <w:vAlign w:val="center"/>
          </w:tcPr>
          <w:p>
            <w:pPr>
              <w:pStyle w:val="TableContents"/>
              <w:spacing w:before="0" w:after="283"/>
              <w:jc w:val="center"/>
              <w:rPr>
                <w:b/>
              </w:rPr>
            </w:pPr>
            <w:r>
              <w:rPr>
                <w:b/>
              </w:rPr>
              <w:t xml:space="preserve">Salary </w:t>
              <w:br/>
              <w:t>($)</w:t>
            </w:r>
          </w:p>
        </w:tc>
        <w:tc>
          <w:tcPr>
            <w:tcW w:w="60" w:type="dxa"/>
            <w:tcBorders>
              <w:bottom w:val="single" w:sz="8" w:space="0" w:color="000000"/>
            </w:tcBorders>
            <w:shd w:fill="auto" w:val="clear"/>
            <w:vAlign w:val="center"/>
          </w:tcPr>
          <w:p>
            <w:pPr>
              <w:pStyle w:val="TableContents"/>
              <w:spacing w:before="0" w:after="283"/>
              <w:rPr/>
            </w:pPr>
            <w:r>
              <w:rPr/>
              <w:t> </w:t>
            </w:r>
          </w:p>
        </w:tc>
        <w:tc>
          <w:tcPr>
            <w:tcW w:w="665" w:type="dxa"/>
            <w:gridSpan w:val="3"/>
            <w:tcBorders>
              <w:bottom w:val="single" w:sz="8" w:space="0" w:color="000000"/>
            </w:tcBorders>
            <w:shd w:fill="auto" w:val="clear"/>
            <w:vAlign w:val="center"/>
          </w:tcPr>
          <w:p>
            <w:pPr>
              <w:pStyle w:val="TableContents"/>
              <w:spacing w:before="0" w:after="283"/>
              <w:jc w:val="center"/>
              <w:rPr>
                <w:b/>
              </w:rPr>
            </w:pPr>
            <w:r>
              <w:rPr>
                <w:b/>
              </w:rPr>
              <w:t xml:space="preserve">Bonus </w:t>
              <w:br/>
              <w:t>($)</w:t>
            </w:r>
          </w:p>
        </w:tc>
        <w:tc>
          <w:tcPr>
            <w:tcW w:w="60" w:type="dxa"/>
            <w:tcBorders>
              <w:bottom w:val="single" w:sz="8" w:space="0" w:color="000000"/>
            </w:tcBorders>
            <w:shd w:fill="auto" w:val="clear"/>
            <w:vAlign w:val="center"/>
          </w:tcPr>
          <w:p>
            <w:pPr>
              <w:pStyle w:val="TableContents"/>
              <w:spacing w:before="0" w:after="283"/>
              <w:rPr/>
            </w:pPr>
            <w:r>
              <w:rPr/>
              <w:t> </w:t>
            </w:r>
          </w:p>
        </w:tc>
        <w:tc>
          <w:tcPr>
            <w:tcW w:w="1000" w:type="dxa"/>
            <w:gridSpan w:val="3"/>
            <w:tcBorders>
              <w:bottom w:val="single" w:sz="8" w:space="0" w:color="000000"/>
            </w:tcBorders>
            <w:shd w:fill="auto" w:val="clear"/>
            <w:vAlign w:val="center"/>
          </w:tcPr>
          <w:p>
            <w:pPr>
              <w:pStyle w:val="TableContents"/>
              <w:spacing w:before="0" w:after="283"/>
              <w:jc w:val="center"/>
              <w:rPr>
                <w:b/>
              </w:rPr>
            </w:pPr>
            <w:r>
              <w:rPr>
                <w:b/>
              </w:rPr>
              <w:t xml:space="preserve">Stock Awards </w:t>
              <w:br/>
              <w:t xml:space="preserve">($) </w:t>
              <w:br/>
              <w:t>(1)</w:t>
            </w:r>
          </w:p>
        </w:tc>
        <w:tc>
          <w:tcPr>
            <w:tcW w:w="60" w:type="dxa"/>
            <w:tcBorders>
              <w:bottom w:val="single" w:sz="8" w:space="0" w:color="000000"/>
            </w:tcBorders>
            <w:shd w:fill="auto" w:val="clear"/>
            <w:vAlign w:val="center"/>
          </w:tcPr>
          <w:p>
            <w:pPr>
              <w:pStyle w:val="TableContents"/>
              <w:spacing w:before="0" w:after="283"/>
              <w:rPr/>
            </w:pPr>
            <w:r>
              <w:rPr/>
              <w:t> </w:t>
            </w:r>
          </w:p>
        </w:tc>
        <w:tc>
          <w:tcPr>
            <w:tcW w:w="890" w:type="dxa"/>
            <w:gridSpan w:val="3"/>
            <w:tcBorders>
              <w:bottom w:val="single" w:sz="8" w:space="0" w:color="000000"/>
            </w:tcBorders>
            <w:shd w:fill="auto" w:val="clear"/>
            <w:vAlign w:val="center"/>
          </w:tcPr>
          <w:p>
            <w:pPr>
              <w:pStyle w:val="TableContents"/>
              <w:spacing w:before="0" w:after="283"/>
              <w:jc w:val="center"/>
              <w:rPr>
                <w:b/>
              </w:rPr>
            </w:pPr>
            <w:r>
              <w:rPr>
                <w:b/>
              </w:rPr>
              <w:t xml:space="preserve">Option </w:t>
              <w:br/>
              <w:t xml:space="preserve">Awards </w:t>
              <w:br/>
              <w:t xml:space="preserve">($) </w:t>
              <w:br/>
              <w:t>(1)</w:t>
            </w:r>
          </w:p>
        </w:tc>
        <w:tc>
          <w:tcPr>
            <w:tcW w:w="60" w:type="dxa"/>
            <w:tcBorders>
              <w:bottom w:val="single" w:sz="8" w:space="0" w:color="000000"/>
            </w:tcBorders>
            <w:shd w:fill="auto" w:val="clear"/>
            <w:vAlign w:val="center"/>
          </w:tcPr>
          <w:p>
            <w:pPr>
              <w:pStyle w:val="TableContents"/>
              <w:spacing w:before="0" w:after="283"/>
              <w:rPr/>
            </w:pPr>
            <w:r>
              <w:rPr/>
              <w:t> </w:t>
            </w:r>
          </w:p>
        </w:tc>
        <w:tc>
          <w:tcPr>
            <w:tcW w:w="1490" w:type="dxa"/>
            <w:gridSpan w:val="3"/>
            <w:tcBorders>
              <w:bottom w:val="single" w:sz="8" w:space="0" w:color="000000"/>
            </w:tcBorders>
            <w:shd w:fill="auto" w:val="clear"/>
            <w:vAlign w:val="center"/>
          </w:tcPr>
          <w:p>
            <w:pPr>
              <w:pStyle w:val="TableContents"/>
              <w:spacing w:before="0" w:after="283"/>
              <w:jc w:val="center"/>
              <w:rPr>
                <w:b/>
              </w:rPr>
            </w:pPr>
            <w:r>
              <w:rPr>
                <w:b/>
              </w:rPr>
              <w:t>Non-Equity</w:t>
              <w:br/>
              <w:t>Incentive Plan</w:t>
              <w:br/>
              <w:t>Compensation</w:t>
              <w:br/>
              <w:t>($)</w:t>
              <w:br/>
              <w:t>(2)</w:t>
            </w:r>
          </w:p>
        </w:tc>
        <w:tc>
          <w:tcPr>
            <w:tcW w:w="60" w:type="dxa"/>
            <w:tcBorders>
              <w:bottom w:val="single" w:sz="8" w:space="0" w:color="000000"/>
            </w:tcBorders>
            <w:shd w:fill="auto" w:val="clear"/>
            <w:vAlign w:val="center"/>
          </w:tcPr>
          <w:p>
            <w:pPr>
              <w:pStyle w:val="TableContents"/>
              <w:spacing w:before="0" w:after="283"/>
              <w:rPr/>
            </w:pPr>
            <w:r>
              <w:rPr/>
              <w:t> </w:t>
            </w:r>
          </w:p>
        </w:tc>
        <w:tc>
          <w:tcPr>
            <w:tcW w:w="1490" w:type="dxa"/>
            <w:gridSpan w:val="3"/>
            <w:tcBorders>
              <w:bottom w:val="single" w:sz="8" w:space="0" w:color="000000"/>
            </w:tcBorders>
            <w:shd w:fill="auto" w:val="clear"/>
            <w:vAlign w:val="center"/>
          </w:tcPr>
          <w:p>
            <w:pPr>
              <w:pStyle w:val="TableContents"/>
              <w:spacing w:before="0" w:after="283"/>
              <w:jc w:val="center"/>
              <w:rPr>
                <w:b/>
              </w:rPr>
            </w:pPr>
            <w:r>
              <w:rPr>
                <w:b/>
              </w:rPr>
              <w:t>Change in</w:t>
              <w:br/>
              <w:t>Pension Value</w:t>
              <w:br/>
              <w:t>and</w:t>
              <w:br/>
              <w:t>Nonqualified</w:t>
              <w:br/>
              <w:t>Deferred</w:t>
              <w:br/>
              <w:t>Compensation</w:t>
              <w:br/>
              <w:t xml:space="preserve">Earnings </w:t>
              <w:br/>
              <w:t xml:space="preserve">($) </w:t>
              <w:br/>
              <w:t>(3)</w:t>
            </w:r>
          </w:p>
        </w:tc>
        <w:tc>
          <w:tcPr>
            <w:tcW w:w="60" w:type="dxa"/>
            <w:tcBorders>
              <w:bottom w:val="single" w:sz="8" w:space="0" w:color="000000"/>
            </w:tcBorders>
            <w:shd w:fill="auto" w:val="clear"/>
            <w:vAlign w:val="center"/>
          </w:tcPr>
          <w:p>
            <w:pPr>
              <w:pStyle w:val="TableContents"/>
              <w:spacing w:before="0" w:after="283"/>
              <w:rPr/>
            </w:pPr>
            <w:r>
              <w:rPr/>
              <w:t> </w:t>
            </w:r>
          </w:p>
        </w:tc>
        <w:tc>
          <w:tcPr>
            <w:tcW w:w="1550" w:type="dxa"/>
            <w:gridSpan w:val="3"/>
            <w:tcBorders>
              <w:bottom w:val="single" w:sz="8" w:space="0" w:color="000000"/>
            </w:tcBorders>
            <w:shd w:fill="auto" w:val="clear"/>
            <w:vAlign w:val="center"/>
          </w:tcPr>
          <w:p>
            <w:pPr>
              <w:pStyle w:val="TableContents"/>
              <w:spacing w:before="0" w:after="283"/>
              <w:jc w:val="center"/>
              <w:rPr>
                <w:b/>
              </w:rPr>
            </w:pPr>
            <w:r>
              <w:rPr>
                <w:b/>
              </w:rPr>
              <w:t>All Other</w:t>
              <w:br/>
              <w:t xml:space="preserve">Compensation </w:t>
              <w:br/>
              <w:t xml:space="preserve">($) </w:t>
              <w:br/>
              <w:t>(4)</w:t>
            </w:r>
          </w:p>
        </w:tc>
        <w:tc>
          <w:tcPr>
            <w:tcW w:w="60" w:type="dxa"/>
            <w:tcBorders>
              <w:bottom w:val="single" w:sz="8" w:space="0" w:color="000000"/>
            </w:tcBorders>
            <w:shd w:fill="auto" w:val="clear"/>
            <w:vAlign w:val="center"/>
          </w:tcPr>
          <w:p>
            <w:pPr>
              <w:pStyle w:val="TableContents"/>
              <w:spacing w:before="0" w:after="283"/>
              <w:rPr/>
            </w:pPr>
            <w:r>
              <w:rPr/>
              <w:t> </w:t>
            </w:r>
          </w:p>
        </w:tc>
        <w:tc>
          <w:tcPr>
            <w:tcW w:w="1281" w:type="dxa"/>
            <w:gridSpan w:val="3"/>
            <w:tcBorders>
              <w:bottom w:val="single" w:sz="8" w:space="0" w:color="000000"/>
            </w:tcBorders>
            <w:shd w:fill="auto" w:val="clear"/>
            <w:vAlign w:val="center"/>
          </w:tcPr>
          <w:p>
            <w:pPr>
              <w:pStyle w:val="TableContents"/>
              <w:spacing w:before="0" w:after="283"/>
              <w:ind w:left="0" w:right="0" w:firstLine="86"/>
              <w:jc w:val="center"/>
              <w:rPr>
                <w:b/>
              </w:rPr>
            </w:pPr>
            <w:r>
              <w:rPr>
                <w:b/>
              </w:rPr>
              <w:t xml:space="preserve">Total </w:t>
              <w:br/>
              <w:t>($)</w:t>
            </w:r>
          </w:p>
        </w:tc>
      </w:tr>
      <w:tr>
        <w:trPr/>
        <w:tc>
          <w:tcPr>
            <w:tcW w:w="1430" w:type="dxa"/>
            <w:tcBorders/>
            <w:shd w:fill="CCEEFF" w:val="clear"/>
            <w:tcMar>
              <w:bottom w:w="0" w:type="dxa"/>
            </w:tcMar>
            <w:vAlign w:val="center"/>
          </w:tcPr>
          <w:p>
            <w:pPr>
              <w:pStyle w:val="TableContents"/>
              <w:spacing w:before="0" w:after="283"/>
              <w:jc w:val="left"/>
              <w:rPr/>
            </w:pPr>
            <w:r>
              <w:rPr/>
              <w:t>Daniel S. Jaffee</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500" w:type="dxa"/>
            <w:tcBorders/>
            <w:shd w:fill="CCEEFF" w:val="clear"/>
            <w:tcMar>
              <w:bottom w:w="0" w:type="dxa"/>
            </w:tcMar>
            <w:vAlign w:val="center"/>
          </w:tcPr>
          <w:p>
            <w:pPr>
              <w:pStyle w:val="TableContents"/>
              <w:spacing w:before="0" w:after="283"/>
              <w:jc w:val="right"/>
              <w:rPr/>
            </w:pPr>
            <w:r>
              <w:rPr/>
              <w:t>2014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550,000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505" w:type="dxa"/>
            <w:tcBorders/>
            <w:shd w:fill="CCEEFF" w:val="clear"/>
            <w:tcMar>
              <w:bottom w:w="0" w:type="dxa"/>
            </w:tcMar>
            <w:vAlign w:val="center"/>
          </w:tcPr>
          <w:p>
            <w:pPr>
              <w:pStyle w:val="TableContents"/>
              <w:spacing w:before="0" w:after="283"/>
              <w:jc w:val="right"/>
              <w:rPr/>
            </w:pPr>
            <w:r>
              <w:rPr/>
              <w:t>—  </w:t>
            </w:r>
          </w:p>
        </w:tc>
        <w:tc>
          <w:tcPr>
            <w:tcW w:w="8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0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76" w:type="dxa"/>
            <w:tcBorders/>
            <w:shd w:fill="CCEEFF" w:val="clear"/>
            <w:tcMar>
              <w:bottom w:w="0" w:type="dxa"/>
            </w:tcMar>
            <w:vAlign w:val="center"/>
          </w:tcPr>
          <w:p>
            <w:pPr>
              <w:pStyle w:val="TableContents"/>
              <w:spacing w:before="0" w:after="283"/>
              <w:jc w:val="right"/>
              <w:rPr/>
            </w:pPr>
            <w:r>
              <w:rPr/>
              <w:t>—  </w:t>
            </w:r>
          </w:p>
        </w:tc>
        <w:tc>
          <w:tcPr>
            <w:tcW w:w="10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w:t>
            </w:r>
          </w:p>
        </w:tc>
        <w:tc>
          <w:tcPr>
            <w:tcW w:w="1192" w:type="dxa"/>
            <w:tcBorders/>
            <w:shd w:fill="CCEEFF" w:val="clear"/>
            <w:tcMar>
              <w:bottom w:w="0" w:type="dxa"/>
            </w:tcMar>
            <w:vAlign w:val="center"/>
          </w:tcPr>
          <w:p>
            <w:pPr>
              <w:pStyle w:val="TableContents"/>
              <w:spacing w:before="0" w:after="283"/>
              <w:jc w:val="right"/>
              <w:rPr/>
            </w:pPr>
            <w:r>
              <w:rPr/>
              <w:t>2,000</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center"/>
          </w:tcPr>
          <w:p>
            <w:pPr>
              <w:pStyle w:val="TableContents"/>
              <w:spacing w:before="0" w:after="283"/>
              <w:jc w:val="left"/>
              <w:rPr/>
            </w:pPr>
            <w:r>
              <w:rPr/>
              <w:t>$</w:t>
            </w:r>
          </w:p>
        </w:tc>
        <w:tc>
          <w:tcPr>
            <w:tcW w:w="1151" w:type="dxa"/>
            <w:tcBorders/>
            <w:shd w:fill="CCEEFF" w:val="clear"/>
            <w:tcMar>
              <w:bottom w:w="0" w:type="dxa"/>
            </w:tcMar>
            <w:vAlign w:val="center"/>
          </w:tcPr>
          <w:p>
            <w:pPr>
              <w:pStyle w:val="TableContents"/>
              <w:spacing w:before="0" w:after="283"/>
              <w:jc w:val="right"/>
              <w:rPr/>
            </w:pPr>
            <w:r>
              <w:rPr/>
              <w:t>244,325</w:t>
            </w:r>
          </w:p>
        </w:tc>
        <w:tc>
          <w:tcPr>
            <w:tcW w:w="13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46" w:type="dxa"/>
            <w:tcBorders/>
            <w:shd w:fill="CCEEFF" w:val="clear"/>
            <w:tcMar>
              <w:bottom w:w="0" w:type="dxa"/>
            </w:tcMar>
            <w:vAlign w:val="center"/>
          </w:tcPr>
          <w:p>
            <w:pPr>
              <w:pStyle w:val="TableContents"/>
              <w:spacing w:before="0" w:after="283"/>
              <w:jc w:val="left"/>
              <w:rPr/>
            </w:pPr>
            <w:r>
              <w:rPr/>
              <w:t>$</w:t>
            </w:r>
          </w:p>
        </w:tc>
        <w:tc>
          <w:tcPr>
            <w:tcW w:w="1197" w:type="dxa"/>
            <w:tcBorders/>
            <w:shd w:fill="CCEEFF" w:val="clear"/>
            <w:tcMar>
              <w:bottom w:w="0" w:type="dxa"/>
            </w:tcMar>
            <w:vAlign w:val="center"/>
          </w:tcPr>
          <w:p>
            <w:pPr>
              <w:pStyle w:val="TableContents"/>
              <w:spacing w:before="0" w:after="283"/>
              <w:jc w:val="right"/>
              <w:rPr/>
            </w:pPr>
            <w:r>
              <w:rPr/>
              <w:t>58,449</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854,774</w:t>
            </w:r>
          </w:p>
        </w:tc>
        <w:tc>
          <w:tcPr>
            <w:tcW w:w="161" w:type="dxa"/>
            <w:tcBorders/>
            <w:shd w:fill="CCEE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FFFFFF" w:val="clear"/>
            <w:tcMar>
              <w:bottom w:w="0" w:type="dxa"/>
            </w:tcMar>
            <w:vAlign w:val="center"/>
          </w:tcPr>
          <w:p>
            <w:pPr>
              <w:pStyle w:val="TableContents"/>
              <w:spacing w:before="0" w:after="283"/>
              <w:jc w:val="left"/>
              <w:rPr/>
            </w:pPr>
            <w:r>
              <w:rPr/>
              <w:t>President and Chief</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500" w:type="dxa"/>
            <w:tcBorders/>
            <w:shd w:fill="FFFFFF" w:val="clear"/>
            <w:tcMar>
              <w:bottom w:w="0" w:type="dxa"/>
            </w:tcMar>
            <w:vAlign w:val="center"/>
          </w:tcPr>
          <w:p>
            <w:pPr>
              <w:pStyle w:val="TableContents"/>
              <w:spacing w:before="0" w:after="283"/>
              <w:jc w:val="right"/>
              <w:rPr/>
            </w:pPr>
            <w:r>
              <w:rPr/>
              <w:t>2013</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525,000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505" w:type="dxa"/>
            <w:tcBorders/>
            <w:shd w:fill="FFFFFF" w:val="clear"/>
            <w:tcMar>
              <w:bottom w:w="0" w:type="dxa"/>
            </w:tcMar>
            <w:vAlign w:val="center"/>
          </w:tcPr>
          <w:p>
            <w:pPr>
              <w:pStyle w:val="TableContents"/>
              <w:spacing w:before="0" w:after="283"/>
              <w:jc w:val="right"/>
              <w:rPr/>
            </w:pPr>
            <w:r>
              <w:rPr/>
              <w:t>—  </w:t>
            </w:r>
          </w:p>
        </w:tc>
        <w:tc>
          <w:tcPr>
            <w:tcW w:w="8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249,543</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76" w:type="dxa"/>
            <w:tcBorders/>
            <w:shd w:fill="FFFFFF" w:val="clear"/>
            <w:tcMar>
              <w:bottom w:w="0" w:type="dxa"/>
            </w:tcMar>
            <w:vAlign w:val="center"/>
          </w:tcPr>
          <w:p>
            <w:pPr>
              <w:pStyle w:val="TableContents"/>
              <w:spacing w:before="0" w:after="283"/>
              <w:jc w:val="right"/>
              <w:rPr/>
            </w:pPr>
            <w:r>
              <w:rPr/>
              <w:t>—  </w:t>
            </w:r>
          </w:p>
        </w:tc>
        <w:tc>
          <w:tcPr>
            <w:tcW w:w="10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w:t>
            </w:r>
          </w:p>
        </w:tc>
        <w:tc>
          <w:tcPr>
            <w:tcW w:w="1192" w:type="dxa"/>
            <w:tcBorders/>
            <w:shd w:fill="FFFFFF" w:val="clear"/>
            <w:tcMar>
              <w:bottom w:w="0" w:type="dxa"/>
            </w:tcMar>
            <w:vAlign w:val="center"/>
          </w:tcPr>
          <w:p>
            <w:pPr>
              <w:pStyle w:val="TableContents"/>
              <w:spacing w:before="0" w:after="283"/>
              <w:jc w:val="right"/>
              <w:rPr/>
            </w:pPr>
            <w:r>
              <w:rPr/>
              <w:t>525,000</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center"/>
          </w:tcPr>
          <w:p>
            <w:pPr>
              <w:pStyle w:val="TableContents"/>
              <w:spacing w:before="0" w:after="283"/>
              <w:jc w:val="left"/>
              <w:rPr/>
            </w:pPr>
            <w:r>
              <w:rPr/>
              <w:t>$</w:t>
            </w:r>
          </w:p>
        </w:tc>
        <w:tc>
          <w:tcPr>
            <w:tcW w:w="1151" w:type="dxa"/>
            <w:tcBorders/>
            <w:shd w:fill="FFFFFF" w:val="clear"/>
            <w:tcMar>
              <w:bottom w:w="0" w:type="dxa"/>
            </w:tcMar>
            <w:vAlign w:val="center"/>
          </w:tcPr>
          <w:p>
            <w:pPr>
              <w:pStyle w:val="TableContents"/>
              <w:spacing w:before="0" w:after="283"/>
              <w:jc w:val="right"/>
              <w:rPr/>
            </w:pPr>
            <w:r>
              <w:rPr/>
              <w:t>(51,153</w:t>
            </w:r>
          </w:p>
        </w:tc>
        <w:tc>
          <w:tcPr>
            <w:tcW w:w="138"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pPr>
            <w:r>
              <w:rPr/>
              <w:t> </w:t>
            </w:r>
          </w:p>
        </w:tc>
        <w:tc>
          <w:tcPr>
            <w:tcW w:w="246" w:type="dxa"/>
            <w:tcBorders/>
            <w:shd w:fill="FFFFFF" w:val="clear"/>
            <w:tcMar>
              <w:bottom w:w="0" w:type="dxa"/>
            </w:tcMar>
            <w:vAlign w:val="center"/>
          </w:tcPr>
          <w:p>
            <w:pPr>
              <w:pStyle w:val="TableContents"/>
              <w:spacing w:before="0" w:after="283"/>
              <w:jc w:val="left"/>
              <w:rPr/>
            </w:pPr>
            <w:r>
              <w:rPr/>
              <w:t>$</w:t>
            </w:r>
          </w:p>
        </w:tc>
        <w:tc>
          <w:tcPr>
            <w:tcW w:w="1197" w:type="dxa"/>
            <w:tcBorders/>
            <w:shd w:fill="FFFFFF" w:val="clear"/>
            <w:tcMar>
              <w:bottom w:w="0" w:type="dxa"/>
            </w:tcMar>
            <w:vAlign w:val="center"/>
          </w:tcPr>
          <w:p>
            <w:pPr>
              <w:pStyle w:val="TableContents"/>
              <w:spacing w:before="0" w:after="283"/>
              <w:jc w:val="right"/>
              <w:rPr/>
            </w:pPr>
            <w:r>
              <w:rPr/>
              <w:t>69,081</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980" w:type="dxa"/>
            <w:tcBorders/>
            <w:shd w:fill="FFFFFF" w:val="clear"/>
            <w:tcMar>
              <w:bottom w:w="0" w:type="dxa"/>
            </w:tcMar>
            <w:vAlign w:val="center"/>
          </w:tcPr>
          <w:p>
            <w:pPr>
              <w:pStyle w:val="TableContents"/>
              <w:spacing w:before="0" w:after="283"/>
              <w:jc w:val="right"/>
              <w:rPr/>
            </w:pPr>
            <w:r>
              <w:rPr/>
              <w:t>1,317,471</w:t>
            </w:r>
          </w:p>
        </w:tc>
        <w:tc>
          <w:tcPr>
            <w:tcW w:w="161" w:type="dxa"/>
            <w:tcBorders/>
            <w:shd w:fill="FFFF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CCEEFF" w:val="clear"/>
            <w:tcMar>
              <w:bottom w:w="0" w:type="dxa"/>
            </w:tcMar>
            <w:vAlign w:val="center"/>
          </w:tcPr>
          <w:p>
            <w:pPr>
              <w:pStyle w:val="TableContents"/>
              <w:spacing w:before="0" w:after="283"/>
              <w:jc w:val="left"/>
              <w:rPr/>
            </w:pPr>
            <w:r>
              <w:rPr/>
              <w:t>Executive Officer</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500" w:type="dxa"/>
            <w:tcBorders/>
            <w:shd w:fill="CCEEFF" w:val="clear"/>
            <w:tcMar>
              <w:bottom w:w="0" w:type="dxa"/>
            </w:tcMar>
            <w:vAlign w:val="center"/>
          </w:tcPr>
          <w:p>
            <w:pPr>
              <w:pStyle w:val="TableContents"/>
              <w:spacing w:before="0" w:after="283"/>
              <w:jc w:val="right"/>
              <w:rPr/>
            </w:pPr>
            <w:r>
              <w:rPr/>
              <w:t>2012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500,000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505" w:type="dxa"/>
            <w:tcBorders/>
            <w:shd w:fill="CCEEFF" w:val="clear"/>
            <w:tcMar>
              <w:bottom w:w="0" w:type="dxa"/>
            </w:tcMar>
            <w:vAlign w:val="center"/>
          </w:tcPr>
          <w:p>
            <w:pPr>
              <w:pStyle w:val="TableContents"/>
              <w:spacing w:before="0" w:after="283"/>
              <w:jc w:val="right"/>
              <w:rPr/>
            </w:pPr>
            <w:r>
              <w:rPr/>
              <w:t>—  </w:t>
            </w:r>
          </w:p>
        </w:tc>
        <w:tc>
          <w:tcPr>
            <w:tcW w:w="8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89,447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76" w:type="dxa"/>
            <w:tcBorders/>
            <w:shd w:fill="CCEEFF" w:val="clear"/>
            <w:tcMar>
              <w:bottom w:w="0" w:type="dxa"/>
            </w:tcMar>
            <w:vAlign w:val="center"/>
          </w:tcPr>
          <w:p>
            <w:pPr>
              <w:pStyle w:val="TableContents"/>
              <w:spacing w:before="0" w:after="283"/>
              <w:jc w:val="right"/>
              <w:rPr/>
            </w:pPr>
            <w:r>
              <w:rPr/>
              <w:t>—  </w:t>
            </w:r>
          </w:p>
        </w:tc>
        <w:tc>
          <w:tcPr>
            <w:tcW w:w="10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w:t>
            </w:r>
          </w:p>
        </w:tc>
        <w:tc>
          <w:tcPr>
            <w:tcW w:w="1192" w:type="dxa"/>
            <w:tcBorders/>
            <w:shd w:fill="CCEEFF" w:val="clear"/>
            <w:tcMar>
              <w:bottom w:w="0" w:type="dxa"/>
            </w:tcMar>
            <w:vAlign w:val="center"/>
          </w:tcPr>
          <w:p>
            <w:pPr>
              <w:pStyle w:val="TableContents"/>
              <w:spacing w:before="0" w:after="283"/>
              <w:jc w:val="right"/>
              <w:rPr/>
            </w:pPr>
            <w:r>
              <w:rPr/>
              <w:t>250,000</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center"/>
          </w:tcPr>
          <w:p>
            <w:pPr>
              <w:pStyle w:val="TableContents"/>
              <w:spacing w:before="0" w:after="283"/>
              <w:jc w:val="left"/>
              <w:rPr/>
            </w:pPr>
            <w:r>
              <w:rPr/>
              <w:t>$</w:t>
            </w:r>
          </w:p>
        </w:tc>
        <w:tc>
          <w:tcPr>
            <w:tcW w:w="1151" w:type="dxa"/>
            <w:tcBorders/>
            <w:shd w:fill="CCEEFF" w:val="clear"/>
            <w:tcMar>
              <w:bottom w:w="0" w:type="dxa"/>
            </w:tcMar>
            <w:vAlign w:val="center"/>
          </w:tcPr>
          <w:p>
            <w:pPr>
              <w:pStyle w:val="TableContents"/>
              <w:spacing w:before="0" w:after="283"/>
              <w:jc w:val="right"/>
              <w:rPr/>
            </w:pPr>
            <w:r>
              <w:rPr/>
              <w:t>314,058</w:t>
            </w:r>
          </w:p>
        </w:tc>
        <w:tc>
          <w:tcPr>
            <w:tcW w:w="13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46" w:type="dxa"/>
            <w:tcBorders/>
            <w:shd w:fill="CCEEFF" w:val="clear"/>
            <w:tcMar>
              <w:bottom w:w="0" w:type="dxa"/>
            </w:tcMar>
            <w:vAlign w:val="center"/>
          </w:tcPr>
          <w:p>
            <w:pPr>
              <w:pStyle w:val="TableContents"/>
              <w:spacing w:before="0" w:after="283"/>
              <w:jc w:val="left"/>
              <w:rPr/>
            </w:pPr>
            <w:r>
              <w:rPr/>
              <w:t>$</w:t>
            </w:r>
          </w:p>
        </w:tc>
        <w:tc>
          <w:tcPr>
            <w:tcW w:w="1197" w:type="dxa"/>
            <w:tcBorders/>
            <w:shd w:fill="CCEEFF" w:val="clear"/>
            <w:tcMar>
              <w:bottom w:w="0" w:type="dxa"/>
            </w:tcMar>
            <w:vAlign w:val="center"/>
          </w:tcPr>
          <w:p>
            <w:pPr>
              <w:pStyle w:val="TableContents"/>
              <w:spacing w:before="0" w:after="283"/>
              <w:jc w:val="right"/>
              <w:rPr/>
            </w:pPr>
            <w:r>
              <w:rPr/>
              <w:t>76,933</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1,230,438</w:t>
            </w:r>
          </w:p>
        </w:tc>
        <w:tc>
          <w:tcPr>
            <w:tcW w:w="161" w:type="dxa"/>
            <w:tcBorders/>
            <w:shd w:fill="CCEE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5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505" w:type="dxa"/>
            <w:tcBorders/>
            <w:shd w:fill="FFFFFF" w:val="clear"/>
            <w:tcMar>
              <w:bottom w:w="0" w:type="dxa"/>
            </w:tcMar>
            <w:vAlign w:val="center"/>
          </w:tcPr>
          <w:p>
            <w:pPr>
              <w:pStyle w:val="TableContents"/>
              <w:spacing w:before="0" w:after="283"/>
              <w:jc w:val="right"/>
              <w:rPr/>
            </w:pPr>
            <w:r>
              <w:rPr/>
              <w:t> </w:t>
            </w:r>
          </w:p>
        </w:tc>
        <w:tc>
          <w:tcPr>
            <w:tcW w:w="8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76" w:type="dxa"/>
            <w:tcBorders/>
            <w:shd w:fill="FFFFFF" w:val="clear"/>
            <w:tcMar>
              <w:bottom w:w="0" w:type="dxa"/>
            </w:tcMar>
            <w:vAlign w:val="center"/>
          </w:tcPr>
          <w:p>
            <w:pPr>
              <w:pStyle w:val="TableContents"/>
              <w:spacing w:before="0" w:after="283"/>
              <w:jc w:val="right"/>
              <w:rPr/>
            </w:pPr>
            <w:r>
              <w:rPr/>
              <w:t> </w:t>
            </w:r>
          </w:p>
        </w:tc>
        <w:tc>
          <w:tcPr>
            <w:tcW w:w="10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 </w:t>
            </w:r>
          </w:p>
        </w:tc>
        <w:tc>
          <w:tcPr>
            <w:tcW w:w="1192" w:type="dxa"/>
            <w:tcBorders/>
            <w:shd w:fill="FFFFFF" w:val="clear"/>
            <w:tcMar>
              <w:bottom w:w="0" w:type="dxa"/>
            </w:tcMar>
            <w:vAlign w:val="center"/>
          </w:tcPr>
          <w:p>
            <w:pPr>
              <w:pStyle w:val="TableContents"/>
              <w:spacing w:before="0" w:after="283"/>
              <w:jc w:val="right"/>
              <w:rPr/>
            </w:pPr>
            <w:r>
              <w:rPr/>
              <w:t> </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center"/>
          </w:tcPr>
          <w:p>
            <w:pPr>
              <w:pStyle w:val="TableContents"/>
              <w:spacing w:before="0" w:after="283"/>
              <w:jc w:val="left"/>
              <w:rPr/>
            </w:pPr>
            <w:r>
              <w:rPr/>
              <w:t> </w:t>
            </w:r>
          </w:p>
        </w:tc>
        <w:tc>
          <w:tcPr>
            <w:tcW w:w="1151" w:type="dxa"/>
            <w:tcBorders/>
            <w:shd w:fill="FFFFFF" w:val="clear"/>
            <w:tcMar>
              <w:bottom w:w="0" w:type="dxa"/>
            </w:tcMar>
            <w:vAlign w:val="center"/>
          </w:tcPr>
          <w:p>
            <w:pPr>
              <w:pStyle w:val="TableContents"/>
              <w:spacing w:before="0" w:after="283"/>
              <w:jc w:val="right"/>
              <w:rPr/>
            </w:pPr>
            <w:r>
              <w:rPr/>
              <w:t> </w:t>
            </w:r>
          </w:p>
        </w:tc>
        <w:tc>
          <w:tcPr>
            <w:tcW w:w="13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46" w:type="dxa"/>
            <w:tcBorders/>
            <w:shd w:fill="FFFFFF" w:val="clear"/>
            <w:tcMar>
              <w:bottom w:w="0" w:type="dxa"/>
            </w:tcMar>
            <w:vAlign w:val="center"/>
          </w:tcPr>
          <w:p>
            <w:pPr>
              <w:pStyle w:val="TableContents"/>
              <w:spacing w:before="0" w:after="283"/>
              <w:jc w:val="left"/>
              <w:rPr/>
            </w:pPr>
            <w:r>
              <w:rPr/>
              <w:t> </w:t>
            </w:r>
          </w:p>
        </w:tc>
        <w:tc>
          <w:tcPr>
            <w:tcW w:w="1197"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161" w:type="dxa"/>
            <w:tcBorders/>
            <w:shd w:fill="FFFF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CCEEFF" w:val="clear"/>
            <w:tcMar>
              <w:bottom w:w="0" w:type="dxa"/>
            </w:tcMar>
            <w:vAlign w:val="center"/>
          </w:tcPr>
          <w:p>
            <w:pPr>
              <w:pStyle w:val="TableContents"/>
              <w:spacing w:before="0" w:after="283"/>
              <w:jc w:val="left"/>
              <w:rPr/>
            </w:pPr>
            <w:r>
              <w:rPr/>
              <w:t>Daniel T. Smith</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500" w:type="dxa"/>
            <w:tcBorders/>
            <w:shd w:fill="CCEEFF" w:val="clear"/>
            <w:tcMar>
              <w:bottom w:w="0" w:type="dxa"/>
            </w:tcMar>
            <w:vAlign w:val="center"/>
          </w:tcPr>
          <w:p>
            <w:pPr>
              <w:pStyle w:val="TableContents"/>
              <w:spacing w:before="0" w:after="283"/>
              <w:jc w:val="right"/>
              <w:rPr/>
            </w:pPr>
            <w:r>
              <w:rPr/>
              <w:t>2014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212,500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505" w:type="dxa"/>
            <w:tcBorders/>
            <w:shd w:fill="CCEEFF" w:val="clear"/>
            <w:tcMar>
              <w:bottom w:w="0" w:type="dxa"/>
            </w:tcMar>
            <w:vAlign w:val="center"/>
          </w:tcPr>
          <w:p>
            <w:pPr>
              <w:pStyle w:val="TableContents"/>
              <w:spacing w:before="0" w:after="283"/>
              <w:jc w:val="right"/>
              <w:rPr/>
            </w:pPr>
            <w:r>
              <w:rPr/>
              <w:t>—  </w:t>
            </w:r>
          </w:p>
        </w:tc>
        <w:tc>
          <w:tcPr>
            <w:tcW w:w="8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0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76" w:type="dxa"/>
            <w:tcBorders/>
            <w:shd w:fill="CCEEFF" w:val="clear"/>
            <w:tcMar>
              <w:bottom w:w="0" w:type="dxa"/>
            </w:tcMar>
            <w:vAlign w:val="center"/>
          </w:tcPr>
          <w:p>
            <w:pPr>
              <w:pStyle w:val="TableContents"/>
              <w:spacing w:before="0" w:after="283"/>
              <w:jc w:val="right"/>
              <w:rPr/>
            </w:pPr>
            <w:r>
              <w:rPr/>
              <w:t>—  </w:t>
            </w:r>
          </w:p>
        </w:tc>
        <w:tc>
          <w:tcPr>
            <w:tcW w:w="10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w:t>
            </w:r>
          </w:p>
        </w:tc>
        <w:tc>
          <w:tcPr>
            <w:tcW w:w="1192" w:type="dxa"/>
            <w:tcBorders/>
            <w:shd w:fill="CCEEFF" w:val="clear"/>
            <w:tcMar>
              <w:bottom w:w="0" w:type="dxa"/>
            </w:tcMar>
            <w:vAlign w:val="center"/>
          </w:tcPr>
          <w:p>
            <w:pPr>
              <w:pStyle w:val="TableContents"/>
              <w:spacing w:before="0" w:after="283"/>
              <w:jc w:val="right"/>
              <w:rPr/>
            </w:pPr>
            <w:r>
              <w:rPr/>
              <w:t>2,000</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center"/>
          </w:tcPr>
          <w:p>
            <w:pPr>
              <w:pStyle w:val="TableContents"/>
              <w:spacing w:before="0" w:after="283"/>
              <w:jc w:val="left"/>
              <w:rPr/>
            </w:pPr>
            <w:r>
              <w:rPr/>
              <w:t>$</w:t>
            </w:r>
          </w:p>
        </w:tc>
        <w:tc>
          <w:tcPr>
            <w:tcW w:w="1151" w:type="dxa"/>
            <w:tcBorders/>
            <w:shd w:fill="CCEEFF" w:val="clear"/>
            <w:tcMar>
              <w:bottom w:w="0" w:type="dxa"/>
            </w:tcMar>
            <w:vAlign w:val="center"/>
          </w:tcPr>
          <w:p>
            <w:pPr>
              <w:pStyle w:val="TableContents"/>
              <w:spacing w:before="0" w:after="283"/>
              <w:jc w:val="right"/>
              <w:rPr/>
            </w:pPr>
            <w:r>
              <w:rPr/>
              <w:t>34,331</w:t>
            </w:r>
          </w:p>
        </w:tc>
        <w:tc>
          <w:tcPr>
            <w:tcW w:w="13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46" w:type="dxa"/>
            <w:tcBorders/>
            <w:shd w:fill="CCEEFF" w:val="clear"/>
            <w:tcMar>
              <w:bottom w:w="0" w:type="dxa"/>
            </w:tcMar>
            <w:vAlign w:val="center"/>
          </w:tcPr>
          <w:p>
            <w:pPr>
              <w:pStyle w:val="TableContents"/>
              <w:spacing w:before="0" w:after="283"/>
              <w:jc w:val="left"/>
              <w:rPr/>
            </w:pPr>
            <w:r>
              <w:rPr/>
              <w:t>$</w:t>
            </w:r>
          </w:p>
        </w:tc>
        <w:tc>
          <w:tcPr>
            <w:tcW w:w="1197" w:type="dxa"/>
            <w:tcBorders/>
            <w:shd w:fill="CCEEFF" w:val="clear"/>
            <w:tcMar>
              <w:bottom w:w="0" w:type="dxa"/>
            </w:tcMar>
            <w:vAlign w:val="center"/>
          </w:tcPr>
          <w:p>
            <w:pPr>
              <w:pStyle w:val="TableContents"/>
              <w:spacing w:before="0" w:after="283"/>
              <w:jc w:val="right"/>
              <w:rPr/>
            </w:pPr>
            <w:r>
              <w:rPr/>
              <w:t>14,482</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263,313</w:t>
            </w:r>
          </w:p>
        </w:tc>
        <w:tc>
          <w:tcPr>
            <w:tcW w:w="161" w:type="dxa"/>
            <w:tcBorders/>
            <w:shd w:fill="CCEE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FFFFFF" w:val="clear"/>
            <w:tcMar>
              <w:bottom w:w="0" w:type="dxa"/>
            </w:tcMar>
            <w:vAlign w:val="center"/>
          </w:tcPr>
          <w:p>
            <w:pPr>
              <w:pStyle w:val="TableContents"/>
              <w:spacing w:before="0" w:after="283"/>
              <w:jc w:val="left"/>
              <w:rPr/>
            </w:pPr>
            <w:r>
              <w:rPr/>
              <w:t>Vice President, Chief</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500" w:type="dxa"/>
            <w:tcBorders/>
            <w:shd w:fill="FFFFFF" w:val="clear"/>
            <w:tcMar>
              <w:bottom w:w="0" w:type="dxa"/>
            </w:tcMar>
            <w:vAlign w:val="center"/>
          </w:tcPr>
          <w:p>
            <w:pPr>
              <w:pStyle w:val="TableContents"/>
              <w:spacing w:before="0" w:after="283"/>
              <w:jc w:val="right"/>
              <w:rPr/>
            </w:pPr>
            <w:r>
              <w:rPr/>
              <w:t>2013</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201,667</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505" w:type="dxa"/>
            <w:tcBorders/>
            <w:shd w:fill="FFFFFF" w:val="clear"/>
            <w:tcMar>
              <w:bottom w:w="0" w:type="dxa"/>
            </w:tcMar>
            <w:vAlign w:val="center"/>
          </w:tcPr>
          <w:p>
            <w:pPr>
              <w:pStyle w:val="TableContents"/>
              <w:spacing w:before="0" w:after="283"/>
              <w:jc w:val="right"/>
              <w:rPr/>
            </w:pPr>
            <w:r>
              <w:rPr/>
              <w:t>—  </w:t>
            </w:r>
          </w:p>
        </w:tc>
        <w:tc>
          <w:tcPr>
            <w:tcW w:w="8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26,300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76" w:type="dxa"/>
            <w:tcBorders/>
            <w:shd w:fill="FFFFFF" w:val="clear"/>
            <w:tcMar>
              <w:bottom w:w="0" w:type="dxa"/>
            </w:tcMar>
            <w:vAlign w:val="center"/>
          </w:tcPr>
          <w:p>
            <w:pPr>
              <w:pStyle w:val="TableContents"/>
              <w:spacing w:before="0" w:after="283"/>
              <w:jc w:val="right"/>
              <w:rPr/>
            </w:pPr>
            <w:r>
              <w:rPr/>
              <w:t>—  </w:t>
            </w:r>
          </w:p>
        </w:tc>
        <w:tc>
          <w:tcPr>
            <w:tcW w:w="10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w:t>
            </w:r>
          </w:p>
        </w:tc>
        <w:tc>
          <w:tcPr>
            <w:tcW w:w="1192" w:type="dxa"/>
            <w:tcBorders/>
            <w:shd w:fill="FFFFFF" w:val="clear"/>
            <w:tcMar>
              <w:bottom w:w="0" w:type="dxa"/>
            </w:tcMar>
            <w:vAlign w:val="center"/>
          </w:tcPr>
          <w:p>
            <w:pPr>
              <w:pStyle w:val="TableContents"/>
              <w:spacing w:before="0" w:after="283"/>
              <w:jc w:val="right"/>
              <w:rPr/>
            </w:pPr>
            <w:r>
              <w:rPr/>
              <w:t>221,833</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center"/>
          </w:tcPr>
          <w:p>
            <w:pPr>
              <w:pStyle w:val="TableContents"/>
              <w:spacing w:before="0" w:after="283"/>
              <w:jc w:val="left"/>
              <w:rPr/>
            </w:pPr>
            <w:r>
              <w:rPr/>
              <w:t>$</w:t>
            </w:r>
          </w:p>
        </w:tc>
        <w:tc>
          <w:tcPr>
            <w:tcW w:w="1151" w:type="dxa"/>
            <w:tcBorders/>
            <w:shd w:fill="FFFFFF" w:val="clear"/>
            <w:tcMar>
              <w:bottom w:w="0" w:type="dxa"/>
            </w:tcMar>
            <w:vAlign w:val="center"/>
          </w:tcPr>
          <w:p>
            <w:pPr>
              <w:pStyle w:val="TableContents"/>
              <w:spacing w:before="0" w:after="283"/>
              <w:jc w:val="right"/>
              <w:rPr/>
            </w:pPr>
            <w:r>
              <w:rPr/>
              <w:t>2,874</w:t>
            </w:r>
          </w:p>
        </w:tc>
        <w:tc>
          <w:tcPr>
            <w:tcW w:w="13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46" w:type="dxa"/>
            <w:tcBorders/>
            <w:shd w:fill="FFFFFF" w:val="clear"/>
            <w:tcMar>
              <w:bottom w:w="0" w:type="dxa"/>
            </w:tcMar>
            <w:vAlign w:val="center"/>
          </w:tcPr>
          <w:p>
            <w:pPr>
              <w:pStyle w:val="TableContents"/>
              <w:spacing w:before="0" w:after="283"/>
              <w:jc w:val="left"/>
              <w:rPr/>
            </w:pPr>
            <w:r>
              <w:rPr/>
              <w:t>$</w:t>
            </w:r>
          </w:p>
        </w:tc>
        <w:tc>
          <w:tcPr>
            <w:tcW w:w="1197" w:type="dxa"/>
            <w:tcBorders/>
            <w:shd w:fill="FFFFFF" w:val="clear"/>
            <w:tcMar>
              <w:bottom w:w="0" w:type="dxa"/>
            </w:tcMar>
            <w:vAlign w:val="center"/>
          </w:tcPr>
          <w:p>
            <w:pPr>
              <w:pStyle w:val="TableContents"/>
              <w:spacing w:before="0" w:after="283"/>
              <w:jc w:val="right"/>
              <w:rPr/>
            </w:pPr>
            <w:r>
              <w:rPr/>
              <w:t>7,594</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980" w:type="dxa"/>
            <w:tcBorders/>
            <w:shd w:fill="FFFFFF" w:val="clear"/>
            <w:tcMar>
              <w:bottom w:w="0" w:type="dxa"/>
            </w:tcMar>
            <w:vAlign w:val="center"/>
          </w:tcPr>
          <w:p>
            <w:pPr>
              <w:pStyle w:val="TableContents"/>
              <w:spacing w:before="0" w:after="283"/>
              <w:jc w:val="right"/>
              <w:rPr/>
            </w:pPr>
            <w:r>
              <w:rPr/>
              <w:t>460,268</w:t>
            </w:r>
          </w:p>
        </w:tc>
        <w:tc>
          <w:tcPr>
            <w:tcW w:w="161" w:type="dxa"/>
            <w:tcBorders/>
            <w:shd w:fill="FFFF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CCEEFF" w:val="clear"/>
            <w:tcMar>
              <w:bottom w:w="0" w:type="dxa"/>
            </w:tcMar>
            <w:vAlign w:val="center"/>
          </w:tcPr>
          <w:p>
            <w:pPr>
              <w:pStyle w:val="TableContents"/>
              <w:spacing w:before="0" w:after="283"/>
              <w:jc w:val="left"/>
              <w:rPr/>
            </w:pPr>
            <w:r>
              <w:rPr/>
              <w:t>Financial Officer</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500" w:type="dxa"/>
            <w:tcBorders/>
            <w:shd w:fill="CCEEFF" w:val="clear"/>
            <w:tcMar>
              <w:bottom w:w="0" w:type="dxa"/>
            </w:tcMar>
            <w:vAlign w:val="center"/>
          </w:tcPr>
          <w:p>
            <w:pPr>
              <w:pStyle w:val="TableContents"/>
              <w:spacing w:before="0" w:after="283"/>
              <w:jc w:val="right"/>
              <w:rPr/>
            </w:pPr>
            <w:r>
              <w:rPr/>
              <w:t>2012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181,667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505" w:type="dxa"/>
            <w:tcBorders/>
            <w:shd w:fill="CCEEFF" w:val="clear"/>
            <w:tcMar>
              <w:bottom w:w="0" w:type="dxa"/>
            </w:tcMar>
            <w:vAlign w:val="center"/>
          </w:tcPr>
          <w:p>
            <w:pPr>
              <w:pStyle w:val="TableContents"/>
              <w:spacing w:before="0" w:after="283"/>
              <w:jc w:val="right"/>
              <w:rPr/>
            </w:pPr>
            <w:r>
              <w:rPr/>
              <w:t>—  </w:t>
            </w:r>
          </w:p>
        </w:tc>
        <w:tc>
          <w:tcPr>
            <w:tcW w:w="8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0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76" w:type="dxa"/>
            <w:tcBorders/>
            <w:shd w:fill="CCEEFF" w:val="clear"/>
            <w:tcMar>
              <w:bottom w:w="0" w:type="dxa"/>
            </w:tcMar>
            <w:vAlign w:val="center"/>
          </w:tcPr>
          <w:p>
            <w:pPr>
              <w:pStyle w:val="TableContents"/>
              <w:spacing w:before="0" w:after="283"/>
              <w:jc w:val="right"/>
              <w:rPr/>
            </w:pPr>
            <w:r>
              <w:rPr/>
              <w:t>—  </w:t>
            </w:r>
          </w:p>
        </w:tc>
        <w:tc>
          <w:tcPr>
            <w:tcW w:w="10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w:t>
            </w:r>
          </w:p>
        </w:tc>
        <w:tc>
          <w:tcPr>
            <w:tcW w:w="1192" w:type="dxa"/>
            <w:tcBorders/>
            <w:shd w:fill="CCEEFF" w:val="clear"/>
            <w:tcMar>
              <w:bottom w:w="0" w:type="dxa"/>
            </w:tcMar>
            <w:vAlign w:val="center"/>
          </w:tcPr>
          <w:p>
            <w:pPr>
              <w:pStyle w:val="TableContents"/>
              <w:spacing w:before="0" w:after="283"/>
              <w:jc w:val="right"/>
              <w:rPr/>
            </w:pPr>
            <w:r>
              <w:rPr/>
              <w:t>82,059</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center"/>
          </w:tcPr>
          <w:p>
            <w:pPr>
              <w:pStyle w:val="TableContents"/>
              <w:spacing w:before="0" w:after="283"/>
              <w:jc w:val="left"/>
              <w:rPr/>
            </w:pPr>
            <w:r>
              <w:rPr/>
              <w:t>$</w:t>
            </w:r>
          </w:p>
        </w:tc>
        <w:tc>
          <w:tcPr>
            <w:tcW w:w="1151" w:type="dxa"/>
            <w:tcBorders/>
            <w:shd w:fill="CCEEFF" w:val="clear"/>
            <w:tcMar>
              <w:bottom w:w="0" w:type="dxa"/>
            </w:tcMar>
            <w:vAlign w:val="center"/>
          </w:tcPr>
          <w:p>
            <w:pPr>
              <w:pStyle w:val="TableContents"/>
              <w:spacing w:before="0" w:after="283"/>
              <w:jc w:val="right"/>
              <w:rPr/>
            </w:pPr>
            <w:r>
              <w:rPr/>
              <w:t>45,844</w:t>
            </w:r>
          </w:p>
        </w:tc>
        <w:tc>
          <w:tcPr>
            <w:tcW w:w="13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46" w:type="dxa"/>
            <w:tcBorders/>
            <w:shd w:fill="CCEEFF" w:val="clear"/>
            <w:tcMar>
              <w:bottom w:w="0" w:type="dxa"/>
            </w:tcMar>
            <w:vAlign w:val="center"/>
          </w:tcPr>
          <w:p>
            <w:pPr>
              <w:pStyle w:val="TableContents"/>
              <w:spacing w:before="0" w:after="283"/>
              <w:jc w:val="left"/>
              <w:rPr/>
            </w:pPr>
            <w:r>
              <w:rPr/>
              <w:t>$</w:t>
            </w:r>
          </w:p>
        </w:tc>
        <w:tc>
          <w:tcPr>
            <w:tcW w:w="1197" w:type="dxa"/>
            <w:tcBorders/>
            <w:shd w:fill="CCEEFF" w:val="clear"/>
            <w:tcMar>
              <w:bottom w:w="0" w:type="dxa"/>
            </w:tcMar>
            <w:vAlign w:val="center"/>
          </w:tcPr>
          <w:p>
            <w:pPr>
              <w:pStyle w:val="TableContents"/>
              <w:spacing w:before="0" w:after="283"/>
              <w:jc w:val="right"/>
              <w:rPr/>
            </w:pPr>
            <w:r>
              <w:rPr/>
              <w:t>5,429</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314,999</w:t>
            </w:r>
          </w:p>
        </w:tc>
        <w:tc>
          <w:tcPr>
            <w:tcW w:w="161" w:type="dxa"/>
            <w:tcBorders/>
            <w:shd w:fill="CCEE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5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505" w:type="dxa"/>
            <w:tcBorders/>
            <w:shd w:fill="FFFFFF" w:val="clear"/>
            <w:tcMar>
              <w:bottom w:w="0" w:type="dxa"/>
            </w:tcMar>
            <w:vAlign w:val="center"/>
          </w:tcPr>
          <w:p>
            <w:pPr>
              <w:pStyle w:val="TableContents"/>
              <w:spacing w:before="0" w:after="283"/>
              <w:jc w:val="right"/>
              <w:rPr/>
            </w:pPr>
            <w:r>
              <w:rPr/>
              <w:t> </w:t>
            </w:r>
          </w:p>
        </w:tc>
        <w:tc>
          <w:tcPr>
            <w:tcW w:w="8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76" w:type="dxa"/>
            <w:tcBorders/>
            <w:shd w:fill="FFFFFF" w:val="clear"/>
            <w:tcMar>
              <w:bottom w:w="0" w:type="dxa"/>
            </w:tcMar>
            <w:vAlign w:val="center"/>
          </w:tcPr>
          <w:p>
            <w:pPr>
              <w:pStyle w:val="TableContents"/>
              <w:spacing w:before="0" w:after="283"/>
              <w:jc w:val="right"/>
              <w:rPr/>
            </w:pPr>
            <w:r>
              <w:rPr/>
              <w:t> </w:t>
            </w:r>
          </w:p>
        </w:tc>
        <w:tc>
          <w:tcPr>
            <w:tcW w:w="10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 </w:t>
            </w:r>
          </w:p>
        </w:tc>
        <w:tc>
          <w:tcPr>
            <w:tcW w:w="1192" w:type="dxa"/>
            <w:tcBorders/>
            <w:shd w:fill="FFFFFF" w:val="clear"/>
            <w:tcMar>
              <w:bottom w:w="0" w:type="dxa"/>
            </w:tcMar>
            <w:vAlign w:val="center"/>
          </w:tcPr>
          <w:p>
            <w:pPr>
              <w:pStyle w:val="TableContents"/>
              <w:spacing w:before="0" w:after="283"/>
              <w:jc w:val="right"/>
              <w:rPr/>
            </w:pPr>
            <w:r>
              <w:rPr/>
              <w:t> </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center"/>
          </w:tcPr>
          <w:p>
            <w:pPr>
              <w:pStyle w:val="TableContents"/>
              <w:spacing w:before="0" w:after="283"/>
              <w:jc w:val="left"/>
              <w:rPr/>
            </w:pPr>
            <w:r>
              <w:rPr/>
              <w:t> </w:t>
            </w:r>
          </w:p>
        </w:tc>
        <w:tc>
          <w:tcPr>
            <w:tcW w:w="1151" w:type="dxa"/>
            <w:tcBorders/>
            <w:shd w:fill="FFFFFF" w:val="clear"/>
            <w:tcMar>
              <w:bottom w:w="0" w:type="dxa"/>
            </w:tcMar>
            <w:vAlign w:val="center"/>
          </w:tcPr>
          <w:p>
            <w:pPr>
              <w:pStyle w:val="TableContents"/>
              <w:spacing w:before="0" w:after="283"/>
              <w:jc w:val="right"/>
              <w:rPr/>
            </w:pPr>
            <w:r>
              <w:rPr/>
              <w:t> </w:t>
            </w:r>
          </w:p>
        </w:tc>
        <w:tc>
          <w:tcPr>
            <w:tcW w:w="13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46" w:type="dxa"/>
            <w:tcBorders/>
            <w:shd w:fill="FFFFFF" w:val="clear"/>
            <w:tcMar>
              <w:bottom w:w="0" w:type="dxa"/>
            </w:tcMar>
            <w:vAlign w:val="center"/>
          </w:tcPr>
          <w:p>
            <w:pPr>
              <w:pStyle w:val="TableContents"/>
              <w:spacing w:before="0" w:after="283"/>
              <w:jc w:val="left"/>
              <w:rPr/>
            </w:pPr>
            <w:r>
              <w:rPr/>
              <w:t> </w:t>
            </w:r>
          </w:p>
        </w:tc>
        <w:tc>
          <w:tcPr>
            <w:tcW w:w="1197"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161" w:type="dxa"/>
            <w:tcBorders/>
            <w:shd w:fill="FFFF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CCEEFF" w:val="clear"/>
            <w:tcMar>
              <w:bottom w:w="0" w:type="dxa"/>
            </w:tcMar>
            <w:vAlign w:val="center"/>
          </w:tcPr>
          <w:p>
            <w:pPr>
              <w:pStyle w:val="TableContents"/>
              <w:spacing w:before="0" w:after="283"/>
              <w:jc w:val="left"/>
              <w:rPr/>
            </w:pPr>
            <w:r>
              <w:rPr/>
              <w:t>Thomas F. Cofsky</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500" w:type="dxa"/>
            <w:tcBorders/>
            <w:shd w:fill="CCEEFF" w:val="clear"/>
            <w:tcMar>
              <w:bottom w:w="0" w:type="dxa"/>
            </w:tcMar>
            <w:vAlign w:val="center"/>
          </w:tcPr>
          <w:p>
            <w:pPr>
              <w:pStyle w:val="TableContents"/>
              <w:spacing w:before="0" w:after="283"/>
              <w:jc w:val="right"/>
              <w:rPr/>
            </w:pPr>
            <w:r>
              <w:rPr/>
              <w:t>2014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253,667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505" w:type="dxa"/>
            <w:tcBorders/>
            <w:shd w:fill="CCEEFF" w:val="clear"/>
            <w:tcMar>
              <w:bottom w:w="0" w:type="dxa"/>
            </w:tcMar>
            <w:vAlign w:val="center"/>
          </w:tcPr>
          <w:p>
            <w:pPr>
              <w:pStyle w:val="TableContents"/>
              <w:spacing w:before="0" w:after="283"/>
              <w:jc w:val="right"/>
              <w:rPr/>
            </w:pPr>
            <w:r>
              <w:rPr/>
              <w:t>—  </w:t>
            </w:r>
          </w:p>
        </w:tc>
        <w:tc>
          <w:tcPr>
            <w:tcW w:w="8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0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76" w:type="dxa"/>
            <w:tcBorders/>
            <w:shd w:fill="CCEEFF" w:val="clear"/>
            <w:tcMar>
              <w:bottom w:w="0" w:type="dxa"/>
            </w:tcMar>
            <w:vAlign w:val="center"/>
          </w:tcPr>
          <w:p>
            <w:pPr>
              <w:pStyle w:val="TableContents"/>
              <w:spacing w:before="0" w:after="283"/>
              <w:jc w:val="right"/>
              <w:rPr/>
            </w:pPr>
            <w:r>
              <w:rPr/>
              <w:t>—  </w:t>
            </w:r>
          </w:p>
        </w:tc>
        <w:tc>
          <w:tcPr>
            <w:tcW w:w="10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w:t>
            </w:r>
          </w:p>
        </w:tc>
        <w:tc>
          <w:tcPr>
            <w:tcW w:w="1192" w:type="dxa"/>
            <w:tcBorders/>
            <w:shd w:fill="CCEEFF" w:val="clear"/>
            <w:tcMar>
              <w:bottom w:w="0" w:type="dxa"/>
            </w:tcMar>
            <w:vAlign w:val="center"/>
          </w:tcPr>
          <w:p>
            <w:pPr>
              <w:pStyle w:val="TableContents"/>
              <w:spacing w:before="0" w:after="283"/>
              <w:jc w:val="right"/>
              <w:rPr/>
            </w:pPr>
            <w:r>
              <w:rPr/>
              <w:t>2,000</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center"/>
          </w:tcPr>
          <w:p>
            <w:pPr>
              <w:pStyle w:val="TableContents"/>
              <w:spacing w:before="0" w:after="283"/>
              <w:jc w:val="left"/>
              <w:rPr/>
            </w:pPr>
            <w:r>
              <w:rPr/>
              <w:t>$</w:t>
            </w:r>
          </w:p>
        </w:tc>
        <w:tc>
          <w:tcPr>
            <w:tcW w:w="1151" w:type="dxa"/>
            <w:tcBorders/>
            <w:shd w:fill="CCEEFF" w:val="clear"/>
            <w:tcMar>
              <w:bottom w:w="0" w:type="dxa"/>
            </w:tcMar>
            <w:vAlign w:val="center"/>
          </w:tcPr>
          <w:p>
            <w:pPr>
              <w:pStyle w:val="TableContents"/>
              <w:spacing w:before="0" w:after="283"/>
              <w:jc w:val="right"/>
              <w:rPr/>
            </w:pPr>
            <w:r>
              <w:rPr/>
              <w:t>97,365</w:t>
            </w:r>
          </w:p>
        </w:tc>
        <w:tc>
          <w:tcPr>
            <w:tcW w:w="13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46" w:type="dxa"/>
            <w:tcBorders/>
            <w:shd w:fill="CCEEFF" w:val="clear"/>
            <w:tcMar>
              <w:bottom w:w="0" w:type="dxa"/>
            </w:tcMar>
            <w:vAlign w:val="center"/>
          </w:tcPr>
          <w:p>
            <w:pPr>
              <w:pStyle w:val="TableContents"/>
              <w:spacing w:before="0" w:after="283"/>
              <w:jc w:val="left"/>
              <w:rPr/>
            </w:pPr>
            <w:r>
              <w:rPr/>
              <w:t>$</w:t>
            </w:r>
          </w:p>
        </w:tc>
        <w:tc>
          <w:tcPr>
            <w:tcW w:w="1197" w:type="dxa"/>
            <w:tcBorders/>
            <w:shd w:fill="CCEEFF" w:val="clear"/>
            <w:tcMar>
              <w:bottom w:w="0" w:type="dxa"/>
            </w:tcMar>
            <w:vAlign w:val="center"/>
          </w:tcPr>
          <w:p>
            <w:pPr>
              <w:pStyle w:val="TableContents"/>
              <w:spacing w:before="0" w:after="283"/>
              <w:jc w:val="right"/>
              <w:rPr/>
            </w:pPr>
            <w:r>
              <w:rPr/>
              <w:t>21,776</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374,808</w:t>
            </w:r>
          </w:p>
        </w:tc>
        <w:tc>
          <w:tcPr>
            <w:tcW w:w="161" w:type="dxa"/>
            <w:tcBorders/>
            <w:shd w:fill="CCEE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FFFFFF" w:val="clear"/>
            <w:tcMar>
              <w:bottom w:w="0" w:type="dxa"/>
            </w:tcMar>
            <w:vAlign w:val="center"/>
          </w:tcPr>
          <w:p>
            <w:pPr>
              <w:pStyle w:val="TableContents"/>
              <w:spacing w:before="0" w:after="283"/>
              <w:jc w:val="left"/>
              <w:rPr/>
            </w:pPr>
            <w:r>
              <w:rPr/>
              <w:t>Vice President of</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500" w:type="dxa"/>
            <w:tcBorders/>
            <w:shd w:fill="FFFFFF" w:val="clear"/>
            <w:tcMar>
              <w:bottom w:w="0" w:type="dxa"/>
            </w:tcMar>
            <w:vAlign w:val="center"/>
          </w:tcPr>
          <w:p>
            <w:pPr>
              <w:pStyle w:val="TableContents"/>
              <w:spacing w:before="0" w:after="283"/>
              <w:jc w:val="right"/>
              <w:rPr/>
            </w:pPr>
            <w:r>
              <w:rPr/>
              <w:t>2013</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249,167</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505" w:type="dxa"/>
            <w:tcBorders/>
            <w:shd w:fill="FFFFFF" w:val="clear"/>
            <w:tcMar>
              <w:bottom w:w="0" w:type="dxa"/>
            </w:tcMar>
            <w:vAlign w:val="center"/>
          </w:tcPr>
          <w:p>
            <w:pPr>
              <w:pStyle w:val="TableContents"/>
              <w:spacing w:before="0" w:after="283"/>
              <w:jc w:val="right"/>
              <w:rPr/>
            </w:pPr>
            <w:r>
              <w:rPr/>
              <w:t>—  </w:t>
            </w:r>
          </w:p>
        </w:tc>
        <w:tc>
          <w:tcPr>
            <w:tcW w:w="8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133,102</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76" w:type="dxa"/>
            <w:tcBorders/>
            <w:shd w:fill="FFFFFF" w:val="clear"/>
            <w:tcMar>
              <w:bottom w:w="0" w:type="dxa"/>
            </w:tcMar>
            <w:vAlign w:val="center"/>
          </w:tcPr>
          <w:p>
            <w:pPr>
              <w:pStyle w:val="TableContents"/>
              <w:spacing w:before="0" w:after="283"/>
              <w:jc w:val="right"/>
              <w:rPr/>
            </w:pPr>
            <w:r>
              <w:rPr/>
              <w:t>—  </w:t>
            </w:r>
          </w:p>
        </w:tc>
        <w:tc>
          <w:tcPr>
            <w:tcW w:w="10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w:t>
            </w:r>
          </w:p>
        </w:tc>
        <w:tc>
          <w:tcPr>
            <w:tcW w:w="1192" w:type="dxa"/>
            <w:tcBorders/>
            <w:shd w:fill="FFFFFF" w:val="clear"/>
            <w:tcMar>
              <w:bottom w:w="0" w:type="dxa"/>
            </w:tcMar>
            <w:vAlign w:val="center"/>
          </w:tcPr>
          <w:p>
            <w:pPr>
              <w:pStyle w:val="TableContents"/>
              <w:spacing w:before="0" w:after="283"/>
              <w:jc w:val="right"/>
              <w:rPr/>
            </w:pPr>
            <w:r>
              <w:rPr/>
              <w:t>199,333</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center"/>
          </w:tcPr>
          <w:p>
            <w:pPr>
              <w:pStyle w:val="TableContents"/>
              <w:spacing w:before="0" w:after="283"/>
              <w:jc w:val="left"/>
              <w:rPr/>
            </w:pPr>
            <w:r>
              <w:rPr/>
              <w:t>$</w:t>
            </w:r>
          </w:p>
        </w:tc>
        <w:tc>
          <w:tcPr>
            <w:tcW w:w="1151" w:type="dxa"/>
            <w:tcBorders/>
            <w:shd w:fill="FFFFFF" w:val="clear"/>
            <w:tcMar>
              <w:bottom w:w="0" w:type="dxa"/>
            </w:tcMar>
            <w:vAlign w:val="center"/>
          </w:tcPr>
          <w:p>
            <w:pPr>
              <w:pStyle w:val="TableContents"/>
              <w:spacing w:before="0" w:after="283"/>
              <w:jc w:val="right"/>
              <w:rPr/>
            </w:pPr>
            <w:r>
              <w:rPr/>
              <w:t>(10,414</w:t>
            </w:r>
          </w:p>
        </w:tc>
        <w:tc>
          <w:tcPr>
            <w:tcW w:w="138" w:type="dxa"/>
            <w:tcBorders/>
            <w:shd w:fill="FFFFFF" w:val="clear"/>
            <w:tcMar>
              <w:bottom w:w="0" w:type="dxa"/>
            </w:tcMar>
            <w:vAlign w:val="center"/>
          </w:tcPr>
          <w:p>
            <w:pPr>
              <w:pStyle w:val="TableContents"/>
              <w:spacing w:before="0" w:after="283"/>
              <w:jc w:val="left"/>
              <w:rPr/>
            </w:pPr>
            <w:r>
              <w:rPr/>
              <w:t>)</w:t>
            </w:r>
          </w:p>
        </w:tc>
        <w:tc>
          <w:tcPr>
            <w:tcW w:w="60" w:type="dxa"/>
            <w:tcBorders/>
            <w:shd w:fill="FFFFFF" w:val="clear"/>
            <w:tcMar>
              <w:bottom w:w="0" w:type="dxa"/>
            </w:tcMar>
            <w:vAlign w:val="center"/>
          </w:tcPr>
          <w:p>
            <w:pPr>
              <w:pStyle w:val="TableContents"/>
              <w:spacing w:before="0" w:after="283"/>
              <w:rPr/>
            </w:pPr>
            <w:r>
              <w:rPr/>
              <w:t> </w:t>
            </w:r>
          </w:p>
        </w:tc>
        <w:tc>
          <w:tcPr>
            <w:tcW w:w="246" w:type="dxa"/>
            <w:tcBorders/>
            <w:shd w:fill="FFFFFF" w:val="clear"/>
            <w:tcMar>
              <w:bottom w:w="0" w:type="dxa"/>
            </w:tcMar>
            <w:vAlign w:val="center"/>
          </w:tcPr>
          <w:p>
            <w:pPr>
              <w:pStyle w:val="TableContents"/>
              <w:spacing w:before="0" w:after="283"/>
              <w:jc w:val="left"/>
              <w:rPr/>
            </w:pPr>
            <w:r>
              <w:rPr/>
              <w:t>$</w:t>
            </w:r>
          </w:p>
        </w:tc>
        <w:tc>
          <w:tcPr>
            <w:tcW w:w="1197" w:type="dxa"/>
            <w:tcBorders/>
            <w:shd w:fill="FFFFFF" w:val="clear"/>
            <w:tcMar>
              <w:bottom w:w="0" w:type="dxa"/>
            </w:tcMar>
            <w:vAlign w:val="center"/>
          </w:tcPr>
          <w:p>
            <w:pPr>
              <w:pStyle w:val="TableContents"/>
              <w:spacing w:before="0" w:after="283"/>
              <w:jc w:val="right"/>
              <w:rPr/>
            </w:pPr>
            <w:r>
              <w:rPr/>
              <w:t>20,868</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980" w:type="dxa"/>
            <w:tcBorders/>
            <w:shd w:fill="FFFFFF" w:val="clear"/>
            <w:tcMar>
              <w:bottom w:w="0" w:type="dxa"/>
            </w:tcMar>
            <w:vAlign w:val="center"/>
          </w:tcPr>
          <w:p>
            <w:pPr>
              <w:pStyle w:val="TableContents"/>
              <w:spacing w:before="0" w:after="283"/>
              <w:jc w:val="right"/>
              <w:rPr/>
            </w:pPr>
            <w:r>
              <w:rPr/>
              <w:t>592,056</w:t>
            </w:r>
          </w:p>
        </w:tc>
        <w:tc>
          <w:tcPr>
            <w:tcW w:w="161" w:type="dxa"/>
            <w:tcBorders/>
            <w:shd w:fill="FFFF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CCEEFF" w:val="clear"/>
            <w:tcMar>
              <w:bottom w:w="0" w:type="dxa"/>
            </w:tcMar>
            <w:vAlign w:val="center"/>
          </w:tcPr>
          <w:p>
            <w:pPr>
              <w:pStyle w:val="TableContents"/>
              <w:spacing w:before="0" w:after="283"/>
              <w:jc w:val="left"/>
              <w:rPr/>
            </w:pPr>
            <w:r>
              <w:rPr/>
              <w:t>Manufacturing</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500" w:type="dxa"/>
            <w:tcBorders/>
            <w:shd w:fill="CCEEFF" w:val="clear"/>
            <w:tcMar>
              <w:bottom w:w="0" w:type="dxa"/>
            </w:tcMar>
            <w:vAlign w:val="center"/>
          </w:tcPr>
          <w:p>
            <w:pPr>
              <w:pStyle w:val="TableContents"/>
              <w:spacing w:before="0" w:after="283"/>
              <w:jc w:val="right"/>
              <w:rPr/>
            </w:pPr>
            <w:r>
              <w:rPr/>
              <w:t>2012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238,525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505" w:type="dxa"/>
            <w:tcBorders/>
            <w:shd w:fill="CCEEFF" w:val="clear"/>
            <w:tcMar>
              <w:bottom w:w="0" w:type="dxa"/>
            </w:tcMar>
            <w:vAlign w:val="center"/>
          </w:tcPr>
          <w:p>
            <w:pPr>
              <w:pStyle w:val="TableContents"/>
              <w:spacing w:before="0" w:after="283"/>
              <w:jc w:val="right"/>
              <w:rPr/>
            </w:pPr>
            <w:r>
              <w:rPr/>
              <w:t>—  </w:t>
            </w:r>
          </w:p>
        </w:tc>
        <w:tc>
          <w:tcPr>
            <w:tcW w:w="8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96,258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76" w:type="dxa"/>
            <w:tcBorders/>
            <w:shd w:fill="CCEEFF" w:val="clear"/>
            <w:tcMar>
              <w:bottom w:w="0" w:type="dxa"/>
            </w:tcMar>
            <w:vAlign w:val="center"/>
          </w:tcPr>
          <w:p>
            <w:pPr>
              <w:pStyle w:val="TableContents"/>
              <w:spacing w:before="0" w:after="283"/>
              <w:jc w:val="right"/>
              <w:rPr/>
            </w:pPr>
            <w:r>
              <w:rPr/>
              <w:t>—  </w:t>
            </w:r>
          </w:p>
        </w:tc>
        <w:tc>
          <w:tcPr>
            <w:tcW w:w="10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w:t>
            </w:r>
          </w:p>
        </w:tc>
        <w:tc>
          <w:tcPr>
            <w:tcW w:w="1192" w:type="dxa"/>
            <w:tcBorders/>
            <w:shd w:fill="CCEEFF" w:val="clear"/>
            <w:tcMar>
              <w:bottom w:w="0" w:type="dxa"/>
            </w:tcMar>
            <w:vAlign w:val="center"/>
          </w:tcPr>
          <w:p>
            <w:pPr>
              <w:pStyle w:val="TableContents"/>
              <w:spacing w:before="0" w:after="283"/>
              <w:jc w:val="right"/>
              <w:rPr/>
            </w:pPr>
            <w:r>
              <w:rPr/>
              <w:t>95,410</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center"/>
          </w:tcPr>
          <w:p>
            <w:pPr>
              <w:pStyle w:val="TableContents"/>
              <w:spacing w:before="0" w:after="283"/>
              <w:jc w:val="left"/>
              <w:rPr/>
            </w:pPr>
            <w:r>
              <w:rPr/>
              <w:t>$</w:t>
            </w:r>
          </w:p>
        </w:tc>
        <w:tc>
          <w:tcPr>
            <w:tcW w:w="1151" w:type="dxa"/>
            <w:tcBorders/>
            <w:shd w:fill="CCEEFF" w:val="clear"/>
            <w:tcMar>
              <w:bottom w:w="0" w:type="dxa"/>
            </w:tcMar>
            <w:vAlign w:val="center"/>
          </w:tcPr>
          <w:p>
            <w:pPr>
              <w:pStyle w:val="TableContents"/>
              <w:spacing w:before="0" w:after="283"/>
              <w:jc w:val="right"/>
              <w:rPr/>
            </w:pPr>
            <w:r>
              <w:rPr/>
              <w:t>131,425</w:t>
            </w:r>
          </w:p>
        </w:tc>
        <w:tc>
          <w:tcPr>
            <w:tcW w:w="13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46" w:type="dxa"/>
            <w:tcBorders/>
            <w:shd w:fill="CCEEFF" w:val="clear"/>
            <w:tcMar>
              <w:bottom w:w="0" w:type="dxa"/>
            </w:tcMar>
            <w:vAlign w:val="center"/>
          </w:tcPr>
          <w:p>
            <w:pPr>
              <w:pStyle w:val="TableContents"/>
              <w:spacing w:before="0" w:after="283"/>
              <w:jc w:val="left"/>
              <w:rPr/>
            </w:pPr>
            <w:r>
              <w:rPr/>
              <w:t>$</w:t>
            </w:r>
          </w:p>
        </w:tc>
        <w:tc>
          <w:tcPr>
            <w:tcW w:w="1197" w:type="dxa"/>
            <w:tcBorders/>
            <w:shd w:fill="CCEEFF" w:val="clear"/>
            <w:tcMar>
              <w:bottom w:w="0" w:type="dxa"/>
            </w:tcMar>
            <w:vAlign w:val="center"/>
          </w:tcPr>
          <w:p>
            <w:pPr>
              <w:pStyle w:val="TableContents"/>
              <w:spacing w:before="0" w:after="283"/>
              <w:jc w:val="right"/>
              <w:rPr/>
            </w:pPr>
            <w:r>
              <w:rPr/>
              <w:t>16,804</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578,422</w:t>
            </w:r>
          </w:p>
        </w:tc>
        <w:tc>
          <w:tcPr>
            <w:tcW w:w="161" w:type="dxa"/>
            <w:tcBorders/>
            <w:shd w:fill="CCEE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5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505" w:type="dxa"/>
            <w:tcBorders/>
            <w:shd w:fill="FFFFFF" w:val="clear"/>
            <w:tcMar>
              <w:bottom w:w="0" w:type="dxa"/>
            </w:tcMar>
            <w:vAlign w:val="center"/>
          </w:tcPr>
          <w:p>
            <w:pPr>
              <w:pStyle w:val="TableContents"/>
              <w:spacing w:before="0" w:after="283"/>
              <w:jc w:val="right"/>
              <w:rPr/>
            </w:pPr>
            <w:r>
              <w:rPr/>
              <w:t> </w:t>
            </w:r>
          </w:p>
        </w:tc>
        <w:tc>
          <w:tcPr>
            <w:tcW w:w="8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76" w:type="dxa"/>
            <w:tcBorders/>
            <w:shd w:fill="FFFFFF" w:val="clear"/>
            <w:tcMar>
              <w:bottom w:w="0" w:type="dxa"/>
            </w:tcMar>
            <w:vAlign w:val="center"/>
          </w:tcPr>
          <w:p>
            <w:pPr>
              <w:pStyle w:val="TableContents"/>
              <w:spacing w:before="0" w:after="283"/>
              <w:jc w:val="right"/>
              <w:rPr/>
            </w:pPr>
            <w:r>
              <w:rPr/>
              <w:t> </w:t>
            </w:r>
          </w:p>
        </w:tc>
        <w:tc>
          <w:tcPr>
            <w:tcW w:w="10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 </w:t>
            </w:r>
          </w:p>
        </w:tc>
        <w:tc>
          <w:tcPr>
            <w:tcW w:w="1192" w:type="dxa"/>
            <w:tcBorders/>
            <w:shd w:fill="FFFFFF" w:val="clear"/>
            <w:tcMar>
              <w:bottom w:w="0" w:type="dxa"/>
            </w:tcMar>
            <w:vAlign w:val="center"/>
          </w:tcPr>
          <w:p>
            <w:pPr>
              <w:pStyle w:val="TableContents"/>
              <w:spacing w:before="0" w:after="283"/>
              <w:jc w:val="right"/>
              <w:rPr/>
            </w:pPr>
            <w:r>
              <w:rPr/>
              <w:t> </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center"/>
          </w:tcPr>
          <w:p>
            <w:pPr>
              <w:pStyle w:val="TableContents"/>
              <w:spacing w:before="0" w:after="283"/>
              <w:jc w:val="left"/>
              <w:rPr/>
            </w:pPr>
            <w:r>
              <w:rPr/>
              <w:t> </w:t>
            </w:r>
          </w:p>
        </w:tc>
        <w:tc>
          <w:tcPr>
            <w:tcW w:w="1151" w:type="dxa"/>
            <w:tcBorders/>
            <w:shd w:fill="FFFFFF" w:val="clear"/>
            <w:tcMar>
              <w:bottom w:w="0" w:type="dxa"/>
            </w:tcMar>
            <w:vAlign w:val="center"/>
          </w:tcPr>
          <w:p>
            <w:pPr>
              <w:pStyle w:val="TableContents"/>
              <w:spacing w:before="0" w:after="283"/>
              <w:jc w:val="right"/>
              <w:rPr/>
            </w:pPr>
            <w:r>
              <w:rPr/>
              <w:t> </w:t>
            </w:r>
          </w:p>
        </w:tc>
        <w:tc>
          <w:tcPr>
            <w:tcW w:w="13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46" w:type="dxa"/>
            <w:tcBorders/>
            <w:shd w:fill="FFFFFF" w:val="clear"/>
            <w:tcMar>
              <w:bottom w:w="0" w:type="dxa"/>
            </w:tcMar>
            <w:vAlign w:val="center"/>
          </w:tcPr>
          <w:p>
            <w:pPr>
              <w:pStyle w:val="TableContents"/>
              <w:spacing w:before="0" w:after="283"/>
              <w:jc w:val="left"/>
              <w:rPr/>
            </w:pPr>
            <w:r>
              <w:rPr/>
              <w:t> </w:t>
            </w:r>
          </w:p>
        </w:tc>
        <w:tc>
          <w:tcPr>
            <w:tcW w:w="1197"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161" w:type="dxa"/>
            <w:tcBorders/>
            <w:shd w:fill="FFFF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CCEEFF" w:val="clear"/>
            <w:tcMar>
              <w:bottom w:w="0" w:type="dxa"/>
            </w:tcMar>
            <w:vAlign w:val="center"/>
          </w:tcPr>
          <w:p>
            <w:pPr>
              <w:pStyle w:val="TableContents"/>
              <w:spacing w:before="0" w:after="283"/>
              <w:jc w:val="left"/>
              <w:rPr/>
            </w:pPr>
            <w:r>
              <w:rPr/>
              <w:t>Mark E. Lewry (5)</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500" w:type="dxa"/>
            <w:tcBorders/>
            <w:shd w:fill="CCEEFF" w:val="clear"/>
            <w:tcMar>
              <w:bottom w:w="0" w:type="dxa"/>
            </w:tcMar>
            <w:vAlign w:val="center"/>
          </w:tcPr>
          <w:p>
            <w:pPr>
              <w:pStyle w:val="TableContents"/>
              <w:spacing w:before="0" w:after="283"/>
              <w:jc w:val="right"/>
              <w:rPr/>
            </w:pPr>
            <w:r>
              <w:rPr/>
              <w:t>2014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101,154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505" w:type="dxa"/>
            <w:tcBorders/>
            <w:shd w:fill="CCEEFF" w:val="clear"/>
            <w:tcMar>
              <w:bottom w:w="0" w:type="dxa"/>
            </w:tcMar>
            <w:vAlign w:val="center"/>
          </w:tcPr>
          <w:p>
            <w:pPr>
              <w:pStyle w:val="TableContents"/>
              <w:spacing w:before="0" w:after="283"/>
              <w:jc w:val="right"/>
              <w:rPr/>
            </w:pPr>
            <w:r>
              <w:rPr/>
              <w:t>—  </w:t>
            </w:r>
          </w:p>
        </w:tc>
        <w:tc>
          <w:tcPr>
            <w:tcW w:w="8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403,080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76" w:type="dxa"/>
            <w:tcBorders/>
            <w:shd w:fill="CCEEFF" w:val="clear"/>
            <w:tcMar>
              <w:bottom w:w="0" w:type="dxa"/>
            </w:tcMar>
            <w:vAlign w:val="center"/>
          </w:tcPr>
          <w:p>
            <w:pPr>
              <w:pStyle w:val="TableContents"/>
              <w:spacing w:before="0" w:after="283"/>
              <w:jc w:val="right"/>
              <w:rPr/>
            </w:pPr>
            <w:r>
              <w:rPr/>
              <w:t>—  </w:t>
            </w:r>
          </w:p>
        </w:tc>
        <w:tc>
          <w:tcPr>
            <w:tcW w:w="10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w:t>
            </w:r>
          </w:p>
        </w:tc>
        <w:tc>
          <w:tcPr>
            <w:tcW w:w="1192" w:type="dxa"/>
            <w:tcBorders/>
            <w:shd w:fill="CCEEFF" w:val="clear"/>
            <w:tcMar>
              <w:bottom w:w="0" w:type="dxa"/>
            </w:tcMar>
            <w:vAlign w:val="center"/>
          </w:tcPr>
          <w:p>
            <w:pPr>
              <w:pStyle w:val="TableContents"/>
              <w:spacing w:before="0" w:after="283"/>
              <w:jc w:val="right"/>
              <w:rPr/>
            </w:pPr>
            <w:r>
              <w:rPr/>
              <w:t>2,000</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center"/>
          </w:tcPr>
          <w:p>
            <w:pPr>
              <w:pStyle w:val="TableContents"/>
              <w:spacing w:before="0" w:after="283"/>
              <w:jc w:val="left"/>
              <w:rPr/>
            </w:pPr>
            <w:r>
              <w:rPr/>
              <w:t>$</w:t>
            </w:r>
          </w:p>
        </w:tc>
        <w:tc>
          <w:tcPr>
            <w:tcW w:w="1151" w:type="dxa"/>
            <w:tcBorders/>
            <w:shd w:fill="CCEEFF" w:val="clear"/>
            <w:tcMar>
              <w:bottom w:w="0" w:type="dxa"/>
            </w:tcMar>
            <w:vAlign w:val="center"/>
          </w:tcPr>
          <w:p>
            <w:pPr>
              <w:pStyle w:val="TableContents"/>
              <w:spacing w:before="0" w:after="283"/>
              <w:jc w:val="right"/>
              <w:rPr/>
            </w:pPr>
            <w:r>
              <w:rPr/>
              <w:t>1,788</w:t>
            </w:r>
          </w:p>
        </w:tc>
        <w:tc>
          <w:tcPr>
            <w:tcW w:w="13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46" w:type="dxa"/>
            <w:tcBorders/>
            <w:shd w:fill="CCEEFF" w:val="clear"/>
            <w:tcMar>
              <w:bottom w:w="0" w:type="dxa"/>
            </w:tcMar>
            <w:vAlign w:val="center"/>
          </w:tcPr>
          <w:p>
            <w:pPr>
              <w:pStyle w:val="TableContents"/>
              <w:spacing w:before="0" w:after="283"/>
              <w:jc w:val="left"/>
              <w:rPr/>
            </w:pPr>
            <w:r>
              <w:rPr/>
              <w:t>$</w:t>
            </w:r>
          </w:p>
        </w:tc>
        <w:tc>
          <w:tcPr>
            <w:tcW w:w="1197" w:type="dxa"/>
            <w:tcBorders/>
            <w:shd w:fill="CCEEFF" w:val="clear"/>
            <w:tcMar>
              <w:bottom w:w="0" w:type="dxa"/>
            </w:tcMar>
            <w:vAlign w:val="center"/>
          </w:tcPr>
          <w:p>
            <w:pPr>
              <w:pStyle w:val="TableContents"/>
              <w:spacing w:before="0" w:after="283"/>
              <w:jc w:val="right"/>
              <w:rPr/>
            </w:pPr>
            <w:r>
              <w:rPr/>
              <w:t>4,395</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512,417</w:t>
            </w:r>
          </w:p>
        </w:tc>
        <w:tc>
          <w:tcPr>
            <w:tcW w:w="161" w:type="dxa"/>
            <w:tcBorders/>
            <w:shd w:fill="CCEE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FFFFFF" w:val="clear"/>
            <w:tcMar>
              <w:bottom w:w="0" w:type="dxa"/>
            </w:tcMar>
            <w:vAlign w:val="center"/>
          </w:tcPr>
          <w:p>
            <w:pPr>
              <w:pStyle w:val="TableContents"/>
              <w:spacing w:before="0" w:after="283"/>
              <w:jc w:val="left"/>
              <w:rPr/>
            </w:pPr>
            <w:r>
              <w:rPr/>
              <w:t>Chief Operating</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5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505" w:type="dxa"/>
            <w:tcBorders/>
            <w:shd w:fill="FFFFFF" w:val="clear"/>
            <w:tcMar>
              <w:bottom w:w="0" w:type="dxa"/>
            </w:tcMar>
            <w:vAlign w:val="center"/>
          </w:tcPr>
          <w:p>
            <w:pPr>
              <w:pStyle w:val="TableContents"/>
              <w:spacing w:before="0" w:after="283"/>
              <w:jc w:val="right"/>
              <w:rPr/>
            </w:pPr>
            <w:r>
              <w:rPr/>
              <w:t> </w:t>
            </w:r>
          </w:p>
        </w:tc>
        <w:tc>
          <w:tcPr>
            <w:tcW w:w="8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76" w:type="dxa"/>
            <w:tcBorders/>
            <w:shd w:fill="FFFFFF" w:val="clear"/>
            <w:tcMar>
              <w:bottom w:w="0" w:type="dxa"/>
            </w:tcMar>
            <w:vAlign w:val="center"/>
          </w:tcPr>
          <w:p>
            <w:pPr>
              <w:pStyle w:val="TableContents"/>
              <w:spacing w:before="0" w:after="283"/>
              <w:jc w:val="right"/>
              <w:rPr/>
            </w:pPr>
            <w:r>
              <w:rPr/>
              <w:t> </w:t>
            </w:r>
          </w:p>
        </w:tc>
        <w:tc>
          <w:tcPr>
            <w:tcW w:w="10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 </w:t>
            </w:r>
          </w:p>
        </w:tc>
        <w:tc>
          <w:tcPr>
            <w:tcW w:w="1192" w:type="dxa"/>
            <w:tcBorders/>
            <w:shd w:fill="FFFFFF" w:val="clear"/>
            <w:tcMar>
              <w:bottom w:w="0" w:type="dxa"/>
            </w:tcMar>
            <w:vAlign w:val="center"/>
          </w:tcPr>
          <w:p>
            <w:pPr>
              <w:pStyle w:val="TableContents"/>
              <w:spacing w:before="0" w:after="283"/>
              <w:jc w:val="right"/>
              <w:rPr/>
            </w:pPr>
            <w:r>
              <w:rPr/>
              <w:t> </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center"/>
          </w:tcPr>
          <w:p>
            <w:pPr>
              <w:pStyle w:val="TableContents"/>
              <w:spacing w:before="0" w:after="283"/>
              <w:jc w:val="left"/>
              <w:rPr/>
            </w:pPr>
            <w:r>
              <w:rPr/>
              <w:t> </w:t>
            </w:r>
          </w:p>
        </w:tc>
        <w:tc>
          <w:tcPr>
            <w:tcW w:w="1151" w:type="dxa"/>
            <w:tcBorders/>
            <w:shd w:fill="FFFFFF" w:val="clear"/>
            <w:tcMar>
              <w:bottom w:w="0" w:type="dxa"/>
            </w:tcMar>
            <w:vAlign w:val="center"/>
          </w:tcPr>
          <w:p>
            <w:pPr>
              <w:pStyle w:val="TableContents"/>
              <w:spacing w:before="0" w:after="283"/>
              <w:jc w:val="right"/>
              <w:rPr/>
            </w:pPr>
            <w:r>
              <w:rPr/>
              <w:t> </w:t>
            </w:r>
          </w:p>
        </w:tc>
        <w:tc>
          <w:tcPr>
            <w:tcW w:w="13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46" w:type="dxa"/>
            <w:tcBorders/>
            <w:shd w:fill="FFFFFF" w:val="clear"/>
            <w:tcMar>
              <w:bottom w:w="0" w:type="dxa"/>
            </w:tcMar>
            <w:vAlign w:val="center"/>
          </w:tcPr>
          <w:p>
            <w:pPr>
              <w:pStyle w:val="TableContents"/>
              <w:spacing w:before="0" w:after="283"/>
              <w:jc w:val="left"/>
              <w:rPr/>
            </w:pPr>
            <w:r>
              <w:rPr/>
              <w:t> </w:t>
            </w:r>
          </w:p>
        </w:tc>
        <w:tc>
          <w:tcPr>
            <w:tcW w:w="1197"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161" w:type="dxa"/>
            <w:tcBorders/>
            <w:shd w:fill="FFFF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CCEEFF" w:val="clear"/>
            <w:tcMar>
              <w:bottom w:w="0" w:type="dxa"/>
            </w:tcMar>
            <w:vAlign w:val="center"/>
          </w:tcPr>
          <w:p>
            <w:pPr>
              <w:pStyle w:val="TableContents"/>
              <w:spacing w:before="0" w:after="283"/>
              <w:jc w:val="left"/>
              <w:rPr/>
            </w:pPr>
            <w:r>
              <w:rPr/>
              <w:t>Officer</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50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0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505" w:type="dxa"/>
            <w:tcBorders/>
            <w:shd w:fill="CCEEFF" w:val="clear"/>
            <w:tcMar>
              <w:bottom w:w="0" w:type="dxa"/>
            </w:tcMar>
            <w:vAlign w:val="center"/>
          </w:tcPr>
          <w:p>
            <w:pPr>
              <w:pStyle w:val="TableContents"/>
              <w:spacing w:before="0" w:after="283"/>
              <w:jc w:val="right"/>
              <w:rPr/>
            </w:pPr>
            <w:r>
              <w:rPr/>
              <w:t> </w:t>
            </w:r>
          </w:p>
        </w:tc>
        <w:tc>
          <w:tcPr>
            <w:tcW w:w="8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0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76" w:type="dxa"/>
            <w:tcBorders/>
            <w:shd w:fill="CCEEFF" w:val="clear"/>
            <w:tcMar>
              <w:bottom w:w="0" w:type="dxa"/>
            </w:tcMar>
            <w:vAlign w:val="center"/>
          </w:tcPr>
          <w:p>
            <w:pPr>
              <w:pStyle w:val="TableContents"/>
              <w:spacing w:before="0" w:after="283"/>
              <w:jc w:val="right"/>
              <w:rPr/>
            </w:pPr>
            <w:r>
              <w:rPr/>
              <w:t> </w:t>
            </w:r>
          </w:p>
        </w:tc>
        <w:tc>
          <w:tcPr>
            <w:tcW w:w="10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 </w:t>
            </w:r>
          </w:p>
        </w:tc>
        <w:tc>
          <w:tcPr>
            <w:tcW w:w="1192" w:type="dxa"/>
            <w:tcBorders/>
            <w:shd w:fill="CCEEFF" w:val="clear"/>
            <w:tcMar>
              <w:bottom w:w="0" w:type="dxa"/>
            </w:tcMar>
            <w:vAlign w:val="center"/>
          </w:tcPr>
          <w:p>
            <w:pPr>
              <w:pStyle w:val="TableContents"/>
              <w:spacing w:before="0" w:after="283"/>
              <w:jc w:val="right"/>
              <w:rPr/>
            </w:pPr>
            <w:r>
              <w:rPr/>
              <w:t> </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center"/>
          </w:tcPr>
          <w:p>
            <w:pPr>
              <w:pStyle w:val="TableContents"/>
              <w:spacing w:before="0" w:after="283"/>
              <w:jc w:val="left"/>
              <w:rPr/>
            </w:pPr>
            <w:r>
              <w:rPr/>
              <w:t> </w:t>
            </w:r>
          </w:p>
        </w:tc>
        <w:tc>
          <w:tcPr>
            <w:tcW w:w="1151" w:type="dxa"/>
            <w:tcBorders/>
            <w:shd w:fill="CCEEFF" w:val="clear"/>
            <w:tcMar>
              <w:bottom w:w="0" w:type="dxa"/>
            </w:tcMar>
            <w:vAlign w:val="center"/>
          </w:tcPr>
          <w:p>
            <w:pPr>
              <w:pStyle w:val="TableContents"/>
              <w:spacing w:before="0" w:after="283"/>
              <w:jc w:val="right"/>
              <w:rPr/>
            </w:pPr>
            <w:r>
              <w:rPr/>
              <w:t> </w:t>
            </w:r>
          </w:p>
        </w:tc>
        <w:tc>
          <w:tcPr>
            <w:tcW w:w="13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46" w:type="dxa"/>
            <w:tcBorders/>
            <w:shd w:fill="CCEEFF" w:val="clear"/>
            <w:tcMar>
              <w:bottom w:w="0" w:type="dxa"/>
            </w:tcMar>
            <w:vAlign w:val="center"/>
          </w:tcPr>
          <w:p>
            <w:pPr>
              <w:pStyle w:val="TableContents"/>
              <w:spacing w:before="0" w:after="283"/>
              <w:jc w:val="left"/>
              <w:rPr/>
            </w:pPr>
            <w:r>
              <w:rPr/>
              <w:t> </w:t>
            </w:r>
          </w:p>
        </w:tc>
        <w:tc>
          <w:tcPr>
            <w:tcW w:w="1197" w:type="dxa"/>
            <w:tcBorders/>
            <w:shd w:fill="CCEEFF" w:val="clear"/>
            <w:tcMar>
              <w:bottom w:w="0" w:type="dxa"/>
            </w:tcMar>
            <w:vAlign w:val="center"/>
          </w:tcPr>
          <w:p>
            <w:pPr>
              <w:pStyle w:val="TableContents"/>
              <w:spacing w:before="0" w:after="283"/>
              <w:jc w:val="right"/>
              <w:rPr/>
            </w:pPr>
            <w:r>
              <w:rPr/>
              <w:t> </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980" w:type="dxa"/>
            <w:tcBorders/>
            <w:shd w:fill="CCEEFF" w:val="clear"/>
            <w:tcMar>
              <w:bottom w:w="0" w:type="dxa"/>
            </w:tcMar>
            <w:vAlign w:val="center"/>
          </w:tcPr>
          <w:p>
            <w:pPr>
              <w:pStyle w:val="TableContents"/>
              <w:spacing w:before="0" w:after="283"/>
              <w:jc w:val="right"/>
              <w:rPr/>
            </w:pPr>
            <w:r>
              <w:rPr/>
              <w:t> </w:t>
            </w:r>
          </w:p>
        </w:tc>
        <w:tc>
          <w:tcPr>
            <w:tcW w:w="161" w:type="dxa"/>
            <w:tcBorders/>
            <w:shd w:fill="CCEE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5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505" w:type="dxa"/>
            <w:tcBorders/>
            <w:shd w:fill="FFFFFF" w:val="clear"/>
            <w:tcMar>
              <w:bottom w:w="0" w:type="dxa"/>
            </w:tcMar>
            <w:vAlign w:val="center"/>
          </w:tcPr>
          <w:p>
            <w:pPr>
              <w:pStyle w:val="TableContents"/>
              <w:spacing w:before="0" w:after="283"/>
              <w:jc w:val="right"/>
              <w:rPr/>
            </w:pPr>
            <w:r>
              <w:rPr/>
              <w:t> </w:t>
            </w:r>
          </w:p>
        </w:tc>
        <w:tc>
          <w:tcPr>
            <w:tcW w:w="8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76" w:type="dxa"/>
            <w:tcBorders/>
            <w:shd w:fill="FFFFFF" w:val="clear"/>
            <w:tcMar>
              <w:bottom w:w="0" w:type="dxa"/>
            </w:tcMar>
            <w:vAlign w:val="center"/>
          </w:tcPr>
          <w:p>
            <w:pPr>
              <w:pStyle w:val="TableContents"/>
              <w:spacing w:before="0" w:after="283"/>
              <w:jc w:val="right"/>
              <w:rPr/>
            </w:pPr>
            <w:r>
              <w:rPr/>
              <w:t> </w:t>
            </w:r>
          </w:p>
        </w:tc>
        <w:tc>
          <w:tcPr>
            <w:tcW w:w="10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 </w:t>
            </w:r>
          </w:p>
        </w:tc>
        <w:tc>
          <w:tcPr>
            <w:tcW w:w="1192" w:type="dxa"/>
            <w:tcBorders/>
            <w:shd w:fill="FFFFFF" w:val="clear"/>
            <w:tcMar>
              <w:bottom w:w="0" w:type="dxa"/>
            </w:tcMar>
            <w:vAlign w:val="center"/>
          </w:tcPr>
          <w:p>
            <w:pPr>
              <w:pStyle w:val="TableContents"/>
              <w:spacing w:before="0" w:after="283"/>
              <w:jc w:val="right"/>
              <w:rPr/>
            </w:pPr>
            <w:r>
              <w:rPr/>
              <w:t> </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center"/>
          </w:tcPr>
          <w:p>
            <w:pPr>
              <w:pStyle w:val="TableContents"/>
              <w:spacing w:before="0" w:after="283"/>
              <w:jc w:val="left"/>
              <w:rPr/>
            </w:pPr>
            <w:r>
              <w:rPr/>
              <w:t> </w:t>
            </w:r>
          </w:p>
        </w:tc>
        <w:tc>
          <w:tcPr>
            <w:tcW w:w="1151" w:type="dxa"/>
            <w:tcBorders/>
            <w:shd w:fill="FFFFFF" w:val="clear"/>
            <w:tcMar>
              <w:bottom w:w="0" w:type="dxa"/>
            </w:tcMar>
            <w:vAlign w:val="center"/>
          </w:tcPr>
          <w:p>
            <w:pPr>
              <w:pStyle w:val="TableContents"/>
              <w:spacing w:before="0" w:after="283"/>
              <w:jc w:val="right"/>
              <w:rPr/>
            </w:pPr>
            <w:r>
              <w:rPr/>
              <w:t> </w:t>
            </w:r>
          </w:p>
        </w:tc>
        <w:tc>
          <w:tcPr>
            <w:tcW w:w="13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46" w:type="dxa"/>
            <w:tcBorders/>
            <w:shd w:fill="FFFFFF" w:val="clear"/>
            <w:tcMar>
              <w:bottom w:w="0" w:type="dxa"/>
            </w:tcMar>
            <w:vAlign w:val="center"/>
          </w:tcPr>
          <w:p>
            <w:pPr>
              <w:pStyle w:val="TableContents"/>
              <w:spacing w:before="0" w:after="283"/>
              <w:jc w:val="left"/>
              <w:rPr/>
            </w:pPr>
            <w:r>
              <w:rPr/>
              <w:t> </w:t>
            </w:r>
          </w:p>
        </w:tc>
        <w:tc>
          <w:tcPr>
            <w:tcW w:w="1197"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161" w:type="dxa"/>
            <w:tcBorders/>
            <w:shd w:fill="FFFF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CCEEFF" w:val="clear"/>
            <w:tcMar>
              <w:bottom w:w="0" w:type="dxa"/>
            </w:tcMar>
            <w:vAlign w:val="center"/>
          </w:tcPr>
          <w:p>
            <w:pPr>
              <w:pStyle w:val="TableContents"/>
              <w:spacing w:before="0" w:after="283"/>
              <w:jc w:val="left"/>
              <w:rPr/>
            </w:pPr>
            <w:r>
              <w:rPr/>
              <w:t>Paul D. Ziemnisky Jr. (6)</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500" w:type="dxa"/>
            <w:tcBorders/>
            <w:shd w:fill="CCEEFF" w:val="clear"/>
            <w:tcMar>
              <w:bottom w:w="0" w:type="dxa"/>
            </w:tcMar>
            <w:vAlign w:val="center"/>
          </w:tcPr>
          <w:p>
            <w:pPr>
              <w:pStyle w:val="TableContents"/>
              <w:spacing w:before="0" w:after="283"/>
              <w:jc w:val="right"/>
              <w:rPr/>
            </w:pPr>
            <w:r>
              <w:rPr/>
              <w:t>2014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189,404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505" w:type="dxa"/>
            <w:tcBorders/>
            <w:shd w:fill="CCEEFF" w:val="clear"/>
            <w:tcMar>
              <w:bottom w:w="0" w:type="dxa"/>
            </w:tcMar>
            <w:vAlign w:val="center"/>
          </w:tcPr>
          <w:p>
            <w:pPr>
              <w:pStyle w:val="TableContents"/>
              <w:spacing w:before="0" w:after="283"/>
              <w:jc w:val="right"/>
              <w:rPr/>
            </w:pPr>
            <w:r>
              <w:rPr/>
              <w:t>—  </w:t>
            </w:r>
          </w:p>
        </w:tc>
        <w:tc>
          <w:tcPr>
            <w:tcW w:w="8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351,100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76" w:type="dxa"/>
            <w:tcBorders/>
            <w:shd w:fill="CCEEFF" w:val="clear"/>
            <w:tcMar>
              <w:bottom w:w="0" w:type="dxa"/>
            </w:tcMar>
            <w:vAlign w:val="center"/>
          </w:tcPr>
          <w:p>
            <w:pPr>
              <w:pStyle w:val="TableContents"/>
              <w:spacing w:before="0" w:after="283"/>
              <w:jc w:val="right"/>
              <w:rPr/>
            </w:pPr>
            <w:r>
              <w:rPr/>
              <w:t>—  </w:t>
            </w:r>
          </w:p>
        </w:tc>
        <w:tc>
          <w:tcPr>
            <w:tcW w:w="10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w:t>
            </w:r>
          </w:p>
        </w:tc>
        <w:tc>
          <w:tcPr>
            <w:tcW w:w="1192" w:type="dxa"/>
            <w:tcBorders/>
            <w:shd w:fill="CCEEFF" w:val="clear"/>
            <w:tcMar>
              <w:bottom w:w="0" w:type="dxa"/>
            </w:tcMar>
            <w:vAlign w:val="center"/>
          </w:tcPr>
          <w:p>
            <w:pPr>
              <w:pStyle w:val="TableContents"/>
              <w:spacing w:before="0" w:after="283"/>
              <w:jc w:val="right"/>
              <w:rPr/>
            </w:pPr>
            <w:r>
              <w:rPr/>
              <w:t>2,000</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center"/>
          </w:tcPr>
          <w:p>
            <w:pPr>
              <w:pStyle w:val="TableContents"/>
              <w:spacing w:before="0" w:after="283"/>
              <w:jc w:val="left"/>
              <w:rPr/>
            </w:pPr>
            <w:r>
              <w:rPr/>
              <w:t>$</w:t>
            </w:r>
          </w:p>
        </w:tc>
        <w:tc>
          <w:tcPr>
            <w:tcW w:w="1151" w:type="dxa"/>
            <w:tcBorders/>
            <w:shd w:fill="CCEEFF" w:val="clear"/>
            <w:tcMar>
              <w:bottom w:w="0" w:type="dxa"/>
            </w:tcMar>
            <w:vAlign w:val="center"/>
          </w:tcPr>
          <w:p>
            <w:pPr>
              <w:pStyle w:val="TableContents"/>
              <w:spacing w:before="0" w:after="283"/>
              <w:jc w:val="right"/>
              <w:rPr/>
            </w:pPr>
            <w:r>
              <w:rPr/>
              <w:t>7,445</w:t>
            </w:r>
          </w:p>
        </w:tc>
        <w:tc>
          <w:tcPr>
            <w:tcW w:w="13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46" w:type="dxa"/>
            <w:tcBorders/>
            <w:shd w:fill="CCEEFF" w:val="clear"/>
            <w:tcMar>
              <w:bottom w:w="0" w:type="dxa"/>
            </w:tcMar>
            <w:vAlign w:val="center"/>
          </w:tcPr>
          <w:p>
            <w:pPr>
              <w:pStyle w:val="TableContents"/>
              <w:spacing w:before="0" w:after="283"/>
              <w:jc w:val="left"/>
              <w:rPr/>
            </w:pPr>
            <w:r>
              <w:rPr/>
              <w:t>$</w:t>
            </w:r>
          </w:p>
        </w:tc>
        <w:tc>
          <w:tcPr>
            <w:tcW w:w="1197" w:type="dxa"/>
            <w:tcBorders/>
            <w:shd w:fill="CCEEFF" w:val="clear"/>
            <w:tcMar>
              <w:bottom w:w="0" w:type="dxa"/>
            </w:tcMar>
            <w:vAlign w:val="center"/>
          </w:tcPr>
          <w:p>
            <w:pPr>
              <w:pStyle w:val="TableContents"/>
              <w:spacing w:before="0" w:after="283"/>
              <w:jc w:val="right"/>
              <w:rPr/>
            </w:pPr>
            <w:r>
              <w:rPr/>
              <w:t>9,200</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559,149</w:t>
            </w:r>
          </w:p>
        </w:tc>
        <w:tc>
          <w:tcPr>
            <w:tcW w:w="161" w:type="dxa"/>
            <w:tcBorders/>
            <w:shd w:fill="CCEE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FFFFFF" w:val="clear"/>
            <w:tcMar>
              <w:bottom w:w="0" w:type="dxa"/>
            </w:tcMar>
            <w:vAlign w:val="center"/>
          </w:tcPr>
          <w:p>
            <w:pPr>
              <w:pStyle w:val="TableContents"/>
              <w:spacing w:before="0" w:after="283"/>
              <w:jc w:val="left"/>
              <w:rPr/>
            </w:pPr>
            <w:r>
              <w:rPr/>
              <w:t>Vice President, General</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5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505" w:type="dxa"/>
            <w:tcBorders/>
            <w:shd w:fill="FFFFFF" w:val="clear"/>
            <w:tcMar>
              <w:bottom w:w="0" w:type="dxa"/>
            </w:tcMar>
            <w:vAlign w:val="center"/>
          </w:tcPr>
          <w:p>
            <w:pPr>
              <w:pStyle w:val="TableContents"/>
              <w:spacing w:before="0" w:after="283"/>
              <w:jc w:val="right"/>
              <w:rPr/>
            </w:pPr>
            <w:r>
              <w:rPr/>
              <w:t> </w:t>
            </w:r>
          </w:p>
        </w:tc>
        <w:tc>
          <w:tcPr>
            <w:tcW w:w="8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76" w:type="dxa"/>
            <w:tcBorders/>
            <w:shd w:fill="FFFFFF" w:val="clear"/>
            <w:tcMar>
              <w:bottom w:w="0" w:type="dxa"/>
            </w:tcMar>
            <w:vAlign w:val="center"/>
          </w:tcPr>
          <w:p>
            <w:pPr>
              <w:pStyle w:val="TableContents"/>
              <w:spacing w:before="0" w:after="283"/>
              <w:jc w:val="right"/>
              <w:rPr/>
            </w:pPr>
            <w:r>
              <w:rPr/>
              <w:t> </w:t>
            </w:r>
          </w:p>
        </w:tc>
        <w:tc>
          <w:tcPr>
            <w:tcW w:w="10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 </w:t>
            </w:r>
          </w:p>
        </w:tc>
        <w:tc>
          <w:tcPr>
            <w:tcW w:w="1192" w:type="dxa"/>
            <w:tcBorders/>
            <w:shd w:fill="FFFFFF" w:val="clear"/>
            <w:tcMar>
              <w:bottom w:w="0" w:type="dxa"/>
            </w:tcMar>
            <w:vAlign w:val="center"/>
          </w:tcPr>
          <w:p>
            <w:pPr>
              <w:pStyle w:val="TableContents"/>
              <w:spacing w:before="0" w:after="283"/>
              <w:jc w:val="right"/>
              <w:rPr/>
            </w:pPr>
            <w:r>
              <w:rPr/>
              <w:t> </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center"/>
          </w:tcPr>
          <w:p>
            <w:pPr>
              <w:pStyle w:val="TableContents"/>
              <w:spacing w:before="0" w:after="283"/>
              <w:jc w:val="left"/>
              <w:rPr/>
            </w:pPr>
            <w:r>
              <w:rPr/>
              <w:t> </w:t>
            </w:r>
          </w:p>
        </w:tc>
        <w:tc>
          <w:tcPr>
            <w:tcW w:w="1151" w:type="dxa"/>
            <w:tcBorders/>
            <w:shd w:fill="FFFFFF" w:val="clear"/>
            <w:tcMar>
              <w:bottom w:w="0" w:type="dxa"/>
            </w:tcMar>
            <w:vAlign w:val="center"/>
          </w:tcPr>
          <w:p>
            <w:pPr>
              <w:pStyle w:val="TableContents"/>
              <w:spacing w:before="0" w:after="283"/>
              <w:jc w:val="right"/>
              <w:rPr/>
            </w:pPr>
            <w:r>
              <w:rPr/>
              <w:t> </w:t>
            </w:r>
          </w:p>
        </w:tc>
        <w:tc>
          <w:tcPr>
            <w:tcW w:w="13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46" w:type="dxa"/>
            <w:tcBorders/>
            <w:shd w:fill="FFFFFF" w:val="clear"/>
            <w:tcMar>
              <w:bottom w:w="0" w:type="dxa"/>
            </w:tcMar>
            <w:vAlign w:val="center"/>
          </w:tcPr>
          <w:p>
            <w:pPr>
              <w:pStyle w:val="TableContents"/>
              <w:spacing w:before="0" w:after="283"/>
              <w:jc w:val="left"/>
              <w:rPr/>
            </w:pPr>
            <w:r>
              <w:rPr/>
              <w:t> </w:t>
            </w:r>
          </w:p>
        </w:tc>
        <w:tc>
          <w:tcPr>
            <w:tcW w:w="1197"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161" w:type="dxa"/>
            <w:tcBorders/>
            <w:shd w:fill="FFFF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CCEEFF" w:val="clear"/>
            <w:tcMar>
              <w:bottom w:w="0" w:type="dxa"/>
            </w:tcMar>
            <w:vAlign w:val="center"/>
          </w:tcPr>
          <w:p>
            <w:pPr>
              <w:pStyle w:val="TableContents"/>
              <w:spacing w:before="0" w:after="283"/>
              <w:jc w:val="left"/>
              <w:rPr/>
            </w:pPr>
            <w:r>
              <w:rPr/>
              <w:t>Manager, Consumer</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50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0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505" w:type="dxa"/>
            <w:tcBorders/>
            <w:shd w:fill="CCEEFF" w:val="clear"/>
            <w:tcMar>
              <w:bottom w:w="0" w:type="dxa"/>
            </w:tcMar>
            <w:vAlign w:val="center"/>
          </w:tcPr>
          <w:p>
            <w:pPr>
              <w:pStyle w:val="TableContents"/>
              <w:spacing w:before="0" w:after="283"/>
              <w:jc w:val="right"/>
              <w:rPr/>
            </w:pPr>
            <w:r>
              <w:rPr/>
              <w:t> </w:t>
            </w:r>
          </w:p>
        </w:tc>
        <w:tc>
          <w:tcPr>
            <w:tcW w:w="8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800"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6" w:type="dxa"/>
            <w:tcBorders/>
            <w:shd w:fill="CCEEFF" w:val="clear"/>
            <w:tcMar>
              <w:bottom w:w="0" w:type="dxa"/>
            </w:tcMar>
            <w:vAlign w:val="center"/>
          </w:tcPr>
          <w:p>
            <w:pPr>
              <w:pStyle w:val="TableContents"/>
              <w:spacing w:before="0" w:after="283"/>
              <w:jc w:val="left"/>
              <w:rPr/>
            </w:pPr>
            <w:r>
              <w:rPr/>
              <w:t> </w:t>
            </w:r>
          </w:p>
        </w:tc>
        <w:tc>
          <w:tcPr>
            <w:tcW w:w="676" w:type="dxa"/>
            <w:tcBorders/>
            <w:shd w:fill="CCEEFF" w:val="clear"/>
            <w:tcMar>
              <w:bottom w:w="0" w:type="dxa"/>
            </w:tcMar>
            <w:vAlign w:val="center"/>
          </w:tcPr>
          <w:p>
            <w:pPr>
              <w:pStyle w:val="TableContents"/>
              <w:spacing w:before="0" w:after="283"/>
              <w:jc w:val="right"/>
              <w:rPr/>
            </w:pPr>
            <w:r>
              <w:rPr/>
              <w:t> </w:t>
            </w:r>
          </w:p>
        </w:tc>
        <w:tc>
          <w:tcPr>
            <w:tcW w:w="10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8" w:type="dxa"/>
            <w:tcBorders/>
            <w:shd w:fill="CCEEFF" w:val="clear"/>
            <w:tcMar>
              <w:bottom w:w="0" w:type="dxa"/>
            </w:tcMar>
            <w:vAlign w:val="center"/>
          </w:tcPr>
          <w:p>
            <w:pPr>
              <w:pStyle w:val="TableContents"/>
              <w:spacing w:before="0" w:after="283"/>
              <w:jc w:val="left"/>
              <w:rPr/>
            </w:pPr>
            <w:r>
              <w:rPr/>
              <w:t> </w:t>
            </w:r>
          </w:p>
        </w:tc>
        <w:tc>
          <w:tcPr>
            <w:tcW w:w="1192" w:type="dxa"/>
            <w:tcBorders/>
            <w:shd w:fill="CCEEFF" w:val="clear"/>
            <w:tcMar>
              <w:bottom w:w="0" w:type="dxa"/>
            </w:tcMar>
            <w:vAlign w:val="center"/>
          </w:tcPr>
          <w:p>
            <w:pPr>
              <w:pStyle w:val="TableContents"/>
              <w:spacing w:before="0" w:after="283"/>
              <w:jc w:val="right"/>
              <w:rPr/>
            </w:pPr>
            <w:r>
              <w:rPr/>
              <w:t> </w:t>
            </w:r>
          </w:p>
        </w:tc>
        <w:tc>
          <w:tcPr>
            <w:tcW w:w="9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center"/>
          </w:tcPr>
          <w:p>
            <w:pPr>
              <w:pStyle w:val="TableContents"/>
              <w:spacing w:before="0" w:after="283"/>
              <w:jc w:val="left"/>
              <w:rPr/>
            </w:pPr>
            <w:r>
              <w:rPr/>
              <w:t> </w:t>
            </w:r>
          </w:p>
        </w:tc>
        <w:tc>
          <w:tcPr>
            <w:tcW w:w="1151" w:type="dxa"/>
            <w:tcBorders/>
            <w:shd w:fill="CCEEFF" w:val="clear"/>
            <w:tcMar>
              <w:bottom w:w="0" w:type="dxa"/>
            </w:tcMar>
            <w:vAlign w:val="center"/>
          </w:tcPr>
          <w:p>
            <w:pPr>
              <w:pStyle w:val="TableContents"/>
              <w:spacing w:before="0" w:after="283"/>
              <w:jc w:val="right"/>
              <w:rPr/>
            </w:pPr>
            <w:r>
              <w:rPr/>
              <w:t> </w:t>
            </w:r>
          </w:p>
        </w:tc>
        <w:tc>
          <w:tcPr>
            <w:tcW w:w="138"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46" w:type="dxa"/>
            <w:tcBorders/>
            <w:shd w:fill="CCEEFF" w:val="clear"/>
            <w:tcMar>
              <w:bottom w:w="0" w:type="dxa"/>
            </w:tcMar>
            <w:vAlign w:val="center"/>
          </w:tcPr>
          <w:p>
            <w:pPr>
              <w:pStyle w:val="TableContents"/>
              <w:spacing w:before="0" w:after="283"/>
              <w:jc w:val="left"/>
              <w:rPr/>
            </w:pPr>
            <w:r>
              <w:rPr/>
              <w:t> </w:t>
            </w:r>
          </w:p>
        </w:tc>
        <w:tc>
          <w:tcPr>
            <w:tcW w:w="1197" w:type="dxa"/>
            <w:tcBorders/>
            <w:shd w:fill="CCEEFF" w:val="clear"/>
            <w:tcMar>
              <w:bottom w:w="0" w:type="dxa"/>
            </w:tcMar>
            <w:vAlign w:val="center"/>
          </w:tcPr>
          <w:p>
            <w:pPr>
              <w:pStyle w:val="TableContents"/>
              <w:spacing w:before="0" w:after="283"/>
              <w:jc w:val="right"/>
              <w:rPr/>
            </w:pPr>
            <w:r>
              <w:rPr/>
              <w:t> </w:t>
            </w:r>
          </w:p>
        </w:tc>
        <w:tc>
          <w:tcPr>
            <w:tcW w:w="10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 </w:t>
            </w:r>
          </w:p>
        </w:tc>
        <w:tc>
          <w:tcPr>
            <w:tcW w:w="980" w:type="dxa"/>
            <w:tcBorders/>
            <w:shd w:fill="CCEEFF" w:val="clear"/>
            <w:tcMar>
              <w:bottom w:w="0" w:type="dxa"/>
            </w:tcMar>
            <w:vAlign w:val="center"/>
          </w:tcPr>
          <w:p>
            <w:pPr>
              <w:pStyle w:val="TableContents"/>
              <w:spacing w:before="0" w:after="283"/>
              <w:jc w:val="right"/>
              <w:rPr/>
            </w:pPr>
            <w:r>
              <w:rPr/>
              <w:t> </w:t>
            </w:r>
          </w:p>
        </w:tc>
        <w:tc>
          <w:tcPr>
            <w:tcW w:w="161" w:type="dxa"/>
            <w:tcBorders/>
            <w:shd w:fill="CCEEFF" w:val="clear"/>
            <w:tcMar>
              <w:bottom w:w="0" w:type="dxa"/>
            </w:tcMar>
            <w:vAlign w:val="center"/>
          </w:tcPr>
          <w:p>
            <w:pPr>
              <w:pStyle w:val="TableContents"/>
              <w:spacing w:before="0" w:after="283"/>
              <w:ind w:left="0" w:right="0" w:firstLine="86"/>
              <w:jc w:val="left"/>
              <w:rPr/>
            </w:pPr>
            <w:r>
              <w:rPr/>
              <w:t> </w:t>
            </w:r>
          </w:p>
        </w:tc>
      </w:tr>
      <w:tr>
        <w:trPr/>
        <w:tc>
          <w:tcPr>
            <w:tcW w:w="1430" w:type="dxa"/>
            <w:tcBorders/>
            <w:shd w:fill="FFFFFF" w:val="clear"/>
            <w:tcMar>
              <w:bottom w:w="0" w:type="dxa"/>
            </w:tcMar>
            <w:vAlign w:val="center"/>
          </w:tcPr>
          <w:p>
            <w:pPr>
              <w:pStyle w:val="TableContents"/>
              <w:spacing w:before="0" w:after="283"/>
              <w:jc w:val="left"/>
              <w:rPr/>
            </w:pPr>
            <w:r>
              <w:rPr/>
              <w:t>Packaged Goods</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5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9" w:type="dxa"/>
            <w:tcBorders/>
            <w:shd w:fill="FFFFFF" w:val="clear"/>
            <w:tcMar>
              <w:bottom w:w="0" w:type="dxa"/>
            </w:tcMar>
            <w:vAlign w:val="center"/>
          </w:tcPr>
          <w:p>
            <w:pPr>
              <w:pStyle w:val="TableContents"/>
              <w:spacing w:before="0" w:after="283"/>
              <w:jc w:val="left"/>
              <w:rPr/>
            </w:pPr>
            <w:r>
              <w:rPr/>
              <w:t> </w:t>
            </w:r>
          </w:p>
        </w:tc>
        <w:tc>
          <w:tcPr>
            <w:tcW w:w="505" w:type="dxa"/>
            <w:tcBorders/>
            <w:shd w:fill="FFFFFF" w:val="clear"/>
            <w:tcMar>
              <w:bottom w:w="0" w:type="dxa"/>
            </w:tcMar>
            <w:vAlign w:val="center"/>
          </w:tcPr>
          <w:p>
            <w:pPr>
              <w:pStyle w:val="TableContents"/>
              <w:spacing w:before="0" w:after="283"/>
              <w:jc w:val="right"/>
              <w:rPr/>
            </w:pPr>
            <w:r>
              <w:rPr/>
              <w:t> </w:t>
            </w:r>
          </w:p>
        </w:tc>
        <w:tc>
          <w:tcPr>
            <w:tcW w:w="8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800"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6" w:type="dxa"/>
            <w:tcBorders/>
            <w:shd w:fill="FFFFFF" w:val="clear"/>
            <w:tcMar>
              <w:bottom w:w="0" w:type="dxa"/>
            </w:tcMar>
            <w:vAlign w:val="center"/>
          </w:tcPr>
          <w:p>
            <w:pPr>
              <w:pStyle w:val="TableContents"/>
              <w:spacing w:before="0" w:after="283"/>
              <w:jc w:val="left"/>
              <w:rPr/>
            </w:pPr>
            <w:r>
              <w:rPr/>
              <w:t> </w:t>
            </w:r>
          </w:p>
        </w:tc>
        <w:tc>
          <w:tcPr>
            <w:tcW w:w="676" w:type="dxa"/>
            <w:tcBorders/>
            <w:shd w:fill="FFFFFF" w:val="clear"/>
            <w:tcMar>
              <w:bottom w:w="0" w:type="dxa"/>
            </w:tcMar>
            <w:vAlign w:val="center"/>
          </w:tcPr>
          <w:p>
            <w:pPr>
              <w:pStyle w:val="TableContents"/>
              <w:spacing w:before="0" w:after="283"/>
              <w:jc w:val="right"/>
              <w:rPr/>
            </w:pPr>
            <w:r>
              <w:rPr/>
              <w:t> </w:t>
            </w:r>
          </w:p>
        </w:tc>
        <w:tc>
          <w:tcPr>
            <w:tcW w:w="10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8" w:type="dxa"/>
            <w:tcBorders/>
            <w:shd w:fill="FFFFFF" w:val="clear"/>
            <w:tcMar>
              <w:bottom w:w="0" w:type="dxa"/>
            </w:tcMar>
            <w:vAlign w:val="center"/>
          </w:tcPr>
          <w:p>
            <w:pPr>
              <w:pStyle w:val="TableContents"/>
              <w:spacing w:before="0" w:after="283"/>
              <w:jc w:val="left"/>
              <w:rPr/>
            </w:pPr>
            <w:r>
              <w:rPr/>
              <w:t> </w:t>
            </w:r>
          </w:p>
        </w:tc>
        <w:tc>
          <w:tcPr>
            <w:tcW w:w="1192" w:type="dxa"/>
            <w:tcBorders/>
            <w:shd w:fill="FFFFFF" w:val="clear"/>
            <w:tcMar>
              <w:bottom w:w="0" w:type="dxa"/>
            </w:tcMar>
            <w:vAlign w:val="center"/>
          </w:tcPr>
          <w:p>
            <w:pPr>
              <w:pStyle w:val="TableContents"/>
              <w:spacing w:before="0" w:after="283"/>
              <w:jc w:val="right"/>
              <w:rPr/>
            </w:pPr>
            <w:r>
              <w:rPr/>
              <w:t> </w:t>
            </w:r>
          </w:p>
        </w:tc>
        <w:tc>
          <w:tcPr>
            <w:tcW w:w="9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center"/>
          </w:tcPr>
          <w:p>
            <w:pPr>
              <w:pStyle w:val="TableContents"/>
              <w:spacing w:before="0" w:after="283"/>
              <w:jc w:val="left"/>
              <w:rPr/>
            </w:pPr>
            <w:r>
              <w:rPr/>
              <w:t> </w:t>
            </w:r>
          </w:p>
        </w:tc>
        <w:tc>
          <w:tcPr>
            <w:tcW w:w="1151" w:type="dxa"/>
            <w:tcBorders/>
            <w:shd w:fill="FFFFFF" w:val="clear"/>
            <w:tcMar>
              <w:bottom w:w="0" w:type="dxa"/>
            </w:tcMar>
            <w:vAlign w:val="center"/>
          </w:tcPr>
          <w:p>
            <w:pPr>
              <w:pStyle w:val="TableContents"/>
              <w:spacing w:before="0" w:after="283"/>
              <w:jc w:val="right"/>
              <w:rPr/>
            </w:pPr>
            <w:r>
              <w:rPr/>
              <w:t> </w:t>
            </w:r>
          </w:p>
        </w:tc>
        <w:tc>
          <w:tcPr>
            <w:tcW w:w="138"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46" w:type="dxa"/>
            <w:tcBorders/>
            <w:shd w:fill="FFFFFF" w:val="clear"/>
            <w:tcMar>
              <w:bottom w:w="0" w:type="dxa"/>
            </w:tcMar>
            <w:vAlign w:val="center"/>
          </w:tcPr>
          <w:p>
            <w:pPr>
              <w:pStyle w:val="TableContents"/>
              <w:spacing w:before="0" w:after="283"/>
              <w:jc w:val="left"/>
              <w:rPr/>
            </w:pPr>
            <w:r>
              <w:rPr/>
              <w:t> </w:t>
            </w:r>
          </w:p>
        </w:tc>
        <w:tc>
          <w:tcPr>
            <w:tcW w:w="1197" w:type="dxa"/>
            <w:tcBorders/>
            <w:shd w:fill="FFFFFF" w:val="clear"/>
            <w:tcMar>
              <w:bottom w:w="0" w:type="dxa"/>
            </w:tcMar>
            <w:vAlign w:val="center"/>
          </w:tcPr>
          <w:p>
            <w:pPr>
              <w:pStyle w:val="TableContents"/>
              <w:spacing w:before="0" w:after="283"/>
              <w:jc w:val="right"/>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161" w:type="dxa"/>
            <w:tcBorders/>
            <w:shd w:fill="FFFFFF" w:val="clear"/>
            <w:tcMar>
              <w:bottom w:w="0" w:type="dxa"/>
            </w:tcMar>
            <w:vAlign w:val="center"/>
          </w:tcPr>
          <w:p>
            <w:pPr>
              <w:pStyle w:val="TableContents"/>
              <w:spacing w:before="0" w:after="283"/>
              <w:jc w:val="left"/>
              <w:rPr/>
            </w:pPr>
            <w:r>
              <w:rPr/>
              <w:t> </w:t>
            </w:r>
          </w:p>
        </w:tc>
      </w:tr>
    </w:tbl>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reported reflect the grant date fair value of awards computed in accordance with ASC 718. For stock awards, the grant date fair value is the number of shares granted multiplied by the closing price of our Common Stock on the award date. For option awards, the grant date fair value is the number of shares granted multiplied by the Black Scholes value. The assumptions used in the Black Scholes calculation are disclosed in the notes to our audited consolidated financial statements included in our Annual Report on Form 10-K for fiscal 2014. The grant date fair value of an award reflects the accounting expense and may not represent the actual value that will be realized. There were no new option awards to the named executive officers during fiscal 2014.</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2014 amounts reflect a $2,000 discretionary cash award and 0% of executive deferred bonuses under our annual incentive plan for fiscal 2014. Cash bonuses earned are paid following completion of the specified fiscal year. Executive deferred bonuses are awarded based on performance during the specified fiscal year and generally vest (become payable) according to a vesting schedule established by our Compensation Committee for each fiscal year's award as described under “Compensation Discussion and Analysis – Annual and Deferred Incentive Compensation.”</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amounts shown in this column for fiscal 2014 are described in the following table:</w:t>
      </w:r>
    </w:p>
    <w:p>
      <w:pPr>
        <w:pStyle w:val="TextBody"/>
        <w:spacing w:before="0" w:after="200"/>
        <w:jc w:val="center"/>
        <w:rPr>
          <w:rFonts w:ascii="Times New Roman;Times;Serif" w:hAnsi="Times New Roman;Times;Serif"/>
          <w:b/>
          <w:i w:val="false"/>
          <w:caps w:val="false"/>
          <w:smallCaps w:val="false"/>
          <w:sz w:val="20"/>
        </w:rPr>
      </w:pPr>
      <w:bookmarkStart w:id="31" w:name="a_Toc339007570"/>
      <w:bookmarkEnd w:id="31"/>
      <w:r>
        <w:rPr>
          <w:rFonts w:ascii="Times New Roman;Times;Serif" w:hAnsi="Times New Roman;Times;Serif"/>
          <w:b/>
          <w:i w:val="false"/>
          <w:caps w:val="false"/>
          <w:smallCaps w:val="false"/>
          <w:sz w:val="20"/>
        </w:rPr>
        <w:t>Change in Pension Value and Nonqualified Deferred Compensation Earnings Table</w:t>
      </w:r>
    </w:p>
    <w:tbl>
      <w:tblPr>
        <w:tblW w:w="10205" w:type="dxa"/>
        <w:jc w:val="center"/>
        <w:tblInd w:w="0" w:type="dxa"/>
        <w:tblCellMar>
          <w:top w:w="0" w:type="dxa"/>
          <w:left w:w="0" w:type="dxa"/>
          <w:bottom w:w="28" w:type="dxa"/>
          <w:right w:w="0" w:type="dxa"/>
        </w:tblCellMar>
      </w:tblPr>
      <w:tblGrid>
        <w:gridCol w:w="2013"/>
        <w:gridCol w:w="60"/>
        <w:gridCol w:w="342"/>
        <w:gridCol w:w="1959"/>
        <w:gridCol w:w="146"/>
        <w:gridCol w:w="60"/>
        <w:gridCol w:w="419"/>
        <w:gridCol w:w="2943"/>
        <w:gridCol w:w="1183"/>
        <w:gridCol w:w="60"/>
        <w:gridCol w:w="140"/>
        <w:gridCol w:w="800"/>
        <w:gridCol w:w="80"/>
      </w:tblGrid>
      <w:tr>
        <w:trPr/>
        <w:tc>
          <w:tcPr>
            <w:tcW w:w="2013" w:type="dxa"/>
            <w:tcBorders>
              <w:bottom w:val="single" w:sz="8" w:space="0" w:color="000000"/>
            </w:tcBorders>
            <w:shd w:fill="auto" w:val="clear"/>
            <w:vAlign w:val="center"/>
          </w:tcPr>
          <w:p>
            <w:pPr>
              <w:pStyle w:val="TableContents"/>
              <w:spacing w:before="0" w:after="283"/>
              <w:jc w:val="left"/>
              <w:rPr>
                <w:b/>
              </w:rPr>
            </w:pPr>
            <w:r>
              <w:rPr>
                <w:b/>
              </w:rPr>
              <w:t>Name</w:t>
            </w:r>
          </w:p>
        </w:tc>
        <w:tc>
          <w:tcPr>
            <w:tcW w:w="60" w:type="dxa"/>
            <w:tcBorders>
              <w:bottom w:val="single" w:sz="8" w:space="0" w:color="000000"/>
            </w:tcBorders>
            <w:shd w:fill="auto" w:val="clear"/>
            <w:vAlign w:val="center"/>
          </w:tcPr>
          <w:p>
            <w:pPr>
              <w:pStyle w:val="TableContents"/>
              <w:spacing w:before="0" w:after="283"/>
              <w:rPr/>
            </w:pPr>
            <w:r>
              <w:rPr/>
              <w:t> </w:t>
            </w:r>
          </w:p>
        </w:tc>
        <w:tc>
          <w:tcPr>
            <w:tcW w:w="2447" w:type="dxa"/>
            <w:gridSpan w:val="3"/>
            <w:tcBorders>
              <w:bottom w:val="single" w:sz="8" w:space="0" w:color="000000"/>
            </w:tcBorders>
            <w:shd w:fill="auto" w:val="clear"/>
            <w:vAlign w:val="center"/>
          </w:tcPr>
          <w:p>
            <w:pPr>
              <w:pStyle w:val="TableContents"/>
              <w:spacing w:before="0" w:after="283"/>
              <w:jc w:val="center"/>
              <w:rPr>
                <w:b/>
              </w:rPr>
            </w:pPr>
            <w:r>
              <w:rPr>
                <w:b/>
              </w:rPr>
              <w:t>Change in Pension Value</w:t>
              <w:br/>
              <w:t>($)</w:t>
              <w:br/>
              <w:t>(A)</w:t>
            </w:r>
          </w:p>
        </w:tc>
        <w:tc>
          <w:tcPr>
            <w:tcW w:w="60" w:type="dxa"/>
            <w:tcBorders>
              <w:bottom w:val="single" w:sz="8" w:space="0" w:color="000000"/>
            </w:tcBorders>
            <w:shd w:fill="auto" w:val="clear"/>
            <w:vAlign w:val="center"/>
          </w:tcPr>
          <w:p>
            <w:pPr>
              <w:pStyle w:val="TableContents"/>
              <w:spacing w:before="0" w:after="283"/>
              <w:rPr/>
            </w:pPr>
            <w:r>
              <w:rPr/>
              <w:t> </w:t>
            </w:r>
          </w:p>
        </w:tc>
        <w:tc>
          <w:tcPr>
            <w:tcW w:w="4545" w:type="dxa"/>
            <w:gridSpan w:val="3"/>
            <w:tcBorders>
              <w:bottom w:val="single" w:sz="8" w:space="0" w:color="000000"/>
            </w:tcBorders>
            <w:shd w:fill="auto" w:val="clear"/>
            <w:vAlign w:val="center"/>
          </w:tcPr>
          <w:p>
            <w:pPr>
              <w:pStyle w:val="TableContents"/>
              <w:spacing w:before="0" w:after="283"/>
              <w:jc w:val="center"/>
              <w:rPr>
                <w:b/>
              </w:rPr>
            </w:pPr>
            <w:r>
              <w:rPr>
                <w:b/>
              </w:rPr>
              <w:t>Nonqualified Deferred Compensation Earnings</w:t>
              <w:br/>
              <w:t>($)</w:t>
              <w:br/>
              <w:t>(B)</w:t>
            </w:r>
          </w:p>
        </w:tc>
        <w:tc>
          <w:tcPr>
            <w:tcW w:w="60" w:type="dxa"/>
            <w:tcBorders>
              <w:bottom w:val="single" w:sz="8" w:space="0" w:color="000000"/>
            </w:tcBorders>
            <w:shd w:fill="auto" w:val="clear"/>
            <w:vAlign w:val="center"/>
          </w:tcPr>
          <w:p>
            <w:pPr>
              <w:pStyle w:val="TableContents"/>
              <w:spacing w:before="0" w:after="283"/>
              <w:rPr/>
            </w:pPr>
            <w:r>
              <w:rPr/>
              <w:t> </w:t>
            </w:r>
          </w:p>
        </w:tc>
        <w:tc>
          <w:tcPr>
            <w:tcW w:w="1020" w:type="dxa"/>
            <w:gridSpan w:val="3"/>
            <w:tcBorders>
              <w:bottom w:val="single" w:sz="8" w:space="0" w:color="000000"/>
            </w:tcBorders>
            <w:shd w:fill="auto" w:val="clear"/>
            <w:vAlign w:val="center"/>
          </w:tcPr>
          <w:p>
            <w:pPr>
              <w:pStyle w:val="TableContents"/>
              <w:spacing w:before="0" w:after="283"/>
              <w:jc w:val="center"/>
              <w:rPr>
                <w:b/>
              </w:rPr>
            </w:pPr>
            <w:r>
              <w:rPr>
                <w:b/>
              </w:rPr>
              <w:t>Total</w:t>
            </w:r>
          </w:p>
        </w:tc>
      </w:tr>
      <w:tr>
        <w:trPr/>
        <w:tc>
          <w:tcPr>
            <w:tcW w:w="2013" w:type="dxa"/>
            <w:tcBorders/>
            <w:shd w:fill="CCEEFF" w:val="clear"/>
            <w:tcMar>
              <w:bottom w:w="0" w:type="dxa"/>
            </w:tcMar>
            <w:vAlign w:val="center"/>
          </w:tcPr>
          <w:p>
            <w:pPr>
              <w:pStyle w:val="TableContents"/>
              <w:spacing w:before="0" w:after="283"/>
              <w:jc w:val="left"/>
              <w:rPr/>
            </w:pPr>
            <w:r>
              <w:rPr/>
              <w:t>Daniel S. Jaffee</w:t>
            </w:r>
          </w:p>
        </w:tc>
        <w:tc>
          <w:tcPr>
            <w:tcW w:w="60" w:type="dxa"/>
            <w:tcBorders/>
            <w:shd w:fill="CCEEFF" w:val="clear"/>
            <w:tcMar>
              <w:bottom w:w="0" w:type="dxa"/>
            </w:tcMar>
            <w:vAlign w:val="center"/>
          </w:tcPr>
          <w:p>
            <w:pPr>
              <w:pStyle w:val="TableContents"/>
              <w:spacing w:before="0" w:after="283"/>
              <w:rPr/>
            </w:pPr>
            <w:r>
              <w:rPr/>
              <w:t> </w:t>
            </w:r>
          </w:p>
        </w:tc>
        <w:tc>
          <w:tcPr>
            <w:tcW w:w="342" w:type="dxa"/>
            <w:tcBorders/>
            <w:shd w:fill="CCEEFF" w:val="clear"/>
            <w:tcMar>
              <w:bottom w:w="0" w:type="dxa"/>
            </w:tcMar>
            <w:vAlign w:val="center"/>
          </w:tcPr>
          <w:p>
            <w:pPr>
              <w:pStyle w:val="TableContents"/>
              <w:spacing w:before="0" w:after="283"/>
              <w:jc w:val="left"/>
              <w:rPr/>
            </w:pPr>
            <w:r>
              <w:rPr/>
              <w:t>$</w:t>
            </w:r>
          </w:p>
        </w:tc>
        <w:tc>
          <w:tcPr>
            <w:tcW w:w="1959" w:type="dxa"/>
            <w:tcBorders/>
            <w:shd w:fill="CCEEFF" w:val="clear"/>
            <w:tcMar>
              <w:bottom w:w="0" w:type="dxa"/>
            </w:tcMar>
            <w:vAlign w:val="center"/>
          </w:tcPr>
          <w:p>
            <w:pPr>
              <w:pStyle w:val="TableContents"/>
              <w:spacing w:before="0" w:after="283"/>
              <w:jc w:val="right"/>
              <w:rPr/>
            </w:pPr>
            <w:r>
              <w:rPr/>
              <w:t>235,003</w:t>
            </w:r>
          </w:p>
        </w:tc>
        <w:tc>
          <w:tcPr>
            <w:tcW w:w="14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419" w:type="dxa"/>
            <w:tcBorders/>
            <w:shd w:fill="CCEEFF" w:val="clear"/>
            <w:tcMar>
              <w:bottom w:w="0" w:type="dxa"/>
            </w:tcMar>
            <w:vAlign w:val="center"/>
          </w:tcPr>
          <w:p>
            <w:pPr>
              <w:pStyle w:val="TableContents"/>
              <w:spacing w:before="0" w:after="283"/>
              <w:jc w:val="left"/>
              <w:rPr/>
            </w:pPr>
            <w:r>
              <w:rPr/>
              <w:t>$</w:t>
            </w:r>
          </w:p>
        </w:tc>
        <w:tc>
          <w:tcPr>
            <w:tcW w:w="2943" w:type="dxa"/>
            <w:tcBorders/>
            <w:shd w:fill="CCEEFF" w:val="clear"/>
            <w:tcMar>
              <w:bottom w:w="0" w:type="dxa"/>
            </w:tcMar>
            <w:vAlign w:val="center"/>
          </w:tcPr>
          <w:p>
            <w:pPr>
              <w:pStyle w:val="TableContents"/>
              <w:spacing w:before="0" w:after="283"/>
              <w:jc w:val="right"/>
              <w:rPr/>
            </w:pPr>
            <w:r>
              <w:rPr/>
              <w:t>9,322</w:t>
            </w:r>
          </w:p>
        </w:tc>
        <w:tc>
          <w:tcPr>
            <w:tcW w:w="1183"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244,325</w:t>
            </w:r>
          </w:p>
        </w:tc>
        <w:tc>
          <w:tcPr>
            <w:tcW w:w="80" w:type="dxa"/>
            <w:tcBorders/>
            <w:shd w:fill="CCEEFF" w:val="clear"/>
            <w:tcMar>
              <w:bottom w:w="0" w:type="dxa"/>
            </w:tcMar>
            <w:vAlign w:val="center"/>
          </w:tcPr>
          <w:p>
            <w:pPr>
              <w:pStyle w:val="TableContents"/>
              <w:spacing w:before="0" w:after="283"/>
              <w:jc w:val="left"/>
              <w:rPr/>
            </w:pPr>
            <w:r>
              <w:rPr/>
              <w:t> </w:t>
            </w:r>
          </w:p>
        </w:tc>
      </w:tr>
      <w:tr>
        <w:trPr/>
        <w:tc>
          <w:tcPr>
            <w:tcW w:w="2013" w:type="dxa"/>
            <w:tcBorders/>
            <w:shd w:fill="FFFFFF" w:val="clear"/>
            <w:tcMar>
              <w:bottom w:w="0" w:type="dxa"/>
            </w:tcMar>
            <w:vAlign w:val="center"/>
          </w:tcPr>
          <w:p>
            <w:pPr>
              <w:pStyle w:val="TableContents"/>
              <w:spacing w:before="0" w:after="283"/>
              <w:jc w:val="left"/>
              <w:rPr/>
            </w:pPr>
            <w:r>
              <w:rPr/>
              <w:t>Daniel T. Smith</w:t>
            </w:r>
          </w:p>
        </w:tc>
        <w:tc>
          <w:tcPr>
            <w:tcW w:w="60" w:type="dxa"/>
            <w:tcBorders/>
            <w:shd w:fill="FFFFFF" w:val="clear"/>
            <w:tcMar>
              <w:bottom w:w="0" w:type="dxa"/>
            </w:tcMar>
            <w:vAlign w:val="center"/>
          </w:tcPr>
          <w:p>
            <w:pPr>
              <w:pStyle w:val="TableContents"/>
              <w:spacing w:before="0" w:after="283"/>
              <w:rPr/>
            </w:pPr>
            <w:r>
              <w:rPr/>
              <w:t> </w:t>
            </w:r>
          </w:p>
        </w:tc>
        <w:tc>
          <w:tcPr>
            <w:tcW w:w="342" w:type="dxa"/>
            <w:tcBorders/>
            <w:shd w:fill="FFFFFF" w:val="clear"/>
            <w:tcMar>
              <w:bottom w:w="0" w:type="dxa"/>
            </w:tcMar>
            <w:vAlign w:val="center"/>
          </w:tcPr>
          <w:p>
            <w:pPr>
              <w:pStyle w:val="TableContents"/>
              <w:spacing w:before="0" w:after="283"/>
              <w:jc w:val="left"/>
              <w:rPr/>
            </w:pPr>
            <w:r>
              <w:rPr/>
              <w:t>$</w:t>
            </w:r>
          </w:p>
        </w:tc>
        <w:tc>
          <w:tcPr>
            <w:tcW w:w="1959" w:type="dxa"/>
            <w:tcBorders/>
            <w:shd w:fill="FFFFFF" w:val="clear"/>
            <w:tcMar>
              <w:bottom w:w="0" w:type="dxa"/>
            </w:tcMar>
            <w:vAlign w:val="center"/>
          </w:tcPr>
          <w:p>
            <w:pPr>
              <w:pStyle w:val="TableContents"/>
              <w:spacing w:before="0" w:after="283"/>
              <w:jc w:val="right"/>
              <w:rPr/>
            </w:pPr>
            <w:r>
              <w:rPr/>
              <w:t>26,698</w:t>
            </w:r>
          </w:p>
        </w:tc>
        <w:tc>
          <w:tcPr>
            <w:tcW w:w="14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419" w:type="dxa"/>
            <w:tcBorders/>
            <w:shd w:fill="FFFFFF" w:val="clear"/>
            <w:tcMar>
              <w:bottom w:w="0" w:type="dxa"/>
            </w:tcMar>
            <w:vAlign w:val="center"/>
          </w:tcPr>
          <w:p>
            <w:pPr>
              <w:pStyle w:val="TableContents"/>
              <w:spacing w:before="0" w:after="283"/>
              <w:jc w:val="left"/>
              <w:rPr/>
            </w:pPr>
            <w:r>
              <w:rPr/>
              <w:t>$</w:t>
            </w:r>
          </w:p>
        </w:tc>
        <w:tc>
          <w:tcPr>
            <w:tcW w:w="2943" w:type="dxa"/>
            <w:tcBorders/>
            <w:shd w:fill="FFFFFF" w:val="clear"/>
            <w:tcMar>
              <w:bottom w:w="0" w:type="dxa"/>
            </w:tcMar>
            <w:vAlign w:val="center"/>
          </w:tcPr>
          <w:p>
            <w:pPr>
              <w:pStyle w:val="TableContents"/>
              <w:spacing w:before="0" w:after="283"/>
              <w:jc w:val="right"/>
              <w:rPr/>
            </w:pPr>
            <w:r>
              <w:rPr/>
              <w:t>7,633</w:t>
            </w:r>
          </w:p>
        </w:tc>
        <w:tc>
          <w:tcPr>
            <w:tcW w:w="118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34,331</w:t>
            </w:r>
          </w:p>
        </w:tc>
        <w:tc>
          <w:tcPr>
            <w:tcW w:w="80" w:type="dxa"/>
            <w:tcBorders/>
            <w:shd w:fill="FFFFFF" w:val="clear"/>
            <w:tcMar>
              <w:bottom w:w="0" w:type="dxa"/>
            </w:tcMar>
            <w:vAlign w:val="center"/>
          </w:tcPr>
          <w:p>
            <w:pPr>
              <w:pStyle w:val="TableContents"/>
              <w:spacing w:before="0" w:after="283"/>
              <w:jc w:val="left"/>
              <w:rPr/>
            </w:pPr>
            <w:r>
              <w:rPr/>
              <w:t> </w:t>
            </w:r>
          </w:p>
        </w:tc>
      </w:tr>
      <w:tr>
        <w:trPr/>
        <w:tc>
          <w:tcPr>
            <w:tcW w:w="2013" w:type="dxa"/>
            <w:tcBorders/>
            <w:shd w:fill="CCEEFF" w:val="clear"/>
            <w:tcMar>
              <w:bottom w:w="0" w:type="dxa"/>
            </w:tcMar>
            <w:vAlign w:val="center"/>
          </w:tcPr>
          <w:p>
            <w:pPr>
              <w:pStyle w:val="TableContents"/>
              <w:spacing w:before="0" w:after="283"/>
              <w:jc w:val="left"/>
              <w:rPr/>
            </w:pPr>
            <w:r>
              <w:rPr/>
              <w:t>Thomas F. Cofsky</w:t>
            </w:r>
          </w:p>
        </w:tc>
        <w:tc>
          <w:tcPr>
            <w:tcW w:w="60" w:type="dxa"/>
            <w:tcBorders/>
            <w:shd w:fill="CCEEFF" w:val="clear"/>
            <w:tcMar>
              <w:bottom w:w="0" w:type="dxa"/>
            </w:tcMar>
            <w:vAlign w:val="center"/>
          </w:tcPr>
          <w:p>
            <w:pPr>
              <w:pStyle w:val="TableContents"/>
              <w:spacing w:before="0" w:after="283"/>
              <w:rPr/>
            </w:pPr>
            <w:r>
              <w:rPr/>
              <w:t> </w:t>
            </w:r>
          </w:p>
        </w:tc>
        <w:tc>
          <w:tcPr>
            <w:tcW w:w="342" w:type="dxa"/>
            <w:tcBorders/>
            <w:shd w:fill="CCEEFF" w:val="clear"/>
            <w:tcMar>
              <w:bottom w:w="0" w:type="dxa"/>
            </w:tcMar>
            <w:vAlign w:val="center"/>
          </w:tcPr>
          <w:p>
            <w:pPr>
              <w:pStyle w:val="TableContents"/>
              <w:spacing w:before="0" w:after="283"/>
              <w:jc w:val="left"/>
              <w:rPr/>
            </w:pPr>
            <w:r>
              <w:rPr/>
              <w:t>$</w:t>
            </w:r>
          </w:p>
        </w:tc>
        <w:tc>
          <w:tcPr>
            <w:tcW w:w="1959" w:type="dxa"/>
            <w:tcBorders/>
            <w:shd w:fill="CCEEFF" w:val="clear"/>
            <w:tcMar>
              <w:bottom w:w="0" w:type="dxa"/>
            </w:tcMar>
            <w:vAlign w:val="center"/>
          </w:tcPr>
          <w:p>
            <w:pPr>
              <w:pStyle w:val="TableContents"/>
              <w:spacing w:before="0" w:after="283"/>
              <w:jc w:val="right"/>
              <w:rPr/>
            </w:pPr>
            <w:r>
              <w:rPr/>
              <w:t>89,273</w:t>
            </w:r>
          </w:p>
        </w:tc>
        <w:tc>
          <w:tcPr>
            <w:tcW w:w="14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419" w:type="dxa"/>
            <w:tcBorders/>
            <w:shd w:fill="CCEEFF" w:val="clear"/>
            <w:tcMar>
              <w:bottom w:w="0" w:type="dxa"/>
            </w:tcMar>
            <w:vAlign w:val="center"/>
          </w:tcPr>
          <w:p>
            <w:pPr>
              <w:pStyle w:val="TableContents"/>
              <w:spacing w:before="0" w:after="283"/>
              <w:jc w:val="left"/>
              <w:rPr/>
            </w:pPr>
            <w:r>
              <w:rPr/>
              <w:t>$</w:t>
            </w:r>
          </w:p>
        </w:tc>
        <w:tc>
          <w:tcPr>
            <w:tcW w:w="2943" w:type="dxa"/>
            <w:tcBorders/>
            <w:shd w:fill="CCEEFF" w:val="clear"/>
            <w:tcMar>
              <w:bottom w:w="0" w:type="dxa"/>
            </w:tcMar>
            <w:vAlign w:val="center"/>
          </w:tcPr>
          <w:p>
            <w:pPr>
              <w:pStyle w:val="TableContents"/>
              <w:spacing w:before="0" w:after="283"/>
              <w:jc w:val="right"/>
              <w:rPr/>
            </w:pPr>
            <w:r>
              <w:rPr/>
              <w:t>8,092</w:t>
            </w:r>
          </w:p>
        </w:tc>
        <w:tc>
          <w:tcPr>
            <w:tcW w:w="1183"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97,365</w:t>
            </w:r>
          </w:p>
        </w:tc>
        <w:tc>
          <w:tcPr>
            <w:tcW w:w="80" w:type="dxa"/>
            <w:tcBorders/>
            <w:shd w:fill="CCEEFF" w:val="clear"/>
            <w:tcMar>
              <w:bottom w:w="0" w:type="dxa"/>
            </w:tcMar>
            <w:vAlign w:val="center"/>
          </w:tcPr>
          <w:p>
            <w:pPr>
              <w:pStyle w:val="TableContents"/>
              <w:spacing w:before="0" w:after="283"/>
              <w:jc w:val="left"/>
              <w:rPr/>
            </w:pPr>
            <w:r>
              <w:rPr/>
              <w:t> </w:t>
            </w:r>
          </w:p>
        </w:tc>
      </w:tr>
      <w:tr>
        <w:trPr/>
        <w:tc>
          <w:tcPr>
            <w:tcW w:w="2013" w:type="dxa"/>
            <w:tcBorders/>
            <w:shd w:fill="FFFFFF" w:val="clear"/>
            <w:tcMar>
              <w:bottom w:w="0" w:type="dxa"/>
            </w:tcMar>
            <w:vAlign w:val="center"/>
          </w:tcPr>
          <w:p>
            <w:pPr>
              <w:pStyle w:val="TableContents"/>
              <w:spacing w:before="0" w:after="283"/>
              <w:jc w:val="left"/>
              <w:rPr/>
            </w:pPr>
            <w:r>
              <w:rPr/>
              <w:t>Mark E. Lewry</w:t>
            </w:r>
          </w:p>
        </w:tc>
        <w:tc>
          <w:tcPr>
            <w:tcW w:w="60" w:type="dxa"/>
            <w:tcBorders/>
            <w:shd w:fill="FFFFFF" w:val="clear"/>
            <w:tcMar>
              <w:bottom w:w="0" w:type="dxa"/>
            </w:tcMar>
            <w:vAlign w:val="center"/>
          </w:tcPr>
          <w:p>
            <w:pPr>
              <w:pStyle w:val="TableContents"/>
              <w:spacing w:before="0" w:after="283"/>
              <w:rPr/>
            </w:pPr>
            <w:r>
              <w:rPr/>
              <w:t> </w:t>
            </w:r>
          </w:p>
        </w:tc>
        <w:tc>
          <w:tcPr>
            <w:tcW w:w="342" w:type="dxa"/>
            <w:tcBorders/>
            <w:shd w:fill="FFFFFF" w:val="clear"/>
            <w:tcMar>
              <w:bottom w:w="0" w:type="dxa"/>
            </w:tcMar>
            <w:vAlign w:val="center"/>
          </w:tcPr>
          <w:p>
            <w:pPr>
              <w:pStyle w:val="TableContents"/>
              <w:spacing w:before="0" w:after="283"/>
              <w:jc w:val="left"/>
              <w:rPr/>
            </w:pPr>
            <w:r>
              <w:rPr/>
              <w:t>$</w:t>
            </w:r>
          </w:p>
        </w:tc>
        <w:tc>
          <w:tcPr>
            <w:tcW w:w="1959" w:type="dxa"/>
            <w:tcBorders/>
            <w:shd w:fill="FFFFFF" w:val="clear"/>
            <w:tcMar>
              <w:bottom w:w="0" w:type="dxa"/>
            </w:tcMar>
            <w:vAlign w:val="center"/>
          </w:tcPr>
          <w:p>
            <w:pPr>
              <w:pStyle w:val="TableContents"/>
              <w:spacing w:before="0" w:after="283"/>
              <w:jc w:val="right"/>
              <w:rPr/>
            </w:pPr>
            <w:r>
              <w:rPr/>
              <w:t>1,788</w:t>
            </w:r>
          </w:p>
        </w:tc>
        <w:tc>
          <w:tcPr>
            <w:tcW w:w="14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419" w:type="dxa"/>
            <w:tcBorders/>
            <w:shd w:fill="FFFFFF" w:val="clear"/>
            <w:tcMar>
              <w:bottom w:w="0" w:type="dxa"/>
            </w:tcMar>
            <w:vAlign w:val="center"/>
          </w:tcPr>
          <w:p>
            <w:pPr>
              <w:pStyle w:val="TableContents"/>
              <w:spacing w:before="0" w:after="283"/>
              <w:jc w:val="left"/>
              <w:rPr/>
            </w:pPr>
            <w:r>
              <w:rPr/>
              <w:t> </w:t>
            </w:r>
          </w:p>
        </w:tc>
        <w:tc>
          <w:tcPr>
            <w:tcW w:w="2943" w:type="dxa"/>
            <w:tcBorders/>
            <w:shd w:fill="FFFFFF" w:val="clear"/>
            <w:tcMar>
              <w:bottom w:w="0" w:type="dxa"/>
            </w:tcMar>
            <w:vAlign w:val="center"/>
          </w:tcPr>
          <w:p>
            <w:pPr>
              <w:pStyle w:val="TableContents"/>
              <w:spacing w:before="0" w:after="283"/>
              <w:jc w:val="right"/>
              <w:rPr/>
            </w:pPr>
            <w:r>
              <w:rPr/>
              <w:t>   —  </w:t>
            </w:r>
          </w:p>
        </w:tc>
        <w:tc>
          <w:tcPr>
            <w:tcW w:w="1183" w:type="dxa"/>
            <w:tcBorders/>
            <w:shd w:fill="FFFFFF" w:val="clear"/>
            <w:tcMar>
              <w:bottom w:w="0" w:type="dxa"/>
            </w:tcMar>
            <w:vAlign w:val="center"/>
          </w:tcPr>
          <w:p>
            <w:pPr>
              <w:pStyle w:val="TableContents"/>
              <w:spacing w:before="0" w:after="283"/>
              <w:jc w:val="left"/>
              <w:rPr/>
            </w:pPr>
            <w:r>
              <w:rPr/>
              <w:t>(C)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800" w:type="dxa"/>
            <w:tcBorders/>
            <w:shd w:fill="FFFFFF" w:val="clear"/>
            <w:tcMar>
              <w:bottom w:w="0" w:type="dxa"/>
            </w:tcMar>
            <w:vAlign w:val="center"/>
          </w:tcPr>
          <w:p>
            <w:pPr>
              <w:pStyle w:val="TableContents"/>
              <w:spacing w:before="0" w:after="283"/>
              <w:jc w:val="right"/>
              <w:rPr/>
            </w:pPr>
            <w:r>
              <w:rPr/>
              <w:t>1,788</w:t>
            </w:r>
          </w:p>
        </w:tc>
        <w:tc>
          <w:tcPr>
            <w:tcW w:w="80" w:type="dxa"/>
            <w:tcBorders/>
            <w:shd w:fill="FFFFFF" w:val="clear"/>
            <w:tcMar>
              <w:bottom w:w="0" w:type="dxa"/>
            </w:tcMar>
            <w:vAlign w:val="center"/>
          </w:tcPr>
          <w:p>
            <w:pPr>
              <w:pStyle w:val="TableContents"/>
              <w:spacing w:before="0" w:after="283"/>
              <w:jc w:val="left"/>
              <w:rPr/>
            </w:pPr>
            <w:r>
              <w:rPr/>
              <w:t> </w:t>
            </w:r>
          </w:p>
        </w:tc>
      </w:tr>
      <w:tr>
        <w:trPr/>
        <w:tc>
          <w:tcPr>
            <w:tcW w:w="2013" w:type="dxa"/>
            <w:tcBorders/>
            <w:shd w:fill="CCEEFF" w:val="clear"/>
            <w:tcMar>
              <w:bottom w:w="0" w:type="dxa"/>
            </w:tcMar>
            <w:vAlign w:val="center"/>
          </w:tcPr>
          <w:p>
            <w:pPr>
              <w:pStyle w:val="TableContents"/>
              <w:spacing w:before="0" w:after="283"/>
              <w:jc w:val="left"/>
              <w:rPr/>
            </w:pPr>
            <w:r>
              <w:rPr/>
              <w:t>Paul D. Ziemnisky Jr.</w:t>
            </w:r>
          </w:p>
        </w:tc>
        <w:tc>
          <w:tcPr>
            <w:tcW w:w="60" w:type="dxa"/>
            <w:tcBorders/>
            <w:shd w:fill="CCEEFF" w:val="clear"/>
            <w:tcMar>
              <w:bottom w:w="0" w:type="dxa"/>
            </w:tcMar>
            <w:vAlign w:val="center"/>
          </w:tcPr>
          <w:p>
            <w:pPr>
              <w:pStyle w:val="TableContents"/>
              <w:spacing w:before="0" w:after="283"/>
              <w:rPr/>
            </w:pPr>
            <w:r>
              <w:rPr/>
              <w:t> </w:t>
            </w:r>
          </w:p>
        </w:tc>
        <w:tc>
          <w:tcPr>
            <w:tcW w:w="342" w:type="dxa"/>
            <w:tcBorders/>
            <w:shd w:fill="CCEEFF" w:val="clear"/>
            <w:tcMar>
              <w:bottom w:w="0" w:type="dxa"/>
            </w:tcMar>
            <w:vAlign w:val="center"/>
          </w:tcPr>
          <w:p>
            <w:pPr>
              <w:pStyle w:val="TableContents"/>
              <w:spacing w:before="0" w:after="283"/>
              <w:jc w:val="left"/>
              <w:rPr/>
            </w:pPr>
            <w:r>
              <w:rPr/>
              <w:t>$</w:t>
            </w:r>
          </w:p>
        </w:tc>
        <w:tc>
          <w:tcPr>
            <w:tcW w:w="1959" w:type="dxa"/>
            <w:tcBorders/>
            <w:shd w:fill="CCEEFF" w:val="clear"/>
            <w:tcMar>
              <w:bottom w:w="0" w:type="dxa"/>
            </w:tcMar>
            <w:vAlign w:val="center"/>
          </w:tcPr>
          <w:p>
            <w:pPr>
              <w:pStyle w:val="TableContents"/>
              <w:spacing w:before="0" w:after="283"/>
              <w:jc w:val="right"/>
              <w:rPr/>
            </w:pPr>
            <w:r>
              <w:rPr/>
              <w:t>7,445</w:t>
            </w:r>
          </w:p>
        </w:tc>
        <w:tc>
          <w:tcPr>
            <w:tcW w:w="14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419" w:type="dxa"/>
            <w:tcBorders/>
            <w:shd w:fill="CCEEFF" w:val="clear"/>
            <w:tcMar>
              <w:bottom w:w="0" w:type="dxa"/>
            </w:tcMar>
            <w:vAlign w:val="center"/>
          </w:tcPr>
          <w:p>
            <w:pPr>
              <w:pStyle w:val="TableContents"/>
              <w:spacing w:before="0" w:after="283"/>
              <w:jc w:val="left"/>
              <w:rPr/>
            </w:pPr>
            <w:r>
              <w:rPr/>
              <w:t> </w:t>
            </w:r>
          </w:p>
        </w:tc>
        <w:tc>
          <w:tcPr>
            <w:tcW w:w="2943" w:type="dxa"/>
            <w:tcBorders/>
            <w:shd w:fill="CCEEFF" w:val="clear"/>
            <w:tcMar>
              <w:bottom w:w="0" w:type="dxa"/>
            </w:tcMar>
            <w:vAlign w:val="center"/>
          </w:tcPr>
          <w:p>
            <w:pPr>
              <w:pStyle w:val="TableContents"/>
              <w:spacing w:before="0" w:after="283"/>
              <w:jc w:val="right"/>
              <w:rPr/>
            </w:pPr>
            <w:r>
              <w:rPr/>
              <w:t>          —  </w:t>
            </w:r>
          </w:p>
        </w:tc>
        <w:tc>
          <w:tcPr>
            <w:tcW w:w="1183" w:type="dxa"/>
            <w:tcBorders/>
            <w:shd w:fill="CCEEFF" w:val="clear"/>
            <w:tcMar>
              <w:bottom w:w="0" w:type="dxa"/>
            </w:tcMar>
            <w:vAlign w:val="center"/>
          </w:tcPr>
          <w:p>
            <w:pPr>
              <w:pStyle w:val="TableContents"/>
              <w:spacing w:before="0" w:after="283"/>
              <w:jc w:val="left"/>
              <w:rPr/>
            </w:pPr>
            <w:r>
              <w:rPr/>
              <w:t>(C)</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800" w:type="dxa"/>
            <w:tcBorders/>
            <w:shd w:fill="CCEEFF" w:val="clear"/>
            <w:tcMar>
              <w:bottom w:w="0" w:type="dxa"/>
            </w:tcMar>
            <w:vAlign w:val="center"/>
          </w:tcPr>
          <w:p>
            <w:pPr>
              <w:pStyle w:val="TableContents"/>
              <w:spacing w:before="0" w:after="283"/>
              <w:jc w:val="right"/>
              <w:rPr/>
            </w:pPr>
            <w:r>
              <w:rPr/>
              <w:t>7,455</w:t>
            </w:r>
          </w:p>
        </w:tc>
        <w:tc>
          <w:tcPr>
            <w:tcW w:w="80" w:type="dxa"/>
            <w:tcBorders/>
            <w:shd w:fill="CCEEFF" w:val="clear"/>
            <w:tcMar>
              <w:bottom w:w="0" w:type="dxa"/>
            </w:tcMar>
            <w:vAlign w:val="center"/>
          </w:tcPr>
          <w:p>
            <w:pPr>
              <w:pStyle w:val="TableContents"/>
              <w:spacing w:before="0" w:after="283"/>
              <w:jc w:val="left"/>
              <w:rPr/>
            </w:pPr>
            <w:r>
              <w:rPr/>
              <w:t> </w:t>
            </w:r>
          </w:p>
        </w:tc>
      </w:tr>
    </w:tbl>
    <w:p>
      <w:pPr>
        <w:pStyle w:val="TextBody"/>
        <w:spacing w:before="200" w:after="200"/>
        <w:ind w:left="720" w:right="20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17"/>
        </w:rPr>
        <w:t>(A)</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17"/>
        </w:rPr>
        <w:t>The amounts shown include the change in the actuarial present value of benefits under our pension plan during the fiscal year. For Daniel S. Jaffee, the amount shown also includes the change in the actuarial present value of benefits under our SERP.</w:t>
      </w:r>
    </w:p>
    <w:p>
      <w:pPr>
        <w:pStyle w:val="TextBody"/>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amount shown for Daniel S. Jaffee represents earnings from our executive deferred compensation plan that exceed 120% of the applicable federal rate. The amounts shown for Messrs. Cofsky and Smith each represent earnings from our executive deferred compensation plan and, for Mr. Smith, also include earnings from the executive deferred bonus portion of our annual incentive plan that exceed 120% of the applicable federal rate.</w:t>
      </w:r>
    </w:p>
    <w:p>
      <w:pPr>
        <w:pStyle w:val="TextBody"/>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amounts shown for Messrs. Lewry and Ziemnisky are zero because they did not elect to defer any compensation into our executive deferred compensation plan and did not have any earnings on prior year awards from the executive deferred bonus portion of our annual incentive plan.</w:t>
      </w:r>
    </w:p>
    <w:p>
      <w:pPr>
        <w:pStyle w:val="TextBody"/>
        <w:spacing w:lineRule="auto" w:line="276"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amounts shown in this column for fiscal 2014 are described in the following table:</w:t>
      </w:r>
    </w:p>
    <w:tbl>
      <w:tblPr>
        <w:tblW w:w="10205" w:type="dxa"/>
        <w:jc w:val="left"/>
        <w:tblInd w:w="0" w:type="dxa"/>
        <w:tblCellMar>
          <w:top w:w="0" w:type="dxa"/>
          <w:left w:w="0" w:type="dxa"/>
          <w:bottom w:w="0" w:type="dxa"/>
          <w:right w:w="0" w:type="dxa"/>
        </w:tblCellMar>
      </w:tblPr>
      <w:tblGrid>
        <w:gridCol w:w="1280"/>
        <w:gridCol w:w="60"/>
        <w:gridCol w:w="140"/>
        <w:gridCol w:w="800"/>
        <w:gridCol w:w="60"/>
        <w:gridCol w:w="60"/>
        <w:gridCol w:w="140"/>
        <w:gridCol w:w="1235"/>
        <w:gridCol w:w="60"/>
        <w:gridCol w:w="60"/>
        <w:gridCol w:w="140"/>
        <w:gridCol w:w="1380"/>
        <w:gridCol w:w="291"/>
        <w:gridCol w:w="60"/>
        <w:gridCol w:w="140"/>
        <w:gridCol w:w="1563"/>
        <w:gridCol w:w="60"/>
        <w:gridCol w:w="60"/>
        <w:gridCol w:w="60"/>
        <w:gridCol w:w="1538"/>
        <w:gridCol w:w="60"/>
        <w:gridCol w:w="60"/>
        <w:gridCol w:w="140"/>
        <w:gridCol w:w="680"/>
        <w:gridCol w:w="78"/>
      </w:tblGrid>
      <w:tr>
        <w:trPr/>
        <w:tc>
          <w:tcPr>
            <w:tcW w:w="10205" w:type="dxa"/>
            <w:gridSpan w:val="25"/>
            <w:tcBorders/>
            <w:shd w:fill="auto" w:val="clear"/>
            <w:vAlign w:val="center"/>
          </w:tcPr>
          <w:p>
            <w:pPr>
              <w:pStyle w:val="TableContents"/>
              <w:spacing w:before="0" w:after="283"/>
              <w:jc w:val="center"/>
              <w:rPr>
                <w:b/>
              </w:rPr>
            </w:pPr>
            <w:bookmarkStart w:id="32" w:name="all_other"/>
            <w:bookmarkEnd w:id="32"/>
            <w:r>
              <w:rPr>
                <w:b/>
              </w:rPr>
              <w:t>All Other Compensation Table</w:t>
            </w:r>
          </w:p>
        </w:tc>
      </w:tr>
      <w:tr>
        <w:trPr/>
        <w:tc>
          <w:tcPr>
            <w:tcW w:w="1280" w:type="dxa"/>
            <w:tcBorders>
              <w:bottom w:val="single" w:sz="8" w:space="0" w:color="000000"/>
            </w:tcBorders>
            <w:shd w:fill="FFFFFF" w:val="clear"/>
            <w:tcMar>
              <w:bottom w:w="28" w:type="dxa"/>
            </w:tcMar>
            <w:vAlign w:val="center"/>
          </w:tcPr>
          <w:p>
            <w:pPr>
              <w:pStyle w:val="TableContents"/>
              <w:spacing w:before="0" w:after="283"/>
              <w:jc w:val="left"/>
              <w:rPr>
                <w:b/>
              </w:rPr>
            </w:pPr>
            <w:r>
              <w:rPr>
                <w:b/>
              </w:rPr>
              <w:t>Name</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center"/>
              <w:rPr>
                <w:b/>
              </w:rPr>
            </w:pPr>
            <w:r>
              <w:rPr>
                <w:b/>
                <w:sz w:val="17"/>
              </w:rPr>
              <w:t>Perquisites</w:t>
            </w:r>
            <w:r>
              <w:rPr>
                <w:b/>
              </w:rPr>
              <w:br/>
            </w:r>
            <w:r>
              <w:rPr>
                <w:b/>
                <w:sz w:val="17"/>
              </w:rPr>
              <w:t>($)</w:t>
            </w:r>
            <w:r>
              <w:rPr>
                <w:b/>
              </w:rPr>
              <w:br/>
            </w:r>
            <w:r>
              <w:rPr>
                <w:b/>
                <w:sz w:val="17"/>
              </w:rPr>
              <w:t>(A)</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spacing w:before="120" w:after="4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on</w:t>
              <w:br/>
              <w:t>Unvested</w:t>
              <w:br/>
              <w:t>Restricted</w:t>
              <w:br/>
              <w:t>Stock</w:t>
              <w:br/>
              <w:t>($)</w:t>
              <w:br/>
              <w:t>(B)</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spacing w:before="40" w:after="40"/>
              <w:ind w:left="40" w:right="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Earned</w:t>
              <w:br/>
              <w:t>on Executive</w:t>
              <w:br/>
              <w:t>Deferred Bonus</w:t>
              <w:br/>
              <w:t>($)</w:t>
              <w:br/>
              <w:t>(C)</w:t>
            </w:r>
          </w:p>
        </w:tc>
        <w:tc>
          <w:tcPr>
            <w:tcW w:w="291"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563" w:type="dxa"/>
            <w:tcBorders>
              <w:bottom w:val="single" w:sz="8" w:space="0" w:color="000000"/>
            </w:tcBorders>
            <w:shd w:fill="FFFFFF" w:val="clear"/>
            <w:tcMar>
              <w:bottom w:w="28" w:type="dxa"/>
            </w:tcMar>
            <w:vAlign w:val="center"/>
          </w:tcPr>
          <w:p>
            <w:pPr>
              <w:pStyle w:val="TableContents"/>
              <w:spacing w:before="0" w:after="283"/>
              <w:jc w:val="center"/>
              <w:rPr>
                <w:b/>
              </w:rPr>
            </w:pPr>
            <w:r>
              <w:rPr>
                <w:b/>
                <w:sz w:val="17"/>
              </w:rPr>
              <w:t>401(k) Plan Company Matching Contributions</w:t>
            </w:r>
            <w:r>
              <w:rPr>
                <w:b/>
              </w:rPr>
              <w:br/>
            </w:r>
            <w:r>
              <w:rPr>
                <w:b/>
                <w:sz w:val="17"/>
              </w:rPr>
              <w:t>($)</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538" w:type="dxa"/>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Post-Termination Compensation</w:t>
              <w:br/>
              <w:t>($)</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spacing w:before="0" w:after="283"/>
              <w:jc w:val="center"/>
              <w:rPr>
                <w:b/>
              </w:rPr>
            </w:pPr>
            <w:r>
              <w:rPr>
                <w:b/>
                <w:sz w:val="17"/>
              </w:rPr>
              <w:t>Total</w:t>
            </w:r>
            <w:r>
              <w:rPr>
                <w:b/>
              </w:rPr>
              <w:br/>
            </w:r>
            <w:r>
              <w:rPr>
                <w:b/>
                <w:sz w:val="17"/>
              </w:rPr>
              <w:t>($)</w:t>
            </w:r>
          </w:p>
        </w:tc>
        <w:tc>
          <w:tcPr>
            <w:tcW w:w="78" w:type="dxa"/>
            <w:tcBorders>
              <w:bottom w:val="single" w:sz="8" w:space="0" w:color="000000"/>
            </w:tcBorders>
            <w:shd w:fill="FFFFFF" w:val="clear"/>
            <w:tcMar>
              <w:bottom w:w="28" w:type="dxa"/>
            </w:tcMar>
            <w:vAlign w:val="center"/>
          </w:tcPr>
          <w:p>
            <w:pPr>
              <w:pStyle w:val="TableContents"/>
              <w:spacing w:before="0" w:after="283"/>
              <w:jc w:val="left"/>
              <w:rPr/>
            </w:pPr>
            <w:r>
              <w:rPr/>
              <w:t> </w:t>
            </w:r>
          </w:p>
        </w:tc>
      </w:tr>
      <w:tr>
        <w:trPr/>
        <w:tc>
          <w:tcPr>
            <w:tcW w:w="1280" w:type="dxa"/>
            <w:tcBorders/>
            <w:shd w:fill="CCEEFF" w:val="clear"/>
            <w:vAlign w:val="center"/>
          </w:tcPr>
          <w:p>
            <w:pPr>
              <w:pStyle w:val="TableContents"/>
              <w:spacing w:before="0" w:after="283"/>
              <w:jc w:val="left"/>
              <w:rPr/>
            </w:pPr>
            <w:r>
              <w:rPr/>
              <w:t>Daniel S. Jaffee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11,759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35" w:type="dxa"/>
            <w:tcBorders/>
            <w:shd w:fill="CCEEFF" w:val="clear"/>
            <w:vAlign w:val="center"/>
          </w:tcPr>
          <w:p>
            <w:pPr>
              <w:pStyle w:val="TableContents"/>
              <w:spacing w:before="0" w:after="283"/>
              <w:jc w:val="right"/>
              <w:rPr/>
            </w:pPr>
            <w:r>
              <w:rPr/>
              <w:t>37,648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380" w:type="dxa"/>
            <w:tcBorders/>
            <w:shd w:fill="CCEEFF" w:val="clear"/>
            <w:vAlign w:val="center"/>
          </w:tcPr>
          <w:p>
            <w:pPr>
              <w:pStyle w:val="TableContents"/>
              <w:spacing w:before="0" w:after="283"/>
              <w:jc w:val="right"/>
              <w:rPr/>
            </w:pPr>
            <w:r>
              <w:rPr/>
              <w:t>—  </w:t>
            </w:r>
          </w:p>
        </w:tc>
        <w:tc>
          <w:tcPr>
            <w:tcW w:w="29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563" w:type="dxa"/>
            <w:tcBorders/>
            <w:shd w:fill="CCEEFF" w:val="clear"/>
            <w:vAlign w:val="center"/>
          </w:tcPr>
          <w:p>
            <w:pPr>
              <w:pStyle w:val="TableContents"/>
              <w:spacing w:before="0" w:after="283"/>
              <w:jc w:val="right"/>
              <w:rPr/>
            </w:pPr>
            <w:r>
              <w:rPr/>
              <w:t>9,042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53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58,449</w:t>
            </w:r>
          </w:p>
        </w:tc>
        <w:tc>
          <w:tcPr>
            <w:tcW w:w="78" w:type="dxa"/>
            <w:tcBorders/>
            <w:shd w:fill="CCEEFF" w:val="clear"/>
            <w:vAlign w:val="center"/>
          </w:tcPr>
          <w:p>
            <w:pPr>
              <w:pStyle w:val="TableContents"/>
              <w:spacing w:before="0" w:after="283"/>
              <w:jc w:val="left"/>
              <w:rPr/>
            </w:pPr>
            <w:r>
              <w:rPr/>
              <w:t> </w:t>
            </w:r>
          </w:p>
        </w:tc>
      </w:tr>
      <w:tr>
        <w:trPr/>
        <w:tc>
          <w:tcPr>
            <w:tcW w:w="1280" w:type="dxa"/>
            <w:tcBorders/>
            <w:shd w:fill="FFFFFF" w:val="clear"/>
            <w:vAlign w:val="center"/>
          </w:tcPr>
          <w:p>
            <w:pPr>
              <w:pStyle w:val="TableContents"/>
              <w:spacing w:before="0" w:after="283"/>
              <w:jc w:val="left"/>
              <w:rPr/>
            </w:pPr>
            <w:r>
              <w:rPr/>
              <w:t>Daniel T. Smith</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2,700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235" w:type="dxa"/>
            <w:tcBorders/>
            <w:shd w:fill="FFFFFF" w:val="clear"/>
            <w:vAlign w:val="center"/>
          </w:tcPr>
          <w:p>
            <w:pPr>
              <w:pStyle w:val="TableContents"/>
              <w:spacing w:before="0" w:after="283"/>
              <w:jc w:val="right"/>
              <w:rPr/>
            </w:pPr>
            <w:r>
              <w:rPr/>
              <w:t>760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380" w:type="dxa"/>
            <w:tcBorders/>
            <w:shd w:fill="FFFFFF" w:val="clear"/>
            <w:vAlign w:val="center"/>
          </w:tcPr>
          <w:p>
            <w:pPr>
              <w:pStyle w:val="TableContents"/>
              <w:spacing w:before="0" w:after="283"/>
              <w:jc w:val="right"/>
              <w:rPr/>
            </w:pPr>
            <w:r>
              <w:rPr/>
              <w:t>4,250</w:t>
            </w:r>
          </w:p>
        </w:tc>
        <w:tc>
          <w:tcPr>
            <w:tcW w:w="291"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563" w:type="dxa"/>
            <w:tcBorders/>
            <w:shd w:fill="FFFFFF" w:val="clear"/>
            <w:vAlign w:val="center"/>
          </w:tcPr>
          <w:p>
            <w:pPr>
              <w:pStyle w:val="TableContents"/>
              <w:spacing w:before="0" w:after="283"/>
              <w:jc w:val="right"/>
              <w:rPr/>
            </w:pPr>
            <w:r>
              <w:rPr/>
              <w:t>6,772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53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80" w:type="dxa"/>
            <w:tcBorders/>
            <w:shd w:fill="FFFFFF" w:val="clear"/>
            <w:vAlign w:val="center"/>
          </w:tcPr>
          <w:p>
            <w:pPr>
              <w:pStyle w:val="TableContents"/>
              <w:spacing w:before="0" w:after="283"/>
              <w:jc w:val="right"/>
              <w:rPr/>
            </w:pPr>
            <w:r>
              <w:rPr/>
              <w:t>14,482</w:t>
            </w:r>
          </w:p>
        </w:tc>
        <w:tc>
          <w:tcPr>
            <w:tcW w:w="78" w:type="dxa"/>
            <w:tcBorders/>
            <w:shd w:fill="FFFFFF" w:val="clear"/>
            <w:vAlign w:val="center"/>
          </w:tcPr>
          <w:p>
            <w:pPr>
              <w:pStyle w:val="TableContents"/>
              <w:spacing w:before="0" w:after="283"/>
              <w:jc w:val="left"/>
              <w:rPr/>
            </w:pPr>
            <w:r>
              <w:rPr/>
              <w:t> </w:t>
            </w:r>
          </w:p>
        </w:tc>
      </w:tr>
      <w:tr>
        <w:trPr/>
        <w:tc>
          <w:tcPr>
            <w:tcW w:w="1280" w:type="dxa"/>
            <w:tcBorders/>
            <w:shd w:fill="CCEEFF" w:val="clear"/>
            <w:vAlign w:val="center"/>
          </w:tcPr>
          <w:p>
            <w:pPr>
              <w:pStyle w:val="TableContents"/>
              <w:spacing w:before="0" w:after="283"/>
              <w:jc w:val="left"/>
              <w:rPr/>
            </w:pPr>
            <w:r>
              <w:rPr/>
              <w:t>Thomas F. Cofsky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10,747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35" w:type="dxa"/>
            <w:tcBorders/>
            <w:shd w:fill="CCEEFF" w:val="clear"/>
            <w:vAlign w:val="center"/>
          </w:tcPr>
          <w:p>
            <w:pPr>
              <w:pStyle w:val="TableContents"/>
              <w:spacing w:before="0" w:after="283"/>
              <w:jc w:val="right"/>
              <w:rPr/>
            </w:pPr>
            <w:r>
              <w:rPr/>
              <w:t>3,812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380" w:type="dxa"/>
            <w:tcBorders/>
            <w:shd w:fill="CCEEFF" w:val="clear"/>
            <w:vAlign w:val="center"/>
          </w:tcPr>
          <w:p>
            <w:pPr>
              <w:pStyle w:val="TableContents"/>
              <w:spacing w:before="0" w:after="283"/>
              <w:jc w:val="right"/>
              <w:rPr/>
            </w:pPr>
            <w:r>
              <w:rPr/>
              <w:t>—  </w:t>
            </w:r>
          </w:p>
        </w:tc>
        <w:tc>
          <w:tcPr>
            <w:tcW w:w="29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563" w:type="dxa"/>
            <w:tcBorders/>
            <w:shd w:fill="CCEEFF" w:val="clear"/>
            <w:vAlign w:val="center"/>
          </w:tcPr>
          <w:p>
            <w:pPr>
              <w:pStyle w:val="TableContents"/>
              <w:spacing w:before="0" w:after="283"/>
              <w:jc w:val="right"/>
              <w:rPr/>
            </w:pPr>
            <w:r>
              <w:rPr/>
              <w:t>7,217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53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21,776</w:t>
            </w:r>
          </w:p>
        </w:tc>
        <w:tc>
          <w:tcPr>
            <w:tcW w:w="78" w:type="dxa"/>
            <w:tcBorders/>
            <w:shd w:fill="CCEEFF" w:val="clear"/>
            <w:vAlign w:val="center"/>
          </w:tcPr>
          <w:p>
            <w:pPr>
              <w:pStyle w:val="TableContents"/>
              <w:spacing w:before="0" w:after="283"/>
              <w:jc w:val="left"/>
              <w:rPr/>
            </w:pPr>
            <w:r>
              <w:rPr/>
              <w:t> </w:t>
            </w:r>
          </w:p>
        </w:tc>
      </w:tr>
      <w:tr>
        <w:trPr/>
        <w:tc>
          <w:tcPr>
            <w:tcW w:w="1280" w:type="dxa"/>
            <w:tcBorders/>
            <w:shd w:fill="FFFFFF" w:val="clear"/>
            <w:vAlign w:val="center"/>
          </w:tcPr>
          <w:p>
            <w:pPr>
              <w:pStyle w:val="TableContents"/>
              <w:spacing w:before="0" w:after="283"/>
              <w:jc w:val="left"/>
              <w:rPr/>
            </w:pPr>
            <w:r>
              <w:rPr/>
              <w:t>Mark E. Lewry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365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235" w:type="dxa"/>
            <w:tcBorders/>
            <w:shd w:fill="FFFFFF" w:val="clear"/>
            <w:vAlign w:val="center"/>
          </w:tcPr>
          <w:p>
            <w:pPr>
              <w:pStyle w:val="TableContents"/>
              <w:spacing w:before="0" w:after="283"/>
              <w:jc w:val="right"/>
              <w:rPr/>
            </w:pPr>
            <w:r>
              <w:rPr/>
              <w:t>2,280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380" w:type="dxa"/>
            <w:tcBorders/>
            <w:shd w:fill="FFFFFF" w:val="clear"/>
            <w:vAlign w:val="center"/>
          </w:tcPr>
          <w:p>
            <w:pPr>
              <w:pStyle w:val="TableContents"/>
              <w:spacing w:before="0" w:after="283"/>
              <w:jc w:val="right"/>
              <w:rPr/>
            </w:pPr>
            <w:r>
              <w:rPr/>
              <w:t>—  </w:t>
            </w:r>
          </w:p>
        </w:tc>
        <w:tc>
          <w:tcPr>
            <w:tcW w:w="291" w:type="dxa"/>
            <w:tcBorders/>
            <w:shd w:fill="FFFFFF" w:val="clear"/>
            <w:vAlign w:val="center"/>
          </w:tcPr>
          <w:p>
            <w:pPr>
              <w:pStyle w:val="TableContents"/>
              <w:spacing w:before="0" w:after="283"/>
              <w:jc w:val="left"/>
              <w:rPr/>
            </w:pPr>
            <w:r>
              <w:rPr/>
              <w:t>(D)</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563" w:type="dxa"/>
            <w:tcBorders/>
            <w:shd w:fill="FFFFFF" w:val="clear"/>
            <w:vAlign w:val="center"/>
          </w:tcPr>
          <w:p>
            <w:pPr>
              <w:pStyle w:val="TableContents"/>
              <w:spacing w:before="0" w:after="283"/>
              <w:jc w:val="right"/>
              <w:rPr/>
            </w:pPr>
            <w:r>
              <w:rPr/>
              <w:t>1,750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53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80" w:type="dxa"/>
            <w:tcBorders/>
            <w:shd w:fill="FFFFFF" w:val="clear"/>
            <w:vAlign w:val="center"/>
          </w:tcPr>
          <w:p>
            <w:pPr>
              <w:pStyle w:val="TableContents"/>
              <w:spacing w:before="0" w:after="283"/>
              <w:jc w:val="right"/>
              <w:rPr/>
            </w:pPr>
            <w:r>
              <w:rPr/>
              <w:t>4,395</w:t>
            </w:r>
          </w:p>
        </w:tc>
        <w:tc>
          <w:tcPr>
            <w:tcW w:w="78" w:type="dxa"/>
            <w:tcBorders/>
            <w:shd w:fill="FFFFFF" w:val="clear"/>
            <w:vAlign w:val="center"/>
          </w:tcPr>
          <w:p>
            <w:pPr>
              <w:pStyle w:val="TableContents"/>
              <w:spacing w:before="0" w:after="283"/>
              <w:jc w:val="left"/>
              <w:rPr/>
            </w:pPr>
            <w:r>
              <w:rPr/>
              <w:t> </w:t>
            </w:r>
          </w:p>
        </w:tc>
      </w:tr>
      <w:tr>
        <w:trPr/>
        <w:tc>
          <w:tcPr>
            <w:tcW w:w="1280" w:type="dxa"/>
            <w:tcBorders/>
            <w:shd w:fill="CCEEFF" w:val="clear"/>
            <w:vAlign w:val="center"/>
          </w:tcPr>
          <w:p>
            <w:pPr>
              <w:pStyle w:val="TableContents"/>
              <w:spacing w:before="0" w:after="283"/>
              <w:jc w:val="left"/>
              <w:rPr/>
            </w:pPr>
            <w:r>
              <w:rPr/>
              <w:t>Paul D. Ziemnisky Jr.</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35" w:type="dxa"/>
            <w:tcBorders/>
            <w:shd w:fill="CCEEFF" w:val="clear"/>
            <w:vAlign w:val="center"/>
          </w:tcPr>
          <w:p>
            <w:pPr>
              <w:pStyle w:val="TableContents"/>
              <w:spacing w:before="0" w:after="283"/>
              <w:jc w:val="right"/>
              <w:rPr/>
            </w:pPr>
            <w:r>
              <w:rPr/>
              <w:t>5,700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380" w:type="dxa"/>
            <w:tcBorders/>
            <w:shd w:fill="CCEEFF" w:val="clear"/>
            <w:vAlign w:val="center"/>
          </w:tcPr>
          <w:p>
            <w:pPr>
              <w:pStyle w:val="TableContents"/>
              <w:spacing w:before="0" w:after="283"/>
              <w:jc w:val="right"/>
              <w:rPr/>
            </w:pPr>
            <w:r>
              <w:rPr/>
              <w:t>—  </w:t>
            </w:r>
          </w:p>
        </w:tc>
        <w:tc>
          <w:tcPr>
            <w:tcW w:w="291" w:type="dxa"/>
            <w:tcBorders/>
            <w:shd w:fill="CCEEFF" w:val="clear"/>
            <w:vAlign w:val="center"/>
          </w:tcPr>
          <w:p>
            <w:pPr>
              <w:pStyle w:val="TableContents"/>
              <w:spacing w:before="0" w:after="283"/>
              <w:jc w:val="left"/>
              <w:rPr/>
            </w:pPr>
            <w:r>
              <w:rPr/>
              <w:t>(D)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563" w:type="dxa"/>
            <w:tcBorders/>
            <w:shd w:fill="CCEEFF" w:val="clear"/>
            <w:vAlign w:val="center"/>
          </w:tcPr>
          <w:p>
            <w:pPr>
              <w:pStyle w:val="TableContents"/>
              <w:spacing w:before="0" w:after="283"/>
              <w:jc w:val="right"/>
              <w:rPr/>
            </w:pPr>
            <w:r>
              <w:rPr/>
              <w:t>3,500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53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9,200</w:t>
            </w:r>
          </w:p>
        </w:tc>
        <w:tc>
          <w:tcPr>
            <w:tcW w:w="78" w:type="dxa"/>
            <w:tcBorders/>
            <w:shd w:fill="CCEEFF" w:val="clear"/>
            <w:vAlign w:val="center"/>
          </w:tcPr>
          <w:p>
            <w:pPr>
              <w:pStyle w:val="TableContents"/>
              <w:spacing w:before="0" w:after="283"/>
              <w:jc w:val="left"/>
              <w:rPr/>
            </w:pPr>
            <w:r>
              <w:rPr/>
              <w:t> </w:t>
            </w:r>
          </w:p>
        </w:tc>
      </w:tr>
    </w:tbl>
    <w:p>
      <w:pPr>
        <w:pStyle w:val="TextBody"/>
        <w:spacing w:before="200" w:after="200"/>
        <w:ind w:left="720" w:right="20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              </w:t>
      </w:r>
      <w:r>
        <w:rPr>
          <w:rFonts w:ascii="Times New Roman;Times;Serif" w:hAnsi="Times New Roman;Times;Serif"/>
          <w:b w:val="false"/>
          <w:i w:val="false"/>
          <w:caps w:val="false"/>
          <w:smallCaps w:val="false"/>
          <w:sz w:val="17"/>
        </w:rPr>
        <w:t>Perquisites for the named executive officers generally consist of auto allowances, paid parking, airline executive club memberships, remote internet access costs and periodical subscriptions. The amounts shown reflect the actual cost to us for providing these perquisites. The perquisites received by Daniel S. Jaffee consisted of the following which were paid by the Company: $6,300 auto allowance, $3,900 for parking, $400 for airline executive club membership, $884 for remote internet access and related fees and $275 for periodical subscriptions. The perquisites received by Thomas F. Cofsky consisted of the following which were paid by the Company: $6,300 auto allowance, $3,900 for parking and $547 for remote internet access and related fees.</w:t>
      </w:r>
    </w:p>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200" w:after="200"/>
        <w:ind w:left="720" w:right="20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              </w:t>
      </w:r>
      <w:r>
        <w:rPr>
          <w:rFonts w:ascii="Times New Roman;Times;Serif" w:hAnsi="Times New Roman;Times;Serif"/>
          <w:b w:val="false"/>
          <w:i w:val="false"/>
          <w:caps w:val="false"/>
          <w:smallCaps w:val="false"/>
          <w:sz w:val="17"/>
        </w:rPr>
        <w:t>Amounts shown represent dividend payments on unvested shares of restricted stock held by the named executive officers that are reportable as either dividend or ordinary income.</w:t>
      </w:r>
    </w:p>
    <w:p>
      <w:pPr>
        <w:pStyle w:val="TextBody"/>
        <w:spacing w:before="200" w:after="200"/>
        <w:ind w:left="72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Executive deferred bonuses awarded under our annual incentive plan earn interest at a rate equal to our long-term cost of borrowing plus 1% as described above under “Compensation Discussion and Analysis – Annual and Deferred Incentive Compensation.” The amounts shown are the interest earned on all unvested executive deferred bonus awards that do not exceed 120% of the applicable federal rate, regardless of the fiscal year in which the awards were earned. For earnings that exceed 120% of the applicable federal rate, see the column titled “Nonqualified Deferred Compensation Earnings” in the table to footnote (3) of this Summary Compensation Table.</w:t>
      </w:r>
    </w:p>
    <w:p>
      <w:pPr>
        <w:pStyle w:val="TextBody"/>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amounts shown for Messrs. Lewry and Ziemnisky are zero because neither has yet been awarded executive deferred bonuses under our annual incentive plan.</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Mr. Lewry joined the Company on March 31, 2014. Upon joining the Company, Mr. Lewry received an award of 12,000 restricted shares of Common Stock, all of which will “cliff” vest on April 7, 2019, provided that Mr. Lewry is employed by the Company on that date.</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Mr. Ziemnisky joined the Company on September 5, 2013. Upon joining the Company, Mr. Ziemnisky received an award of 10,000 restricted shares of Common Stock, all of which will “cliff” vest on October 16, 2018, provided that Mr. Ziemnisky is employed by the Company on that date.</w:t>
      </w:r>
    </w:p>
    <w:p>
      <w:pPr>
        <w:pStyle w:val="TextBody"/>
        <w:spacing w:before="400" w:after="200"/>
        <w:ind w:left="400" w:right="400" w:hanging="0"/>
        <w:jc w:val="center"/>
        <w:rPr>
          <w:rFonts w:ascii="Times New Roman;Times;Serif" w:hAnsi="Times New Roman;Times;Serif"/>
          <w:b/>
          <w:i w:val="false"/>
          <w:caps w:val="false"/>
          <w:smallCaps w:val="false"/>
          <w:sz w:val="20"/>
        </w:rPr>
      </w:pPr>
      <w:bookmarkStart w:id="33" w:name="a_Toc339007572"/>
      <w:bookmarkEnd w:id="33"/>
      <w:r>
        <w:rPr>
          <w:rFonts w:ascii="Times New Roman;Times;Serif" w:hAnsi="Times New Roman;Times;Serif"/>
          <w:b/>
          <w:i w:val="false"/>
          <w:caps w:val="false"/>
          <w:smallCaps w:val="false"/>
          <w:sz w:val="20"/>
        </w:rPr>
        <w:t>Grants of Plan-Based Awards during Fiscal 2014</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discloses certain information regarding grants of plan-based awards to the named executive officers during fiscal 2014.</w:t>
      </w:r>
    </w:p>
    <w:tbl>
      <w:tblPr>
        <w:tblW w:w="10205" w:type="dxa"/>
        <w:jc w:val="left"/>
        <w:tblInd w:w="0" w:type="dxa"/>
        <w:tblCellMar>
          <w:top w:w="0" w:type="dxa"/>
          <w:left w:w="0" w:type="dxa"/>
          <w:bottom w:w="0" w:type="dxa"/>
          <w:right w:w="0" w:type="dxa"/>
        </w:tblCellMar>
      </w:tblPr>
      <w:tblGrid>
        <w:gridCol w:w="1044"/>
        <w:gridCol w:w="60"/>
        <w:gridCol w:w="140"/>
        <w:gridCol w:w="680"/>
        <w:gridCol w:w="60"/>
        <w:gridCol w:w="60"/>
        <w:gridCol w:w="140"/>
        <w:gridCol w:w="682"/>
        <w:gridCol w:w="60"/>
        <w:gridCol w:w="60"/>
        <w:gridCol w:w="140"/>
        <w:gridCol w:w="800"/>
        <w:gridCol w:w="60"/>
        <w:gridCol w:w="60"/>
        <w:gridCol w:w="140"/>
        <w:gridCol w:w="682"/>
        <w:gridCol w:w="60"/>
        <w:gridCol w:w="60"/>
        <w:gridCol w:w="140"/>
        <w:gridCol w:w="800"/>
        <w:gridCol w:w="60"/>
        <w:gridCol w:w="60"/>
        <w:gridCol w:w="140"/>
        <w:gridCol w:w="682"/>
        <w:gridCol w:w="60"/>
        <w:gridCol w:w="60"/>
        <w:gridCol w:w="60"/>
        <w:gridCol w:w="502"/>
        <w:gridCol w:w="60"/>
        <w:gridCol w:w="60"/>
        <w:gridCol w:w="60"/>
        <w:gridCol w:w="1275"/>
        <w:gridCol w:w="60"/>
        <w:gridCol w:w="60"/>
        <w:gridCol w:w="140"/>
        <w:gridCol w:w="860"/>
        <w:gridCol w:w="78"/>
      </w:tblGrid>
      <w:tr>
        <w:trPr/>
        <w:tc>
          <w:tcPr>
            <w:tcW w:w="1044"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5826" w:type="dxa"/>
            <w:gridSpan w:val="23"/>
            <w:tcBorders>
              <w:bottom w:val="single" w:sz="8" w:space="0" w:color="000000"/>
            </w:tcBorders>
            <w:shd w:fill="auto" w:val="clear"/>
            <w:tcMar>
              <w:bottom w:w="28" w:type="dxa"/>
            </w:tcMar>
            <w:vAlign w:val="center"/>
          </w:tcPr>
          <w:p>
            <w:pPr>
              <w:pStyle w:val="TableContents"/>
              <w:spacing w:before="0" w:after="283"/>
              <w:jc w:val="center"/>
              <w:rPr>
                <w:b/>
              </w:rPr>
            </w:pPr>
            <w:r>
              <w:rPr>
                <w:b/>
              </w:rPr>
              <w:t>Estimated Future Payouts Under Non-Equity Incentive Plan Awards (1)</w:t>
            </w:r>
          </w:p>
        </w:tc>
        <w:tc>
          <w:tcPr>
            <w:tcW w:w="60" w:type="dxa"/>
            <w:tcBorders/>
            <w:shd w:fill="auto" w:val="clear"/>
            <w:vAlign w:val="center"/>
          </w:tcPr>
          <w:p>
            <w:pPr>
              <w:pStyle w:val="TableContents"/>
              <w:spacing w:before="0" w:after="283"/>
              <w:rPr/>
            </w:pPr>
            <w:r>
              <w:rPr/>
              <w:t> </w:t>
            </w:r>
          </w:p>
        </w:tc>
        <w:tc>
          <w:tcPr>
            <w:tcW w:w="3215" w:type="dxa"/>
            <w:gridSpan w:val="11"/>
            <w:tcBorders>
              <w:bottom w:val="single" w:sz="8" w:space="0" w:color="000000"/>
            </w:tcBorders>
            <w:shd w:fill="auto" w:val="clear"/>
            <w:tcMar>
              <w:bottom w:w="28" w:type="dxa"/>
            </w:tcMar>
            <w:vAlign w:val="center"/>
          </w:tcPr>
          <w:p>
            <w:pPr>
              <w:pStyle w:val="TableContents"/>
              <w:spacing w:before="0" w:after="283"/>
              <w:jc w:val="center"/>
              <w:rPr>
                <w:b/>
              </w:rPr>
            </w:pPr>
            <w:r>
              <w:rPr>
                <w:b/>
              </w:rPr>
              <w:t>Equity Plan Awards (2)</w:t>
            </w:r>
          </w:p>
        </w:tc>
      </w:tr>
      <w:tr>
        <w:trPr/>
        <w:tc>
          <w:tcPr>
            <w:tcW w:w="1044"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22" w:type="dxa"/>
            <w:gridSpan w:val="7"/>
            <w:tcBorders>
              <w:bottom w:val="single" w:sz="8" w:space="0" w:color="000000"/>
            </w:tcBorders>
            <w:shd w:fill="auto" w:val="clear"/>
            <w:tcMar>
              <w:bottom w:w="28" w:type="dxa"/>
            </w:tcMar>
            <w:vAlign w:val="center"/>
          </w:tcPr>
          <w:p>
            <w:pPr>
              <w:pStyle w:val="TableContents"/>
              <w:spacing w:before="0" w:after="283"/>
              <w:jc w:val="center"/>
              <w:rPr>
                <w:b/>
              </w:rPr>
            </w:pPr>
            <w:r>
              <w:rPr>
                <w:b/>
              </w:rPr>
              <w:t xml:space="preserve">Threshold </w:t>
            </w:r>
          </w:p>
        </w:tc>
        <w:tc>
          <w:tcPr>
            <w:tcW w:w="60" w:type="dxa"/>
            <w:tcBorders/>
            <w:shd w:fill="auto" w:val="clear"/>
            <w:vAlign w:val="center"/>
          </w:tcPr>
          <w:p>
            <w:pPr>
              <w:pStyle w:val="TableContents"/>
              <w:spacing w:before="0" w:after="283"/>
              <w:rPr/>
            </w:pPr>
            <w:r>
              <w:rPr/>
              <w:t> </w:t>
            </w:r>
          </w:p>
        </w:tc>
        <w:tc>
          <w:tcPr>
            <w:tcW w:w="1942" w:type="dxa"/>
            <w:gridSpan w:val="7"/>
            <w:tcBorders>
              <w:bottom w:val="single" w:sz="8" w:space="0" w:color="000000"/>
            </w:tcBorders>
            <w:shd w:fill="auto" w:val="clear"/>
            <w:tcMar>
              <w:bottom w:w="28" w:type="dxa"/>
            </w:tcMar>
            <w:vAlign w:val="center"/>
          </w:tcPr>
          <w:p>
            <w:pPr>
              <w:pStyle w:val="TableContents"/>
              <w:spacing w:before="0" w:after="283"/>
              <w:jc w:val="center"/>
              <w:rPr>
                <w:b/>
              </w:rPr>
            </w:pPr>
            <w:r>
              <w:rPr>
                <w:b/>
              </w:rPr>
              <w:t xml:space="preserve">Target </w:t>
            </w:r>
          </w:p>
        </w:tc>
        <w:tc>
          <w:tcPr>
            <w:tcW w:w="60" w:type="dxa"/>
            <w:tcBorders/>
            <w:shd w:fill="auto" w:val="clear"/>
            <w:vAlign w:val="center"/>
          </w:tcPr>
          <w:p>
            <w:pPr>
              <w:pStyle w:val="TableContents"/>
              <w:spacing w:before="0" w:after="283"/>
              <w:rPr/>
            </w:pPr>
            <w:r>
              <w:rPr/>
              <w:t> </w:t>
            </w:r>
          </w:p>
        </w:tc>
        <w:tc>
          <w:tcPr>
            <w:tcW w:w="1942" w:type="dxa"/>
            <w:gridSpan w:val="7"/>
            <w:tcBorders>
              <w:bottom w:val="single" w:sz="8" w:space="0" w:color="000000"/>
            </w:tcBorders>
            <w:shd w:fill="auto" w:val="clear"/>
            <w:tcMar>
              <w:bottom w:w="28" w:type="dxa"/>
            </w:tcMar>
            <w:vAlign w:val="center"/>
          </w:tcPr>
          <w:p>
            <w:pPr>
              <w:pStyle w:val="TableContents"/>
              <w:spacing w:before="0" w:after="283"/>
              <w:jc w:val="center"/>
              <w:rPr>
                <w:b/>
              </w:rPr>
            </w:pPr>
            <w:r>
              <w:rPr>
                <w:b/>
              </w:rPr>
              <w:t>Maximum</w:t>
            </w:r>
          </w:p>
        </w:tc>
        <w:tc>
          <w:tcPr>
            <w:tcW w:w="3275" w:type="dxa"/>
            <w:gridSpan w:val="12"/>
            <w:tcBorders/>
            <w:shd w:fill="auto" w:val="clear"/>
          </w:tcPr>
          <w:p>
            <w:pPr>
              <w:pStyle w:val="TableContents"/>
              <w:spacing w:before="0" w:after="283"/>
              <w:rPr>
                <w:sz w:val="4"/>
                <w:szCs w:val="4"/>
              </w:rPr>
            </w:pPr>
            <w:r>
              <w:rPr>
                <w:sz w:val="4"/>
                <w:szCs w:val="4"/>
              </w:rPr>
            </w:r>
          </w:p>
        </w:tc>
      </w:tr>
      <w:tr>
        <w:trPr/>
        <w:tc>
          <w:tcPr>
            <w:tcW w:w="1044" w:type="dxa"/>
            <w:tcBorders>
              <w:bottom w:val="single" w:sz="8" w:space="0" w:color="000000"/>
            </w:tcBorders>
            <w:shd w:fill="FFFFFF" w:val="clear"/>
            <w:tcMar>
              <w:bottom w:w="28" w:type="dxa"/>
            </w:tcMar>
            <w:vAlign w:val="center"/>
          </w:tcPr>
          <w:p>
            <w:pPr>
              <w:pStyle w:val="TableContents"/>
              <w:spacing w:before="0" w:after="283"/>
              <w:jc w:val="center"/>
              <w:rPr>
                <w:b/>
              </w:rPr>
            </w:pPr>
            <w:r>
              <w:rPr>
                <w:b/>
              </w:rPr>
              <w:t>Name</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80" w:type="dxa"/>
            <w:tcBorders>
              <w:bottom w:val="single" w:sz="8" w:space="0" w:color="000000"/>
            </w:tcBorders>
            <w:shd w:fill="FFFFFF" w:val="clear"/>
            <w:tcMar>
              <w:bottom w:w="28" w:type="dxa"/>
            </w:tcMar>
            <w:vAlign w:val="center"/>
          </w:tcPr>
          <w:p>
            <w:pPr>
              <w:pStyle w:val="TableContents"/>
              <w:spacing w:before="0" w:after="283"/>
              <w:jc w:val="center"/>
              <w:rPr>
                <w:b/>
              </w:rPr>
            </w:pPr>
            <w:r>
              <w:rPr>
                <w:b/>
                <w:sz w:val="17"/>
              </w:rPr>
              <w:t>Cash Bonus</w:t>
            </w:r>
            <w:r>
              <w:rPr>
                <w:b/>
              </w:rPr>
              <w:br/>
            </w:r>
            <w:r>
              <w:rPr>
                <w:b/>
                <w:sz w:val="17"/>
              </w:rPr>
              <w:t>($)</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82" w:type="dxa"/>
            <w:tcBorders>
              <w:bottom w:val="single" w:sz="8" w:space="0" w:color="000000"/>
            </w:tcBorders>
            <w:shd w:fill="FFFFFF" w:val="clear"/>
            <w:tcMar>
              <w:bottom w:w="28" w:type="dxa"/>
            </w:tcMar>
            <w:vAlign w:val="center"/>
          </w:tcPr>
          <w:p>
            <w:pPr>
              <w:pStyle w:val="TableContents"/>
              <w:spacing w:before="0" w:after="283"/>
              <w:jc w:val="center"/>
              <w:rPr>
                <w:b/>
              </w:rPr>
            </w:pPr>
            <w:r>
              <w:rPr>
                <w:b/>
                <w:sz w:val="17"/>
              </w:rPr>
              <w:t>Deferred Bonus</w:t>
            </w:r>
            <w:r>
              <w:rPr>
                <w:b/>
              </w:rPr>
              <w:br/>
            </w:r>
            <w:r>
              <w:rPr>
                <w:b/>
                <w:sz w:val="17"/>
              </w:rPr>
              <w:t>($)</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center"/>
              <w:rPr>
                <w:b/>
              </w:rPr>
            </w:pPr>
            <w:r>
              <w:rPr>
                <w:b/>
                <w:sz w:val="17"/>
              </w:rPr>
              <w:t>Cash Bonus</w:t>
            </w:r>
            <w:r>
              <w:rPr>
                <w:b/>
              </w:rPr>
              <w:br/>
            </w:r>
            <w:r>
              <w:rPr>
                <w:b/>
                <w:sz w:val="17"/>
              </w:rPr>
              <w:t>($)</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82" w:type="dxa"/>
            <w:tcBorders>
              <w:bottom w:val="single" w:sz="8" w:space="0" w:color="000000"/>
            </w:tcBorders>
            <w:shd w:fill="FFFFFF" w:val="clear"/>
            <w:tcMar>
              <w:bottom w:w="28" w:type="dxa"/>
            </w:tcMar>
            <w:vAlign w:val="center"/>
          </w:tcPr>
          <w:p>
            <w:pPr>
              <w:pStyle w:val="TableContents"/>
              <w:spacing w:before="0" w:after="283"/>
              <w:jc w:val="center"/>
              <w:rPr>
                <w:b/>
              </w:rPr>
            </w:pPr>
            <w:r>
              <w:rPr>
                <w:b/>
                <w:sz w:val="17"/>
              </w:rPr>
              <w:t>Deferred Bonus</w:t>
            </w:r>
            <w:r>
              <w:rPr>
                <w:b/>
              </w:rPr>
              <w:br/>
            </w:r>
            <w:r>
              <w:rPr>
                <w:b/>
                <w:sz w:val="17"/>
              </w:rPr>
              <w:t>($)</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center"/>
              <w:rPr>
                <w:b/>
              </w:rPr>
            </w:pPr>
            <w:r>
              <w:rPr>
                <w:b/>
                <w:sz w:val="17"/>
              </w:rPr>
              <w:t>Cash Bonus</w:t>
            </w:r>
            <w:r>
              <w:rPr>
                <w:b/>
              </w:rPr>
              <w:br/>
            </w:r>
            <w:r>
              <w:rPr>
                <w:b/>
                <w:sz w:val="17"/>
              </w:rPr>
              <w:t>($)</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82" w:type="dxa"/>
            <w:tcBorders>
              <w:bottom w:val="single" w:sz="8" w:space="0" w:color="000000"/>
            </w:tcBorders>
            <w:shd w:fill="FFFFFF" w:val="clear"/>
            <w:tcMar>
              <w:bottom w:w="28" w:type="dxa"/>
            </w:tcMar>
            <w:vAlign w:val="center"/>
          </w:tcPr>
          <w:p>
            <w:pPr>
              <w:pStyle w:val="TableContents"/>
              <w:spacing w:before="0" w:after="283"/>
              <w:jc w:val="center"/>
              <w:rPr>
                <w:b/>
              </w:rPr>
            </w:pPr>
            <w:r>
              <w:rPr>
                <w:b/>
                <w:sz w:val="17"/>
              </w:rPr>
              <w:t>Deferred Bonus</w:t>
            </w:r>
            <w:r>
              <w:rPr>
                <w:b/>
              </w:rPr>
              <w:br/>
            </w:r>
            <w:r>
              <w:rPr>
                <w:b/>
                <w:sz w:val="17"/>
              </w:rPr>
              <w:t>($)</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502" w:type="dxa"/>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Grant Date</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1275" w:type="dxa"/>
            <w:tcBorders>
              <w:bottom w:val="single" w:sz="8" w:space="0" w:color="000000"/>
            </w:tcBorders>
            <w:shd w:fill="FFFFFF" w:val="clear"/>
            <w:tcMar>
              <w:bottom w:w="28" w:type="dxa"/>
            </w:tcMar>
            <w:vAlign w:val="center"/>
          </w:tcPr>
          <w:p>
            <w:pPr>
              <w:pStyle w:val="TableContents"/>
              <w:spacing w:before="40" w:after="40"/>
              <w:ind w:left="40" w:right="4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Other</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Stock Awards: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Number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Shares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Stock</w:t>
              <w:br/>
            </w: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center"/>
              <w:rPr/>
            </w:pPr>
            <w:r>
              <w:rPr/>
              <w:t> </w:t>
            </w:r>
          </w:p>
        </w:tc>
        <w:tc>
          <w:tcPr>
            <w:tcW w:w="860" w:type="dxa"/>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Grant Date</w:t>
              <w:br/>
              <w:t>Fair Value</w:t>
              <w:br/>
              <w:t>of Stock</w:t>
              <w:br/>
              <w:t>Award</w:t>
              <w:br/>
              <w:t>(3)</w:t>
            </w:r>
          </w:p>
        </w:tc>
        <w:tc>
          <w:tcPr>
            <w:tcW w:w="78" w:type="dxa"/>
            <w:tcBorders>
              <w:bottom w:val="single" w:sz="8" w:space="0" w:color="000000"/>
            </w:tcBorders>
            <w:shd w:fill="FFFFFF" w:val="clear"/>
            <w:tcMar>
              <w:bottom w:w="28" w:type="dxa"/>
            </w:tcMar>
            <w:vAlign w:val="center"/>
          </w:tcPr>
          <w:p>
            <w:pPr>
              <w:pStyle w:val="TableContents"/>
              <w:spacing w:before="0" w:after="283"/>
              <w:jc w:val="center"/>
              <w:rPr/>
            </w:pPr>
            <w:r>
              <w:rPr/>
              <w:t> </w:t>
            </w:r>
          </w:p>
        </w:tc>
      </w:tr>
      <w:tr>
        <w:trPr/>
        <w:tc>
          <w:tcPr>
            <w:tcW w:w="1044" w:type="dxa"/>
            <w:tcBorders/>
            <w:shd w:fill="CCEEFF" w:val="clear"/>
            <w:vAlign w:val="center"/>
          </w:tcPr>
          <w:p>
            <w:pPr>
              <w:pStyle w:val="TableContents"/>
              <w:spacing w:before="0" w:after="283"/>
              <w:jc w:val="left"/>
              <w:rPr/>
            </w:pPr>
            <w:r>
              <w:rPr/>
              <w:t>Daniel S. Jaffee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68,750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275,000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550,000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60" w:type="dxa"/>
            <w:tcBorders/>
            <w:shd w:fill="CCEEFF" w:val="clear"/>
            <w:vAlign w:val="center"/>
          </w:tcPr>
          <w:p>
            <w:pPr>
              <w:pStyle w:val="TableContents"/>
              <w:spacing w:before="0" w:after="283"/>
              <w:jc w:val="right"/>
              <w:rPr/>
            </w:pPr>
            <w:r>
              <w:rPr/>
              <w:t>—  </w:t>
            </w:r>
          </w:p>
        </w:tc>
        <w:tc>
          <w:tcPr>
            <w:tcW w:w="78" w:type="dxa"/>
            <w:tcBorders/>
            <w:shd w:fill="CCEEFF" w:val="clear"/>
            <w:vAlign w:val="center"/>
          </w:tcPr>
          <w:p>
            <w:pPr>
              <w:pStyle w:val="TableContents"/>
              <w:spacing w:before="0" w:after="283"/>
              <w:jc w:val="left"/>
              <w:rPr/>
            </w:pPr>
            <w:r>
              <w:rPr/>
              <w:t> </w:t>
            </w:r>
          </w:p>
        </w:tc>
      </w:tr>
      <w:tr>
        <w:trPr/>
        <w:tc>
          <w:tcPr>
            <w:tcW w:w="1044" w:type="dxa"/>
            <w:tcBorders/>
            <w:shd w:fill="FFFFFF" w:val="clear"/>
            <w:vAlign w:val="center"/>
          </w:tcPr>
          <w:p>
            <w:pPr>
              <w:pStyle w:val="TableContents"/>
              <w:spacing w:before="0" w:after="283"/>
              <w:jc w:val="left"/>
              <w:rPr/>
            </w:pPr>
            <w:r>
              <w:rPr/>
              <w:t>Daniel T. Smith</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80" w:type="dxa"/>
            <w:tcBorders/>
            <w:shd w:fill="FFFFFF" w:val="clear"/>
            <w:vAlign w:val="center"/>
          </w:tcPr>
          <w:p>
            <w:pPr>
              <w:pStyle w:val="TableContents"/>
              <w:spacing w:before="0" w:after="283"/>
              <w:jc w:val="right"/>
              <w:rPr/>
            </w:pPr>
            <w:r>
              <w:rPr/>
              <w:t>18,594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82" w:type="dxa"/>
            <w:tcBorders/>
            <w:shd w:fill="FFFFFF" w:val="clear"/>
            <w:vAlign w:val="center"/>
          </w:tcPr>
          <w:p>
            <w:pPr>
              <w:pStyle w:val="TableContents"/>
              <w:spacing w:before="0" w:after="283"/>
              <w:jc w:val="right"/>
              <w:rPr/>
            </w:pPr>
            <w:r>
              <w:rPr/>
              <w:t>31,875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74,375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82" w:type="dxa"/>
            <w:tcBorders/>
            <w:shd w:fill="FFFFFF" w:val="clear"/>
            <w:vAlign w:val="center"/>
          </w:tcPr>
          <w:p>
            <w:pPr>
              <w:pStyle w:val="TableContents"/>
              <w:spacing w:before="0" w:after="283"/>
              <w:jc w:val="right"/>
              <w:rPr/>
            </w:pPr>
            <w:r>
              <w:rPr/>
              <w:t>42,500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148,750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82" w:type="dxa"/>
            <w:tcBorders/>
            <w:shd w:fill="FFFFFF" w:val="clear"/>
            <w:vAlign w:val="center"/>
          </w:tcPr>
          <w:p>
            <w:pPr>
              <w:pStyle w:val="TableContents"/>
              <w:spacing w:before="0" w:after="283"/>
              <w:jc w:val="right"/>
              <w:rPr/>
            </w:pPr>
            <w:r>
              <w:rPr/>
              <w:t>85,000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0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2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60" w:type="dxa"/>
            <w:tcBorders/>
            <w:shd w:fill="FFFFFF" w:val="clear"/>
            <w:vAlign w:val="center"/>
          </w:tcPr>
          <w:p>
            <w:pPr>
              <w:pStyle w:val="TableContents"/>
              <w:spacing w:before="0" w:after="283"/>
              <w:jc w:val="right"/>
              <w:rPr/>
            </w:pPr>
            <w:r>
              <w:rPr/>
              <w:t>—  </w:t>
            </w:r>
          </w:p>
        </w:tc>
        <w:tc>
          <w:tcPr>
            <w:tcW w:w="78" w:type="dxa"/>
            <w:tcBorders/>
            <w:shd w:fill="FFFFFF" w:val="clear"/>
            <w:vAlign w:val="center"/>
          </w:tcPr>
          <w:p>
            <w:pPr>
              <w:pStyle w:val="TableContents"/>
              <w:spacing w:before="0" w:after="283"/>
              <w:jc w:val="left"/>
              <w:rPr/>
            </w:pPr>
            <w:r>
              <w:rPr/>
              <w:t> </w:t>
            </w:r>
          </w:p>
        </w:tc>
      </w:tr>
      <w:tr>
        <w:trPr/>
        <w:tc>
          <w:tcPr>
            <w:tcW w:w="1044" w:type="dxa"/>
            <w:tcBorders/>
            <w:shd w:fill="CCEEFF" w:val="clear"/>
            <w:vAlign w:val="center"/>
          </w:tcPr>
          <w:p>
            <w:pPr>
              <w:pStyle w:val="TableContents"/>
              <w:spacing w:before="0" w:after="283"/>
              <w:jc w:val="left"/>
              <w:rPr/>
            </w:pPr>
            <w:r>
              <w:rPr/>
              <w:t>Thomas F. Cofsky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25,367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101,467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202,933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60" w:type="dxa"/>
            <w:tcBorders/>
            <w:shd w:fill="CCEEFF" w:val="clear"/>
            <w:vAlign w:val="center"/>
          </w:tcPr>
          <w:p>
            <w:pPr>
              <w:pStyle w:val="TableContents"/>
              <w:spacing w:before="0" w:after="283"/>
              <w:jc w:val="right"/>
              <w:rPr/>
            </w:pPr>
            <w:r>
              <w:rPr/>
              <w:t>—  </w:t>
            </w:r>
          </w:p>
        </w:tc>
        <w:tc>
          <w:tcPr>
            <w:tcW w:w="78" w:type="dxa"/>
            <w:tcBorders/>
            <w:shd w:fill="CCEEFF" w:val="clear"/>
            <w:vAlign w:val="center"/>
          </w:tcPr>
          <w:p>
            <w:pPr>
              <w:pStyle w:val="TableContents"/>
              <w:spacing w:before="0" w:after="283"/>
              <w:jc w:val="left"/>
              <w:rPr/>
            </w:pPr>
            <w:r>
              <w:rPr/>
              <w:t> </w:t>
            </w:r>
          </w:p>
        </w:tc>
      </w:tr>
      <w:tr>
        <w:trPr/>
        <w:tc>
          <w:tcPr>
            <w:tcW w:w="1044" w:type="dxa"/>
            <w:tcBorders/>
            <w:shd w:fill="FFFFFF" w:val="clear"/>
            <w:vAlign w:val="center"/>
          </w:tcPr>
          <w:p>
            <w:pPr>
              <w:pStyle w:val="TableContents"/>
              <w:spacing w:before="0" w:after="283"/>
              <w:jc w:val="left"/>
              <w:rPr/>
            </w:pPr>
            <w:r>
              <w:rPr/>
              <w:t>Mark E. Lewry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80" w:type="dxa"/>
            <w:tcBorders/>
            <w:shd w:fill="FFFFFF" w:val="clear"/>
            <w:vAlign w:val="center"/>
          </w:tcPr>
          <w:p>
            <w:pPr>
              <w:pStyle w:val="TableContents"/>
              <w:spacing w:before="0" w:after="283"/>
              <w:jc w:val="right"/>
              <w:rPr/>
            </w:pPr>
            <w:r>
              <w:rPr/>
              <w:t>10,115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40,462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80,923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02" w:type="dxa"/>
            <w:tcBorders/>
            <w:shd w:fill="FFFFFF" w:val="clear"/>
            <w:vAlign w:val="center"/>
          </w:tcPr>
          <w:p>
            <w:pPr>
              <w:pStyle w:val="TableContents"/>
              <w:spacing w:before="0" w:after="283"/>
              <w:jc w:val="right"/>
              <w:rPr/>
            </w:pPr>
            <w:r>
              <w:rPr/>
              <w:t>4/7/2014</w:t>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275" w:type="dxa"/>
            <w:tcBorders/>
            <w:shd w:fill="FFFFFF" w:val="clear"/>
            <w:vAlign w:val="center"/>
          </w:tcPr>
          <w:p>
            <w:pPr>
              <w:pStyle w:val="TableContents"/>
              <w:spacing w:before="0" w:after="283"/>
              <w:jc w:val="right"/>
              <w:rPr>
                <w:sz w:val="17"/>
              </w:rPr>
            </w:pPr>
            <w:r>
              <w:rPr>
                <w:sz w:val="17"/>
              </w:rPr>
              <w:t>12,000 (4)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60" w:type="dxa"/>
            <w:tcBorders/>
            <w:shd w:fill="FFFFFF" w:val="clear"/>
            <w:vAlign w:val="center"/>
          </w:tcPr>
          <w:p>
            <w:pPr>
              <w:pStyle w:val="TableContents"/>
              <w:spacing w:before="0" w:after="283"/>
              <w:jc w:val="right"/>
              <w:rPr/>
            </w:pPr>
            <w:r>
              <w:rPr/>
              <w:t>403,080</w:t>
            </w:r>
          </w:p>
        </w:tc>
        <w:tc>
          <w:tcPr>
            <w:tcW w:w="78" w:type="dxa"/>
            <w:tcBorders/>
            <w:shd w:fill="FFFFFF" w:val="clear"/>
            <w:vAlign w:val="center"/>
          </w:tcPr>
          <w:p>
            <w:pPr>
              <w:pStyle w:val="TableContents"/>
              <w:spacing w:before="0" w:after="283"/>
              <w:jc w:val="left"/>
              <w:rPr/>
            </w:pPr>
            <w:r>
              <w:rPr/>
              <w:t> </w:t>
            </w:r>
          </w:p>
        </w:tc>
      </w:tr>
      <w:tr>
        <w:trPr/>
        <w:tc>
          <w:tcPr>
            <w:tcW w:w="1044" w:type="dxa"/>
            <w:tcBorders/>
            <w:shd w:fill="CCEEFF" w:val="clear"/>
            <w:vAlign w:val="center"/>
          </w:tcPr>
          <w:p>
            <w:pPr>
              <w:pStyle w:val="TableContents"/>
              <w:spacing w:before="0" w:after="283"/>
              <w:jc w:val="left"/>
              <w:rPr/>
            </w:pPr>
            <w:r>
              <w:rPr/>
              <w:t>Paul D. Ziemnisky Jr.</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16,573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2" w:type="dxa"/>
            <w:tcBorders/>
            <w:shd w:fill="CCEEFF" w:val="clear"/>
            <w:vAlign w:val="center"/>
          </w:tcPr>
          <w:p>
            <w:pPr>
              <w:pStyle w:val="TableContents"/>
              <w:spacing w:before="0" w:after="283"/>
              <w:jc w:val="right"/>
              <w:rPr/>
            </w:pPr>
            <w:r>
              <w:rPr/>
              <w:t>21,308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66,291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2" w:type="dxa"/>
            <w:tcBorders/>
            <w:shd w:fill="CCEEFF" w:val="clear"/>
            <w:vAlign w:val="center"/>
          </w:tcPr>
          <w:p>
            <w:pPr>
              <w:pStyle w:val="TableContents"/>
              <w:spacing w:before="0" w:after="283"/>
              <w:jc w:val="right"/>
              <w:rPr/>
            </w:pPr>
            <w:r>
              <w:rPr/>
              <w:t>28,411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132,583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2" w:type="dxa"/>
            <w:tcBorders/>
            <w:shd w:fill="CCEEFF" w:val="clear"/>
            <w:vAlign w:val="center"/>
          </w:tcPr>
          <w:p>
            <w:pPr>
              <w:pStyle w:val="TableContents"/>
              <w:spacing w:before="0" w:after="283"/>
              <w:jc w:val="right"/>
              <w:rPr/>
            </w:pPr>
            <w:r>
              <w:rPr/>
              <w:t>56,821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2" w:type="dxa"/>
            <w:tcBorders/>
            <w:shd w:fill="CCEEFF" w:val="clear"/>
            <w:vAlign w:val="center"/>
          </w:tcPr>
          <w:p>
            <w:pPr>
              <w:pStyle w:val="TableContents"/>
              <w:spacing w:before="0" w:after="283"/>
              <w:jc w:val="right"/>
              <w:rPr/>
            </w:pPr>
            <w:r>
              <w:rPr/>
              <w:t>10/16/2013</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75" w:type="dxa"/>
            <w:tcBorders/>
            <w:shd w:fill="CCEEFF" w:val="clear"/>
            <w:vAlign w:val="center"/>
          </w:tcPr>
          <w:p>
            <w:pPr>
              <w:pStyle w:val="TableContents"/>
              <w:spacing w:before="0" w:after="283"/>
              <w:jc w:val="right"/>
              <w:rPr>
                <w:sz w:val="17"/>
              </w:rPr>
            </w:pPr>
            <w:r>
              <w:rPr>
                <w:sz w:val="17"/>
              </w:rPr>
              <w:t>10,000 (5)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60" w:type="dxa"/>
            <w:tcBorders/>
            <w:shd w:fill="CCEEFF" w:val="clear"/>
            <w:vAlign w:val="center"/>
          </w:tcPr>
          <w:p>
            <w:pPr>
              <w:pStyle w:val="TableContents"/>
              <w:spacing w:before="0" w:after="283"/>
              <w:jc w:val="right"/>
              <w:rPr/>
            </w:pPr>
            <w:r>
              <w:rPr/>
              <w:t>351,100</w:t>
            </w:r>
          </w:p>
        </w:tc>
        <w:tc>
          <w:tcPr>
            <w:tcW w:w="78" w:type="dxa"/>
            <w:tcBorders/>
            <w:shd w:fill="CCEEFF" w:val="clear"/>
            <w:vAlign w:val="center"/>
          </w:tcPr>
          <w:p>
            <w:pPr>
              <w:pStyle w:val="TableContents"/>
              <w:spacing w:before="0" w:after="283"/>
              <w:jc w:val="left"/>
              <w:rPr/>
            </w:pPr>
            <w:r>
              <w:rPr/>
              <w:t> </w:t>
            </w:r>
          </w:p>
        </w:tc>
      </w:tr>
    </w:tbl>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represent the potential range of cash bonus awards and executive deferred bonus awards targeted for fiscal 2014 performance under our annual incentive plan. The actual amounts of cash and executive deferred bonuses awarded for fiscal 2014 are disclosed in the Summary Compensation Table in the column captioned “Non-Equity Incentive Plan Compensation.” For a discussion of the performance metrics applicable to these awards, see “Compensation Discussion and Analysis – Annual and Deferred Incentive Compensation – Operation of the Annual Incentive Plan” above.</w:t>
      </w:r>
    </w:p>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Granted by our Compensation Committee under our 2006 Long Term Incentive Plan as described in “Compensation Discussion and Analysis – Long-Term Equity Incentives” above.</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Amount represents the total fair value of restricted stock granted in fiscal 2014 under ASC 718.</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Restricted shares of Common Stock awarded on April 7, 2014 scheduled to vest on April 7, 2019.</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Restricted shares of Common Stock awarded on October 16, 2013 scheduled to vest on October 16, 2018.</w:t>
      </w:r>
    </w:p>
    <w:p>
      <w:pPr>
        <w:pStyle w:val="TextBody"/>
        <w:spacing w:lineRule="auto" w:line="276" w:before="400" w:after="200"/>
        <w:ind w:left="400" w:right="400" w:hanging="0"/>
        <w:jc w:val="center"/>
        <w:rPr>
          <w:rFonts w:ascii="Times New Roman;Times;Serif" w:hAnsi="Times New Roman;Times;Serif"/>
          <w:b/>
          <w:i w:val="false"/>
          <w:caps w:val="false"/>
          <w:smallCaps w:val="false"/>
          <w:sz w:val="20"/>
        </w:rPr>
      </w:pPr>
      <w:bookmarkStart w:id="34" w:name="a_Toc339007573"/>
      <w:bookmarkEnd w:id="34"/>
      <w:r>
        <w:rPr>
          <w:rFonts w:ascii="Times New Roman;Times;Serif" w:hAnsi="Times New Roman;Times;Serif"/>
          <w:b/>
          <w:i w:val="false"/>
          <w:caps w:val="false"/>
          <w:smallCaps w:val="false"/>
          <w:sz w:val="20"/>
        </w:rPr>
        <w:t>Outstanding Equity Awards at Fiscal 2014 Year End</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on the unexercised stock options and unvested restricted stock held by the named executive officers as of July 31, 2014.</w:t>
      </w:r>
    </w:p>
    <w:tbl>
      <w:tblPr>
        <w:tblW w:w="10205" w:type="dxa"/>
        <w:jc w:val="left"/>
        <w:tblInd w:w="0" w:type="dxa"/>
        <w:tblCellMar>
          <w:top w:w="0" w:type="dxa"/>
          <w:left w:w="0" w:type="dxa"/>
          <w:bottom w:w="0" w:type="dxa"/>
          <w:right w:w="0" w:type="dxa"/>
        </w:tblCellMar>
      </w:tblPr>
      <w:tblGrid>
        <w:gridCol w:w="1249"/>
        <w:gridCol w:w="60"/>
        <w:gridCol w:w="60"/>
        <w:gridCol w:w="1486"/>
        <w:gridCol w:w="60"/>
        <w:gridCol w:w="60"/>
        <w:gridCol w:w="60"/>
        <w:gridCol w:w="1595"/>
        <w:gridCol w:w="60"/>
        <w:gridCol w:w="60"/>
        <w:gridCol w:w="60"/>
        <w:gridCol w:w="812"/>
        <w:gridCol w:w="60"/>
        <w:gridCol w:w="60"/>
        <w:gridCol w:w="60"/>
        <w:gridCol w:w="876"/>
        <w:gridCol w:w="60"/>
        <w:gridCol w:w="60"/>
        <w:gridCol w:w="1879"/>
        <w:gridCol w:w="60"/>
        <w:gridCol w:w="140"/>
        <w:gridCol w:w="1250"/>
        <w:gridCol w:w="78"/>
      </w:tblGrid>
      <w:tr>
        <w:trPr/>
        <w:tc>
          <w:tcPr>
            <w:tcW w:w="1249"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309" w:type="dxa"/>
            <w:gridSpan w:val="13"/>
            <w:tcBorders>
              <w:bottom w:val="single" w:sz="8" w:space="0" w:color="000000"/>
            </w:tcBorders>
            <w:shd w:fill="FFFFFF" w:val="clear"/>
            <w:tcMar>
              <w:bottom w:w="28" w:type="dxa"/>
            </w:tcMar>
            <w:vAlign w:val="center"/>
          </w:tcPr>
          <w:p>
            <w:pPr>
              <w:pStyle w:val="TableContents"/>
              <w:spacing w:before="0" w:after="283"/>
              <w:jc w:val="center"/>
              <w:rPr>
                <w:b/>
              </w:rPr>
            </w:pPr>
            <w:r>
              <w:rPr>
                <w:b/>
              </w:rPr>
              <w:t>Option Awards</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29" w:type="dxa"/>
            <w:gridSpan w:val="4"/>
            <w:tcBorders>
              <w:bottom w:val="single" w:sz="8" w:space="0" w:color="000000"/>
            </w:tcBorders>
            <w:shd w:fill="FFFFFF" w:val="clear"/>
            <w:tcMar>
              <w:bottom w:w="28" w:type="dxa"/>
            </w:tcMar>
            <w:vAlign w:val="center"/>
          </w:tcPr>
          <w:p>
            <w:pPr>
              <w:pStyle w:val="TableContents"/>
              <w:spacing w:before="0" w:after="283"/>
              <w:jc w:val="center"/>
              <w:rPr>
                <w:b/>
              </w:rPr>
            </w:pPr>
            <w:r>
              <w:rPr>
                <w:b/>
              </w:rPr>
              <w:t>Stock Awards</w:t>
            </w:r>
          </w:p>
        </w:tc>
        <w:tc>
          <w:tcPr>
            <w:tcW w:w="78" w:type="dxa"/>
            <w:tcBorders/>
            <w:shd w:fill="FFFFFF" w:val="clear"/>
            <w:vAlign w:val="center"/>
          </w:tcPr>
          <w:p>
            <w:pPr>
              <w:pStyle w:val="TableContents"/>
              <w:spacing w:before="0" w:after="283"/>
              <w:jc w:val="left"/>
              <w:rPr/>
            </w:pPr>
            <w:r>
              <w:rPr/>
              <w:t> </w:t>
            </w:r>
          </w:p>
        </w:tc>
      </w:tr>
      <w:tr>
        <w:trPr/>
        <w:tc>
          <w:tcPr>
            <w:tcW w:w="1249" w:type="dxa"/>
            <w:tcBorders>
              <w:bottom w:val="single" w:sz="8" w:space="0" w:color="000000"/>
            </w:tcBorders>
            <w:shd w:fill="FFFFFF" w:val="clear"/>
            <w:tcMar>
              <w:bottom w:w="28" w:type="dxa"/>
            </w:tcMar>
            <w:vAlign w:val="center"/>
          </w:tcPr>
          <w:p>
            <w:pPr>
              <w:pStyle w:val="TableContents"/>
              <w:spacing w:before="0" w:after="283"/>
              <w:jc w:val="center"/>
              <w:rPr>
                <w:b/>
              </w:rPr>
            </w:pPr>
            <w:r>
              <w:rPr>
                <w:b/>
              </w:rPr>
              <w:t>Name</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486" w:type="dxa"/>
            <w:tcBorders>
              <w:bottom w:val="single" w:sz="8" w:space="0" w:color="000000"/>
            </w:tcBorders>
            <w:shd w:fill="FFFFFF" w:val="clear"/>
            <w:tcMar>
              <w:bottom w:w="28" w:type="dxa"/>
            </w:tcMar>
            <w:vAlign w:val="center"/>
          </w:tcPr>
          <w:p>
            <w:pPr>
              <w:pStyle w:val="TableContents"/>
              <w:spacing w:before="0" w:after="283"/>
              <w:jc w:val="center"/>
              <w:rPr>
                <w:b/>
              </w:rPr>
            </w:pPr>
            <w:r>
              <w:rPr>
                <w:b/>
                <w:sz w:val="17"/>
              </w:rPr>
              <w:t>Number of Securities Underlying Unexercised Options</w:t>
            </w:r>
            <w:r>
              <w:rPr>
                <w:b/>
              </w:rPr>
              <w:br/>
            </w:r>
            <w:r>
              <w:rPr>
                <w:b/>
                <w:sz w:val="17"/>
              </w:rPr>
              <w:t>(#)</w:t>
            </w:r>
            <w:r>
              <w:rPr>
                <w:b/>
              </w:rPr>
              <w:br/>
            </w:r>
            <w:r>
              <w:rPr>
                <w:b/>
                <w:sz w:val="17"/>
              </w:rPr>
              <w:t xml:space="preserve">Exercisable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595" w:type="dxa"/>
            <w:tcBorders>
              <w:bottom w:val="single" w:sz="8" w:space="0" w:color="000000"/>
            </w:tcBorders>
            <w:shd w:fill="FFFFFF" w:val="clear"/>
            <w:tcMar>
              <w:bottom w:w="28" w:type="dxa"/>
            </w:tcMar>
            <w:vAlign w:val="center"/>
          </w:tcPr>
          <w:p>
            <w:pPr>
              <w:pStyle w:val="TableContents"/>
              <w:spacing w:before="0" w:after="283"/>
              <w:jc w:val="center"/>
              <w:rPr>
                <w:b/>
              </w:rPr>
            </w:pPr>
            <w:r>
              <w:rPr>
                <w:b/>
                <w:sz w:val="17"/>
              </w:rPr>
              <w:t>Number of Securities Underlying Unexercised Options</w:t>
            </w:r>
            <w:r>
              <w:rPr>
                <w:b/>
              </w:rPr>
              <w:br/>
            </w:r>
            <w:r>
              <w:rPr>
                <w:b/>
                <w:sz w:val="17"/>
              </w:rPr>
              <w:t>(#)</w:t>
            </w:r>
            <w:r>
              <w:rPr>
                <w:b/>
              </w:rPr>
              <w:br/>
            </w:r>
            <w:r>
              <w:rPr>
                <w:b/>
                <w:sz w:val="17"/>
              </w:rPr>
              <w:t>Unexercisable</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12" w:type="dxa"/>
            <w:tcBorders>
              <w:bottom w:val="single" w:sz="8" w:space="0" w:color="000000"/>
            </w:tcBorders>
            <w:shd w:fill="FFFFFF" w:val="clear"/>
            <w:tcMar>
              <w:bottom w:w="28" w:type="dxa"/>
            </w:tcMar>
            <w:vAlign w:val="center"/>
          </w:tcPr>
          <w:p>
            <w:pPr>
              <w:pStyle w:val="TableContents"/>
              <w:spacing w:before="0" w:after="283"/>
              <w:jc w:val="center"/>
              <w:rPr>
                <w:b/>
              </w:rPr>
            </w:pPr>
            <w:r>
              <w:rPr>
                <w:b/>
                <w:sz w:val="17"/>
              </w:rPr>
              <w:t>Option Exercise Price</w:t>
            </w:r>
            <w:r>
              <w:rPr>
                <w:b/>
              </w:rPr>
              <w:br/>
            </w:r>
            <w:r>
              <w:rPr>
                <w:b/>
                <w:sz w:val="17"/>
              </w:rPr>
              <w:t>($)</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 xml:space="preserve">Option </w:t>
              <w:br/>
              <w:t>Expiration Date</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9" w:type="dxa"/>
            <w:tcBorders>
              <w:bottom w:val="single" w:sz="8" w:space="0" w:color="000000"/>
            </w:tcBorders>
            <w:shd w:fill="FFFFFF" w:val="clear"/>
            <w:tcMar>
              <w:bottom w:w="28" w:type="dxa"/>
            </w:tcMar>
            <w:vAlign w:val="center"/>
          </w:tcPr>
          <w:p>
            <w:pPr>
              <w:pStyle w:val="TableContents"/>
              <w:spacing w:before="0" w:after="283"/>
              <w:jc w:val="center"/>
              <w:rPr>
                <w:b/>
              </w:rPr>
            </w:pPr>
            <w:r>
              <w:rPr>
                <w:b/>
              </w:rPr>
              <w:t>Number of Shares or Units of Stock That Have Not Vested</w:t>
              <w:b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spacing w:before="0" w:after="283"/>
              <w:jc w:val="center"/>
              <w:rPr>
                <w:b/>
                <w:sz w:val="17"/>
              </w:rPr>
            </w:pPr>
            <w:r>
              <w:rPr>
                <w:b/>
                <w:sz w:val="17"/>
              </w:rPr>
              <w:t>Market Value of</w:t>
              <w:br/>
              <w:t>Shares or Units</w:t>
              <w:br/>
              <w:t>of Stock That</w:t>
              <w:br/>
              <w:t>Have Not Vested</w:t>
              <w:br/>
              <w:t>($)</w:t>
              <w:br/>
              <w:t>(1)</w:t>
            </w:r>
          </w:p>
        </w:tc>
        <w:tc>
          <w:tcPr>
            <w:tcW w:w="78" w:type="dxa"/>
            <w:tcBorders/>
            <w:shd w:fill="FFFFFF" w:val="clear"/>
            <w:vAlign w:val="center"/>
          </w:tcPr>
          <w:p>
            <w:pPr>
              <w:pStyle w:val="TableContents"/>
              <w:spacing w:before="0" w:after="283"/>
              <w:jc w:val="left"/>
              <w:rPr/>
            </w:pPr>
            <w:r>
              <w:rPr/>
              <w:t> </w:t>
            </w:r>
          </w:p>
        </w:tc>
      </w:tr>
      <w:tr>
        <w:trPr/>
        <w:tc>
          <w:tcPr>
            <w:tcW w:w="1249" w:type="dxa"/>
            <w:tcBorders/>
            <w:shd w:fill="CCEEFF" w:val="clear"/>
            <w:vAlign w:val="center"/>
          </w:tcPr>
          <w:p>
            <w:pPr>
              <w:pStyle w:val="TableContents"/>
              <w:spacing w:before="0" w:after="283"/>
              <w:jc w:val="left"/>
              <w:rPr/>
            </w:pPr>
            <w:r>
              <w:rPr/>
              <w:t>Daniel S. Jaffee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48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59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1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jc w:val="right"/>
              <w:rPr/>
            </w:pPr>
            <w:r>
              <w:rPr/>
              <w:t>50,000 (2)</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50" w:type="dxa"/>
            <w:tcBorders/>
            <w:shd w:fill="CCEEFF" w:val="clear"/>
            <w:vAlign w:val="center"/>
          </w:tcPr>
          <w:p>
            <w:pPr>
              <w:pStyle w:val="TableContents"/>
              <w:spacing w:before="0" w:after="283"/>
              <w:jc w:val="right"/>
              <w:rPr/>
            </w:pPr>
            <w:r>
              <w:rPr/>
              <w:t>1,458,500</w:t>
            </w:r>
          </w:p>
        </w:tc>
        <w:tc>
          <w:tcPr>
            <w:tcW w:w="78" w:type="dxa"/>
            <w:tcBorders/>
            <w:shd w:fill="CCEEFF" w:val="clear"/>
            <w:vAlign w:val="center"/>
          </w:tcPr>
          <w:p>
            <w:pPr>
              <w:pStyle w:val="TableContents"/>
              <w:spacing w:before="0" w:after="283"/>
              <w:jc w:val="left"/>
              <w:rPr/>
            </w:pPr>
            <w:r>
              <w:rPr/>
              <w:t> </w:t>
            </w:r>
          </w:p>
        </w:tc>
      </w:tr>
      <w:tr>
        <w:trPr/>
        <w:tc>
          <w:tcPr>
            <w:tcW w:w="124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48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5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1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7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9" w:type="dxa"/>
            <w:tcBorders/>
            <w:shd w:fill="FFFFFF" w:val="clear"/>
            <w:vAlign w:val="center"/>
          </w:tcPr>
          <w:p>
            <w:pPr>
              <w:pStyle w:val="TableContents"/>
              <w:spacing w:before="0" w:after="283"/>
              <w:jc w:val="right"/>
              <w:rPr/>
            </w:pPr>
            <w:r>
              <w:rPr/>
              <w:t>3,906 (3)</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250" w:type="dxa"/>
            <w:tcBorders/>
            <w:shd w:fill="FFFFFF" w:val="clear"/>
            <w:vAlign w:val="center"/>
          </w:tcPr>
          <w:p>
            <w:pPr>
              <w:pStyle w:val="TableContents"/>
              <w:spacing w:before="0" w:after="283"/>
              <w:jc w:val="right"/>
              <w:rPr/>
            </w:pPr>
            <w:r>
              <w:rPr/>
              <w:t>113,938</w:t>
            </w:r>
          </w:p>
        </w:tc>
        <w:tc>
          <w:tcPr>
            <w:tcW w:w="78" w:type="dxa"/>
            <w:tcBorders/>
            <w:shd w:fill="FFFFFF" w:val="clear"/>
            <w:vAlign w:val="center"/>
          </w:tcPr>
          <w:p>
            <w:pPr>
              <w:pStyle w:val="TableContents"/>
              <w:spacing w:before="0" w:after="283"/>
              <w:jc w:val="left"/>
              <w:rPr/>
            </w:pPr>
            <w:r>
              <w:rPr/>
              <w:t> </w:t>
            </w:r>
          </w:p>
        </w:tc>
      </w:tr>
      <w:tr>
        <w:trPr/>
        <w:tc>
          <w:tcPr>
            <w:tcW w:w="124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48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59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1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jc w:val="right"/>
              <w:rPr/>
            </w:pPr>
            <w:r>
              <w:rPr/>
              <w:t>1,100 (3)</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50" w:type="dxa"/>
            <w:tcBorders/>
            <w:shd w:fill="CCEEFF" w:val="clear"/>
            <w:vAlign w:val="center"/>
          </w:tcPr>
          <w:p>
            <w:pPr>
              <w:pStyle w:val="TableContents"/>
              <w:spacing w:before="0" w:after="283"/>
              <w:jc w:val="right"/>
              <w:rPr/>
            </w:pPr>
            <w:r>
              <w:rPr/>
              <w:t>32,087</w:t>
            </w:r>
          </w:p>
        </w:tc>
        <w:tc>
          <w:tcPr>
            <w:tcW w:w="78" w:type="dxa"/>
            <w:tcBorders/>
            <w:shd w:fill="CCEEFF" w:val="clear"/>
            <w:vAlign w:val="center"/>
          </w:tcPr>
          <w:p>
            <w:pPr>
              <w:pStyle w:val="TableContents"/>
              <w:spacing w:before="0" w:after="283"/>
              <w:jc w:val="left"/>
              <w:rPr/>
            </w:pPr>
            <w:r>
              <w:rPr/>
              <w:t> </w:t>
            </w:r>
          </w:p>
        </w:tc>
      </w:tr>
      <w:tr>
        <w:trPr/>
        <w:tc>
          <w:tcPr>
            <w:tcW w:w="1249"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48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5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1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7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9" w:type="dxa"/>
            <w:tcBorders/>
            <w:shd w:fill="FFFFFF" w:val="clear"/>
            <w:vAlign w:val="center"/>
          </w:tcPr>
          <w:p>
            <w:pPr>
              <w:pStyle w:val="TableContents"/>
              <w:spacing w:before="0" w:after="283"/>
              <w:jc w:val="right"/>
              <w:rPr/>
            </w:pPr>
            <w:r>
              <w:rPr/>
              <w:t>6,390 (4)</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250" w:type="dxa"/>
            <w:tcBorders/>
            <w:shd w:fill="FFFFFF" w:val="clear"/>
            <w:vAlign w:val="center"/>
          </w:tcPr>
          <w:p>
            <w:pPr>
              <w:pStyle w:val="TableContents"/>
              <w:spacing w:before="0" w:after="283"/>
              <w:jc w:val="right"/>
              <w:rPr/>
            </w:pPr>
            <w:r>
              <w:rPr/>
              <w:t>186,396</w:t>
            </w:r>
          </w:p>
        </w:tc>
        <w:tc>
          <w:tcPr>
            <w:tcW w:w="78" w:type="dxa"/>
            <w:tcBorders/>
            <w:shd w:fill="FFFFFF" w:val="clear"/>
            <w:vAlign w:val="center"/>
          </w:tcPr>
          <w:p>
            <w:pPr>
              <w:pStyle w:val="TableContents"/>
              <w:spacing w:before="0" w:after="283"/>
              <w:jc w:val="left"/>
              <w:rPr/>
            </w:pPr>
            <w:r>
              <w:rPr/>
              <w:t> </w:t>
            </w:r>
          </w:p>
        </w:tc>
      </w:tr>
      <w:tr>
        <w:trPr/>
        <w:tc>
          <w:tcPr>
            <w:tcW w:w="1249" w:type="dxa"/>
            <w:tcBorders/>
            <w:shd w:fill="CCEEFF" w:val="clear"/>
            <w:vAlign w:val="center"/>
          </w:tcPr>
          <w:p>
            <w:pPr>
              <w:pStyle w:val="TableContents"/>
              <w:spacing w:before="0" w:after="283"/>
              <w:jc w:val="left"/>
              <w:rPr/>
            </w:pPr>
            <w:r>
              <w:rPr/>
              <w:t>Daniel T. Smith</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48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59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1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jc w:val="right"/>
              <w:rPr/>
            </w:pPr>
            <w:r>
              <w:rPr/>
              <w:t>1,000 (5)</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50" w:type="dxa"/>
            <w:tcBorders/>
            <w:shd w:fill="CCEEFF" w:val="clear"/>
            <w:vAlign w:val="center"/>
          </w:tcPr>
          <w:p>
            <w:pPr>
              <w:pStyle w:val="TableContents"/>
              <w:spacing w:before="0" w:after="283"/>
              <w:jc w:val="right"/>
              <w:rPr/>
            </w:pPr>
            <w:r>
              <w:rPr/>
              <w:t>29,170</w:t>
            </w:r>
          </w:p>
        </w:tc>
        <w:tc>
          <w:tcPr>
            <w:tcW w:w="78" w:type="dxa"/>
            <w:tcBorders/>
            <w:shd w:fill="CCEEFF" w:val="clear"/>
            <w:vAlign w:val="center"/>
          </w:tcPr>
          <w:p>
            <w:pPr>
              <w:pStyle w:val="TableContents"/>
              <w:spacing w:before="0" w:after="283"/>
              <w:jc w:val="left"/>
              <w:rPr/>
            </w:pPr>
            <w:r>
              <w:rPr/>
              <w:t> </w:t>
            </w:r>
          </w:p>
        </w:tc>
      </w:tr>
      <w:tr>
        <w:trPr/>
        <w:tc>
          <w:tcPr>
            <w:tcW w:w="1249" w:type="dxa"/>
            <w:tcBorders/>
            <w:shd w:fill="FFFFFF" w:val="clear"/>
            <w:vAlign w:val="center"/>
          </w:tcPr>
          <w:p>
            <w:pPr>
              <w:pStyle w:val="TableContents"/>
              <w:spacing w:before="0" w:after="283"/>
              <w:jc w:val="left"/>
              <w:rPr/>
            </w:pPr>
            <w:r>
              <w:rPr/>
              <w:t>Thomas F. Cofsky</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48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5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1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7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9" w:type="dxa"/>
            <w:tcBorders/>
            <w:shd w:fill="FFFFFF" w:val="clear"/>
            <w:vAlign w:val="center"/>
          </w:tcPr>
          <w:p>
            <w:pPr>
              <w:pStyle w:val="TableContents"/>
              <w:spacing w:before="0" w:after="283"/>
              <w:jc w:val="right"/>
              <w:rPr/>
            </w:pPr>
            <w:r>
              <w:rPr/>
              <w:t>2,344 (6)</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250" w:type="dxa"/>
            <w:tcBorders/>
            <w:shd w:fill="FFFFFF" w:val="clear"/>
            <w:vAlign w:val="center"/>
          </w:tcPr>
          <w:p>
            <w:pPr>
              <w:pStyle w:val="TableContents"/>
              <w:spacing w:before="0" w:after="283"/>
              <w:jc w:val="right"/>
              <w:rPr/>
            </w:pPr>
            <w:r>
              <w:rPr/>
              <w:t>68,374</w:t>
            </w:r>
          </w:p>
        </w:tc>
        <w:tc>
          <w:tcPr>
            <w:tcW w:w="78" w:type="dxa"/>
            <w:tcBorders/>
            <w:shd w:fill="FFFFFF" w:val="clear"/>
            <w:vAlign w:val="center"/>
          </w:tcPr>
          <w:p>
            <w:pPr>
              <w:pStyle w:val="TableContents"/>
              <w:spacing w:before="0" w:after="283"/>
              <w:jc w:val="left"/>
              <w:rPr/>
            </w:pPr>
            <w:r>
              <w:rPr/>
              <w:t> </w:t>
            </w:r>
          </w:p>
        </w:tc>
      </w:tr>
      <w:tr>
        <w:trPr/>
        <w:tc>
          <w:tcPr>
            <w:tcW w:w="124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48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59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1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jc w:val="right"/>
              <w:rPr/>
            </w:pPr>
            <w:r>
              <w:rPr/>
              <w:t>3,791 (7)</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50" w:type="dxa"/>
            <w:tcBorders/>
            <w:shd w:fill="CCEEFF" w:val="clear"/>
            <w:vAlign w:val="center"/>
          </w:tcPr>
          <w:p>
            <w:pPr>
              <w:pStyle w:val="TableContents"/>
              <w:spacing w:before="0" w:after="283"/>
              <w:jc w:val="right"/>
              <w:rPr/>
            </w:pPr>
            <w:r>
              <w:rPr/>
              <w:t>110,583</w:t>
            </w:r>
          </w:p>
        </w:tc>
        <w:tc>
          <w:tcPr>
            <w:tcW w:w="78" w:type="dxa"/>
            <w:tcBorders/>
            <w:shd w:fill="CCEEFF" w:val="clear"/>
            <w:vAlign w:val="center"/>
          </w:tcPr>
          <w:p>
            <w:pPr>
              <w:pStyle w:val="TableContents"/>
              <w:spacing w:before="0" w:after="283"/>
              <w:jc w:val="left"/>
              <w:rPr/>
            </w:pPr>
            <w:r>
              <w:rPr/>
              <w:t> </w:t>
            </w:r>
          </w:p>
        </w:tc>
      </w:tr>
      <w:tr>
        <w:trPr/>
        <w:tc>
          <w:tcPr>
            <w:tcW w:w="1249" w:type="dxa"/>
            <w:tcBorders/>
            <w:shd w:fill="FFFFFF" w:val="clear"/>
            <w:vAlign w:val="center"/>
          </w:tcPr>
          <w:p>
            <w:pPr>
              <w:pStyle w:val="TableContents"/>
              <w:spacing w:before="0" w:after="283"/>
              <w:jc w:val="left"/>
              <w:rPr/>
            </w:pPr>
            <w:r>
              <w:rPr/>
              <w:t>Mark E. Lewry</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48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5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1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7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79" w:type="dxa"/>
            <w:tcBorders/>
            <w:shd w:fill="FFFFFF" w:val="clear"/>
            <w:vAlign w:val="center"/>
          </w:tcPr>
          <w:p>
            <w:pPr>
              <w:pStyle w:val="TableContents"/>
              <w:spacing w:before="0" w:after="283"/>
              <w:jc w:val="right"/>
              <w:rPr/>
            </w:pPr>
            <w:r>
              <w:rPr/>
              <w:t>12,000 (8)</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250" w:type="dxa"/>
            <w:tcBorders/>
            <w:shd w:fill="FFFFFF" w:val="clear"/>
            <w:vAlign w:val="center"/>
          </w:tcPr>
          <w:p>
            <w:pPr>
              <w:pStyle w:val="TableContents"/>
              <w:spacing w:before="0" w:after="283"/>
              <w:jc w:val="right"/>
              <w:rPr/>
            </w:pPr>
            <w:r>
              <w:rPr/>
              <w:t>350,040</w:t>
            </w:r>
          </w:p>
        </w:tc>
        <w:tc>
          <w:tcPr>
            <w:tcW w:w="78" w:type="dxa"/>
            <w:tcBorders/>
            <w:shd w:fill="FFFFFF" w:val="clear"/>
            <w:vAlign w:val="center"/>
          </w:tcPr>
          <w:p>
            <w:pPr>
              <w:pStyle w:val="TableContents"/>
              <w:spacing w:before="0" w:after="283"/>
              <w:jc w:val="left"/>
              <w:rPr/>
            </w:pPr>
            <w:r>
              <w:rPr/>
              <w:t> </w:t>
            </w:r>
          </w:p>
        </w:tc>
      </w:tr>
      <w:tr>
        <w:trPr/>
        <w:tc>
          <w:tcPr>
            <w:tcW w:w="1249" w:type="dxa"/>
            <w:tcBorders/>
            <w:shd w:fill="CCEEFF" w:val="clear"/>
            <w:vAlign w:val="center"/>
          </w:tcPr>
          <w:p>
            <w:pPr>
              <w:pStyle w:val="TableContents"/>
              <w:spacing w:before="0" w:after="283"/>
              <w:jc w:val="left"/>
              <w:rPr/>
            </w:pPr>
            <w:r>
              <w:rPr/>
              <w:t>Paul D. Ziemnisky Jr.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48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59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1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jc w:val="right"/>
              <w:rPr/>
            </w:pPr>
            <w:r>
              <w:rPr/>
              <w:t>10,000 (9)</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50" w:type="dxa"/>
            <w:tcBorders/>
            <w:shd w:fill="CCEEFF" w:val="clear"/>
            <w:vAlign w:val="center"/>
          </w:tcPr>
          <w:p>
            <w:pPr>
              <w:pStyle w:val="TableContents"/>
              <w:spacing w:before="0" w:after="283"/>
              <w:jc w:val="right"/>
              <w:rPr/>
            </w:pPr>
            <w:r>
              <w:rPr/>
              <w:t>291,700</w:t>
            </w:r>
          </w:p>
        </w:tc>
        <w:tc>
          <w:tcPr>
            <w:tcW w:w="78" w:type="dxa"/>
            <w:tcBorders/>
            <w:shd w:fill="CCEEFF" w:val="clear"/>
            <w:vAlign w:val="center"/>
          </w:tcPr>
          <w:p>
            <w:pPr>
              <w:pStyle w:val="TableContents"/>
              <w:spacing w:before="0" w:after="283"/>
              <w:jc w:val="left"/>
              <w:rPr/>
            </w:pPr>
            <w:r>
              <w:rPr/>
              <w:t> </w:t>
            </w:r>
          </w:p>
        </w:tc>
      </w:tr>
    </w:tbl>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Market value for our Class B Stock and Common Stock has been calculated using the closing sale price of our Common Stock on July 31, 2014, the last trading day of fiscal 2014, which was $29.17.</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Restricted shares of Class B Stock awarded on October 6, 2010, of which 25,000 shares vested on October 6, 2014, and an additional 25,000 shares are scheduled to vest on October 6, 2015.</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Restricted shares of Class B Stock awarded on October 9, 2012, scheduled to vest on July 31, 2015.</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Restricted shares of Class B Stock awarded on October 16, 2013, scheduled to vest on July 31, 2016.</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tab/>
        <w:t>Restricted shares of Common Stock awarded on April 1, 2013, scheduled to vest on April 1, 2015.</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Restricted shares of Class B Stock awarded on October 9, 2012, scheduled to vest on July 31, 2015.</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lineRule="auto" w:line="276"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Restricted shares of Class B Stock awarded on October 16, 2013, scheduled to vest on July 31, 2016.</w:t>
      </w:r>
    </w:p>
    <w:p>
      <w:pPr>
        <w:pStyle w:val="TextBody"/>
        <w:spacing w:lineRule="auto" w:line="276"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Restricted shares of Common Stock awarded on April 7, 2014 scheduled to vest on April 7, 2019.</w:t>
      </w:r>
    </w:p>
    <w:p>
      <w:pPr>
        <w:pStyle w:val="TextBody"/>
        <w:spacing w:lineRule="auto" w:line="276"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Restricted shares of Common Stock awarded on October 16, 2013 scheduled to vest on October 16, 2018.</w:t>
      </w:r>
    </w:p>
    <w:p>
      <w:pPr>
        <w:pStyle w:val="TextBody"/>
        <w:spacing w:lineRule="auto" w:line="276" w:before="200" w:after="200"/>
        <w:ind w:left="200" w:right="200" w:hanging="0"/>
        <w:jc w:val="center"/>
        <w:rPr>
          <w:rFonts w:ascii="Times New Roman;Times;Serif" w:hAnsi="Times New Roman;Times;Serif"/>
          <w:b/>
          <w:i w:val="false"/>
          <w:caps w:val="false"/>
          <w:smallCaps w:val="false"/>
          <w:sz w:val="20"/>
        </w:rPr>
      </w:pPr>
      <w:bookmarkStart w:id="35" w:name="a_Toc339007574"/>
      <w:bookmarkEnd w:id="35"/>
      <w:r>
        <w:rPr>
          <w:rFonts w:ascii="Times New Roman;Times;Serif" w:hAnsi="Times New Roman;Times;Serif"/>
          <w:b/>
          <w:i w:val="false"/>
          <w:caps w:val="false"/>
          <w:smallCaps w:val="false"/>
          <w:sz w:val="20"/>
        </w:rPr>
        <w:t>Option Exercises and Stock Vested for Fiscal 2014</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for the named executive officers on:</w:t>
      </w:r>
    </w:p>
    <w:tbl>
      <w:tblPr>
        <w:tblW w:w="5000" w:type="pct"/>
        <w:jc w:val="left"/>
        <w:tblInd w:w="0" w:type="dxa"/>
        <w:tblCellMar>
          <w:top w:w="0" w:type="dxa"/>
          <w:left w:w="0" w:type="dxa"/>
          <w:bottom w:w="0" w:type="dxa"/>
          <w:right w:w="0" w:type="dxa"/>
        </w:tblCellMar>
      </w:tblPr>
      <w:tblGrid>
        <w:gridCol w:w="42"/>
        <w:gridCol w:w="105"/>
        <w:gridCol w:w="10058"/>
      </w:tblGrid>
      <w:tr>
        <w:trPr/>
        <w:tc>
          <w:tcPr>
            <w:tcW w:w="42"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8" w:type="dxa"/>
            <w:tcBorders/>
            <w:shd w:fill="auto" w:val="clear"/>
            <w:vAlign w:val="center"/>
          </w:tcPr>
          <w:p>
            <w:pPr>
              <w:pStyle w:val="TableContents"/>
              <w:spacing w:before="0" w:after="283"/>
              <w:jc w:val="both"/>
              <w:rPr>
                <w:sz w:val="17"/>
              </w:rPr>
            </w:pPr>
            <w:r>
              <w:rPr>
                <w:sz w:val="17"/>
              </w:rPr>
              <w:t>the number of shares of the Company’s stock acquired and the value received from stock option exercises during fiscal 2014; and</w:t>
            </w:r>
          </w:p>
        </w:tc>
      </w:tr>
    </w:tbl>
    <w:tbl>
      <w:tblPr>
        <w:tblW w:w="5000" w:type="pct"/>
        <w:jc w:val="left"/>
        <w:tblInd w:w="0" w:type="dxa"/>
        <w:tblCellMar>
          <w:top w:w="0" w:type="dxa"/>
          <w:left w:w="0" w:type="dxa"/>
          <w:bottom w:w="0" w:type="dxa"/>
          <w:right w:w="0" w:type="dxa"/>
        </w:tblCellMar>
      </w:tblPr>
      <w:tblGrid>
        <w:gridCol w:w="44"/>
        <w:gridCol w:w="112"/>
        <w:gridCol w:w="10049"/>
      </w:tblGrid>
      <w:tr>
        <w:trPr/>
        <w:tc>
          <w:tcPr>
            <w:tcW w:w="4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49" w:type="dxa"/>
            <w:tcBorders/>
            <w:shd w:fill="auto" w:val="clear"/>
            <w:vAlign w:val="center"/>
          </w:tcPr>
          <w:p>
            <w:pPr>
              <w:pStyle w:val="TableContents"/>
              <w:spacing w:before="0" w:after="283"/>
              <w:jc w:val="both"/>
              <w:rPr>
                <w:sz w:val="17"/>
              </w:rPr>
            </w:pPr>
            <w:r>
              <w:rPr>
                <w:sz w:val="17"/>
              </w:rPr>
              <w:t>the number of restricted shares of the Company’s stock that vested and the value received upon vesting during fiscal 2014.</w:t>
            </w:r>
          </w:p>
        </w:tc>
      </w:tr>
    </w:tbl>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acquired and vested by Mr. Jaffee and Mr. Cofsky were shares of Class B Stock.</w:t>
      </w:r>
    </w:p>
    <w:tbl>
      <w:tblPr>
        <w:tblW w:w="10205" w:type="dxa"/>
        <w:jc w:val="left"/>
        <w:tblInd w:w="0" w:type="dxa"/>
        <w:tblCellMar>
          <w:top w:w="0" w:type="dxa"/>
          <w:left w:w="0" w:type="dxa"/>
          <w:bottom w:w="0" w:type="dxa"/>
          <w:right w:w="0" w:type="dxa"/>
        </w:tblCellMar>
      </w:tblPr>
      <w:tblGrid>
        <w:gridCol w:w="1487"/>
        <w:gridCol w:w="60"/>
        <w:gridCol w:w="60"/>
        <w:gridCol w:w="2304"/>
        <w:gridCol w:w="60"/>
        <w:gridCol w:w="60"/>
        <w:gridCol w:w="60"/>
        <w:gridCol w:w="1684"/>
        <w:gridCol w:w="60"/>
        <w:gridCol w:w="60"/>
        <w:gridCol w:w="60"/>
        <w:gridCol w:w="2266"/>
        <w:gridCol w:w="60"/>
        <w:gridCol w:w="60"/>
        <w:gridCol w:w="140"/>
        <w:gridCol w:w="1646"/>
        <w:gridCol w:w="78"/>
      </w:tblGrid>
      <w:tr>
        <w:trPr/>
        <w:tc>
          <w:tcPr>
            <w:tcW w:w="148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168" w:type="dxa"/>
            <w:gridSpan w:val="5"/>
            <w:tcBorders>
              <w:bottom w:val="single" w:sz="8" w:space="0" w:color="000000"/>
            </w:tcBorders>
            <w:shd w:fill="FFFFFF" w:val="clear"/>
            <w:tcMar>
              <w:bottom w:w="28" w:type="dxa"/>
            </w:tcMar>
            <w:vAlign w:val="center"/>
          </w:tcPr>
          <w:p>
            <w:pPr>
              <w:pStyle w:val="TableContents"/>
              <w:spacing w:before="0" w:after="283"/>
              <w:rPr>
                <w:b/>
              </w:rPr>
            </w:pPr>
            <w:r>
              <w:rPr>
                <w:b/>
              </w:rPr>
              <w:t>Option Awards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50" w:type="dxa"/>
            <w:gridSpan w:val="6"/>
            <w:tcBorders>
              <w:bottom w:val="single" w:sz="8" w:space="0" w:color="000000"/>
            </w:tcBorders>
            <w:shd w:fill="FFFFFF" w:val="clear"/>
            <w:tcMar>
              <w:bottom w:w="28" w:type="dxa"/>
            </w:tcMar>
            <w:vAlign w:val="center"/>
          </w:tcPr>
          <w:p>
            <w:pPr>
              <w:pStyle w:val="TableContents"/>
              <w:spacing w:before="0" w:after="283"/>
              <w:rPr>
                <w:b/>
              </w:rPr>
            </w:pPr>
            <w:r>
              <w:rPr>
                <w:b/>
              </w:rPr>
              <w:t>Stock Awards</w:t>
            </w:r>
          </w:p>
        </w:tc>
      </w:tr>
      <w:tr>
        <w:trPr/>
        <w:tc>
          <w:tcPr>
            <w:tcW w:w="1487" w:type="dxa"/>
            <w:tcBorders>
              <w:bottom w:val="single" w:sz="8" w:space="0" w:color="000000"/>
            </w:tcBorders>
            <w:shd w:fill="FFFFFF" w:val="clear"/>
            <w:tcMar>
              <w:bottom w:w="28" w:type="dxa"/>
            </w:tcMar>
            <w:vAlign w:val="center"/>
          </w:tcPr>
          <w:p>
            <w:pPr>
              <w:pStyle w:val="TableContents"/>
              <w:spacing w:before="0" w:after="283"/>
              <w:rPr>
                <w:b/>
              </w:rPr>
            </w:pPr>
            <w:r>
              <w:rPr>
                <w:b/>
              </w:rPr>
              <w:t>Name</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2304" w:type="dxa"/>
            <w:tcBorders>
              <w:bottom w:val="single" w:sz="8" w:space="0" w:color="000000"/>
            </w:tcBorders>
            <w:shd w:fill="FFFFFF" w:val="clear"/>
            <w:tcMar>
              <w:bottom w:w="28" w:type="dxa"/>
            </w:tcMar>
            <w:vAlign w:val="center"/>
          </w:tcPr>
          <w:p>
            <w:pPr>
              <w:pStyle w:val="TableContents"/>
              <w:spacing w:before="0" w:after="283"/>
              <w:rPr>
                <w:b/>
              </w:rPr>
            </w:pPr>
            <w:r>
              <w:rPr>
                <w:b/>
              </w:rPr>
              <w:t>Number of Shares Acquired on Exercise</w:t>
              <w:b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684" w:type="dxa"/>
            <w:tcBorders>
              <w:bottom w:val="single" w:sz="8" w:space="0" w:color="000000"/>
            </w:tcBorders>
            <w:shd w:fill="FFFFFF" w:val="clear"/>
            <w:tcMar>
              <w:bottom w:w="28" w:type="dxa"/>
            </w:tcMar>
            <w:vAlign w:val="center"/>
          </w:tcPr>
          <w:p>
            <w:pPr>
              <w:pStyle w:val="TableContents"/>
              <w:spacing w:before="0" w:after="283"/>
              <w:rPr>
                <w:b/>
              </w:rPr>
            </w:pPr>
            <w:r>
              <w:rPr>
                <w:b/>
              </w:rPr>
              <w:t>Value Realized on Exercise</w:t>
              <w:br/>
              <w:t>($)</w:t>
              <w:br/>
              <w:t>(1)</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2266" w:type="dxa"/>
            <w:tcBorders>
              <w:bottom w:val="single" w:sz="8" w:space="0" w:color="000000"/>
            </w:tcBorders>
            <w:shd w:fill="FFFFFF" w:val="clear"/>
            <w:tcMar>
              <w:bottom w:w="28" w:type="dxa"/>
            </w:tcMar>
            <w:vAlign w:val="center"/>
          </w:tcPr>
          <w:p>
            <w:pPr>
              <w:pStyle w:val="TableContents"/>
              <w:spacing w:before="0" w:after="283"/>
              <w:rPr>
                <w:b/>
              </w:rPr>
            </w:pPr>
            <w:r>
              <w:rPr>
                <w:b/>
              </w:rPr>
              <w:t>Number of Shares Acquired on Vesting</w:t>
              <w:b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646" w:type="dxa"/>
            <w:tcBorders>
              <w:bottom w:val="single" w:sz="8" w:space="0" w:color="000000"/>
            </w:tcBorders>
            <w:shd w:fill="FFFFFF" w:val="clear"/>
            <w:tcMar>
              <w:bottom w:w="28" w:type="dxa"/>
            </w:tcMar>
            <w:vAlign w:val="center"/>
          </w:tcPr>
          <w:p>
            <w:pPr>
              <w:pStyle w:val="TableContents"/>
              <w:spacing w:before="0" w:after="283"/>
              <w:rPr>
                <w:b/>
              </w:rPr>
            </w:pPr>
            <w:r>
              <w:rPr>
                <w:b/>
              </w:rPr>
              <w:t>Value Realized on Vesting</w:t>
              <w:br/>
              <w:t>($)</w:t>
              <w:br/>
              <w:t>(1)</w:t>
            </w:r>
          </w:p>
        </w:tc>
        <w:tc>
          <w:tcPr>
            <w:tcW w:w="78" w:type="dxa"/>
            <w:tcBorders>
              <w:bottom w:val="single" w:sz="8" w:space="0" w:color="000000"/>
            </w:tcBorders>
            <w:shd w:fill="FFFFFF" w:val="clear"/>
            <w:tcMar>
              <w:bottom w:w="28" w:type="dxa"/>
            </w:tcMar>
            <w:vAlign w:val="center"/>
          </w:tcPr>
          <w:p>
            <w:pPr>
              <w:pStyle w:val="TableContents"/>
              <w:spacing w:before="0" w:after="283"/>
              <w:rPr/>
            </w:pPr>
            <w:r>
              <w:rPr/>
              <w:t> </w:t>
            </w:r>
          </w:p>
        </w:tc>
      </w:tr>
      <w:tr>
        <w:trPr/>
        <w:tc>
          <w:tcPr>
            <w:tcW w:w="1487" w:type="dxa"/>
            <w:tcBorders/>
            <w:shd w:fill="CCEEFF" w:val="clear"/>
            <w:vAlign w:val="center"/>
          </w:tcPr>
          <w:p>
            <w:pPr>
              <w:pStyle w:val="TableContents"/>
              <w:spacing w:before="0" w:after="283"/>
              <w:jc w:val="left"/>
              <w:rPr/>
            </w:pPr>
            <w:r>
              <w:rPr/>
              <w:t>Daniel S. Jaffee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23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68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2266" w:type="dxa"/>
            <w:tcBorders/>
            <w:shd w:fill="CCEEFF" w:val="clear"/>
            <w:vAlign w:val="center"/>
          </w:tcPr>
          <w:p>
            <w:pPr>
              <w:pStyle w:val="TableContents"/>
              <w:spacing w:before="0" w:after="283"/>
              <w:jc w:val="right"/>
              <w:rPr/>
            </w:pPr>
            <w:r>
              <w:rPr/>
              <w:t>25,000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646" w:type="dxa"/>
            <w:tcBorders/>
            <w:shd w:fill="CCEEFF" w:val="clear"/>
            <w:vAlign w:val="center"/>
          </w:tcPr>
          <w:p>
            <w:pPr>
              <w:pStyle w:val="TableContents"/>
              <w:spacing w:before="0" w:after="283"/>
              <w:jc w:val="right"/>
              <w:rPr/>
            </w:pPr>
            <w:r>
              <w:rPr/>
              <w:t>854,750 </w:t>
            </w:r>
          </w:p>
        </w:tc>
        <w:tc>
          <w:tcPr>
            <w:tcW w:w="78" w:type="dxa"/>
            <w:tcBorders/>
            <w:shd w:fill="CCEEFF" w:val="clear"/>
            <w:vAlign w:val="center"/>
          </w:tcPr>
          <w:p>
            <w:pPr>
              <w:pStyle w:val="TableContents"/>
              <w:spacing w:before="0" w:after="283"/>
              <w:jc w:val="left"/>
              <w:rPr/>
            </w:pPr>
            <w:r>
              <w:rPr/>
              <w:t> </w:t>
            </w:r>
          </w:p>
        </w:tc>
      </w:tr>
      <w:tr>
        <w:trPr/>
        <w:tc>
          <w:tcPr>
            <w:tcW w:w="1487" w:type="dxa"/>
            <w:tcBorders/>
            <w:shd w:fill="FFFFFF" w:val="clear"/>
            <w:vAlign w:val="center"/>
          </w:tcPr>
          <w:p>
            <w:pPr>
              <w:pStyle w:val="TableContents"/>
              <w:spacing w:before="0" w:after="283"/>
              <w:jc w:val="left"/>
              <w:rPr/>
            </w:pPr>
            <w:r>
              <w:rPr/>
              <w:t>Daniel T. Smith</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230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68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226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646" w:type="dxa"/>
            <w:tcBorders/>
            <w:shd w:fill="FFFFFF" w:val="clear"/>
            <w:vAlign w:val="center"/>
          </w:tcPr>
          <w:p>
            <w:pPr>
              <w:pStyle w:val="TableContents"/>
              <w:spacing w:before="0" w:after="283"/>
              <w:jc w:val="right"/>
              <w:rPr/>
            </w:pPr>
            <w:r>
              <w:rPr/>
              <w:t>—  </w:t>
            </w:r>
          </w:p>
        </w:tc>
        <w:tc>
          <w:tcPr>
            <w:tcW w:w="78" w:type="dxa"/>
            <w:tcBorders/>
            <w:shd w:fill="FFFFFF" w:val="clear"/>
            <w:vAlign w:val="center"/>
          </w:tcPr>
          <w:p>
            <w:pPr>
              <w:pStyle w:val="TableContents"/>
              <w:spacing w:before="0" w:after="283"/>
              <w:jc w:val="left"/>
              <w:rPr/>
            </w:pPr>
            <w:r>
              <w:rPr/>
              <w:t> </w:t>
            </w:r>
          </w:p>
        </w:tc>
      </w:tr>
      <w:tr>
        <w:trPr/>
        <w:tc>
          <w:tcPr>
            <w:tcW w:w="1487" w:type="dxa"/>
            <w:tcBorders/>
            <w:shd w:fill="CCEEFF" w:val="clear"/>
            <w:vAlign w:val="center"/>
          </w:tcPr>
          <w:p>
            <w:pPr>
              <w:pStyle w:val="TableContents"/>
              <w:spacing w:before="0" w:after="283"/>
              <w:jc w:val="left"/>
              <w:rPr/>
            </w:pPr>
            <w:r>
              <w:rPr/>
              <w:t>Thomas F. Cofsky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23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68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2266" w:type="dxa"/>
            <w:tcBorders/>
            <w:shd w:fill="CCEEFF" w:val="clear"/>
            <w:vAlign w:val="center"/>
          </w:tcPr>
          <w:p>
            <w:pPr>
              <w:pStyle w:val="TableContents"/>
              <w:spacing w:before="0" w:after="283"/>
              <w:jc w:val="right"/>
              <w:rPr/>
            </w:pPr>
            <w:r>
              <w:rPr/>
              <w:t>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646" w:type="dxa"/>
            <w:tcBorders/>
            <w:shd w:fill="CCEEFF" w:val="clear"/>
            <w:vAlign w:val="center"/>
          </w:tcPr>
          <w:p>
            <w:pPr>
              <w:pStyle w:val="TableContents"/>
              <w:spacing w:before="0" w:after="283"/>
              <w:jc w:val="right"/>
              <w:rPr/>
            </w:pPr>
            <w:r>
              <w:rPr/>
              <w:t>66,420 </w:t>
            </w:r>
          </w:p>
        </w:tc>
        <w:tc>
          <w:tcPr>
            <w:tcW w:w="78" w:type="dxa"/>
            <w:tcBorders/>
            <w:shd w:fill="CCEEFF" w:val="clear"/>
            <w:vAlign w:val="center"/>
          </w:tcPr>
          <w:p>
            <w:pPr>
              <w:pStyle w:val="TableContents"/>
              <w:spacing w:before="0" w:after="283"/>
              <w:jc w:val="left"/>
              <w:rPr/>
            </w:pPr>
            <w:r>
              <w:rPr/>
              <w:t> </w:t>
            </w:r>
          </w:p>
        </w:tc>
      </w:tr>
      <w:tr>
        <w:trPr/>
        <w:tc>
          <w:tcPr>
            <w:tcW w:w="1487" w:type="dxa"/>
            <w:tcBorders/>
            <w:shd w:fill="FFFFFF" w:val="clear"/>
            <w:vAlign w:val="center"/>
          </w:tcPr>
          <w:p>
            <w:pPr>
              <w:pStyle w:val="TableContents"/>
              <w:spacing w:before="0" w:after="283"/>
              <w:jc w:val="left"/>
              <w:rPr/>
            </w:pPr>
            <w:r>
              <w:rPr/>
              <w:t>Mark E. Lewry</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230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68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226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646" w:type="dxa"/>
            <w:tcBorders/>
            <w:shd w:fill="FFFFFF" w:val="clear"/>
            <w:vAlign w:val="center"/>
          </w:tcPr>
          <w:p>
            <w:pPr>
              <w:pStyle w:val="TableContents"/>
              <w:spacing w:before="0" w:after="283"/>
              <w:jc w:val="right"/>
              <w:rPr/>
            </w:pPr>
            <w:r>
              <w:rPr/>
              <w:t>—  </w:t>
            </w:r>
          </w:p>
        </w:tc>
        <w:tc>
          <w:tcPr>
            <w:tcW w:w="78" w:type="dxa"/>
            <w:tcBorders/>
            <w:shd w:fill="FFFFFF" w:val="clear"/>
            <w:vAlign w:val="center"/>
          </w:tcPr>
          <w:p>
            <w:pPr>
              <w:pStyle w:val="TableContents"/>
              <w:spacing w:before="0" w:after="283"/>
              <w:jc w:val="left"/>
              <w:rPr/>
            </w:pPr>
            <w:r>
              <w:rPr/>
              <w:t> </w:t>
            </w:r>
          </w:p>
        </w:tc>
      </w:tr>
      <w:tr>
        <w:trPr/>
        <w:tc>
          <w:tcPr>
            <w:tcW w:w="1487" w:type="dxa"/>
            <w:tcBorders/>
            <w:shd w:fill="CCEEFF" w:val="clear"/>
            <w:vAlign w:val="center"/>
          </w:tcPr>
          <w:p>
            <w:pPr>
              <w:pStyle w:val="TableContents"/>
              <w:spacing w:before="0" w:after="283"/>
              <w:jc w:val="left"/>
              <w:rPr/>
            </w:pPr>
            <w:r>
              <w:rPr/>
              <w:t>Paul D. Ziemnisky Jr.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23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68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226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646" w:type="dxa"/>
            <w:tcBorders/>
            <w:shd w:fill="CCEEFF" w:val="clear"/>
            <w:vAlign w:val="center"/>
          </w:tcPr>
          <w:p>
            <w:pPr>
              <w:pStyle w:val="TableContents"/>
              <w:spacing w:before="0" w:after="283"/>
              <w:jc w:val="right"/>
              <w:rPr/>
            </w:pPr>
            <w:r>
              <w:rPr/>
              <w:t>—  </w:t>
            </w:r>
          </w:p>
        </w:tc>
        <w:tc>
          <w:tcPr>
            <w:tcW w:w="78" w:type="dxa"/>
            <w:tcBorders/>
            <w:shd w:fill="CCEEFF" w:val="clear"/>
            <w:vAlign w:val="center"/>
          </w:tcPr>
          <w:p>
            <w:pPr>
              <w:pStyle w:val="TableContents"/>
              <w:spacing w:before="0" w:after="283"/>
              <w:jc w:val="left"/>
              <w:rPr/>
            </w:pPr>
            <w:r>
              <w:rPr/>
              <w:t> </w:t>
            </w:r>
          </w:p>
        </w:tc>
      </w:tr>
    </w:tbl>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tab/>
        <w:t>       The Value Realized on Exercise represents the difference between the market price of our Common Stock on the date of exercise and the grant price, multiplied by the number of shares acquired. The Value Realized on Vesting represents the market price of our Common Stock on the date of vesting multiplied by the number of shares vested.</w:t>
      </w:r>
    </w:p>
    <w:p>
      <w:pPr>
        <w:pStyle w:val="TextBody"/>
        <w:spacing w:before="200" w:after="200"/>
        <w:ind w:left="200" w:right="200" w:hanging="0"/>
        <w:jc w:val="center"/>
        <w:rPr>
          <w:rFonts w:ascii="Times New Roman;Times;Serif" w:hAnsi="Times New Roman;Times;Serif"/>
          <w:b/>
          <w:i w:val="false"/>
          <w:caps w:val="false"/>
          <w:smallCaps w:val="false"/>
          <w:sz w:val="20"/>
        </w:rPr>
      </w:pPr>
      <w:bookmarkStart w:id="36" w:name="a_Toc339007575"/>
      <w:bookmarkEnd w:id="36"/>
      <w:r>
        <w:rPr>
          <w:rFonts w:ascii="Times New Roman;Times;Serif" w:hAnsi="Times New Roman;Times;Serif"/>
          <w:b/>
          <w:i w:val="false"/>
          <w:caps w:val="false"/>
          <w:smallCaps w:val="false"/>
          <w:sz w:val="20"/>
        </w:rPr>
        <w:t>Pension Benefits for Fiscal 2014</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Defined benefit pension plan:</w:t>
      </w:r>
      <w:r>
        <w:rPr>
          <w:rFonts w:ascii="Times New Roman;Times;Serif" w:hAnsi="Times New Roman;Times;Serif"/>
          <w:b w:val="false"/>
          <w:i w:val="false"/>
          <w:caps w:val="false"/>
          <w:smallCaps w:val="false"/>
          <w:sz w:val="20"/>
        </w:rPr>
        <w:t xml:space="preserve"> All U.S.-based employees participate in our non-contributory, tax-qualified, defined benefit pension plan once they reach age 21 and complete one year of service. For salaried employees, including the named executive officers, the pension plan provides for pensions based on credited years of service (capped at 30 years) and Final Average Compensation.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normal form of benefit is a life annuity with five years certain, payable at normal retirement age. The standard form of payment for a participant who is married is a 50% joint and survivor annuity. Other forms of benefit are available. Each form of benefit has approximately the same relative value. The formula for computation of the normal form of benefit is:</w:t>
      </w:r>
    </w:p>
    <w:tbl>
      <w:tblPr>
        <w:tblW w:w="4044" w:type="dxa"/>
        <w:jc w:val="center"/>
        <w:tblInd w:w="0" w:type="dxa"/>
        <w:tblCellMar>
          <w:top w:w="0" w:type="dxa"/>
          <w:left w:w="0" w:type="dxa"/>
          <w:bottom w:w="0" w:type="dxa"/>
          <w:right w:w="0" w:type="dxa"/>
        </w:tblCellMar>
      </w:tblPr>
      <w:tblGrid>
        <w:gridCol w:w="233"/>
        <w:gridCol w:w="578"/>
        <w:gridCol w:w="3233"/>
      </w:tblGrid>
      <w:tr>
        <w:trPr/>
        <w:tc>
          <w:tcPr>
            <w:tcW w:w="233" w:type="dxa"/>
            <w:tcBorders/>
            <w:shd w:fill="auto" w:val="clear"/>
            <w:vAlign w:val="center"/>
          </w:tcPr>
          <w:p>
            <w:pPr>
              <w:pStyle w:val="TableContents"/>
              <w:spacing w:before="0" w:after="283"/>
              <w:ind w:left="0" w:right="0" w:firstLine="108"/>
              <w:jc w:val="right"/>
              <w:rPr/>
            </w:pPr>
            <w:r>
              <w:rPr/>
              <w:t> </w:t>
            </w:r>
          </w:p>
        </w:tc>
        <w:tc>
          <w:tcPr>
            <w:tcW w:w="578" w:type="dxa"/>
            <w:tcBorders/>
            <w:shd w:fill="auto" w:val="clear"/>
            <w:vAlign w:val="center"/>
          </w:tcPr>
          <w:p>
            <w:pPr>
              <w:pStyle w:val="TableContents"/>
              <w:spacing w:before="0" w:after="283"/>
              <w:ind w:left="0" w:right="0" w:firstLine="108"/>
              <w:jc w:val="right"/>
              <w:rPr>
                <w:sz w:val="17"/>
              </w:rPr>
            </w:pPr>
            <w:r>
              <w:rPr>
                <w:sz w:val="17"/>
              </w:rPr>
              <w:t>0.55%</w:t>
            </w:r>
          </w:p>
        </w:tc>
        <w:tc>
          <w:tcPr>
            <w:tcW w:w="3233" w:type="dxa"/>
            <w:tcBorders/>
            <w:shd w:fill="auto" w:val="clear"/>
            <w:vAlign w:val="center"/>
          </w:tcPr>
          <w:p>
            <w:pPr>
              <w:pStyle w:val="TableContents"/>
              <w:spacing w:before="0" w:after="283"/>
              <w:ind w:left="0" w:right="0" w:firstLine="108"/>
              <w:jc w:val="left"/>
              <w:rPr>
                <w:sz w:val="17"/>
              </w:rPr>
            </w:pPr>
            <w:r>
              <w:rPr>
                <w:sz w:val="17"/>
              </w:rPr>
              <w:t>of Final Average Compensation</w:t>
            </w:r>
          </w:p>
        </w:tc>
      </w:tr>
      <w:tr>
        <w:trPr/>
        <w:tc>
          <w:tcPr>
            <w:tcW w:w="233" w:type="dxa"/>
            <w:tcBorders/>
            <w:shd w:fill="auto" w:val="clear"/>
            <w:vAlign w:val="center"/>
          </w:tcPr>
          <w:p>
            <w:pPr>
              <w:pStyle w:val="TableContents"/>
              <w:spacing w:before="0" w:after="283"/>
              <w:ind w:left="0" w:right="0" w:firstLine="108"/>
              <w:jc w:val="right"/>
              <w:rPr>
                <w:sz w:val="17"/>
              </w:rPr>
            </w:pPr>
            <w:r>
              <w:rPr>
                <w:sz w:val="17"/>
              </w:rPr>
              <w:t>+</w:t>
            </w:r>
          </w:p>
        </w:tc>
        <w:tc>
          <w:tcPr>
            <w:tcW w:w="578" w:type="dxa"/>
            <w:tcBorders/>
            <w:shd w:fill="auto" w:val="clear"/>
            <w:vAlign w:val="center"/>
          </w:tcPr>
          <w:p>
            <w:pPr>
              <w:pStyle w:val="TableContents"/>
              <w:spacing w:before="0" w:after="283"/>
              <w:ind w:left="0" w:right="0" w:firstLine="108"/>
              <w:jc w:val="right"/>
              <w:rPr>
                <w:sz w:val="17"/>
              </w:rPr>
            </w:pPr>
            <w:r>
              <w:rPr>
                <w:sz w:val="17"/>
              </w:rPr>
              <w:t>0.55%</w:t>
            </w:r>
          </w:p>
        </w:tc>
        <w:tc>
          <w:tcPr>
            <w:tcW w:w="3233" w:type="dxa"/>
            <w:tcBorders/>
            <w:shd w:fill="auto" w:val="clear"/>
            <w:vAlign w:val="center"/>
          </w:tcPr>
          <w:p>
            <w:pPr>
              <w:pStyle w:val="TableContents"/>
              <w:spacing w:before="0" w:after="283"/>
              <w:ind w:left="0" w:right="0" w:firstLine="108"/>
              <w:jc w:val="left"/>
              <w:rPr>
                <w:sz w:val="17"/>
              </w:rPr>
            </w:pPr>
            <w:r>
              <w:rPr>
                <w:sz w:val="17"/>
              </w:rPr>
              <w:t>of Final Average Compensation that exceeds</w:t>
            </w:r>
          </w:p>
        </w:tc>
      </w:tr>
      <w:tr>
        <w:trPr/>
        <w:tc>
          <w:tcPr>
            <w:tcW w:w="233" w:type="dxa"/>
            <w:tcBorders/>
            <w:shd w:fill="auto" w:val="clear"/>
            <w:vAlign w:val="center"/>
          </w:tcPr>
          <w:p>
            <w:pPr>
              <w:pStyle w:val="TableContents"/>
              <w:spacing w:before="0" w:after="283"/>
              <w:ind w:left="0" w:right="0" w:firstLine="108"/>
              <w:jc w:val="left"/>
              <w:rPr/>
            </w:pPr>
            <w:r>
              <w:rPr/>
              <w:t> </w:t>
            </w:r>
          </w:p>
        </w:tc>
        <w:tc>
          <w:tcPr>
            <w:tcW w:w="578" w:type="dxa"/>
            <w:tcBorders/>
            <w:shd w:fill="auto" w:val="clear"/>
            <w:vAlign w:val="center"/>
          </w:tcPr>
          <w:p>
            <w:pPr>
              <w:pStyle w:val="TableContents"/>
              <w:spacing w:before="0" w:after="283"/>
              <w:ind w:left="0" w:right="0" w:firstLine="108"/>
              <w:jc w:val="left"/>
              <w:rPr/>
            </w:pPr>
            <w:r>
              <w:rPr/>
              <w:t> </w:t>
            </w:r>
          </w:p>
        </w:tc>
        <w:tc>
          <w:tcPr>
            <w:tcW w:w="3233" w:type="dxa"/>
            <w:tcBorders/>
            <w:shd w:fill="auto" w:val="clear"/>
            <w:vAlign w:val="center"/>
          </w:tcPr>
          <w:p>
            <w:pPr>
              <w:pStyle w:val="TableContents"/>
              <w:spacing w:before="0" w:after="283"/>
              <w:ind w:left="0" w:right="0" w:firstLine="108"/>
              <w:jc w:val="left"/>
              <w:rPr>
                <w:sz w:val="17"/>
              </w:rPr>
            </w:pPr>
            <w:r>
              <w:rPr>
                <w:sz w:val="17"/>
              </w:rPr>
              <w:tab/>
              <w:t>   Social Security Covered Compensation</w:t>
            </w:r>
          </w:p>
        </w:tc>
      </w:tr>
      <w:tr>
        <w:trPr/>
        <w:tc>
          <w:tcPr>
            <w:tcW w:w="233" w:type="dxa"/>
            <w:tcBorders/>
            <w:shd w:fill="auto" w:val="clear"/>
            <w:vAlign w:val="center"/>
          </w:tcPr>
          <w:p>
            <w:pPr>
              <w:pStyle w:val="TableContents"/>
              <w:spacing w:before="0" w:after="283"/>
              <w:ind w:left="0" w:right="0" w:firstLine="108"/>
              <w:jc w:val="left"/>
              <w:rPr/>
            </w:pPr>
            <w:r>
              <w:rPr/>
              <w:t> </w:t>
            </w:r>
          </w:p>
        </w:tc>
        <w:tc>
          <w:tcPr>
            <w:tcW w:w="3811" w:type="dxa"/>
            <w:gridSpan w:val="2"/>
            <w:tcBorders/>
            <w:shd w:fill="auto" w:val="clear"/>
            <w:vAlign w:val="center"/>
          </w:tcPr>
          <w:p>
            <w:pPr>
              <w:pStyle w:val="TableContents"/>
              <w:spacing w:before="0" w:after="283"/>
              <w:jc w:val="left"/>
              <w:rPr>
                <w:sz w:val="17"/>
              </w:rPr>
            </w:pPr>
            <w:r>
              <w:rPr>
                <w:sz w:val="17"/>
              </w:rPr>
              <w:t>Multiplied by years of credited service</w:t>
            </w:r>
          </w:p>
        </w:tc>
      </w:tr>
    </w:tbl>
    <w:p>
      <w:pPr>
        <w:pStyle w:val="TextBody"/>
        <w:spacing w:before="200" w:after="200"/>
        <w:ind w:left="200" w:right="20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participant’s right to an accrued benefit becomes non-forfeitable after five years of vesting service. Normal retirement age under the plan is age 65, or the date a participant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married participant with a non-forfeitable benefit dies prior to commencement of benefit payments, the participant’s spouse will be entitled to a survivor annuity equal to the amount the spouse would have been entitled to receive under a 50% joint and survivor annuity.</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SERP:</w:t>
      </w:r>
      <w:r>
        <w:rPr>
          <w:rFonts w:ascii="Times New Roman;Times;Serif" w:hAnsi="Times New Roman;Times;Serif"/>
          <w:b w:val="false"/>
          <w:i w:val="false"/>
          <w:caps w:val="false"/>
          <w:smallCaps w:val="false"/>
          <w:sz w:val="20"/>
        </w:rPr>
        <w:t xml:space="preserve"> Our SERP provides benefits that would have been provided under our pension plan absent Code limitations on benefits and on compensation for purposes of calculating benefits, offset by the actual pension benefits. All employees whose pension plan benefits are limited by those Code limitations may participate in the SERP. Currently, Daniel S. Jaffee, our CEO, is the only participant. Benefits provided under the SERP are paid in five equal annual installments beginning six months after the participant’s separation from service; however, if upon termination of employment the present value of the participant’s accumulated benefits does not exceed $50,000, payment will be made in a lump sum, as soon as administratively feasible after the first day of the calendar month that follows six months of separation from service.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present value of the accumulated benefits under the pension plan and under the SERP for each of the named executive officers. No payments were made to any named executive officer under the pension plan or the SERP during fiscal 2014.</w:t>
      </w:r>
    </w:p>
    <w:tbl>
      <w:tblPr>
        <w:tblW w:w="7892" w:type="dxa"/>
        <w:jc w:val="left"/>
        <w:tblInd w:w="0" w:type="dxa"/>
        <w:tblCellMar>
          <w:top w:w="0" w:type="dxa"/>
          <w:left w:w="0" w:type="dxa"/>
          <w:bottom w:w="28" w:type="dxa"/>
          <w:right w:w="0" w:type="dxa"/>
        </w:tblCellMar>
      </w:tblPr>
      <w:tblGrid>
        <w:gridCol w:w="2105"/>
        <w:gridCol w:w="60"/>
        <w:gridCol w:w="1250"/>
        <w:gridCol w:w="60"/>
        <w:gridCol w:w="185"/>
        <w:gridCol w:w="1732"/>
        <w:gridCol w:w="187"/>
        <w:gridCol w:w="60"/>
        <w:gridCol w:w="310"/>
        <w:gridCol w:w="1776"/>
        <w:gridCol w:w="167"/>
      </w:tblGrid>
      <w:tr>
        <w:trPr/>
        <w:tc>
          <w:tcPr>
            <w:tcW w:w="2105" w:type="dxa"/>
            <w:tcBorders>
              <w:bottom w:val="single" w:sz="8" w:space="0" w:color="000000"/>
            </w:tcBorders>
            <w:shd w:fill="auto" w:val="clear"/>
            <w:vAlign w:val="center"/>
          </w:tcPr>
          <w:p>
            <w:pPr>
              <w:pStyle w:val="TableContents"/>
              <w:spacing w:before="0" w:after="283"/>
              <w:jc w:val="left"/>
              <w:rPr>
                <w:b/>
              </w:rPr>
            </w:pPr>
            <w:r>
              <w:rPr>
                <w:b/>
              </w:rPr>
              <w:t>Name</w:t>
            </w:r>
          </w:p>
        </w:tc>
        <w:tc>
          <w:tcPr>
            <w:tcW w:w="60" w:type="dxa"/>
            <w:tcBorders>
              <w:bottom w:val="single" w:sz="8" w:space="0" w:color="000000"/>
            </w:tcBorders>
            <w:shd w:fill="auto" w:val="clear"/>
            <w:vAlign w:val="center"/>
          </w:tcPr>
          <w:p>
            <w:pPr>
              <w:pStyle w:val="TableContents"/>
              <w:spacing w:before="0" w:after="283"/>
              <w:rPr/>
            </w:pPr>
            <w:r>
              <w:rPr/>
              <w:t> </w:t>
            </w:r>
          </w:p>
        </w:tc>
        <w:tc>
          <w:tcPr>
            <w:tcW w:w="1250" w:type="dxa"/>
            <w:tcBorders>
              <w:bottom w:val="single" w:sz="8" w:space="0" w:color="000000"/>
            </w:tcBorders>
            <w:shd w:fill="auto" w:val="clear"/>
            <w:vAlign w:val="center"/>
          </w:tcPr>
          <w:p>
            <w:pPr>
              <w:pStyle w:val="TableContents"/>
              <w:spacing w:before="0" w:after="283"/>
              <w:jc w:val="center"/>
              <w:rPr>
                <w:b/>
              </w:rPr>
            </w:pPr>
            <w:r>
              <w:rPr>
                <w:b/>
              </w:rPr>
              <w:t>Plan Name</w:t>
            </w:r>
          </w:p>
        </w:tc>
        <w:tc>
          <w:tcPr>
            <w:tcW w:w="60" w:type="dxa"/>
            <w:tcBorders>
              <w:bottom w:val="single" w:sz="8" w:space="0" w:color="000000"/>
            </w:tcBorders>
            <w:shd w:fill="auto" w:val="clear"/>
            <w:vAlign w:val="center"/>
          </w:tcPr>
          <w:p>
            <w:pPr>
              <w:pStyle w:val="TableContents"/>
              <w:spacing w:before="0" w:after="283"/>
              <w:rPr/>
            </w:pPr>
            <w:r>
              <w:rPr/>
              <w:t> </w:t>
            </w:r>
          </w:p>
        </w:tc>
        <w:tc>
          <w:tcPr>
            <w:tcW w:w="2104" w:type="dxa"/>
            <w:gridSpan w:val="3"/>
            <w:tcBorders>
              <w:bottom w:val="single" w:sz="8" w:space="0" w:color="000000"/>
            </w:tcBorders>
            <w:shd w:fill="auto" w:val="clear"/>
            <w:vAlign w:val="center"/>
          </w:tcPr>
          <w:p>
            <w:pPr>
              <w:pStyle w:val="TableContents"/>
              <w:spacing w:before="0" w:after="283"/>
              <w:jc w:val="center"/>
              <w:rPr>
                <w:b/>
              </w:rPr>
            </w:pPr>
            <w:r>
              <w:rPr>
                <w:b/>
              </w:rPr>
              <w:t xml:space="preserve">Number of Years of </w:t>
              <w:br/>
              <w:t>Credited Service</w:t>
              <w:br/>
              <w:t>(#)</w:t>
              <w:br/>
              <w:t>(1)</w:t>
            </w:r>
          </w:p>
        </w:tc>
        <w:tc>
          <w:tcPr>
            <w:tcW w:w="60" w:type="dxa"/>
            <w:tcBorders>
              <w:bottom w:val="single" w:sz="8" w:space="0" w:color="000000"/>
            </w:tcBorders>
            <w:shd w:fill="auto" w:val="clear"/>
            <w:vAlign w:val="center"/>
          </w:tcPr>
          <w:p>
            <w:pPr>
              <w:pStyle w:val="TableContents"/>
              <w:spacing w:before="0" w:after="283"/>
              <w:rPr/>
            </w:pPr>
            <w:r>
              <w:rPr/>
              <w:t> </w:t>
            </w:r>
          </w:p>
        </w:tc>
        <w:tc>
          <w:tcPr>
            <w:tcW w:w="2253" w:type="dxa"/>
            <w:gridSpan w:val="3"/>
            <w:tcBorders>
              <w:bottom w:val="single" w:sz="8" w:space="0" w:color="000000"/>
            </w:tcBorders>
            <w:shd w:fill="auto" w:val="clear"/>
            <w:vAlign w:val="center"/>
          </w:tcPr>
          <w:p>
            <w:pPr>
              <w:pStyle w:val="TableContents"/>
              <w:spacing w:before="0" w:after="283"/>
              <w:jc w:val="center"/>
              <w:rPr>
                <w:b/>
              </w:rPr>
            </w:pPr>
            <w:r>
              <w:rPr>
                <w:b/>
              </w:rPr>
              <w:t xml:space="preserve">Present Value of </w:t>
              <w:br/>
              <w:t>Accumulated Benefits</w:t>
              <w:br/>
              <w:t>($)</w:t>
              <w:br/>
              <w:t>(2)</w:t>
            </w:r>
          </w:p>
        </w:tc>
      </w:tr>
      <w:tr>
        <w:trPr/>
        <w:tc>
          <w:tcPr>
            <w:tcW w:w="2105" w:type="dxa"/>
            <w:tcBorders/>
            <w:shd w:fill="CCEEFF" w:val="clear"/>
            <w:tcMar>
              <w:bottom w:w="0" w:type="dxa"/>
            </w:tcMar>
            <w:vAlign w:val="center"/>
          </w:tcPr>
          <w:p>
            <w:pPr>
              <w:pStyle w:val="TableContents"/>
              <w:spacing w:before="0" w:after="283"/>
              <w:jc w:val="left"/>
              <w:rPr/>
            </w:pPr>
            <w:r>
              <w:rPr/>
              <w:t>Daniel S. Jaffee</w:t>
            </w:r>
          </w:p>
        </w:tc>
        <w:tc>
          <w:tcPr>
            <w:tcW w:w="60" w:type="dxa"/>
            <w:tcBorders/>
            <w:shd w:fill="CCEEFF" w:val="clear"/>
            <w:tcMar>
              <w:bottom w:w="0" w:type="dxa"/>
            </w:tcMar>
            <w:vAlign w:val="center"/>
          </w:tcPr>
          <w:p>
            <w:pPr>
              <w:pStyle w:val="TableContents"/>
              <w:spacing w:before="0" w:after="283"/>
              <w:rPr/>
            </w:pPr>
            <w:r>
              <w:rPr/>
              <w:t> </w:t>
            </w:r>
          </w:p>
        </w:tc>
        <w:tc>
          <w:tcPr>
            <w:tcW w:w="1250" w:type="dxa"/>
            <w:tcBorders/>
            <w:shd w:fill="CCEEFF" w:val="clear"/>
            <w:tcMar>
              <w:bottom w:w="0" w:type="dxa"/>
            </w:tcMar>
            <w:vAlign w:val="center"/>
          </w:tcPr>
          <w:p>
            <w:pPr>
              <w:pStyle w:val="TableContents"/>
              <w:spacing w:before="0" w:after="283"/>
              <w:jc w:val="center"/>
              <w:rPr/>
            </w:pPr>
            <w:r>
              <w:rPr/>
              <w:t>Pension Plan</w:t>
            </w:r>
          </w:p>
        </w:tc>
        <w:tc>
          <w:tcPr>
            <w:tcW w:w="60" w:type="dxa"/>
            <w:tcBorders/>
            <w:shd w:fill="CCEEFF" w:val="clear"/>
            <w:tcMar>
              <w:bottom w:w="0" w:type="dxa"/>
            </w:tcMar>
            <w:vAlign w:val="center"/>
          </w:tcPr>
          <w:p>
            <w:pPr>
              <w:pStyle w:val="TableContents"/>
              <w:spacing w:before="0" w:after="283"/>
              <w:rPr/>
            </w:pPr>
            <w:r>
              <w:rPr/>
              <w:t> </w:t>
            </w:r>
          </w:p>
        </w:tc>
        <w:tc>
          <w:tcPr>
            <w:tcW w:w="185" w:type="dxa"/>
            <w:tcBorders/>
            <w:shd w:fill="CCEEFF" w:val="clear"/>
            <w:tcMar>
              <w:bottom w:w="0" w:type="dxa"/>
            </w:tcMar>
            <w:vAlign w:val="center"/>
          </w:tcPr>
          <w:p>
            <w:pPr>
              <w:pStyle w:val="TableContents"/>
              <w:spacing w:before="0" w:after="283"/>
              <w:jc w:val="left"/>
              <w:rPr/>
            </w:pPr>
            <w:r>
              <w:rPr/>
              <w:t> </w:t>
            </w:r>
          </w:p>
        </w:tc>
        <w:tc>
          <w:tcPr>
            <w:tcW w:w="1732" w:type="dxa"/>
            <w:tcBorders/>
            <w:shd w:fill="CCEEFF" w:val="clear"/>
            <w:tcMar>
              <w:bottom w:w="0" w:type="dxa"/>
            </w:tcMar>
            <w:vAlign w:val="center"/>
          </w:tcPr>
          <w:p>
            <w:pPr>
              <w:pStyle w:val="TableContents"/>
              <w:spacing w:before="0" w:after="283"/>
              <w:jc w:val="right"/>
              <w:rPr/>
            </w:pPr>
            <w:r>
              <w:rPr/>
              <w:t>26.75</w:t>
            </w:r>
          </w:p>
        </w:tc>
        <w:tc>
          <w:tcPr>
            <w:tcW w:w="18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10" w:type="dxa"/>
            <w:tcBorders/>
            <w:shd w:fill="CCEEFF" w:val="clear"/>
            <w:tcMar>
              <w:bottom w:w="0" w:type="dxa"/>
            </w:tcMar>
            <w:vAlign w:val="center"/>
          </w:tcPr>
          <w:p>
            <w:pPr>
              <w:pStyle w:val="TableContents"/>
              <w:spacing w:before="0" w:after="283"/>
              <w:jc w:val="left"/>
              <w:rPr/>
            </w:pPr>
            <w:r>
              <w:rPr/>
              <w:t>$</w:t>
            </w:r>
          </w:p>
        </w:tc>
        <w:tc>
          <w:tcPr>
            <w:tcW w:w="1776" w:type="dxa"/>
            <w:tcBorders/>
            <w:shd w:fill="CCEEFF" w:val="clear"/>
            <w:tcMar>
              <w:bottom w:w="0" w:type="dxa"/>
            </w:tcMar>
            <w:vAlign w:val="center"/>
          </w:tcPr>
          <w:p>
            <w:pPr>
              <w:pStyle w:val="TableContents"/>
              <w:spacing w:before="0" w:after="283"/>
              <w:jc w:val="right"/>
              <w:rPr/>
            </w:pPr>
            <w:r>
              <w:rPr/>
              <w:t>404,133</w:t>
            </w:r>
          </w:p>
        </w:tc>
        <w:tc>
          <w:tcPr>
            <w:tcW w:w="167" w:type="dxa"/>
            <w:tcBorders/>
            <w:shd w:fill="CCEEFF" w:val="clear"/>
            <w:tcMar>
              <w:bottom w:w="0" w:type="dxa"/>
            </w:tcMar>
            <w:vAlign w:val="center"/>
          </w:tcPr>
          <w:p>
            <w:pPr>
              <w:pStyle w:val="TableContents"/>
              <w:spacing w:before="0" w:after="283"/>
              <w:jc w:val="left"/>
              <w:rPr/>
            </w:pPr>
            <w:r>
              <w:rPr/>
              <w:t> </w:t>
            </w:r>
          </w:p>
        </w:tc>
      </w:tr>
      <w:tr>
        <w:trPr/>
        <w:tc>
          <w:tcPr>
            <w:tcW w:w="210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250" w:type="dxa"/>
            <w:tcBorders/>
            <w:shd w:fill="FFFFFF" w:val="clear"/>
            <w:tcMar>
              <w:bottom w:w="0" w:type="dxa"/>
            </w:tcMar>
            <w:vAlign w:val="center"/>
          </w:tcPr>
          <w:p>
            <w:pPr>
              <w:pStyle w:val="TableContents"/>
              <w:spacing w:before="0" w:after="283"/>
              <w:jc w:val="center"/>
              <w:rPr/>
            </w:pPr>
            <w:r>
              <w:rPr/>
              <w:t>SERP</w:t>
            </w:r>
          </w:p>
        </w:tc>
        <w:tc>
          <w:tcPr>
            <w:tcW w:w="60"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center"/>
          </w:tcPr>
          <w:p>
            <w:pPr>
              <w:pStyle w:val="TableContents"/>
              <w:spacing w:before="0" w:after="283"/>
              <w:jc w:val="left"/>
              <w:rPr/>
            </w:pPr>
            <w:r>
              <w:rPr/>
              <w:t> </w:t>
            </w:r>
          </w:p>
        </w:tc>
        <w:tc>
          <w:tcPr>
            <w:tcW w:w="1732" w:type="dxa"/>
            <w:tcBorders/>
            <w:shd w:fill="FFFFFF" w:val="clear"/>
            <w:tcMar>
              <w:bottom w:w="0" w:type="dxa"/>
            </w:tcMar>
            <w:vAlign w:val="center"/>
          </w:tcPr>
          <w:p>
            <w:pPr>
              <w:pStyle w:val="TableContents"/>
              <w:spacing w:before="0" w:after="283"/>
              <w:jc w:val="right"/>
              <w:rPr/>
            </w:pPr>
            <w:r>
              <w:rPr/>
              <w:t>26.75</w:t>
            </w:r>
          </w:p>
        </w:tc>
        <w:tc>
          <w:tcPr>
            <w:tcW w:w="18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10" w:type="dxa"/>
            <w:tcBorders/>
            <w:shd w:fill="FFFFFF" w:val="clear"/>
            <w:tcMar>
              <w:bottom w:w="0" w:type="dxa"/>
            </w:tcMar>
            <w:vAlign w:val="center"/>
          </w:tcPr>
          <w:p>
            <w:pPr>
              <w:pStyle w:val="TableContents"/>
              <w:spacing w:before="0" w:after="283"/>
              <w:jc w:val="left"/>
              <w:rPr/>
            </w:pPr>
            <w:r>
              <w:rPr/>
              <w:t>$</w:t>
            </w:r>
          </w:p>
        </w:tc>
        <w:tc>
          <w:tcPr>
            <w:tcW w:w="1776" w:type="dxa"/>
            <w:tcBorders/>
            <w:shd w:fill="FFFFFF" w:val="clear"/>
            <w:tcMar>
              <w:bottom w:w="0" w:type="dxa"/>
            </w:tcMar>
            <w:vAlign w:val="center"/>
          </w:tcPr>
          <w:p>
            <w:pPr>
              <w:pStyle w:val="TableContents"/>
              <w:spacing w:before="0" w:after="283"/>
              <w:jc w:val="right"/>
              <w:rPr/>
            </w:pPr>
            <w:r>
              <w:rPr/>
              <w:t>472,766</w:t>
            </w:r>
          </w:p>
        </w:tc>
        <w:tc>
          <w:tcPr>
            <w:tcW w:w="167" w:type="dxa"/>
            <w:tcBorders/>
            <w:shd w:fill="FFFFFF" w:val="clear"/>
            <w:tcMar>
              <w:bottom w:w="0" w:type="dxa"/>
            </w:tcMar>
            <w:vAlign w:val="center"/>
          </w:tcPr>
          <w:p>
            <w:pPr>
              <w:pStyle w:val="TableContents"/>
              <w:spacing w:before="0" w:after="283"/>
              <w:jc w:val="left"/>
              <w:rPr/>
            </w:pPr>
            <w:r>
              <w:rPr/>
              <w:t> </w:t>
            </w:r>
          </w:p>
        </w:tc>
      </w:tr>
      <w:tr>
        <w:trPr/>
        <w:tc>
          <w:tcPr>
            <w:tcW w:w="2105" w:type="dxa"/>
            <w:tcBorders/>
            <w:shd w:fill="CCEEFF" w:val="clear"/>
            <w:tcMar>
              <w:bottom w:w="0" w:type="dxa"/>
            </w:tcMar>
            <w:vAlign w:val="center"/>
          </w:tcPr>
          <w:p>
            <w:pPr>
              <w:pStyle w:val="TableContents"/>
              <w:spacing w:before="0" w:after="283"/>
              <w:jc w:val="left"/>
              <w:rPr/>
            </w:pPr>
            <w:r>
              <w:rPr/>
              <w:t>Daniel T. Smith</w:t>
            </w:r>
          </w:p>
        </w:tc>
        <w:tc>
          <w:tcPr>
            <w:tcW w:w="60" w:type="dxa"/>
            <w:tcBorders/>
            <w:shd w:fill="CCEEFF" w:val="clear"/>
            <w:tcMar>
              <w:bottom w:w="0" w:type="dxa"/>
            </w:tcMar>
            <w:vAlign w:val="center"/>
          </w:tcPr>
          <w:p>
            <w:pPr>
              <w:pStyle w:val="TableContents"/>
              <w:spacing w:before="0" w:after="283"/>
              <w:rPr/>
            </w:pPr>
            <w:r>
              <w:rPr/>
              <w:t> </w:t>
            </w:r>
          </w:p>
        </w:tc>
        <w:tc>
          <w:tcPr>
            <w:tcW w:w="1250" w:type="dxa"/>
            <w:tcBorders/>
            <w:shd w:fill="CCEEFF" w:val="clear"/>
            <w:tcMar>
              <w:bottom w:w="0" w:type="dxa"/>
            </w:tcMar>
            <w:vAlign w:val="center"/>
          </w:tcPr>
          <w:p>
            <w:pPr>
              <w:pStyle w:val="TableContents"/>
              <w:spacing w:before="0" w:after="283"/>
              <w:jc w:val="center"/>
              <w:rPr/>
            </w:pPr>
            <w:r>
              <w:rPr/>
              <w:t>Pension Plan</w:t>
            </w:r>
          </w:p>
        </w:tc>
        <w:tc>
          <w:tcPr>
            <w:tcW w:w="60" w:type="dxa"/>
            <w:tcBorders/>
            <w:shd w:fill="CCEEFF" w:val="clear"/>
            <w:tcMar>
              <w:bottom w:w="0" w:type="dxa"/>
            </w:tcMar>
            <w:vAlign w:val="center"/>
          </w:tcPr>
          <w:p>
            <w:pPr>
              <w:pStyle w:val="TableContents"/>
              <w:spacing w:before="0" w:after="283"/>
              <w:rPr/>
            </w:pPr>
            <w:r>
              <w:rPr/>
              <w:t> </w:t>
            </w:r>
          </w:p>
        </w:tc>
        <w:tc>
          <w:tcPr>
            <w:tcW w:w="185" w:type="dxa"/>
            <w:tcBorders/>
            <w:shd w:fill="CCEEFF" w:val="clear"/>
            <w:tcMar>
              <w:bottom w:w="0" w:type="dxa"/>
            </w:tcMar>
            <w:vAlign w:val="center"/>
          </w:tcPr>
          <w:p>
            <w:pPr>
              <w:pStyle w:val="TableContents"/>
              <w:spacing w:before="0" w:after="283"/>
              <w:jc w:val="left"/>
              <w:rPr/>
            </w:pPr>
            <w:r>
              <w:rPr/>
              <w:t> </w:t>
            </w:r>
          </w:p>
        </w:tc>
        <w:tc>
          <w:tcPr>
            <w:tcW w:w="1732" w:type="dxa"/>
            <w:tcBorders/>
            <w:shd w:fill="CCEEFF" w:val="clear"/>
            <w:tcMar>
              <w:bottom w:w="0" w:type="dxa"/>
            </w:tcMar>
            <w:vAlign w:val="center"/>
          </w:tcPr>
          <w:p>
            <w:pPr>
              <w:pStyle w:val="TableContents"/>
              <w:spacing w:before="0" w:after="283"/>
              <w:jc w:val="right"/>
              <w:rPr/>
            </w:pPr>
            <w:r>
              <w:rPr/>
              <w:t>13.79</w:t>
            </w:r>
          </w:p>
        </w:tc>
        <w:tc>
          <w:tcPr>
            <w:tcW w:w="18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10" w:type="dxa"/>
            <w:tcBorders/>
            <w:shd w:fill="CCEEFF" w:val="clear"/>
            <w:tcMar>
              <w:bottom w:w="0" w:type="dxa"/>
            </w:tcMar>
            <w:vAlign w:val="center"/>
          </w:tcPr>
          <w:p>
            <w:pPr>
              <w:pStyle w:val="TableContents"/>
              <w:spacing w:before="0" w:after="283"/>
              <w:jc w:val="left"/>
              <w:rPr/>
            </w:pPr>
            <w:r>
              <w:rPr/>
              <w:t>$</w:t>
            </w:r>
          </w:p>
        </w:tc>
        <w:tc>
          <w:tcPr>
            <w:tcW w:w="1776" w:type="dxa"/>
            <w:tcBorders/>
            <w:shd w:fill="CCEEFF" w:val="clear"/>
            <w:tcMar>
              <w:bottom w:w="0" w:type="dxa"/>
            </w:tcMar>
            <w:vAlign w:val="center"/>
          </w:tcPr>
          <w:p>
            <w:pPr>
              <w:pStyle w:val="TableContents"/>
              <w:spacing w:before="0" w:after="283"/>
              <w:jc w:val="right"/>
              <w:rPr/>
            </w:pPr>
            <w:r>
              <w:rPr/>
              <w:t>125,313</w:t>
            </w:r>
          </w:p>
        </w:tc>
        <w:tc>
          <w:tcPr>
            <w:tcW w:w="167" w:type="dxa"/>
            <w:tcBorders/>
            <w:shd w:fill="CCEEFF" w:val="clear"/>
            <w:tcMar>
              <w:bottom w:w="0" w:type="dxa"/>
            </w:tcMar>
            <w:vAlign w:val="center"/>
          </w:tcPr>
          <w:p>
            <w:pPr>
              <w:pStyle w:val="TableContents"/>
              <w:spacing w:before="0" w:after="283"/>
              <w:jc w:val="left"/>
              <w:rPr/>
            </w:pPr>
            <w:r>
              <w:rPr/>
              <w:t> </w:t>
            </w:r>
          </w:p>
        </w:tc>
      </w:tr>
      <w:tr>
        <w:trPr/>
        <w:tc>
          <w:tcPr>
            <w:tcW w:w="2105" w:type="dxa"/>
            <w:tcBorders/>
            <w:shd w:fill="FFFFFF" w:val="clear"/>
            <w:tcMar>
              <w:bottom w:w="0" w:type="dxa"/>
            </w:tcMar>
            <w:vAlign w:val="center"/>
          </w:tcPr>
          <w:p>
            <w:pPr>
              <w:pStyle w:val="TableContents"/>
              <w:spacing w:before="0" w:after="283"/>
              <w:jc w:val="left"/>
              <w:rPr/>
            </w:pPr>
            <w:r>
              <w:rPr/>
              <w:t>Thomas F. Cofsky</w:t>
            </w:r>
          </w:p>
        </w:tc>
        <w:tc>
          <w:tcPr>
            <w:tcW w:w="60" w:type="dxa"/>
            <w:tcBorders/>
            <w:shd w:fill="FFFFFF" w:val="clear"/>
            <w:tcMar>
              <w:bottom w:w="0" w:type="dxa"/>
            </w:tcMar>
            <w:vAlign w:val="center"/>
          </w:tcPr>
          <w:p>
            <w:pPr>
              <w:pStyle w:val="TableContents"/>
              <w:spacing w:before="0" w:after="283"/>
              <w:rPr/>
            </w:pPr>
            <w:r>
              <w:rPr/>
              <w:t> </w:t>
            </w:r>
          </w:p>
        </w:tc>
        <w:tc>
          <w:tcPr>
            <w:tcW w:w="1250" w:type="dxa"/>
            <w:tcBorders/>
            <w:shd w:fill="FFFFFF" w:val="clear"/>
            <w:tcMar>
              <w:bottom w:w="0" w:type="dxa"/>
            </w:tcMar>
            <w:vAlign w:val="center"/>
          </w:tcPr>
          <w:p>
            <w:pPr>
              <w:pStyle w:val="TableContents"/>
              <w:spacing w:before="0" w:after="283"/>
              <w:jc w:val="center"/>
              <w:rPr/>
            </w:pPr>
            <w:r>
              <w:rPr/>
              <w:t>Pension Plan</w:t>
            </w:r>
          </w:p>
        </w:tc>
        <w:tc>
          <w:tcPr>
            <w:tcW w:w="60"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center"/>
          </w:tcPr>
          <w:p>
            <w:pPr>
              <w:pStyle w:val="TableContents"/>
              <w:spacing w:before="0" w:after="283"/>
              <w:jc w:val="left"/>
              <w:rPr/>
            </w:pPr>
            <w:r>
              <w:rPr/>
              <w:t> </w:t>
            </w:r>
          </w:p>
        </w:tc>
        <w:tc>
          <w:tcPr>
            <w:tcW w:w="1732" w:type="dxa"/>
            <w:tcBorders/>
            <w:shd w:fill="FFFFFF" w:val="clear"/>
            <w:tcMar>
              <w:bottom w:w="0" w:type="dxa"/>
            </w:tcMar>
            <w:vAlign w:val="center"/>
          </w:tcPr>
          <w:p>
            <w:pPr>
              <w:pStyle w:val="TableContents"/>
              <w:spacing w:before="0" w:after="283"/>
              <w:jc w:val="right"/>
              <w:rPr/>
            </w:pPr>
            <w:r>
              <w:rPr/>
              <w:t>27.33</w:t>
            </w:r>
          </w:p>
        </w:tc>
        <w:tc>
          <w:tcPr>
            <w:tcW w:w="18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10" w:type="dxa"/>
            <w:tcBorders/>
            <w:shd w:fill="FFFFFF" w:val="clear"/>
            <w:tcMar>
              <w:bottom w:w="0" w:type="dxa"/>
            </w:tcMar>
            <w:vAlign w:val="center"/>
          </w:tcPr>
          <w:p>
            <w:pPr>
              <w:pStyle w:val="TableContents"/>
              <w:spacing w:before="0" w:after="283"/>
              <w:jc w:val="left"/>
              <w:rPr/>
            </w:pPr>
            <w:r>
              <w:rPr/>
              <w:t>$</w:t>
            </w:r>
          </w:p>
        </w:tc>
        <w:tc>
          <w:tcPr>
            <w:tcW w:w="1776" w:type="dxa"/>
            <w:tcBorders/>
            <w:shd w:fill="FFFFFF" w:val="clear"/>
            <w:tcMar>
              <w:bottom w:w="0" w:type="dxa"/>
            </w:tcMar>
            <w:vAlign w:val="center"/>
          </w:tcPr>
          <w:p>
            <w:pPr>
              <w:pStyle w:val="TableContents"/>
              <w:spacing w:before="0" w:after="283"/>
              <w:jc w:val="right"/>
              <w:rPr/>
            </w:pPr>
            <w:r>
              <w:rPr/>
              <w:t>396,465</w:t>
            </w:r>
          </w:p>
        </w:tc>
        <w:tc>
          <w:tcPr>
            <w:tcW w:w="167" w:type="dxa"/>
            <w:tcBorders/>
            <w:shd w:fill="FFFFFF" w:val="clear"/>
            <w:tcMar>
              <w:bottom w:w="0" w:type="dxa"/>
            </w:tcMar>
            <w:vAlign w:val="center"/>
          </w:tcPr>
          <w:p>
            <w:pPr>
              <w:pStyle w:val="TableContents"/>
              <w:spacing w:before="0" w:after="283"/>
              <w:jc w:val="left"/>
              <w:rPr/>
            </w:pPr>
            <w:r>
              <w:rPr/>
              <w:t> </w:t>
            </w:r>
          </w:p>
        </w:tc>
      </w:tr>
      <w:tr>
        <w:trPr/>
        <w:tc>
          <w:tcPr>
            <w:tcW w:w="2105" w:type="dxa"/>
            <w:tcBorders/>
            <w:shd w:fill="CCEEFF" w:val="clear"/>
            <w:tcMar>
              <w:bottom w:w="0" w:type="dxa"/>
            </w:tcMar>
            <w:vAlign w:val="center"/>
          </w:tcPr>
          <w:p>
            <w:pPr>
              <w:pStyle w:val="TableContents"/>
              <w:spacing w:before="0" w:after="283"/>
              <w:jc w:val="left"/>
              <w:rPr/>
            </w:pPr>
            <w:r>
              <w:rPr/>
              <w:t>Mark E. Lewry</w:t>
            </w:r>
          </w:p>
        </w:tc>
        <w:tc>
          <w:tcPr>
            <w:tcW w:w="60" w:type="dxa"/>
            <w:tcBorders/>
            <w:shd w:fill="CCEEFF" w:val="clear"/>
            <w:tcMar>
              <w:bottom w:w="0" w:type="dxa"/>
            </w:tcMar>
            <w:vAlign w:val="center"/>
          </w:tcPr>
          <w:p>
            <w:pPr>
              <w:pStyle w:val="TableContents"/>
              <w:spacing w:before="0" w:after="283"/>
              <w:rPr/>
            </w:pPr>
            <w:r>
              <w:rPr/>
              <w:t> </w:t>
            </w:r>
          </w:p>
        </w:tc>
        <w:tc>
          <w:tcPr>
            <w:tcW w:w="1250" w:type="dxa"/>
            <w:tcBorders/>
            <w:shd w:fill="CCEEFF" w:val="clear"/>
            <w:tcMar>
              <w:bottom w:w="0" w:type="dxa"/>
            </w:tcMar>
            <w:vAlign w:val="center"/>
          </w:tcPr>
          <w:p>
            <w:pPr>
              <w:pStyle w:val="TableContents"/>
              <w:spacing w:before="0" w:after="283"/>
              <w:jc w:val="center"/>
              <w:rPr/>
            </w:pPr>
            <w:r>
              <w:rPr/>
              <w:t>Pension Plan</w:t>
            </w:r>
          </w:p>
        </w:tc>
        <w:tc>
          <w:tcPr>
            <w:tcW w:w="60" w:type="dxa"/>
            <w:tcBorders/>
            <w:shd w:fill="CCEEFF" w:val="clear"/>
            <w:tcMar>
              <w:bottom w:w="0" w:type="dxa"/>
            </w:tcMar>
            <w:vAlign w:val="center"/>
          </w:tcPr>
          <w:p>
            <w:pPr>
              <w:pStyle w:val="TableContents"/>
              <w:spacing w:before="0" w:after="283"/>
              <w:rPr/>
            </w:pPr>
            <w:r>
              <w:rPr/>
              <w:t> </w:t>
            </w:r>
          </w:p>
        </w:tc>
        <w:tc>
          <w:tcPr>
            <w:tcW w:w="185" w:type="dxa"/>
            <w:tcBorders/>
            <w:shd w:fill="CCEEFF" w:val="clear"/>
            <w:tcMar>
              <w:bottom w:w="0" w:type="dxa"/>
            </w:tcMar>
            <w:vAlign w:val="center"/>
          </w:tcPr>
          <w:p>
            <w:pPr>
              <w:pStyle w:val="TableContents"/>
              <w:spacing w:before="0" w:after="283"/>
              <w:jc w:val="left"/>
              <w:rPr/>
            </w:pPr>
            <w:r>
              <w:rPr/>
              <w:t> </w:t>
            </w:r>
          </w:p>
        </w:tc>
        <w:tc>
          <w:tcPr>
            <w:tcW w:w="1732" w:type="dxa"/>
            <w:tcBorders/>
            <w:shd w:fill="CCEEFF" w:val="clear"/>
            <w:tcMar>
              <w:bottom w:w="0" w:type="dxa"/>
            </w:tcMar>
            <w:vAlign w:val="center"/>
          </w:tcPr>
          <w:p>
            <w:pPr>
              <w:pStyle w:val="TableContents"/>
              <w:spacing w:before="0" w:after="283"/>
              <w:jc w:val="right"/>
              <w:rPr/>
            </w:pPr>
            <w:r>
              <w:rPr/>
              <w:t>0.33</w:t>
            </w:r>
          </w:p>
        </w:tc>
        <w:tc>
          <w:tcPr>
            <w:tcW w:w="187"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10" w:type="dxa"/>
            <w:tcBorders/>
            <w:shd w:fill="CCEEFF" w:val="clear"/>
            <w:tcMar>
              <w:bottom w:w="0" w:type="dxa"/>
            </w:tcMar>
            <w:vAlign w:val="center"/>
          </w:tcPr>
          <w:p>
            <w:pPr>
              <w:pStyle w:val="TableContents"/>
              <w:spacing w:before="0" w:after="283"/>
              <w:jc w:val="left"/>
              <w:rPr/>
            </w:pPr>
            <w:r>
              <w:rPr/>
              <w:t>$</w:t>
            </w:r>
          </w:p>
        </w:tc>
        <w:tc>
          <w:tcPr>
            <w:tcW w:w="1776" w:type="dxa"/>
            <w:tcBorders/>
            <w:shd w:fill="CCEEFF" w:val="clear"/>
            <w:tcMar>
              <w:bottom w:w="0" w:type="dxa"/>
            </w:tcMar>
            <w:vAlign w:val="center"/>
          </w:tcPr>
          <w:p>
            <w:pPr>
              <w:pStyle w:val="TableContents"/>
              <w:spacing w:before="0" w:after="283"/>
              <w:jc w:val="right"/>
              <w:rPr/>
            </w:pPr>
            <w:r>
              <w:rPr/>
              <w:t>1,788</w:t>
            </w:r>
          </w:p>
        </w:tc>
        <w:tc>
          <w:tcPr>
            <w:tcW w:w="167" w:type="dxa"/>
            <w:tcBorders/>
            <w:shd w:fill="CCEEFF" w:val="clear"/>
            <w:tcMar>
              <w:bottom w:w="0" w:type="dxa"/>
            </w:tcMar>
            <w:vAlign w:val="center"/>
          </w:tcPr>
          <w:p>
            <w:pPr>
              <w:pStyle w:val="TableContents"/>
              <w:spacing w:before="0" w:after="283"/>
              <w:jc w:val="left"/>
              <w:rPr/>
            </w:pPr>
            <w:r>
              <w:rPr/>
              <w:t> </w:t>
            </w:r>
          </w:p>
        </w:tc>
      </w:tr>
      <w:tr>
        <w:trPr/>
        <w:tc>
          <w:tcPr>
            <w:tcW w:w="2105" w:type="dxa"/>
            <w:tcBorders/>
            <w:shd w:fill="FFFFFF" w:val="clear"/>
            <w:tcMar>
              <w:bottom w:w="0" w:type="dxa"/>
            </w:tcMar>
            <w:vAlign w:val="center"/>
          </w:tcPr>
          <w:p>
            <w:pPr>
              <w:pStyle w:val="TableContents"/>
              <w:spacing w:before="0" w:after="283"/>
              <w:jc w:val="left"/>
              <w:rPr/>
            </w:pPr>
            <w:r>
              <w:rPr/>
              <w:t>Paul D. Ziemnisky Jr.</w:t>
            </w:r>
          </w:p>
        </w:tc>
        <w:tc>
          <w:tcPr>
            <w:tcW w:w="60" w:type="dxa"/>
            <w:tcBorders/>
            <w:shd w:fill="FFFFFF" w:val="clear"/>
            <w:tcMar>
              <w:bottom w:w="0" w:type="dxa"/>
            </w:tcMar>
            <w:vAlign w:val="center"/>
          </w:tcPr>
          <w:p>
            <w:pPr>
              <w:pStyle w:val="TableContents"/>
              <w:spacing w:before="0" w:after="283"/>
              <w:rPr/>
            </w:pPr>
            <w:r>
              <w:rPr/>
              <w:t> </w:t>
            </w:r>
          </w:p>
        </w:tc>
        <w:tc>
          <w:tcPr>
            <w:tcW w:w="1250" w:type="dxa"/>
            <w:tcBorders/>
            <w:shd w:fill="FFFFFF" w:val="clear"/>
            <w:tcMar>
              <w:bottom w:w="0" w:type="dxa"/>
            </w:tcMar>
            <w:vAlign w:val="center"/>
          </w:tcPr>
          <w:p>
            <w:pPr>
              <w:pStyle w:val="TableContents"/>
              <w:spacing w:before="0" w:after="283"/>
              <w:jc w:val="center"/>
              <w:rPr/>
            </w:pPr>
            <w:r>
              <w:rPr/>
              <w:t>Pension Plan</w:t>
            </w:r>
          </w:p>
        </w:tc>
        <w:tc>
          <w:tcPr>
            <w:tcW w:w="60"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center"/>
          </w:tcPr>
          <w:p>
            <w:pPr>
              <w:pStyle w:val="TableContents"/>
              <w:spacing w:before="0" w:after="283"/>
              <w:jc w:val="left"/>
              <w:rPr/>
            </w:pPr>
            <w:r>
              <w:rPr/>
              <w:t> </w:t>
            </w:r>
          </w:p>
        </w:tc>
        <w:tc>
          <w:tcPr>
            <w:tcW w:w="1732" w:type="dxa"/>
            <w:tcBorders/>
            <w:shd w:fill="FFFFFF" w:val="clear"/>
            <w:tcMar>
              <w:bottom w:w="0" w:type="dxa"/>
            </w:tcMar>
            <w:vAlign w:val="center"/>
          </w:tcPr>
          <w:p>
            <w:pPr>
              <w:pStyle w:val="TableContents"/>
              <w:spacing w:before="0" w:after="283"/>
              <w:jc w:val="right"/>
              <w:rPr/>
            </w:pPr>
            <w:r>
              <w:rPr/>
              <w:t>0.90</w:t>
            </w:r>
          </w:p>
        </w:tc>
        <w:tc>
          <w:tcPr>
            <w:tcW w:w="187"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10" w:type="dxa"/>
            <w:tcBorders/>
            <w:shd w:fill="FFFFFF" w:val="clear"/>
            <w:tcMar>
              <w:bottom w:w="0" w:type="dxa"/>
            </w:tcMar>
            <w:vAlign w:val="center"/>
          </w:tcPr>
          <w:p>
            <w:pPr>
              <w:pStyle w:val="TableContents"/>
              <w:spacing w:before="0" w:after="283"/>
              <w:jc w:val="left"/>
              <w:rPr/>
            </w:pPr>
            <w:r>
              <w:rPr/>
              <w:t>$</w:t>
            </w:r>
          </w:p>
        </w:tc>
        <w:tc>
          <w:tcPr>
            <w:tcW w:w="1776" w:type="dxa"/>
            <w:tcBorders/>
            <w:shd w:fill="FFFFFF" w:val="clear"/>
            <w:tcMar>
              <w:bottom w:w="0" w:type="dxa"/>
            </w:tcMar>
            <w:vAlign w:val="center"/>
          </w:tcPr>
          <w:p>
            <w:pPr>
              <w:pStyle w:val="TableContents"/>
              <w:spacing w:before="0" w:after="283"/>
              <w:jc w:val="right"/>
              <w:rPr/>
            </w:pPr>
            <w:r>
              <w:rPr/>
              <w:t>7,445</w:t>
            </w:r>
          </w:p>
        </w:tc>
        <w:tc>
          <w:tcPr>
            <w:tcW w:w="167" w:type="dxa"/>
            <w:tcBorders/>
            <w:shd w:fill="FFFFFF" w:val="clear"/>
            <w:tcMar>
              <w:bottom w:w="0" w:type="dxa"/>
            </w:tcMar>
            <w:vAlign w:val="center"/>
          </w:tcPr>
          <w:p>
            <w:pPr>
              <w:pStyle w:val="TableContents"/>
              <w:spacing w:before="0" w:after="283"/>
              <w:jc w:val="left"/>
              <w:rPr/>
            </w:pPr>
            <w:r>
              <w:rPr/>
              <w:t> </w:t>
            </w:r>
          </w:p>
        </w:tc>
      </w:tr>
    </w:tbl>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Credited service is actual years of employment with the Company.</w:t>
      </w:r>
    </w:p>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assumed retirement age used to calculate the actuarial present value for each named executive officer’s accumulated benefits is age 65, the age at which each named executive officer would be eligible to receive unreduced benefits. The other assumptions used are the same as those used to prepare the pension disclosures in the notes to our audited consolidated financial statements included in our Annual Report on Form 10-K for fiscal year ended July 31, 2014.</w:t>
      </w:r>
    </w:p>
    <w:p>
      <w:pPr>
        <w:pStyle w:val="TextBody"/>
        <w:spacing w:before="200" w:after="200"/>
        <w:ind w:left="200" w:right="200" w:hanging="0"/>
        <w:jc w:val="center"/>
        <w:rPr>
          <w:rFonts w:ascii="Times New Roman;Times;Serif" w:hAnsi="Times New Roman;Times;Serif"/>
          <w:b/>
          <w:i w:val="false"/>
          <w:caps w:val="false"/>
          <w:smallCaps w:val="false"/>
          <w:sz w:val="20"/>
        </w:rPr>
      </w:pPr>
      <w:bookmarkStart w:id="37" w:name="a_Toc339007576"/>
      <w:bookmarkEnd w:id="37"/>
      <w:r>
        <w:rPr>
          <w:rFonts w:ascii="Times New Roman;Times;Serif" w:hAnsi="Times New Roman;Times;Serif"/>
          <w:b/>
          <w:i w:val="false"/>
          <w:caps w:val="false"/>
          <w:smallCaps w:val="false"/>
          <w:sz w:val="20"/>
        </w:rPr>
        <w:t>Nonqualified Deferred Compensation for Fiscal 2014</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an executive deferred compensation plan in which all executive officers and other senior managers are eligible to participate. Participating executives may defer up to 50% of base salary and 100% of annual cash incentive bonus into the plan. The Company makes no contributions. Executives’ deferrals earn interest at a rate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 In the event of an unforeseen emergency, a participant may apply to the administrative committee of the plan for payment of an amount from the participant’s account balance sufficient to satisfy the emergency need. The plan will terminate upon a change in control of the Company. Immediately prior to such a change in control, or as soon as possible following a change in control, each participant will be paid his account balance. Our executive deferred compensation plan is unfunded and subject to the claims of our creditors.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contributions, earnings and balances in our executive deferred compensation plan for the named executive officers during fiscal 2014.</w:t>
      </w:r>
    </w:p>
    <w:tbl>
      <w:tblPr>
        <w:tblW w:w="10205" w:type="dxa"/>
        <w:jc w:val="left"/>
        <w:tblInd w:w="0" w:type="dxa"/>
        <w:tblCellMar>
          <w:top w:w="0" w:type="dxa"/>
          <w:left w:w="0" w:type="dxa"/>
          <w:bottom w:w="28" w:type="dxa"/>
          <w:right w:w="0" w:type="dxa"/>
        </w:tblCellMar>
      </w:tblPr>
      <w:tblGrid>
        <w:gridCol w:w="1239"/>
        <w:gridCol w:w="60"/>
        <w:gridCol w:w="318"/>
        <w:gridCol w:w="1554"/>
        <w:gridCol w:w="139"/>
        <w:gridCol w:w="60"/>
        <w:gridCol w:w="242"/>
        <w:gridCol w:w="1540"/>
        <w:gridCol w:w="243"/>
        <w:gridCol w:w="60"/>
        <w:gridCol w:w="199"/>
        <w:gridCol w:w="969"/>
        <w:gridCol w:w="86"/>
        <w:gridCol w:w="60"/>
        <w:gridCol w:w="295"/>
        <w:gridCol w:w="1441"/>
        <w:gridCol w:w="129"/>
        <w:gridCol w:w="60"/>
        <w:gridCol w:w="206"/>
        <w:gridCol w:w="1185"/>
        <w:gridCol w:w="120"/>
      </w:tblGrid>
      <w:tr>
        <w:trPr/>
        <w:tc>
          <w:tcPr>
            <w:tcW w:w="1239" w:type="dxa"/>
            <w:tcBorders>
              <w:bottom w:val="single" w:sz="8" w:space="0" w:color="000000"/>
            </w:tcBorders>
            <w:shd w:fill="auto" w:val="clear"/>
            <w:vAlign w:val="center"/>
          </w:tcPr>
          <w:p>
            <w:pPr>
              <w:pStyle w:val="TableContents"/>
              <w:spacing w:before="0" w:after="283"/>
              <w:jc w:val="left"/>
              <w:rPr>
                <w:b/>
              </w:rPr>
            </w:pPr>
            <w:r>
              <w:rPr>
                <w:b/>
              </w:rPr>
              <w:t>Name</w:t>
            </w:r>
          </w:p>
        </w:tc>
        <w:tc>
          <w:tcPr>
            <w:tcW w:w="60" w:type="dxa"/>
            <w:tcBorders>
              <w:bottom w:val="single" w:sz="8" w:space="0" w:color="000000"/>
            </w:tcBorders>
            <w:shd w:fill="auto" w:val="clear"/>
            <w:vAlign w:val="center"/>
          </w:tcPr>
          <w:p>
            <w:pPr>
              <w:pStyle w:val="TableContents"/>
              <w:spacing w:before="0" w:after="283"/>
              <w:rPr/>
            </w:pPr>
            <w:r>
              <w:rPr/>
              <w:t> </w:t>
            </w:r>
          </w:p>
        </w:tc>
        <w:tc>
          <w:tcPr>
            <w:tcW w:w="2011" w:type="dxa"/>
            <w:gridSpan w:val="3"/>
            <w:tcBorders>
              <w:bottom w:val="single" w:sz="8" w:space="0" w:color="000000"/>
            </w:tcBorders>
            <w:shd w:fill="auto" w:val="clear"/>
            <w:vAlign w:val="center"/>
          </w:tcPr>
          <w:p>
            <w:pPr>
              <w:pStyle w:val="TableContents"/>
              <w:spacing w:before="0" w:after="283"/>
              <w:jc w:val="center"/>
              <w:rPr>
                <w:b/>
              </w:rPr>
            </w:pPr>
            <w:r>
              <w:rPr>
                <w:b/>
              </w:rPr>
              <w:t>Executive Contributions in Last Fiscal Year</w:t>
              <w:br/>
              <w:t>($)</w:t>
              <w:br/>
              <w:t>(1)</w:t>
            </w:r>
          </w:p>
        </w:tc>
        <w:tc>
          <w:tcPr>
            <w:tcW w:w="60" w:type="dxa"/>
            <w:tcBorders>
              <w:bottom w:val="single" w:sz="8" w:space="0" w:color="000000"/>
            </w:tcBorders>
            <w:shd w:fill="auto" w:val="clear"/>
            <w:vAlign w:val="center"/>
          </w:tcPr>
          <w:p>
            <w:pPr>
              <w:pStyle w:val="TableContents"/>
              <w:spacing w:before="0" w:after="283"/>
              <w:rPr/>
            </w:pPr>
            <w:r>
              <w:rPr/>
              <w:t> </w:t>
            </w:r>
          </w:p>
        </w:tc>
        <w:tc>
          <w:tcPr>
            <w:tcW w:w="2025" w:type="dxa"/>
            <w:gridSpan w:val="3"/>
            <w:tcBorders>
              <w:bottom w:val="single" w:sz="8" w:space="0" w:color="000000"/>
            </w:tcBorders>
            <w:shd w:fill="auto" w:val="clear"/>
            <w:vAlign w:val="center"/>
          </w:tcPr>
          <w:p>
            <w:pPr>
              <w:pStyle w:val="TableContents"/>
              <w:spacing w:before="0" w:after="283"/>
              <w:jc w:val="center"/>
              <w:rPr>
                <w:b/>
              </w:rPr>
            </w:pPr>
            <w:r>
              <w:rPr>
                <w:b/>
              </w:rPr>
              <w:t>Registrant Contributions in Last Fiscal Year</w:t>
              <w:br/>
              <w:t>($)</w:t>
              <w:br/>
              <w:t>(2)</w:t>
            </w:r>
          </w:p>
        </w:tc>
        <w:tc>
          <w:tcPr>
            <w:tcW w:w="60" w:type="dxa"/>
            <w:tcBorders>
              <w:bottom w:val="single" w:sz="8" w:space="0" w:color="000000"/>
            </w:tcBorders>
            <w:shd w:fill="auto" w:val="clear"/>
            <w:vAlign w:val="center"/>
          </w:tcPr>
          <w:p>
            <w:pPr>
              <w:pStyle w:val="TableContents"/>
              <w:spacing w:before="0" w:after="283"/>
              <w:rPr/>
            </w:pPr>
            <w:r>
              <w:rPr/>
              <w:t> </w:t>
            </w:r>
          </w:p>
        </w:tc>
        <w:tc>
          <w:tcPr>
            <w:tcW w:w="1254" w:type="dxa"/>
            <w:gridSpan w:val="3"/>
            <w:tcBorders>
              <w:bottom w:val="single" w:sz="8" w:space="0" w:color="000000"/>
            </w:tcBorders>
            <w:shd w:fill="auto" w:val="clear"/>
            <w:vAlign w:val="center"/>
          </w:tcPr>
          <w:p>
            <w:pPr>
              <w:pStyle w:val="TableContents"/>
              <w:jc w:val="center"/>
              <w:rPr>
                <w:b/>
              </w:rPr>
            </w:pPr>
            <w:r>
              <w:rPr>
                <w:b/>
              </w:rPr>
              <w:t>Aggregate Earnings</w:t>
            </w:r>
          </w:p>
          <w:p>
            <w:pPr>
              <w:pStyle w:val="TableContents"/>
              <w:jc w:val="center"/>
              <w:rPr>
                <w:b/>
              </w:rPr>
            </w:pPr>
            <w:r>
              <w:rPr>
                <w:b/>
              </w:rPr>
              <w:t>in Last</w:t>
            </w:r>
          </w:p>
          <w:p>
            <w:pPr>
              <w:pStyle w:val="TableContents"/>
              <w:spacing w:before="0" w:after="283"/>
              <w:jc w:val="center"/>
              <w:rPr>
                <w:b/>
              </w:rPr>
            </w:pPr>
            <w:r>
              <w:rPr>
                <w:b/>
              </w:rPr>
              <w:t>Fiscal Year</w:t>
              <w:br/>
              <w:t>($)</w:t>
              <w:br/>
              <w:t>(3)</w:t>
            </w:r>
          </w:p>
        </w:tc>
        <w:tc>
          <w:tcPr>
            <w:tcW w:w="60" w:type="dxa"/>
            <w:tcBorders>
              <w:bottom w:val="single" w:sz="8" w:space="0" w:color="000000"/>
            </w:tcBorders>
            <w:shd w:fill="auto" w:val="clear"/>
            <w:vAlign w:val="center"/>
          </w:tcPr>
          <w:p>
            <w:pPr>
              <w:pStyle w:val="TableContents"/>
              <w:spacing w:before="0" w:after="283"/>
              <w:rPr/>
            </w:pPr>
            <w:r>
              <w:rPr/>
              <w:t> </w:t>
            </w:r>
          </w:p>
        </w:tc>
        <w:tc>
          <w:tcPr>
            <w:tcW w:w="1865" w:type="dxa"/>
            <w:gridSpan w:val="3"/>
            <w:tcBorders>
              <w:bottom w:val="single" w:sz="8" w:space="0" w:color="000000"/>
            </w:tcBorders>
            <w:shd w:fill="auto" w:val="clear"/>
            <w:vAlign w:val="center"/>
          </w:tcPr>
          <w:p>
            <w:pPr>
              <w:pStyle w:val="TableContents"/>
              <w:spacing w:before="0" w:after="283"/>
              <w:jc w:val="center"/>
              <w:rPr>
                <w:b/>
              </w:rPr>
            </w:pPr>
            <w:r>
              <w:rPr>
                <w:b/>
              </w:rPr>
              <w:t>Aggregate Withdrawals/ Distributions</w:t>
              <w:br/>
              <w:t>($)</w:t>
            </w:r>
          </w:p>
        </w:tc>
        <w:tc>
          <w:tcPr>
            <w:tcW w:w="60" w:type="dxa"/>
            <w:tcBorders>
              <w:bottom w:val="single" w:sz="8" w:space="0" w:color="000000"/>
            </w:tcBorders>
            <w:shd w:fill="auto" w:val="clear"/>
            <w:vAlign w:val="center"/>
          </w:tcPr>
          <w:p>
            <w:pPr>
              <w:pStyle w:val="TableContents"/>
              <w:spacing w:before="0" w:after="283"/>
              <w:rPr/>
            </w:pPr>
            <w:r>
              <w:rPr/>
              <w:t> </w:t>
            </w:r>
          </w:p>
        </w:tc>
        <w:tc>
          <w:tcPr>
            <w:tcW w:w="1511" w:type="dxa"/>
            <w:gridSpan w:val="3"/>
            <w:tcBorders>
              <w:bottom w:val="single" w:sz="8" w:space="0" w:color="000000"/>
            </w:tcBorders>
            <w:shd w:fill="auto" w:val="clear"/>
            <w:vAlign w:val="center"/>
          </w:tcPr>
          <w:p>
            <w:pPr>
              <w:pStyle w:val="TableContents"/>
              <w:jc w:val="center"/>
              <w:rPr>
                <w:b/>
              </w:rPr>
            </w:pPr>
            <w:r>
              <w:rPr>
                <w:b/>
              </w:rPr>
              <w:t>Aggregate</w:t>
            </w:r>
          </w:p>
          <w:p>
            <w:pPr>
              <w:pStyle w:val="TableContents"/>
              <w:spacing w:before="0" w:after="283"/>
              <w:jc w:val="center"/>
              <w:rPr>
                <w:b/>
              </w:rPr>
            </w:pPr>
            <w:r>
              <w:rPr>
                <w:b/>
              </w:rPr>
              <w:t>Balance at Last Fiscal Year End</w:t>
              <w:br/>
              <w:t>($)</w:t>
            </w:r>
          </w:p>
        </w:tc>
      </w:tr>
      <w:tr>
        <w:trPr/>
        <w:tc>
          <w:tcPr>
            <w:tcW w:w="1239" w:type="dxa"/>
            <w:tcBorders/>
            <w:shd w:fill="CCEEFF" w:val="clear"/>
            <w:tcMar>
              <w:bottom w:w="0" w:type="dxa"/>
            </w:tcMar>
            <w:vAlign w:val="center"/>
          </w:tcPr>
          <w:p>
            <w:pPr>
              <w:pStyle w:val="TableContents"/>
              <w:spacing w:before="0" w:after="283"/>
              <w:jc w:val="left"/>
              <w:rPr/>
            </w:pPr>
            <w:r>
              <w:rPr/>
              <w:t>Daniel S. Jaffee</w:t>
            </w:r>
          </w:p>
        </w:tc>
        <w:tc>
          <w:tcPr>
            <w:tcW w:w="60" w:type="dxa"/>
            <w:tcBorders/>
            <w:shd w:fill="CCEEFF" w:val="clear"/>
            <w:tcMar>
              <w:bottom w:w="0" w:type="dxa"/>
            </w:tcMar>
            <w:vAlign w:val="center"/>
          </w:tcPr>
          <w:p>
            <w:pPr>
              <w:pStyle w:val="TableContents"/>
              <w:spacing w:before="0" w:after="283"/>
              <w:rPr/>
            </w:pPr>
            <w:r>
              <w:rPr/>
              <w:t> </w:t>
            </w:r>
          </w:p>
        </w:tc>
        <w:tc>
          <w:tcPr>
            <w:tcW w:w="318" w:type="dxa"/>
            <w:tcBorders/>
            <w:shd w:fill="CCEEFF" w:val="clear"/>
            <w:tcMar>
              <w:bottom w:w="0" w:type="dxa"/>
            </w:tcMar>
            <w:vAlign w:val="center"/>
          </w:tcPr>
          <w:p>
            <w:pPr>
              <w:pStyle w:val="TableContents"/>
              <w:spacing w:before="0" w:after="283"/>
              <w:jc w:val="left"/>
              <w:rPr/>
            </w:pPr>
            <w:r>
              <w:rPr/>
              <w:t> </w:t>
            </w:r>
          </w:p>
        </w:tc>
        <w:tc>
          <w:tcPr>
            <w:tcW w:w="1554" w:type="dxa"/>
            <w:tcBorders/>
            <w:shd w:fill="CCEEFF" w:val="clear"/>
            <w:tcMar>
              <w:bottom w:w="0" w:type="dxa"/>
            </w:tcMar>
            <w:vAlign w:val="center"/>
          </w:tcPr>
          <w:p>
            <w:pPr>
              <w:pStyle w:val="TableContents"/>
              <w:spacing w:before="0" w:after="283"/>
              <w:jc w:val="right"/>
              <w:rPr/>
            </w:pPr>
            <w:r>
              <w:rPr/>
              <w:t>—  </w:t>
            </w:r>
          </w:p>
        </w:tc>
        <w:tc>
          <w:tcPr>
            <w:tcW w:w="13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42" w:type="dxa"/>
            <w:tcBorders/>
            <w:shd w:fill="CCEEFF" w:val="clear"/>
            <w:tcMar>
              <w:bottom w:w="0" w:type="dxa"/>
            </w:tcMar>
            <w:vAlign w:val="center"/>
          </w:tcPr>
          <w:p>
            <w:pPr>
              <w:pStyle w:val="TableContents"/>
              <w:spacing w:before="0" w:after="283"/>
              <w:jc w:val="left"/>
              <w:rPr/>
            </w:pPr>
            <w:r>
              <w:rPr/>
              <w:t> </w:t>
            </w:r>
          </w:p>
        </w:tc>
        <w:tc>
          <w:tcPr>
            <w:tcW w:w="1540" w:type="dxa"/>
            <w:tcBorders/>
            <w:shd w:fill="CCEEFF" w:val="clear"/>
            <w:tcMar>
              <w:bottom w:w="0" w:type="dxa"/>
            </w:tcMar>
            <w:vAlign w:val="center"/>
          </w:tcPr>
          <w:p>
            <w:pPr>
              <w:pStyle w:val="TableContents"/>
              <w:spacing w:before="0" w:after="283"/>
              <w:jc w:val="right"/>
              <w:rPr/>
            </w:pPr>
            <w:r>
              <w:rPr/>
              <w:t>—  </w:t>
            </w:r>
          </w:p>
        </w:tc>
        <w:tc>
          <w:tcPr>
            <w:tcW w:w="243"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9" w:type="dxa"/>
            <w:tcBorders/>
            <w:shd w:fill="CCEEFF" w:val="clear"/>
            <w:tcMar>
              <w:bottom w:w="0" w:type="dxa"/>
            </w:tcMar>
            <w:vAlign w:val="center"/>
          </w:tcPr>
          <w:p>
            <w:pPr>
              <w:pStyle w:val="TableContents"/>
              <w:spacing w:before="0" w:after="283"/>
              <w:jc w:val="left"/>
              <w:rPr/>
            </w:pPr>
            <w:r>
              <w:rPr/>
              <w:t>$</w:t>
            </w:r>
          </w:p>
        </w:tc>
        <w:tc>
          <w:tcPr>
            <w:tcW w:w="969" w:type="dxa"/>
            <w:tcBorders/>
            <w:shd w:fill="CCEEFF" w:val="clear"/>
            <w:tcMar>
              <w:bottom w:w="0" w:type="dxa"/>
            </w:tcMar>
            <w:vAlign w:val="center"/>
          </w:tcPr>
          <w:p>
            <w:pPr>
              <w:pStyle w:val="TableContents"/>
              <w:spacing w:before="0" w:after="283"/>
              <w:jc w:val="right"/>
              <w:rPr/>
            </w:pPr>
            <w:r>
              <w:rPr/>
              <w:t>36,541</w:t>
            </w:r>
          </w:p>
        </w:tc>
        <w:tc>
          <w:tcPr>
            <w:tcW w:w="8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w:t>
            </w:r>
          </w:p>
        </w:tc>
        <w:tc>
          <w:tcPr>
            <w:tcW w:w="1441" w:type="dxa"/>
            <w:tcBorders/>
            <w:shd w:fill="CCEEFF" w:val="clear"/>
            <w:tcMar>
              <w:bottom w:w="0" w:type="dxa"/>
            </w:tcMar>
            <w:vAlign w:val="center"/>
          </w:tcPr>
          <w:p>
            <w:pPr>
              <w:pStyle w:val="TableContents"/>
              <w:spacing w:before="0" w:after="283"/>
              <w:jc w:val="right"/>
              <w:rPr/>
            </w:pPr>
            <w:r>
              <w:rPr/>
              <w:t>61,089</w:t>
            </w:r>
          </w:p>
        </w:tc>
        <w:tc>
          <w:tcPr>
            <w:tcW w:w="12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6" w:type="dxa"/>
            <w:tcBorders/>
            <w:shd w:fill="CCEEFF" w:val="clear"/>
            <w:tcMar>
              <w:bottom w:w="0" w:type="dxa"/>
            </w:tcMar>
            <w:vAlign w:val="center"/>
          </w:tcPr>
          <w:p>
            <w:pPr>
              <w:pStyle w:val="TableContents"/>
              <w:spacing w:before="0" w:after="283"/>
              <w:jc w:val="left"/>
              <w:rPr/>
            </w:pPr>
            <w:r>
              <w:rPr/>
              <w:t>$</w:t>
            </w:r>
          </w:p>
        </w:tc>
        <w:tc>
          <w:tcPr>
            <w:tcW w:w="1185" w:type="dxa"/>
            <w:tcBorders/>
            <w:shd w:fill="CCEEFF" w:val="clear"/>
            <w:tcMar>
              <w:bottom w:w="0" w:type="dxa"/>
            </w:tcMar>
            <w:vAlign w:val="center"/>
          </w:tcPr>
          <w:p>
            <w:pPr>
              <w:pStyle w:val="TableContents"/>
              <w:spacing w:before="0" w:after="283"/>
              <w:jc w:val="right"/>
              <w:rPr/>
            </w:pPr>
            <w:r>
              <w:rPr/>
              <w:t>697,769</w:t>
            </w:r>
          </w:p>
        </w:tc>
        <w:tc>
          <w:tcPr>
            <w:tcW w:w="120" w:type="dxa"/>
            <w:tcBorders/>
            <w:shd w:fill="CCEEFF" w:val="clear"/>
            <w:tcMar>
              <w:bottom w:w="0" w:type="dxa"/>
            </w:tcMar>
            <w:vAlign w:val="center"/>
          </w:tcPr>
          <w:p>
            <w:pPr>
              <w:pStyle w:val="TableContents"/>
              <w:spacing w:before="0" w:after="283"/>
              <w:jc w:val="left"/>
              <w:rPr/>
            </w:pPr>
            <w:r>
              <w:rPr/>
              <w:t> </w:t>
            </w:r>
          </w:p>
        </w:tc>
      </w:tr>
      <w:tr>
        <w:trPr/>
        <w:tc>
          <w:tcPr>
            <w:tcW w:w="1239" w:type="dxa"/>
            <w:tcBorders/>
            <w:shd w:fill="FFFFFF" w:val="clear"/>
            <w:tcMar>
              <w:bottom w:w="0" w:type="dxa"/>
            </w:tcMar>
            <w:vAlign w:val="center"/>
          </w:tcPr>
          <w:p>
            <w:pPr>
              <w:pStyle w:val="TableContents"/>
              <w:spacing w:before="0" w:after="283"/>
              <w:jc w:val="left"/>
              <w:rPr/>
            </w:pPr>
            <w:r>
              <w:rPr/>
              <w:t>Daniel T. Smith</w:t>
            </w:r>
          </w:p>
        </w:tc>
        <w:tc>
          <w:tcPr>
            <w:tcW w:w="60" w:type="dxa"/>
            <w:tcBorders/>
            <w:shd w:fill="FFFFFF" w:val="clear"/>
            <w:tcMar>
              <w:bottom w:w="0" w:type="dxa"/>
            </w:tcMar>
            <w:vAlign w:val="center"/>
          </w:tcPr>
          <w:p>
            <w:pPr>
              <w:pStyle w:val="TableContents"/>
              <w:spacing w:before="0" w:after="283"/>
              <w:rPr/>
            </w:pPr>
            <w:r>
              <w:rPr/>
              <w:t> </w:t>
            </w:r>
          </w:p>
        </w:tc>
        <w:tc>
          <w:tcPr>
            <w:tcW w:w="318" w:type="dxa"/>
            <w:tcBorders/>
            <w:shd w:fill="FFFFFF" w:val="clear"/>
            <w:tcMar>
              <w:bottom w:w="0" w:type="dxa"/>
            </w:tcMar>
            <w:vAlign w:val="center"/>
          </w:tcPr>
          <w:p>
            <w:pPr>
              <w:pStyle w:val="TableContents"/>
              <w:spacing w:before="0" w:after="283"/>
              <w:jc w:val="left"/>
              <w:rPr/>
            </w:pPr>
            <w:r>
              <w:rPr/>
              <w:t> </w:t>
            </w:r>
          </w:p>
        </w:tc>
        <w:tc>
          <w:tcPr>
            <w:tcW w:w="1554" w:type="dxa"/>
            <w:tcBorders/>
            <w:shd w:fill="FFFFFF" w:val="clear"/>
            <w:tcMar>
              <w:bottom w:w="0" w:type="dxa"/>
            </w:tcMar>
            <w:vAlign w:val="center"/>
          </w:tcPr>
          <w:p>
            <w:pPr>
              <w:pStyle w:val="TableContents"/>
              <w:spacing w:before="0" w:after="283"/>
              <w:jc w:val="right"/>
              <w:rPr/>
            </w:pPr>
            <w:r>
              <w:rPr/>
              <w:t>—  </w:t>
            </w:r>
          </w:p>
        </w:tc>
        <w:tc>
          <w:tcPr>
            <w:tcW w:w="13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42" w:type="dxa"/>
            <w:tcBorders/>
            <w:shd w:fill="FFFFFF" w:val="clear"/>
            <w:tcMar>
              <w:bottom w:w="0" w:type="dxa"/>
            </w:tcMar>
            <w:vAlign w:val="center"/>
          </w:tcPr>
          <w:p>
            <w:pPr>
              <w:pStyle w:val="TableContents"/>
              <w:spacing w:before="0" w:after="283"/>
              <w:jc w:val="left"/>
              <w:rPr/>
            </w:pPr>
            <w:r>
              <w:rPr/>
              <w:t> </w:t>
            </w:r>
          </w:p>
        </w:tc>
        <w:tc>
          <w:tcPr>
            <w:tcW w:w="1540" w:type="dxa"/>
            <w:tcBorders/>
            <w:shd w:fill="FFFFFF" w:val="clear"/>
            <w:tcMar>
              <w:bottom w:w="0" w:type="dxa"/>
            </w:tcMar>
            <w:vAlign w:val="center"/>
          </w:tcPr>
          <w:p>
            <w:pPr>
              <w:pStyle w:val="TableContents"/>
              <w:spacing w:before="0" w:after="283"/>
              <w:jc w:val="right"/>
              <w:rPr/>
            </w:pPr>
            <w:r>
              <w:rPr/>
              <w:t>—  </w:t>
            </w:r>
          </w:p>
        </w:tc>
        <w:tc>
          <w:tcPr>
            <w:tcW w:w="24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99" w:type="dxa"/>
            <w:tcBorders/>
            <w:shd w:fill="FFFFFF" w:val="clear"/>
            <w:tcMar>
              <w:bottom w:w="0" w:type="dxa"/>
            </w:tcMar>
            <w:vAlign w:val="center"/>
          </w:tcPr>
          <w:p>
            <w:pPr>
              <w:pStyle w:val="TableContents"/>
              <w:spacing w:before="0" w:after="283"/>
              <w:jc w:val="left"/>
              <w:rPr/>
            </w:pPr>
            <w:r>
              <w:rPr/>
              <w:t>$</w:t>
            </w:r>
          </w:p>
        </w:tc>
        <w:tc>
          <w:tcPr>
            <w:tcW w:w="969" w:type="dxa"/>
            <w:tcBorders/>
            <w:shd w:fill="FFFFFF" w:val="clear"/>
            <w:tcMar>
              <w:bottom w:w="0" w:type="dxa"/>
            </w:tcMar>
            <w:vAlign w:val="center"/>
          </w:tcPr>
          <w:p>
            <w:pPr>
              <w:pStyle w:val="TableContents"/>
              <w:spacing w:before="0" w:after="283"/>
              <w:jc w:val="right"/>
              <w:rPr/>
            </w:pPr>
            <w:r>
              <w:rPr/>
              <w:t>24,287</w:t>
            </w:r>
          </w:p>
        </w:tc>
        <w:tc>
          <w:tcPr>
            <w:tcW w:w="8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95" w:type="dxa"/>
            <w:tcBorders/>
            <w:shd w:fill="FFFFFF" w:val="clear"/>
            <w:tcMar>
              <w:bottom w:w="0" w:type="dxa"/>
            </w:tcMar>
            <w:vAlign w:val="center"/>
          </w:tcPr>
          <w:p>
            <w:pPr>
              <w:pStyle w:val="TableContents"/>
              <w:spacing w:before="0" w:after="283"/>
              <w:jc w:val="left"/>
              <w:rPr/>
            </w:pPr>
            <w:r>
              <w:rPr/>
              <w:t> </w:t>
            </w:r>
          </w:p>
        </w:tc>
        <w:tc>
          <w:tcPr>
            <w:tcW w:w="1441" w:type="dxa"/>
            <w:tcBorders/>
            <w:shd w:fill="FFFFFF" w:val="clear"/>
            <w:tcMar>
              <w:bottom w:w="0" w:type="dxa"/>
            </w:tcMar>
            <w:vAlign w:val="center"/>
          </w:tcPr>
          <w:p>
            <w:pPr>
              <w:pStyle w:val="TableContents"/>
              <w:spacing w:before="0" w:after="283"/>
              <w:jc w:val="right"/>
              <w:rPr/>
            </w:pPr>
            <w:r>
              <w:rPr/>
              <w:t>—  </w:t>
            </w:r>
          </w:p>
        </w:tc>
        <w:tc>
          <w:tcPr>
            <w:tcW w:w="12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6" w:type="dxa"/>
            <w:tcBorders/>
            <w:shd w:fill="FFFFFF" w:val="clear"/>
            <w:tcMar>
              <w:bottom w:w="0" w:type="dxa"/>
            </w:tcMar>
            <w:vAlign w:val="center"/>
          </w:tcPr>
          <w:p>
            <w:pPr>
              <w:pStyle w:val="TableContents"/>
              <w:spacing w:before="0" w:after="283"/>
              <w:jc w:val="left"/>
              <w:rPr/>
            </w:pPr>
            <w:r>
              <w:rPr/>
              <w:t>$</w:t>
            </w:r>
          </w:p>
        </w:tc>
        <w:tc>
          <w:tcPr>
            <w:tcW w:w="1185" w:type="dxa"/>
            <w:tcBorders/>
            <w:shd w:fill="FFFFFF" w:val="clear"/>
            <w:tcMar>
              <w:bottom w:w="0" w:type="dxa"/>
            </w:tcMar>
            <w:vAlign w:val="center"/>
          </w:tcPr>
          <w:p>
            <w:pPr>
              <w:pStyle w:val="TableContents"/>
              <w:spacing w:before="0" w:after="283"/>
              <w:jc w:val="right"/>
              <w:rPr/>
            </w:pPr>
            <w:r>
              <w:rPr/>
              <w:t>478,470</w:t>
            </w:r>
          </w:p>
        </w:tc>
        <w:tc>
          <w:tcPr>
            <w:tcW w:w="120" w:type="dxa"/>
            <w:tcBorders/>
            <w:shd w:fill="FFFFFF" w:val="clear"/>
            <w:tcMar>
              <w:bottom w:w="0" w:type="dxa"/>
            </w:tcMar>
            <w:vAlign w:val="center"/>
          </w:tcPr>
          <w:p>
            <w:pPr>
              <w:pStyle w:val="TableContents"/>
              <w:spacing w:before="0" w:after="283"/>
              <w:jc w:val="left"/>
              <w:rPr/>
            </w:pPr>
            <w:r>
              <w:rPr/>
              <w:t> </w:t>
            </w:r>
          </w:p>
        </w:tc>
      </w:tr>
      <w:tr>
        <w:trPr/>
        <w:tc>
          <w:tcPr>
            <w:tcW w:w="1239" w:type="dxa"/>
            <w:tcBorders/>
            <w:shd w:fill="CCEEFF" w:val="clear"/>
            <w:tcMar>
              <w:bottom w:w="0" w:type="dxa"/>
            </w:tcMar>
            <w:vAlign w:val="center"/>
          </w:tcPr>
          <w:p>
            <w:pPr>
              <w:pStyle w:val="TableContents"/>
              <w:spacing w:before="0" w:after="283"/>
              <w:jc w:val="left"/>
              <w:rPr/>
            </w:pPr>
            <w:r>
              <w:rPr/>
              <w:t>Thomas F. Cofsky</w:t>
            </w:r>
          </w:p>
        </w:tc>
        <w:tc>
          <w:tcPr>
            <w:tcW w:w="60" w:type="dxa"/>
            <w:tcBorders/>
            <w:shd w:fill="CCEEFF" w:val="clear"/>
            <w:tcMar>
              <w:bottom w:w="0" w:type="dxa"/>
            </w:tcMar>
            <w:vAlign w:val="center"/>
          </w:tcPr>
          <w:p>
            <w:pPr>
              <w:pStyle w:val="TableContents"/>
              <w:spacing w:before="0" w:after="283"/>
              <w:rPr/>
            </w:pPr>
            <w:r>
              <w:rPr/>
              <w:t> </w:t>
            </w:r>
          </w:p>
        </w:tc>
        <w:tc>
          <w:tcPr>
            <w:tcW w:w="318" w:type="dxa"/>
            <w:tcBorders/>
            <w:shd w:fill="CCEEFF" w:val="clear"/>
            <w:tcMar>
              <w:bottom w:w="0" w:type="dxa"/>
            </w:tcMar>
            <w:vAlign w:val="center"/>
          </w:tcPr>
          <w:p>
            <w:pPr>
              <w:pStyle w:val="TableContents"/>
              <w:spacing w:before="0" w:after="283"/>
              <w:jc w:val="left"/>
              <w:rPr/>
            </w:pPr>
            <w:r>
              <w:rPr/>
              <w:t>$</w:t>
            </w:r>
          </w:p>
        </w:tc>
        <w:tc>
          <w:tcPr>
            <w:tcW w:w="1554" w:type="dxa"/>
            <w:tcBorders/>
            <w:shd w:fill="CCEEFF" w:val="clear"/>
            <w:tcMar>
              <w:bottom w:w="0" w:type="dxa"/>
            </w:tcMar>
            <w:vAlign w:val="center"/>
          </w:tcPr>
          <w:p>
            <w:pPr>
              <w:pStyle w:val="TableContents"/>
              <w:spacing w:before="0" w:after="283"/>
              <w:jc w:val="right"/>
              <w:rPr/>
            </w:pPr>
            <w:r>
              <w:rPr/>
              <w:t>31,000</w:t>
            </w:r>
          </w:p>
        </w:tc>
        <w:tc>
          <w:tcPr>
            <w:tcW w:w="13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42" w:type="dxa"/>
            <w:tcBorders/>
            <w:shd w:fill="CCEEFF" w:val="clear"/>
            <w:tcMar>
              <w:bottom w:w="0" w:type="dxa"/>
            </w:tcMar>
            <w:vAlign w:val="center"/>
          </w:tcPr>
          <w:p>
            <w:pPr>
              <w:pStyle w:val="TableContents"/>
              <w:spacing w:before="0" w:after="283"/>
              <w:jc w:val="left"/>
              <w:rPr/>
            </w:pPr>
            <w:r>
              <w:rPr/>
              <w:t> </w:t>
            </w:r>
          </w:p>
        </w:tc>
        <w:tc>
          <w:tcPr>
            <w:tcW w:w="1540" w:type="dxa"/>
            <w:tcBorders/>
            <w:shd w:fill="CCEEFF" w:val="clear"/>
            <w:tcMar>
              <w:bottom w:w="0" w:type="dxa"/>
            </w:tcMar>
            <w:vAlign w:val="center"/>
          </w:tcPr>
          <w:p>
            <w:pPr>
              <w:pStyle w:val="TableContents"/>
              <w:spacing w:before="0" w:after="283"/>
              <w:jc w:val="right"/>
              <w:rPr/>
            </w:pPr>
            <w:r>
              <w:rPr/>
              <w:t>—  </w:t>
            </w:r>
          </w:p>
        </w:tc>
        <w:tc>
          <w:tcPr>
            <w:tcW w:w="243"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9" w:type="dxa"/>
            <w:tcBorders/>
            <w:shd w:fill="CCEEFF" w:val="clear"/>
            <w:tcMar>
              <w:bottom w:w="0" w:type="dxa"/>
            </w:tcMar>
            <w:vAlign w:val="center"/>
          </w:tcPr>
          <w:p>
            <w:pPr>
              <w:pStyle w:val="TableContents"/>
              <w:spacing w:before="0" w:after="283"/>
              <w:jc w:val="left"/>
              <w:rPr/>
            </w:pPr>
            <w:r>
              <w:rPr/>
              <w:t>$</w:t>
            </w:r>
          </w:p>
        </w:tc>
        <w:tc>
          <w:tcPr>
            <w:tcW w:w="969" w:type="dxa"/>
            <w:tcBorders/>
            <w:shd w:fill="CCEEFF" w:val="clear"/>
            <w:tcMar>
              <w:bottom w:w="0" w:type="dxa"/>
            </w:tcMar>
            <w:vAlign w:val="center"/>
          </w:tcPr>
          <w:p>
            <w:pPr>
              <w:pStyle w:val="TableContents"/>
              <w:spacing w:before="0" w:after="283"/>
              <w:jc w:val="right"/>
              <w:rPr/>
            </w:pPr>
            <w:r>
              <w:rPr/>
              <w:t>31,824</w:t>
            </w:r>
          </w:p>
        </w:tc>
        <w:tc>
          <w:tcPr>
            <w:tcW w:w="8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w:t>
            </w:r>
          </w:p>
        </w:tc>
        <w:tc>
          <w:tcPr>
            <w:tcW w:w="1441" w:type="dxa"/>
            <w:tcBorders/>
            <w:shd w:fill="CCEEFF" w:val="clear"/>
            <w:tcMar>
              <w:bottom w:w="0" w:type="dxa"/>
            </w:tcMar>
            <w:vAlign w:val="center"/>
          </w:tcPr>
          <w:p>
            <w:pPr>
              <w:pStyle w:val="TableContents"/>
              <w:spacing w:before="0" w:after="283"/>
              <w:jc w:val="right"/>
              <w:rPr/>
            </w:pPr>
            <w:r>
              <w:rPr/>
              <w:t>14,420</w:t>
            </w:r>
          </w:p>
        </w:tc>
        <w:tc>
          <w:tcPr>
            <w:tcW w:w="12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6" w:type="dxa"/>
            <w:tcBorders/>
            <w:shd w:fill="CCEEFF" w:val="clear"/>
            <w:tcMar>
              <w:bottom w:w="0" w:type="dxa"/>
            </w:tcMar>
            <w:vAlign w:val="center"/>
          </w:tcPr>
          <w:p>
            <w:pPr>
              <w:pStyle w:val="TableContents"/>
              <w:spacing w:before="0" w:after="283"/>
              <w:jc w:val="left"/>
              <w:rPr/>
            </w:pPr>
            <w:r>
              <w:rPr/>
              <w:t>$</w:t>
            </w:r>
          </w:p>
        </w:tc>
        <w:tc>
          <w:tcPr>
            <w:tcW w:w="1185" w:type="dxa"/>
            <w:tcBorders/>
            <w:shd w:fill="CCEEFF" w:val="clear"/>
            <w:tcMar>
              <w:bottom w:w="0" w:type="dxa"/>
            </w:tcMar>
            <w:vAlign w:val="center"/>
          </w:tcPr>
          <w:p>
            <w:pPr>
              <w:pStyle w:val="TableContents"/>
              <w:spacing w:before="0" w:after="283"/>
              <w:jc w:val="right"/>
              <w:rPr/>
            </w:pPr>
            <w:r>
              <w:rPr/>
              <w:t>640,967</w:t>
            </w:r>
          </w:p>
        </w:tc>
        <w:tc>
          <w:tcPr>
            <w:tcW w:w="120" w:type="dxa"/>
            <w:tcBorders/>
            <w:shd w:fill="CCEEFF" w:val="clear"/>
            <w:tcMar>
              <w:bottom w:w="0" w:type="dxa"/>
            </w:tcMar>
            <w:vAlign w:val="center"/>
          </w:tcPr>
          <w:p>
            <w:pPr>
              <w:pStyle w:val="TableContents"/>
              <w:spacing w:before="0" w:after="283"/>
              <w:jc w:val="left"/>
              <w:rPr/>
            </w:pPr>
            <w:r>
              <w:rPr/>
              <w:t> </w:t>
            </w:r>
          </w:p>
        </w:tc>
      </w:tr>
      <w:tr>
        <w:trPr/>
        <w:tc>
          <w:tcPr>
            <w:tcW w:w="1239" w:type="dxa"/>
            <w:tcBorders/>
            <w:shd w:fill="FFFFFF" w:val="clear"/>
            <w:tcMar>
              <w:bottom w:w="0" w:type="dxa"/>
            </w:tcMar>
            <w:vAlign w:val="center"/>
          </w:tcPr>
          <w:p>
            <w:pPr>
              <w:pStyle w:val="TableContents"/>
              <w:spacing w:before="0" w:after="283"/>
              <w:jc w:val="left"/>
              <w:rPr/>
            </w:pPr>
            <w:r>
              <w:rPr/>
              <w:t>Mark E. Lewry</w:t>
            </w:r>
          </w:p>
        </w:tc>
        <w:tc>
          <w:tcPr>
            <w:tcW w:w="60" w:type="dxa"/>
            <w:tcBorders/>
            <w:shd w:fill="FFFFFF" w:val="clear"/>
            <w:tcMar>
              <w:bottom w:w="0" w:type="dxa"/>
            </w:tcMar>
            <w:vAlign w:val="center"/>
          </w:tcPr>
          <w:p>
            <w:pPr>
              <w:pStyle w:val="TableContents"/>
              <w:spacing w:before="0" w:after="283"/>
              <w:rPr/>
            </w:pPr>
            <w:r>
              <w:rPr/>
              <w:t> </w:t>
            </w:r>
          </w:p>
        </w:tc>
        <w:tc>
          <w:tcPr>
            <w:tcW w:w="318" w:type="dxa"/>
            <w:tcBorders/>
            <w:shd w:fill="FFFFFF" w:val="clear"/>
            <w:tcMar>
              <w:bottom w:w="0" w:type="dxa"/>
            </w:tcMar>
            <w:vAlign w:val="center"/>
          </w:tcPr>
          <w:p>
            <w:pPr>
              <w:pStyle w:val="TableContents"/>
              <w:spacing w:before="0" w:after="283"/>
              <w:jc w:val="left"/>
              <w:rPr/>
            </w:pPr>
            <w:r>
              <w:rPr/>
              <w:t> </w:t>
            </w:r>
          </w:p>
        </w:tc>
        <w:tc>
          <w:tcPr>
            <w:tcW w:w="1554" w:type="dxa"/>
            <w:tcBorders/>
            <w:shd w:fill="FFFFFF" w:val="clear"/>
            <w:tcMar>
              <w:bottom w:w="0" w:type="dxa"/>
            </w:tcMar>
            <w:vAlign w:val="center"/>
          </w:tcPr>
          <w:p>
            <w:pPr>
              <w:pStyle w:val="TableContents"/>
              <w:spacing w:before="0" w:after="283"/>
              <w:jc w:val="right"/>
              <w:rPr/>
            </w:pPr>
            <w:r>
              <w:rPr/>
              <w:t>—  </w:t>
            </w:r>
          </w:p>
        </w:tc>
        <w:tc>
          <w:tcPr>
            <w:tcW w:w="13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42" w:type="dxa"/>
            <w:tcBorders/>
            <w:shd w:fill="FFFFFF" w:val="clear"/>
            <w:tcMar>
              <w:bottom w:w="0" w:type="dxa"/>
            </w:tcMar>
            <w:vAlign w:val="center"/>
          </w:tcPr>
          <w:p>
            <w:pPr>
              <w:pStyle w:val="TableContents"/>
              <w:spacing w:before="0" w:after="283"/>
              <w:jc w:val="left"/>
              <w:rPr/>
            </w:pPr>
            <w:r>
              <w:rPr/>
              <w:t> </w:t>
            </w:r>
          </w:p>
        </w:tc>
        <w:tc>
          <w:tcPr>
            <w:tcW w:w="1540" w:type="dxa"/>
            <w:tcBorders/>
            <w:shd w:fill="FFFFFF" w:val="clear"/>
            <w:tcMar>
              <w:bottom w:w="0" w:type="dxa"/>
            </w:tcMar>
            <w:vAlign w:val="center"/>
          </w:tcPr>
          <w:p>
            <w:pPr>
              <w:pStyle w:val="TableContents"/>
              <w:spacing w:before="0" w:after="283"/>
              <w:jc w:val="right"/>
              <w:rPr/>
            </w:pPr>
            <w:r>
              <w:rPr/>
              <w:t>—  </w:t>
            </w:r>
          </w:p>
        </w:tc>
        <w:tc>
          <w:tcPr>
            <w:tcW w:w="243"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99" w:type="dxa"/>
            <w:tcBorders/>
            <w:shd w:fill="FFFFFF" w:val="clear"/>
            <w:tcMar>
              <w:bottom w:w="0" w:type="dxa"/>
            </w:tcMar>
            <w:vAlign w:val="center"/>
          </w:tcPr>
          <w:p>
            <w:pPr>
              <w:pStyle w:val="TableContents"/>
              <w:spacing w:before="0" w:after="283"/>
              <w:jc w:val="left"/>
              <w:rPr/>
            </w:pPr>
            <w:r>
              <w:rPr/>
              <w:t> </w:t>
            </w:r>
          </w:p>
        </w:tc>
        <w:tc>
          <w:tcPr>
            <w:tcW w:w="969" w:type="dxa"/>
            <w:tcBorders/>
            <w:shd w:fill="FFFFFF" w:val="clear"/>
            <w:tcMar>
              <w:bottom w:w="0" w:type="dxa"/>
            </w:tcMar>
            <w:vAlign w:val="center"/>
          </w:tcPr>
          <w:p>
            <w:pPr>
              <w:pStyle w:val="TableContents"/>
              <w:spacing w:before="0" w:after="283"/>
              <w:jc w:val="right"/>
              <w:rPr/>
            </w:pPr>
            <w:r>
              <w:rPr/>
              <w:t>—  </w:t>
            </w:r>
          </w:p>
        </w:tc>
        <w:tc>
          <w:tcPr>
            <w:tcW w:w="8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95" w:type="dxa"/>
            <w:tcBorders/>
            <w:shd w:fill="FFFFFF" w:val="clear"/>
            <w:tcMar>
              <w:bottom w:w="0" w:type="dxa"/>
            </w:tcMar>
            <w:vAlign w:val="center"/>
          </w:tcPr>
          <w:p>
            <w:pPr>
              <w:pStyle w:val="TableContents"/>
              <w:spacing w:before="0" w:after="283"/>
              <w:jc w:val="left"/>
              <w:rPr/>
            </w:pPr>
            <w:r>
              <w:rPr/>
              <w:t> </w:t>
            </w:r>
          </w:p>
        </w:tc>
        <w:tc>
          <w:tcPr>
            <w:tcW w:w="1441" w:type="dxa"/>
            <w:tcBorders/>
            <w:shd w:fill="FFFFFF" w:val="clear"/>
            <w:tcMar>
              <w:bottom w:w="0" w:type="dxa"/>
            </w:tcMar>
            <w:vAlign w:val="center"/>
          </w:tcPr>
          <w:p>
            <w:pPr>
              <w:pStyle w:val="TableContents"/>
              <w:spacing w:before="0" w:after="283"/>
              <w:jc w:val="right"/>
              <w:rPr/>
            </w:pPr>
            <w:r>
              <w:rPr/>
              <w:t>—  </w:t>
            </w:r>
          </w:p>
        </w:tc>
        <w:tc>
          <w:tcPr>
            <w:tcW w:w="12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06" w:type="dxa"/>
            <w:tcBorders/>
            <w:shd w:fill="FFFFFF" w:val="clear"/>
            <w:tcMar>
              <w:bottom w:w="0" w:type="dxa"/>
            </w:tcMar>
            <w:vAlign w:val="center"/>
          </w:tcPr>
          <w:p>
            <w:pPr>
              <w:pStyle w:val="TableContents"/>
              <w:spacing w:before="0" w:after="283"/>
              <w:jc w:val="left"/>
              <w:rPr/>
            </w:pPr>
            <w:r>
              <w:rPr/>
              <w:t> </w:t>
            </w:r>
          </w:p>
        </w:tc>
        <w:tc>
          <w:tcPr>
            <w:tcW w:w="1185" w:type="dxa"/>
            <w:tcBorders/>
            <w:shd w:fill="FFFFFF" w:val="clear"/>
            <w:tcMar>
              <w:bottom w:w="0" w:type="dxa"/>
            </w:tcMar>
            <w:vAlign w:val="center"/>
          </w:tcPr>
          <w:p>
            <w:pPr>
              <w:pStyle w:val="TableContents"/>
              <w:spacing w:before="0" w:after="283"/>
              <w:jc w:val="right"/>
              <w:rPr/>
            </w:pPr>
            <w:r>
              <w:rPr/>
              <w:t>—  </w:t>
            </w:r>
          </w:p>
        </w:tc>
        <w:tc>
          <w:tcPr>
            <w:tcW w:w="120" w:type="dxa"/>
            <w:tcBorders/>
            <w:shd w:fill="FFFFFF" w:val="clear"/>
            <w:tcMar>
              <w:bottom w:w="0" w:type="dxa"/>
            </w:tcMar>
            <w:vAlign w:val="center"/>
          </w:tcPr>
          <w:p>
            <w:pPr>
              <w:pStyle w:val="TableContents"/>
              <w:spacing w:before="0" w:after="283"/>
              <w:jc w:val="left"/>
              <w:rPr/>
            </w:pPr>
            <w:r>
              <w:rPr/>
              <w:t> </w:t>
            </w:r>
          </w:p>
        </w:tc>
      </w:tr>
      <w:tr>
        <w:trPr/>
        <w:tc>
          <w:tcPr>
            <w:tcW w:w="1239" w:type="dxa"/>
            <w:tcBorders/>
            <w:shd w:fill="CCEEFF" w:val="clear"/>
            <w:tcMar>
              <w:bottom w:w="0" w:type="dxa"/>
            </w:tcMar>
            <w:vAlign w:val="center"/>
          </w:tcPr>
          <w:p>
            <w:pPr>
              <w:pStyle w:val="TableContents"/>
              <w:spacing w:before="0" w:after="283"/>
              <w:jc w:val="left"/>
              <w:rPr/>
            </w:pPr>
            <w:r>
              <w:rPr/>
              <w:t>Paul D. Ziemnisky Jr.</w:t>
            </w:r>
          </w:p>
        </w:tc>
        <w:tc>
          <w:tcPr>
            <w:tcW w:w="60" w:type="dxa"/>
            <w:tcBorders/>
            <w:shd w:fill="CCEEFF" w:val="clear"/>
            <w:tcMar>
              <w:bottom w:w="0" w:type="dxa"/>
            </w:tcMar>
            <w:vAlign w:val="center"/>
          </w:tcPr>
          <w:p>
            <w:pPr>
              <w:pStyle w:val="TableContents"/>
              <w:spacing w:before="0" w:after="283"/>
              <w:rPr/>
            </w:pPr>
            <w:r>
              <w:rPr/>
              <w:t> </w:t>
            </w:r>
          </w:p>
        </w:tc>
        <w:tc>
          <w:tcPr>
            <w:tcW w:w="318" w:type="dxa"/>
            <w:tcBorders/>
            <w:shd w:fill="CCEEFF" w:val="clear"/>
            <w:tcMar>
              <w:bottom w:w="0" w:type="dxa"/>
            </w:tcMar>
            <w:vAlign w:val="center"/>
          </w:tcPr>
          <w:p>
            <w:pPr>
              <w:pStyle w:val="TableContents"/>
              <w:spacing w:before="0" w:after="283"/>
              <w:jc w:val="left"/>
              <w:rPr/>
            </w:pPr>
            <w:r>
              <w:rPr/>
              <w:t> </w:t>
            </w:r>
          </w:p>
        </w:tc>
        <w:tc>
          <w:tcPr>
            <w:tcW w:w="1554" w:type="dxa"/>
            <w:tcBorders/>
            <w:shd w:fill="CCEEFF" w:val="clear"/>
            <w:tcMar>
              <w:bottom w:w="0" w:type="dxa"/>
            </w:tcMar>
            <w:vAlign w:val="center"/>
          </w:tcPr>
          <w:p>
            <w:pPr>
              <w:pStyle w:val="TableContents"/>
              <w:spacing w:before="0" w:after="283"/>
              <w:jc w:val="right"/>
              <w:rPr/>
            </w:pPr>
            <w:r>
              <w:rPr/>
              <w:t>—  </w:t>
            </w:r>
          </w:p>
        </w:tc>
        <w:tc>
          <w:tcPr>
            <w:tcW w:w="13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42" w:type="dxa"/>
            <w:tcBorders/>
            <w:shd w:fill="CCEEFF" w:val="clear"/>
            <w:tcMar>
              <w:bottom w:w="0" w:type="dxa"/>
            </w:tcMar>
            <w:vAlign w:val="center"/>
          </w:tcPr>
          <w:p>
            <w:pPr>
              <w:pStyle w:val="TableContents"/>
              <w:spacing w:before="0" w:after="283"/>
              <w:jc w:val="left"/>
              <w:rPr/>
            </w:pPr>
            <w:r>
              <w:rPr/>
              <w:t> </w:t>
            </w:r>
          </w:p>
        </w:tc>
        <w:tc>
          <w:tcPr>
            <w:tcW w:w="1540" w:type="dxa"/>
            <w:tcBorders/>
            <w:shd w:fill="CCEEFF" w:val="clear"/>
            <w:tcMar>
              <w:bottom w:w="0" w:type="dxa"/>
            </w:tcMar>
            <w:vAlign w:val="center"/>
          </w:tcPr>
          <w:p>
            <w:pPr>
              <w:pStyle w:val="TableContents"/>
              <w:spacing w:before="0" w:after="283"/>
              <w:jc w:val="right"/>
              <w:rPr/>
            </w:pPr>
            <w:r>
              <w:rPr/>
              <w:t>—  </w:t>
            </w:r>
          </w:p>
        </w:tc>
        <w:tc>
          <w:tcPr>
            <w:tcW w:w="243"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9" w:type="dxa"/>
            <w:tcBorders/>
            <w:shd w:fill="CCEEFF" w:val="clear"/>
            <w:tcMar>
              <w:bottom w:w="0" w:type="dxa"/>
            </w:tcMar>
            <w:vAlign w:val="center"/>
          </w:tcPr>
          <w:p>
            <w:pPr>
              <w:pStyle w:val="TableContents"/>
              <w:spacing w:before="0" w:after="283"/>
              <w:jc w:val="left"/>
              <w:rPr/>
            </w:pPr>
            <w:r>
              <w:rPr/>
              <w:t> </w:t>
            </w:r>
          </w:p>
        </w:tc>
        <w:tc>
          <w:tcPr>
            <w:tcW w:w="969" w:type="dxa"/>
            <w:tcBorders/>
            <w:shd w:fill="CCEEFF" w:val="clear"/>
            <w:tcMar>
              <w:bottom w:w="0" w:type="dxa"/>
            </w:tcMar>
            <w:vAlign w:val="center"/>
          </w:tcPr>
          <w:p>
            <w:pPr>
              <w:pStyle w:val="TableContents"/>
              <w:spacing w:before="0" w:after="283"/>
              <w:jc w:val="right"/>
              <w:rPr/>
            </w:pPr>
            <w:r>
              <w:rPr/>
              <w:t>—  </w:t>
            </w:r>
          </w:p>
        </w:tc>
        <w:tc>
          <w:tcPr>
            <w:tcW w:w="8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95" w:type="dxa"/>
            <w:tcBorders/>
            <w:shd w:fill="CCEEFF" w:val="clear"/>
            <w:tcMar>
              <w:bottom w:w="0" w:type="dxa"/>
            </w:tcMar>
            <w:vAlign w:val="center"/>
          </w:tcPr>
          <w:p>
            <w:pPr>
              <w:pStyle w:val="TableContents"/>
              <w:spacing w:before="0" w:after="283"/>
              <w:jc w:val="left"/>
              <w:rPr/>
            </w:pPr>
            <w:r>
              <w:rPr/>
              <w:t> </w:t>
            </w:r>
          </w:p>
        </w:tc>
        <w:tc>
          <w:tcPr>
            <w:tcW w:w="1441" w:type="dxa"/>
            <w:tcBorders/>
            <w:shd w:fill="CCEEFF" w:val="clear"/>
            <w:tcMar>
              <w:bottom w:w="0" w:type="dxa"/>
            </w:tcMar>
            <w:vAlign w:val="center"/>
          </w:tcPr>
          <w:p>
            <w:pPr>
              <w:pStyle w:val="TableContents"/>
              <w:spacing w:before="0" w:after="283"/>
              <w:jc w:val="right"/>
              <w:rPr/>
            </w:pPr>
            <w:r>
              <w:rPr/>
              <w:t>—  </w:t>
            </w:r>
          </w:p>
        </w:tc>
        <w:tc>
          <w:tcPr>
            <w:tcW w:w="12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06" w:type="dxa"/>
            <w:tcBorders/>
            <w:shd w:fill="CCEEFF" w:val="clear"/>
            <w:tcMar>
              <w:bottom w:w="0" w:type="dxa"/>
            </w:tcMar>
            <w:vAlign w:val="center"/>
          </w:tcPr>
          <w:p>
            <w:pPr>
              <w:pStyle w:val="TableContents"/>
              <w:spacing w:before="0" w:after="283"/>
              <w:jc w:val="left"/>
              <w:rPr/>
            </w:pPr>
            <w:r>
              <w:rPr/>
              <w:t> </w:t>
            </w:r>
          </w:p>
        </w:tc>
        <w:tc>
          <w:tcPr>
            <w:tcW w:w="1185" w:type="dxa"/>
            <w:tcBorders/>
            <w:shd w:fill="CCEEFF" w:val="clear"/>
            <w:tcMar>
              <w:bottom w:w="0" w:type="dxa"/>
            </w:tcMar>
            <w:vAlign w:val="center"/>
          </w:tcPr>
          <w:p>
            <w:pPr>
              <w:pStyle w:val="TableContents"/>
              <w:spacing w:before="0" w:after="283"/>
              <w:jc w:val="right"/>
              <w:rPr/>
            </w:pPr>
            <w:r>
              <w:rPr/>
              <w:t>—  </w:t>
            </w:r>
          </w:p>
        </w:tc>
        <w:tc>
          <w:tcPr>
            <w:tcW w:w="120" w:type="dxa"/>
            <w:tcBorders/>
            <w:shd w:fill="CCEEFF" w:val="clear"/>
            <w:tcMar>
              <w:bottom w:w="0" w:type="dxa"/>
            </w:tcMar>
            <w:vAlign w:val="center"/>
          </w:tcPr>
          <w:p>
            <w:pPr>
              <w:pStyle w:val="TableContents"/>
              <w:spacing w:before="0" w:after="283"/>
              <w:jc w:val="left"/>
              <w:rPr/>
            </w:pPr>
            <w:r>
              <w:rPr/>
              <w:t> </w:t>
            </w:r>
          </w:p>
        </w:tc>
      </w:tr>
    </w:tbl>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tab/>
        <w:t>      The amounts in this column are voluntary deductions from salary and cash incentive awards by the named executive officers.</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tab/>
        <w:t>      We make no contribution to the executive deferred compensation plan.</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tab/>
        <w:t>      We credit the accounts under the terms of the plan with an interest rate that is equal to our long-term cost of borrowing plus 1%. The amounts shown include the following amounts exceeding 120% of the applicable federal rate and reported as compensation to the following named executive officers in the Summary Compensation Table: Mr. Jaffee $9,322, Mr. Smith $6,185 and Mr. Cofsky $8,093.</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400" w:after="200"/>
        <w:ind w:left="400" w:right="400" w:hanging="0"/>
        <w:jc w:val="center"/>
        <w:rPr>
          <w:rFonts w:ascii="Times New Roman;Times;Serif" w:hAnsi="Times New Roman;Times;Serif"/>
          <w:b/>
          <w:i w:val="false"/>
          <w:caps w:val="false"/>
          <w:smallCaps w:val="false"/>
          <w:sz w:val="20"/>
        </w:rPr>
      </w:pPr>
      <w:bookmarkStart w:id="38" w:name="equity_comp"/>
      <w:bookmarkEnd w:id="38"/>
      <w:r>
        <w:rPr>
          <w:rFonts w:ascii="Times New Roman;Times;Serif" w:hAnsi="Times New Roman;Times;Serif"/>
          <w:b/>
          <w:i w:val="false"/>
          <w:caps w:val="false"/>
          <w:smallCaps w:val="false"/>
          <w:sz w:val="20"/>
        </w:rPr>
        <w:t>Equity Compensation Plans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our equity compensation plans and stock that may be issued upon the exercise of options and rights that have been or may be granted to employees or members of our Board of Directors under those plans as of July 31, 2014.</w:t>
      </w:r>
    </w:p>
    <w:tbl>
      <w:tblPr>
        <w:tblW w:w="10205" w:type="dxa"/>
        <w:jc w:val="left"/>
        <w:tblInd w:w="0" w:type="dxa"/>
        <w:tblCellMar>
          <w:top w:w="0" w:type="dxa"/>
          <w:left w:w="0" w:type="dxa"/>
          <w:bottom w:w="28" w:type="dxa"/>
          <w:right w:w="0" w:type="dxa"/>
        </w:tblCellMar>
      </w:tblPr>
      <w:tblGrid>
        <w:gridCol w:w="1996"/>
        <w:gridCol w:w="60"/>
        <w:gridCol w:w="104"/>
        <w:gridCol w:w="1186"/>
        <w:gridCol w:w="104"/>
        <w:gridCol w:w="104"/>
        <w:gridCol w:w="1615"/>
        <w:gridCol w:w="60"/>
        <w:gridCol w:w="393"/>
        <w:gridCol w:w="1573"/>
        <w:gridCol w:w="169"/>
        <w:gridCol w:w="60"/>
        <w:gridCol w:w="2781"/>
      </w:tblGrid>
      <w:tr>
        <w:trPr/>
        <w:tc>
          <w:tcPr>
            <w:tcW w:w="1996" w:type="dxa"/>
            <w:tcBorders>
              <w:bottom w:val="single" w:sz="8" w:space="0" w:color="000000"/>
            </w:tcBorders>
            <w:shd w:fill="auto" w:val="clear"/>
            <w:vAlign w:val="center"/>
          </w:tcPr>
          <w:p>
            <w:pPr>
              <w:pStyle w:val="TableContents"/>
              <w:spacing w:before="0" w:after="283"/>
              <w:jc w:val="left"/>
              <w:rPr>
                <w:b/>
              </w:rPr>
            </w:pPr>
            <w:r>
              <w:rPr>
                <w:b/>
              </w:rPr>
              <w:t>Plan Category</w:t>
            </w:r>
          </w:p>
        </w:tc>
        <w:tc>
          <w:tcPr>
            <w:tcW w:w="60" w:type="dxa"/>
            <w:tcBorders>
              <w:bottom w:val="single" w:sz="8" w:space="0" w:color="000000"/>
            </w:tcBorders>
            <w:shd w:fill="auto" w:val="clear"/>
            <w:vAlign w:val="center"/>
          </w:tcPr>
          <w:p>
            <w:pPr>
              <w:pStyle w:val="TableContents"/>
              <w:spacing w:before="0" w:after="283"/>
              <w:rPr/>
            </w:pPr>
            <w:r>
              <w:rPr/>
              <w:t> </w:t>
            </w:r>
          </w:p>
        </w:tc>
        <w:tc>
          <w:tcPr>
            <w:tcW w:w="3113" w:type="dxa"/>
            <w:gridSpan w:val="5"/>
            <w:tcBorders>
              <w:bottom w:val="single" w:sz="8" w:space="0" w:color="000000"/>
            </w:tcBorders>
            <w:shd w:fill="auto" w:val="clear"/>
            <w:vAlign w:val="center"/>
          </w:tcPr>
          <w:p>
            <w:pPr>
              <w:pStyle w:val="TableContents"/>
              <w:spacing w:before="0" w:after="283"/>
              <w:jc w:val="center"/>
              <w:rPr>
                <w:b/>
              </w:rPr>
            </w:pPr>
            <w:r>
              <w:rPr>
                <w:b/>
              </w:rPr>
              <w:t xml:space="preserve">Number of Shares of Stock to </w:t>
              <w:br/>
              <w:t xml:space="preserve">be Issued Upon Exercise of </w:t>
              <w:br/>
              <w:t>Outstanding Options</w:t>
            </w:r>
          </w:p>
        </w:tc>
        <w:tc>
          <w:tcPr>
            <w:tcW w:w="60" w:type="dxa"/>
            <w:tcBorders>
              <w:bottom w:val="single" w:sz="8" w:space="0" w:color="000000"/>
            </w:tcBorders>
            <w:shd w:fill="auto" w:val="clear"/>
            <w:vAlign w:val="center"/>
          </w:tcPr>
          <w:p>
            <w:pPr>
              <w:pStyle w:val="TableContents"/>
              <w:spacing w:before="0" w:after="283"/>
              <w:rPr/>
            </w:pPr>
            <w:r>
              <w:rPr/>
              <w:t> </w:t>
            </w:r>
          </w:p>
        </w:tc>
        <w:tc>
          <w:tcPr>
            <w:tcW w:w="2135" w:type="dxa"/>
            <w:gridSpan w:val="3"/>
            <w:tcBorders>
              <w:bottom w:val="single" w:sz="8" w:space="0" w:color="000000"/>
            </w:tcBorders>
            <w:shd w:fill="auto" w:val="clear"/>
            <w:vAlign w:val="center"/>
          </w:tcPr>
          <w:p>
            <w:pPr>
              <w:pStyle w:val="TableContents"/>
              <w:spacing w:before="0" w:after="283"/>
              <w:jc w:val="center"/>
              <w:rPr>
                <w:b/>
              </w:rPr>
            </w:pPr>
            <w:r>
              <w:rPr>
                <w:b/>
              </w:rPr>
              <w:t>Weighted Average</w:t>
              <w:br/>
              <w:t>Exercise Price of</w:t>
              <w:br/>
              <w:t>Outstanding Options</w:t>
            </w:r>
          </w:p>
        </w:tc>
        <w:tc>
          <w:tcPr>
            <w:tcW w:w="60" w:type="dxa"/>
            <w:tcBorders>
              <w:bottom w:val="single" w:sz="8" w:space="0" w:color="000000"/>
            </w:tcBorders>
            <w:shd w:fill="auto" w:val="clear"/>
            <w:vAlign w:val="center"/>
          </w:tcPr>
          <w:p>
            <w:pPr>
              <w:pStyle w:val="TableContents"/>
              <w:spacing w:before="0" w:after="283"/>
              <w:rPr/>
            </w:pPr>
            <w:r>
              <w:rPr/>
              <w:t> </w:t>
            </w:r>
          </w:p>
        </w:tc>
        <w:tc>
          <w:tcPr>
            <w:tcW w:w="2781" w:type="dxa"/>
            <w:tcBorders>
              <w:bottom w:val="single" w:sz="8" w:space="0" w:color="000000"/>
            </w:tcBorders>
            <w:shd w:fill="auto" w:val="clear"/>
            <w:vAlign w:val="center"/>
          </w:tcPr>
          <w:p>
            <w:pPr>
              <w:pStyle w:val="TableContents"/>
              <w:spacing w:before="0" w:after="283"/>
              <w:jc w:val="center"/>
              <w:rPr>
                <w:b/>
              </w:rPr>
            </w:pPr>
            <w:r>
              <w:rPr>
                <w:b/>
              </w:rPr>
              <w:t>Number of Shares of Stock</w:t>
              <w:br/>
              <w:t>Remaining Available for</w:t>
              <w:br/>
              <w:t xml:space="preserve">Future Issuance Under </w:t>
              <w:br/>
              <w:t>Equity Compensation</w:t>
              <w:br/>
              <w:t>Plans (excluding those</w:t>
              <w:br/>
              <w:t>listed in the first column)</w:t>
            </w:r>
          </w:p>
        </w:tc>
      </w:tr>
      <w:tr>
        <w:trPr/>
        <w:tc>
          <w:tcPr>
            <w:tcW w:w="1996" w:type="dxa"/>
            <w:tcBorders/>
            <w:shd w:fill="CCEEFF" w:val="clear"/>
            <w:tcMar>
              <w:bottom w:w="0" w:type="dxa"/>
            </w:tcMar>
            <w:vAlign w:val="center"/>
          </w:tcPr>
          <w:p>
            <w:pPr>
              <w:pStyle w:val="TableContents"/>
              <w:spacing w:before="0" w:after="283"/>
              <w:jc w:val="left"/>
              <w:rPr/>
            </w:pPr>
            <w:r>
              <w:rPr/>
              <w:t>Equity Compensation Plan Approved by our Stockholders (1)</w:t>
            </w:r>
          </w:p>
        </w:tc>
        <w:tc>
          <w:tcPr>
            <w:tcW w:w="60" w:type="dxa"/>
            <w:tcBorders/>
            <w:shd w:fill="CCEEFF" w:val="clear"/>
            <w:tcMar>
              <w:bottom w:w="0" w:type="dxa"/>
            </w:tcMar>
            <w:vAlign w:val="center"/>
          </w:tcPr>
          <w:p>
            <w:pPr>
              <w:pStyle w:val="TableContents"/>
              <w:spacing w:before="0" w:after="283"/>
              <w:rPr/>
            </w:pPr>
            <w:r>
              <w:rPr/>
              <w:t> </w:t>
            </w:r>
          </w:p>
        </w:tc>
        <w:tc>
          <w:tcPr>
            <w:tcW w:w="104" w:type="dxa"/>
            <w:tcBorders/>
            <w:shd w:fill="CCEEFF" w:val="clear"/>
            <w:tcMar>
              <w:bottom w:w="0" w:type="dxa"/>
            </w:tcMar>
            <w:vAlign w:val="center"/>
          </w:tcPr>
          <w:p>
            <w:pPr>
              <w:pStyle w:val="TableContents"/>
              <w:spacing w:before="0" w:after="283"/>
              <w:jc w:val="left"/>
              <w:rPr/>
            </w:pPr>
            <w:r>
              <w:rPr/>
              <w:t> </w:t>
            </w:r>
          </w:p>
        </w:tc>
        <w:tc>
          <w:tcPr>
            <w:tcW w:w="1186" w:type="dxa"/>
            <w:tcBorders/>
            <w:shd w:fill="CCEEFF" w:val="clear"/>
            <w:tcMar>
              <w:bottom w:w="0" w:type="dxa"/>
            </w:tcMar>
            <w:vAlign w:val="center"/>
          </w:tcPr>
          <w:p>
            <w:pPr>
              <w:pStyle w:val="TableContents"/>
              <w:spacing w:before="0" w:after="283"/>
              <w:jc w:val="right"/>
              <w:rPr/>
            </w:pPr>
            <w:r>
              <w:rPr/>
              <w:t>44,500</w:t>
            </w:r>
          </w:p>
        </w:tc>
        <w:tc>
          <w:tcPr>
            <w:tcW w:w="104" w:type="dxa"/>
            <w:tcBorders/>
            <w:shd w:fill="CCEEFF" w:val="clear"/>
            <w:tcMar>
              <w:bottom w:w="0" w:type="dxa"/>
            </w:tcMar>
            <w:vAlign w:val="center"/>
          </w:tcPr>
          <w:p>
            <w:pPr>
              <w:pStyle w:val="TableContents"/>
              <w:spacing w:before="0" w:after="283"/>
              <w:jc w:val="left"/>
              <w:rPr/>
            </w:pPr>
            <w:r>
              <w:rPr/>
              <w:t> </w:t>
            </w:r>
          </w:p>
        </w:tc>
        <w:tc>
          <w:tcPr>
            <w:tcW w:w="104" w:type="dxa"/>
            <w:tcBorders/>
            <w:shd w:fill="CCEEFF" w:val="clear"/>
            <w:tcMar>
              <w:bottom w:w="0" w:type="dxa"/>
            </w:tcMar>
            <w:vAlign w:val="center"/>
          </w:tcPr>
          <w:p>
            <w:pPr>
              <w:pStyle w:val="TableContents"/>
              <w:spacing w:before="0" w:after="283"/>
              <w:rPr/>
            </w:pPr>
            <w:r>
              <w:rPr/>
              <w:t> </w:t>
            </w:r>
          </w:p>
        </w:tc>
        <w:tc>
          <w:tcPr>
            <w:tcW w:w="1615" w:type="dxa"/>
            <w:tcBorders/>
            <w:shd w:fill="CCEEFF" w:val="clear"/>
            <w:tcMar>
              <w:bottom w:w="0" w:type="dxa"/>
            </w:tcMar>
            <w:vAlign w:val="center"/>
          </w:tcPr>
          <w:p>
            <w:pPr>
              <w:pStyle w:val="TableContents"/>
              <w:spacing w:before="0" w:after="283"/>
              <w:jc w:val="left"/>
              <w:rPr/>
            </w:pPr>
            <w:r>
              <w:rPr/>
              <w:t>Common Stock (2)</w:t>
            </w:r>
          </w:p>
        </w:tc>
        <w:tc>
          <w:tcPr>
            <w:tcW w:w="60" w:type="dxa"/>
            <w:tcBorders/>
            <w:shd w:fill="CCEEFF" w:val="clear"/>
            <w:tcMar>
              <w:bottom w:w="0" w:type="dxa"/>
            </w:tcMar>
            <w:vAlign w:val="center"/>
          </w:tcPr>
          <w:p>
            <w:pPr>
              <w:pStyle w:val="TableContents"/>
              <w:spacing w:before="0" w:after="283"/>
              <w:rPr/>
            </w:pPr>
            <w:r>
              <w:rPr/>
              <w:t> </w:t>
            </w:r>
          </w:p>
        </w:tc>
        <w:tc>
          <w:tcPr>
            <w:tcW w:w="393" w:type="dxa"/>
            <w:tcBorders/>
            <w:shd w:fill="CCEEFF" w:val="clear"/>
            <w:tcMar>
              <w:bottom w:w="0" w:type="dxa"/>
            </w:tcMar>
            <w:vAlign w:val="center"/>
          </w:tcPr>
          <w:p>
            <w:pPr>
              <w:pStyle w:val="TableContents"/>
              <w:spacing w:before="0" w:after="283"/>
              <w:jc w:val="left"/>
              <w:rPr/>
            </w:pPr>
            <w:r>
              <w:rPr/>
              <w:t>$</w:t>
            </w:r>
          </w:p>
        </w:tc>
        <w:tc>
          <w:tcPr>
            <w:tcW w:w="1573" w:type="dxa"/>
            <w:tcBorders/>
            <w:shd w:fill="CCEEFF" w:val="clear"/>
            <w:tcMar>
              <w:bottom w:w="0" w:type="dxa"/>
            </w:tcMar>
            <w:vAlign w:val="center"/>
          </w:tcPr>
          <w:p>
            <w:pPr>
              <w:pStyle w:val="TableContents"/>
              <w:spacing w:before="0" w:after="283"/>
              <w:jc w:val="right"/>
              <w:rPr/>
            </w:pPr>
            <w:r>
              <w:rPr/>
              <w:t>15.43</w:t>
            </w:r>
          </w:p>
        </w:tc>
        <w:tc>
          <w:tcPr>
            <w:tcW w:w="169"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781" w:type="dxa"/>
            <w:tcBorders/>
            <w:shd w:fill="CCEEFF" w:val="clear"/>
            <w:tcMar>
              <w:bottom w:w="0" w:type="dxa"/>
            </w:tcMar>
            <w:vAlign w:val="center"/>
          </w:tcPr>
          <w:p>
            <w:pPr>
              <w:pStyle w:val="TableContents"/>
              <w:spacing w:before="0" w:after="283"/>
              <w:jc w:val="right"/>
              <w:rPr/>
            </w:pPr>
            <w:r>
              <w:rPr/>
              <w:t>552,304</w:t>
              <w:tab/>
              <w:t>(3)</w:t>
            </w:r>
          </w:p>
        </w:tc>
      </w:tr>
      <w:tr>
        <w:trPr/>
        <w:tc>
          <w:tcPr>
            <w:tcW w:w="1996"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4" w:type="dxa"/>
            <w:tcBorders/>
            <w:shd w:fill="FFFFFF" w:val="clear"/>
            <w:tcMar>
              <w:bottom w:w="0" w:type="dxa"/>
            </w:tcMar>
            <w:vAlign w:val="center"/>
          </w:tcPr>
          <w:p>
            <w:pPr>
              <w:pStyle w:val="TableContents"/>
              <w:spacing w:before="0" w:after="283"/>
              <w:jc w:val="left"/>
              <w:rPr/>
            </w:pPr>
            <w:r>
              <w:rPr/>
              <w:t> </w:t>
            </w:r>
          </w:p>
        </w:tc>
        <w:tc>
          <w:tcPr>
            <w:tcW w:w="1186" w:type="dxa"/>
            <w:tcBorders/>
            <w:shd w:fill="FFFFFF" w:val="clear"/>
            <w:tcMar>
              <w:bottom w:w="0" w:type="dxa"/>
            </w:tcMar>
            <w:vAlign w:val="center"/>
          </w:tcPr>
          <w:p>
            <w:pPr>
              <w:pStyle w:val="TableContents"/>
              <w:spacing w:before="0" w:after="283"/>
              <w:jc w:val="right"/>
              <w:rPr/>
            </w:pPr>
            <w:r>
              <w:rPr/>
              <w:t> </w:t>
            </w:r>
          </w:p>
        </w:tc>
        <w:tc>
          <w:tcPr>
            <w:tcW w:w="104" w:type="dxa"/>
            <w:tcBorders/>
            <w:shd w:fill="FFFFFF" w:val="clear"/>
            <w:tcMar>
              <w:bottom w:w="0" w:type="dxa"/>
            </w:tcMar>
            <w:vAlign w:val="center"/>
          </w:tcPr>
          <w:p>
            <w:pPr>
              <w:pStyle w:val="TableContents"/>
              <w:spacing w:before="0" w:after="283"/>
              <w:jc w:val="left"/>
              <w:rPr/>
            </w:pPr>
            <w:r>
              <w:rPr/>
              <w:t> </w:t>
            </w:r>
          </w:p>
        </w:tc>
        <w:tc>
          <w:tcPr>
            <w:tcW w:w="104" w:type="dxa"/>
            <w:tcBorders/>
            <w:shd w:fill="FFFFFF" w:val="clear"/>
            <w:tcMar>
              <w:bottom w:w="0" w:type="dxa"/>
            </w:tcMar>
            <w:vAlign w:val="center"/>
          </w:tcPr>
          <w:p>
            <w:pPr>
              <w:pStyle w:val="TableContents"/>
              <w:spacing w:before="0" w:after="283"/>
              <w:rPr/>
            </w:pPr>
            <w:r>
              <w:rPr/>
              <w:t> </w:t>
            </w:r>
          </w:p>
        </w:tc>
        <w:tc>
          <w:tcPr>
            <w:tcW w:w="161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93" w:type="dxa"/>
            <w:tcBorders/>
            <w:shd w:fill="FFFFFF" w:val="clear"/>
            <w:tcMar>
              <w:bottom w:w="0" w:type="dxa"/>
            </w:tcMar>
            <w:vAlign w:val="center"/>
          </w:tcPr>
          <w:p>
            <w:pPr>
              <w:pStyle w:val="TableContents"/>
              <w:spacing w:before="0" w:after="283"/>
              <w:jc w:val="left"/>
              <w:rPr/>
            </w:pPr>
            <w:r>
              <w:rPr/>
              <w:t> </w:t>
            </w:r>
          </w:p>
        </w:tc>
        <w:tc>
          <w:tcPr>
            <w:tcW w:w="1573" w:type="dxa"/>
            <w:tcBorders/>
            <w:shd w:fill="FFFFFF" w:val="clear"/>
            <w:tcMar>
              <w:bottom w:w="0" w:type="dxa"/>
            </w:tcMar>
            <w:vAlign w:val="center"/>
          </w:tcPr>
          <w:p>
            <w:pPr>
              <w:pStyle w:val="TableContents"/>
              <w:spacing w:before="0" w:after="283"/>
              <w:jc w:val="right"/>
              <w:rPr/>
            </w:pPr>
            <w:r>
              <w:rPr/>
              <w:t> </w:t>
            </w:r>
          </w:p>
        </w:tc>
        <w:tc>
          <w:tcPr>
            <w:tcW w:w="169"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781" w:type="dxa"/>
            <w:tcBorders/>
            <w:shd w:fill="FFFFFF" w:val="clear"/>
            <w:tcMar>
              <w:bottom w:w="0" w:type="dxa"/>
            </w:tcMar>
            <w:vAlign w:val="center"/>
          </w:tcPr>
          <w:p>
            <w:pPr>
              <w:pStyle w:val="TableContents"/>
              <w:spacing w:before="0" w:after="283"/>
              <w:rPr/>
            </w:pPr>
            <w:r>
              <w:rPr/>
              <w:t> </w:t>
            </w:r>
          </w:p>
        </w:tc>
      </w:tr>
    </w:tbl>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plan is our 2006 Long Term Incentive Plan.</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Under this plan, awards made to members of the Jaffee family are for shares of Class B Stock. There were no awards to the Jaffee family outstanding as of July 31, 2014. Awards made to other employees or non-employee directors are for shares of Common Stock.</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Prior to issuance of awards under this plan, it is not possible to determine whether awards will be for shares of Common Stock or shares of Class B Stock. Awards made to members of the Jaffee family will be for shares of Class B Stock. Awards made to other employees or non-employee directors will be for shares of Common Stock.</w:t>
      </w:r>
    </w:p>
    <w:p>
      <w:pPr>
        <w:pStyle w:val="TextBody"/>
        <w:spacing w:before="400" w:after="200"/>
        <w:ind w:left="400" w:right="400" w:hanging="0"/>
        <w:jc w:val="center"/>
        <w:rPr>
          <w:rFonts w:ascii="Times New Roman;Times;Serif" w:hAnsi="Times New Roman;Times;Serif"/>
          <w:b/>
          <w:i w:val="false"/>
          <w:caps w:val="false"/>
          <w:smallCaps w:val="false"/>
          <w:sz w:val="20"/>
        </w:rPr>
      </w:pPr>
      <w:bookmarkStart w:id="39" w:name="a_Toc339007578"/>
      <w:bookmarkEnd w:id="39"/>
      <w:r>
        <w:rPr>
          <w:rFonts w:ascii="Times New Roman;Times;Serif" w:hAnsi="Times New Roman;Times;Serif"/>
          <w:b/>
          <w:i w:val="false"/>
          <w:caps w:val="false"/>
          <w:smallCaps w:val="false"/>
          <w:sz w:val="20"/>
        </w:rPr>
        <w:t>Benefits upon Termination or Change in Control</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prospective severance plan that covers any of the named executive officers and generally have no employment or prospective severance agreements with the named executive officers.</w:t>
      </w:r>
    </w:p>
    <w:p>
      <w:pPr>
        <w:pStyle w:val="TextBody"/>
        <w:spacing w:before="0" w:after="1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only other provisions for benefits upon termination of employment or change in control are in existing compensation plans and apply to all participants in those plans.</w:t>
      </w:r>
    </w:p>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Our annual incentive plan provides for immediate vesting and payment, as allowed by law, of a participant’s executive deferred bonus award account upon the participant’s death, disability, retirement with age plus years of service equal to 80 years, or change in control of the Company.</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3" w:type="dxa"/>
            <w:tcBorders/>
            <w:shd w:fill="auto" w:val="clear"/>
            <w:vAlign w:val="center"/>
          </w:tcPr>
          <w:p>
            <w:pPr>
              <w:pStyle w:val="TableContents"/>
              <w:spacing w:before="0" w:after="283"/>
              <w:jc w:val="both"/>
              <w:rPr>
                <w:sz w:val="17"/>
              </w:rPr>
            </w:pPr>
            <w:r>
              <w:rPr>
                <w:sz w:val="17"/>
              </w:rPr>
              <w:t>Our 2006 Long Term Incentive Plan and the agreements issued under it provide for immediate vesting of restricted stock and immediate vesting and exercisability of stock options upon a participant’s death, disability or a change in control of the Company. Upon retirement with age plus years of service equal to 80 years, all stock options become immediately vested and exercisable. Upon any of these termination events, the participant, or his beneficiary in the case of the participant’s death, may exercise any outstanding stock options for a period of three years or until their expiration dates, whichever occurs first.</w:t>
            </w:r>
          </w:p>
        </w:tc>
      </w:tr>
    </w:tbl>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does not include amounts payable to the named executive officers under plans that are generally available on the same basis to all of our salaried employees, such as payments under the pension plan, the 401(k) plan, the life insurance plan, the disability insurance plan and payment of prorated annual incentive compensation. For information regarding pension plan benefits see “Pension Benefits for Fiscal 2014” above.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also does not include balances under our executive deferred compensation plan. Those balances and the circumstances under which the named executive officers may receive distributions from that plan are disclosed in the Nonqualified Deferred Compensation Table and the introduction to that table.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amounts shown assume that each named executive officer’s employment terminated on July 31, 2014, the last day of our most recently completed fiscal year, and when applicable, the closing sale price of our Common Stock on July 31, 2014, the last trading day of fiscal 2014, which was $29.17.</w:t>
      </w:r>
    </w:p>
    <w:tbl>
      <w:tblPr>
        <w:tblW w:w="8513" w:type="dxa"/>
        <w:jc w:val="left"/>
        <w:tblInd w:w="0" w:type="dxa"/>
        <w:tblCellMar>
          <w:top w:w="0" w:type="dxa"/>
          <w:left w:w="0" w:type="dxa"/>
          <w:bottom w:w="28" w:type="dxa"/>
          <w:right w:w="0" w:type="dxa"/>
        </w:tblCellMar>
      </w:tblPr>
      <w:tblGrid>
        <w:gridCol w:w="3515"/>
        <w:gridCol w:w="60"/>
        <w:gridCol w:w="256"/>
        <w:gridCol w:w="1468"/>
        <w:gridCol w:w="110"/>
        <w:gridCol w:w="60"/>
        <w:gridCol w:w="212"/>
        <w:gridCol w:w="1486"/>
        <w:gridCol w:w="91"/>
        <w:gridCol w:w="60"/>
        <w:gridCol w:w="140"/>
        <w:gridCol w:w="980"/>
        <w:gridCol w:w="75"/>
      </w:tblGrid>
      <w:tr>
        <w:trPr/>
        <w:tc>
          <w:tcPr>
            <w:tcW w:w="3515" w:type="dxa"/>
            <w:tcBorders>
              <w:bottom w:val="single" w:sz="8" w:space="0" w:color="000000"/>
            </w:tcBorders>
            <w:shd w:fill="auto" w:val="clear"/>
            <w:vAlign w:val="center"/>
          </w:tcPr>
          <w:p>
            <w:pPr>
              <w:pStyle w:val="TableContents"/>
              <w:spacing w:before="0" w:after="283"/>
              <w:jc w:val="left"/>
              <w:rPr>
                <w:b/>
              </w:rPr>
            </w:pPr>
            <w:r>
              <w:rPr>
                <w:b/>
              </w:rPr>
              <w:t>Name</w:t>
            </w:r>
          </w:p>
        </w:tc>
        <w:tc>
          <w:tcPr>
            <w:tcW w:w="60" w:type="dxa"/>
            <w:tcBorders>
              <w:bottom w:val="single" w:sz="8" w:space="0" w:color="000000"/>
            </w:tcBorders>
            <w:shd w:fill="auto" w:val="clear"/>
            <w:vAlign w:val="center"/>
          </w:tcPr>
          <w:p>
            <w:pPr>
              <w:pStyle w:val="TableContents"/>
              <w:spacing w:before="0" w:after="283"/>
              <w:rPr/>
            </w:pPr>
            <w:r>
              <w:rPr/>
              <w:t> </w:t>
            </w:r>
          </w:p>
        </w:tc>
        <w:tc>
          <w:tcPr>
            <w:tcW w:w="1834" w:type="dxa"/>
            <w:gridSpan w:val="3"/>
            <w:tcBorders>
              <w:bottom w:val="single" w:sz="8" w:space="0" w:color="000000"/>
            </w:tcBorders>
            <w:shd w:fill="auto" w:val="clear"/>
            <w:vAlign w:val="center"/>
          </w:tcPr>
          <w:p>
            <w:pPr>
              <w:pStyle w:val="TableContents"/>
              <w:spacing w:before="0" w:after="283"/>
              <w:jc w:val="center"/>
              <w:rPr>
                <w:b/>
              </w:rPr>
            </w:pPr>
            <w:r>
              <w:rPr>
                <w:b/>
              </w:rPr>
              <w:t xml:space="preserve">Annual Incentive </w:t>
              <w:br/>
              <w:t xml:space="preserve">Plan Deferred </w:t>
              <w:br/>
              <w:t xml:space="preserve">Bonus Account </w:t>
              <w:br/>
              <w:t xml:space="preserve">($) </w:t>
              <w:br/>
              <w:t>(1)</w:t>
            </w:r>
          </w:p>
        </w:tc>
        <w:tc>
          <w:tcPr>
            <w:tcW w:w="60" w:type="dxa"/>
            <w:tcBorders>
              <w:bottom w:val="single" w:sz="8" w:space="0" w:color="000000"/>
            </w:tcBorders>
            <w:shd w:fill="auto" w:val="clear"/>
            <w:vAlign w:val="center"/>
          </w:tcPr>
          <w:p>
            <w:pPr>
              <w:pStyle w:val="TableContents"/>
              <w:spacing w:before="0" w:after="283"/>
              <w:rPr/>
            </w:pPr>
            <w:r>
              <w:rPr/>
              <w:t> </w:t>
            </w:r>
          </w:p>
        </w:tc>
        <w:tc>
          <w:tcPr>
            <w:tcW w:w="1789" w:type="dxa"/>
            <w:gridSpan w:val="3"/>
            <w:tcBorders>
              <w:bottom w:val="single" w:sz="8" w:space="0" w:color="000000"/>
            </w:tcBorders>
            <w:shd w:fill="auto" w:val="clear"/>
            <w:vAlign w:val="center"/>
          </w:tcPr>
          <w:p>
            <w:pPr>
              <w:pStyle w:val="TableContents"/>
              <w:spacing w:before="0" w:after="283"/>
              <w:jc w:val="center"/>
              <w:rPr>
                <w:b/>
              </w:rPr>
            </w:pPr>
            <w:r>
              <w:rPr>
                <w:b/>
              </w:rPr>
              <w:t xml:space="preserve">2006 Long Term </w:t>
              <w:br/>
              <w:t xml:space="preserve">Incentive Plan </w:t>
              <w:br/>
              <w:t xml:space="preserve">($) </w:t>
              <w:br/>
              <w:t>(2)</w:t>
            </w:r>
          </w:p>
        </w:tc>
        <w:tc>
          <w:tcPr>
            <w:tcW w:w="60" w:type="dxa"/>
            <w:tcBorders>
              <w:bottom w:val="single" w:sz="8" w:space="0" w:color="000000"/>
            </w:tcBorders>
            <w:shd w:fill="auto" w:val="clear"/>
            <w:vAlign w:val="center"/>
          </w:tcPr>
          <w:p>
            <w:pPr>
              <w:pStyle w:val="TableContents"/>
              <w:spacing w:before="0" w:after="283"/>
              <w:rPr/>
            </w:pPr>
            <w:r>
              <w:rPr/>
              <w:t> </w:t>
            </w:r>
          </w:p>
        </w:tc>
        <w:tc>
          <w:tcPr>
            <w:tcW w:w="1195" w:type="dxa"/>
            <w:gridSpan w:val="3"/>
            <w:tcBorders>
              <w:bottom w:val="single" w:sz="8" w:space="0" w:color="000000"/>
            </w:tcBorders>
            <w:shd w:fill="auto" w:val="clear"/>
            <w:vAlign w:val="center"/>
          </w:tcPr>
          <w:p>
            <w:pPr>
              <w:pStyle w:val="TableContents"/>
              <w:spacing w:before="0" w:after="283"/>
              <w:jc w:val="center"/>
              <w:rPr>
                <w:b/>
              </w:rPr>
            </w:pPr>
            <w:r>
              <w:rPr>
                <w:b/>
              </w:rPr>
              <w:t xml:space="preserve">Total </w:t>
              <w:br/>
              <w:t>($)</w:t>
            </w:r>
          </w:p>
        </w:tc>
      </w:tr>
      <w:tr>
        <w:trPr/>
        <w:tc>
          <w:tcPr>
            <w:tcW w:w="3515" w:type="dxa"/>
            <w:tcBorders/>
            <w:shd w:fill="auto" w:val="clear"/>
            <w:tcMar>
              <w:bottom w:w="0" w:type="dxa"/>
            </w:tcMar>
            <w:vAlign w:val="center"/>
          </w:tcPr>
          <w:p>
            <w:pPr>
              <w:pStyle w:val="TableContents"/>
              <w:spacing w:before="0" w:after="283"/>
              <w:jc w:val="left"/>
              <w:rPr/>
            </w:pPr>
            <w:r>
              <w:rPr/>
              <w:t>Daniel S. Jaffee</w:t>
            </w:r>
          </w:p>
        </w:tc>
        <w:tc>
          <w:tcPr>
            <w:tcW w:w="60" w:type="dxa"/>
            <w:tcBorders/>
            <w:shd w:fill="auto" w:val="clear"/>
            <w:tcMar>
              <w:bottom w:w="0" w:type="dxa"/>
            </w:tcMar>
            <w:vAlign w:val="center"/>
          </w:tcPr>
          <w:p>
            <w:pPr>
              <w:pStyle w:val="TableContents"/>
              <w:spacing w:before="0" w:after="283"/>
              <w:rPr/>
            </w:pPr>
            <w:r>
              <w:rPr/>
              <w:t> </w:t>
            </w:r>
          </w:p>
        </w:tc>
        <w:tc>
          <w:tcPr>
            <w:tcW w:w="256" w:type="dxa"/>
            <w:tcBorders/>
            <w:shd w:fill="auto" w:val="clear"/>
            <w:tcMar>
              <w:bottom w:w="0" w:type="dxa"/>
            </w:tcMar>
            <w:vAlign w:val="center"/>
          </w:tcPr>
          <w:p>
            <w:pPr>
              <w:pStyle w:val="TableContents"/>
              <w:spacing w:before="0" w:after="283"/>
              <w:jc w:val="left"/>
              <w:rPr/>
            </w:pPr>
            <w:r>
              <w:rPr/>
              <w:t> </w:t>
            </w:r>
          </w:p>
        </w:tc>
        <w:tc>
          <w:tcPr>
            <w:tcW w:w="1468" w:type="dxa"/>
            <w:tcBorders/>
            <w:shd w:fill="auto" w:val="clear"/>
            <w:tcMar>
              <w:bottom w:w="0" w:type="dxa"/>
            </w:tcMar>
            <w:vAlign w:val="center"/>
          </w:tcPr>
          <w:p>
            <w:pPr>
              <w:pStyle w:val="TableContents"/>
              <w:spacing w:before="0" w:after="283"/>
              <w:jc w:val="right"/>
              <w:rPr/>
            </w:pPr>
            <w:r>
              <w:rPr/>
              <w:t> </w:t>
            </w:r>
          </w:p>
        </w:tc>
        <w:tc>
          <w:tcPr>
            <w:tcW w:w="11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12" w:type="dxa"/>
            <w:tcBorders/>
            <w:shd w:fill="auto" w:val="clear"/>
            <w:tcMar>
              <w:bottom w:w="0" w:type="dxa"/>
            </w:tcMar>
            <w:vAlign w:val="center"/>
          </w:tcPr>
          <w:p>
            <w:pPr>
              <w:pStyle w:val="TableContents"/>
              <w:spacing w:before="0" w:after="283"/>
              <w:jc w:val="left"/>
              <w:rPr/>
            </w:pPr>
            <w:r>
              <w:rPr/>
              <w:t> </w:t>
            </w:r>
          </w:p>
        </w:tc>
        <w:tc>
          <w:tcPr>
            <w:tcW w:w="1486" w:type="dxa"/>
            <w:tcBorders/>
            <w:shd w:fill="auto" w:val="clear"/>
            <w:tcMar>
              <w:bottom w:w="0" w:type="dxa"/>
            </w:tcMar>
            <w:vAlign w:val="center"/>
          </w:tcPr>
          <w:p>
            <w:pPr>
              <w:pStyle w:val="TableContents"/>
              <w:spacing w:before="0" w:after="283"/>
              <w:jc w:val="right"/>
              <w:rPr/>
            </w:pPr>
            <w:r>
              <w:rPr/>
              <w:t> </w:t>
            </w:r>
          </w:p>
        </w:tc>
        <w:tc>
          <w:tcPr>
            <w:tcW w:w="91"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980"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r>
        <w:trPr/>
        <w:tc>
          <w:tcPr>
            <w:tcW w:w="3515" w:type="dxa"/>
            <w:tcBorders/>
            <w:shd w:fill="CCEEFF" w:val="clear"/>
            <w:tcMar>
              <w:bottom w:w="0" w:type="dxa"/>
            </w:tcMar>
            <w:vAlign w:val="center"/>
          </w:tcPr>
          <w:p>
            <w:pPr>
              <w:pStyle w:val="TableContents"/>
              <w:spacing w:before="0" w:after="283"/>
              <w:jc w:val="left"/>
              <w:rPr/>
            </w:pPr>
            <w:r>
              <w:rPr/>
              <w:t>Change in Control, Death, Disability</w:t>
            </w:r>
          </w:p>
        </w:tc>
        <w:tc>
          <w:tcPr>
            <w:tcW w:w="60" w:type="dxa"/>
            <w:tcBorders/>
            <w:shd w:fill="CCEEFF" w:val="clear"/>
            <w:tcMar>
              <w:bottom w:w="0" w:type="dxa"/>
            </w:tcMar>
            <w:vAlign w:val="center"/>
          </w:tcPr>
          <w:p>
            <w:pPr>
              <w:pStyle w:val="TableContents"/>
              <w:spacing w:before="0" w:after="283"/>
              <w:rPr/>
            </w:pPr>
            <w:r>
              <w:rPr/>
              <w:t> </w:t>
            </w:r>
          </w:p>
        </w:tc>
        <w:tc>
          <w:tcPr>
            <w:tcW w:w="256" w:type="dxa"/>
            <w:tcBorders/>
            <w:shd w:fill="CCEEFF" w:val="clear"/>
            <w:tcMar>
              <w:bottom w:w="0" w:type="dxa"/>
            </w:tcMar>
            <w:vAlign w:val="center"/>
          </w:tcPr>
          <w:p>
            <w:pPr>
              <w:pStyle w:val="TableContents"/>
              <w:spacing w:before="0" w:after="283"/>
              <w:jc w:val="left"/>
              <w:rPr/>
            </w:pPr>
            <w:r>
              <w:rPr/>
              <w:t> </w:t>
            </w:r>
          </w:p>
        </w:tc>
        <w:tc>
          <w:tcPr>
            <w:tcW w:w="1468" w:type="dxa"/>
            <w:tcBorders/>
            <w:shd w:fill="CCEEFF" w:val="clear"/>
            <w:tcMar>
              <w:bottom w:w="0" w:type="dxa"/>
            </w:tcMar>
            <w:vAlign w:val="center"/>
          </w:tcPr>
          <w:p>
            <w:pPr>
              <w:pStyle w:val="TableContents"/>
              <w:spacing w:before="0" w:after="283"/>
              <w:jc w:val="right"/>
              <w:rPr/>
            </w:pPr>
            <w:r>
              <w:rPr/>
              <w:t>—  </w:t>
            </w:r>
          </w:p>
        </w:tc>
        <w:tc>
          <w:tcPr>
            <w:tcW w:w="11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2" w:type="dxa"/>
            <w:tcBorders/>
            <w:shd w:fill="CCEEFF" w:val="clear"/>
            <w:tcMar>
              <w:bottom w:w="0" w:type="dxa"/>
            </w:tcMar>
            <w:vAlign w:val="center"/>
          </w:tcPr>
          <w:p>
            <w:pPr>
              <w:pStyle w:val="TableContents"/>
              <w:spacing w:before="0" w:after="283"/>
              <w:jc w:val="left"/>
              <w:rPr/>
            </w:pPr>
            <w:r>
              <w:rPr/>
              <w:t>$</w:t>
            </w:r>
          </w:p>
        </w:tc>
        <w:tc>
          <w:tcPr>
            <w:tcW w:w="1486" w:type="dxa"/>
            <w:tcBorders/>
            <w:shd w:fill="CCEEFF" w:val="clear"/>
            <w:tcMar>
              <w:bottom w:w="0" w:type="dxa"/>
            </w:tcMar>
            <w:vAlign w:val="center"/>
          </w:tcPr>
          <w:p>
            <w:pPr>
              <w:pStyle w:val="TableContents"/>
              <w:spacing w:before="0" w:after="283"/>
              <w:jc w:val="right"/>
              <w:rPr/>
            </w:pPr>
            <w:r>
              <w:rPr/>
              <w:t>1,790,921</w:t>
            </w:r>
          </w:p>
        </w:tc>
        <w:tc>
          <w:tcPr>
            <w:tcW w:w="9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1,790,921</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515" w:type="dxa"/>
            <w:tcBorders/>
            <w:shd w:fill="FFFFFF" w:val="clear"/>
            <w:tcMar>
              <w:bottom w:w="0" w:type="dxa"/>
            </w:tcMar>
            <w:vAlign w:val="center"/>
          </w:tcPr>
          <w:p>
            <w:pPr>
              <w:pStyle w:val="TableContents"/>
              <w:spacing w:before="0" w:after="283"/>
              <w:jc w:val="left"/>
              <w:rPr/>
            </w:pPr>
            <w:r>
              <w:rPr/>
              <w:t>Daniel T. Smith</w:t>
            </w:r>
          </w:p>
        </w:tc>
        <w:tc>
          <w:tcPr>
            <w:tcW w:w="60" w:type="dxa"/>
            <w:tcBorders/>
            <w:shd w:fill="FFFFFF" w:val="clear"/>
            <w:tcMar>
              <w:bottom w:w="0" w:type="dxa"/>
            </w:tcMar>
            <w:vAlign w:val="center"/>
          </w:tcPr>
          <w:p>
            <w:pPr>
              <w:pStyle w:val="TableContents"/>
              <w:spacing w:before="0" w:after="283"/>
              <w:rPr/>
            </w:pPr>
            <w:r>
              <w:rPr/>
              <w:t> </w:t>
            </w:r>
          </w:p>
        </w:tc>
        <w:tc>
          <w:tcPr>
            <w:tcW w:w="256" w:type="dxa"/>
            <w:tcBorders/>
            <w:shd w:fill="FFFFFF" w:val="clear"/>
            <w:tcMar>
              <w:bottom w:w="0" w:type="dxa"/>
            </w:tcMar>
            <w:vAlign w:val="center"/>
          </w:tcPr>
          <w:p>
            <w:pPr>
              <w:pStyle w:val="TableContents"/>
              <w:spacing w:before="0" w:after="283"/>
              <w:jc w:val="left"/>
              <w:rPr/>
            </w:pPr>
            <w:r>
              <w:rPr/>
              <w:t> </w:t>
            </w:r>
          </w:p>
        </w:tc>
        <w:tc>
          <w:tcPr>
            <w:tcW w:w="1468" w:type="dxa"/>
            <w:tcBorders/>
            <w:shd w:fill="FFFFFF" w:val="clear"/>
            <w:tcMar>
              <w:bottom w:w="0" w:type="dxa"/>
            </w:tcMar>
            <w:vAlign w:val="center"/>
          </w:tcPr>
          <w:p>
            <w:pPr>
              <w:pStyle w:val="TableContents"/>
              <w:spacing w:before="0" w:after="283"/>
              <w:jc w:val="right"/>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2" w:type="dxa"/>
            <w:tcBorders/>
            <w:shd w:fill="FFFFFF" w:val="clear"/>
            <w:tcMar>
              <w:bottom w:w="0" w:type="dxa"/>
            </w:tcMar>
            <w:vAlign w:val="center"/>
          </w:tcPr>
          <w:p>
            <w:pPr>
              <w:pStyle w:val="TableContents"/>
              <w:spacing w:before="0" w:after="283"/>
              <w:jc w:val="left"/>
              <w:rPr/>
            </w:pPr>
            <w:r>
              <w:rPr/>
              <w:t> </w:t>
            </w:r>
          </w:p>
        </w:tc>
        <w:tc>
          <w:tcPr>
            <w:tcW w:w="1486" w:type="dxa"/>
            <w:tcBorders/>
            <w:shd w:fill="FFFFFF" w:val="clear"/>
            <w:tcMar>
              <w:bottom w:w="0" w:type="dxa"/>
            </w:tcMar>
            <w:vAlign w:val="center"/>
          </w:tcPr>
          <w:p>
            <w:pPr>
              <w:pStyle w:val="TableContents"/>
              <w:spacing w:before="0" w:after="283"/>
              <w:jc w:val="right"/>
              <w:rPr/>
            </w:pPr>
            <w:r>
              <w:rPr/>
              <w:t> </w:t>
            </w:r>
          </w:p>
        </w:tc>
        <w:tc>
          <w:tcPr>
            <w:tcW w:w="9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3515" w:type="dxa"/>
            <w:tcBorders/>
            <w:shd w:fill="CCEEFF" w:val="clear"/>
            <w:tcMar>
              <w:bottom w:w="0" w:type="dxa"/>
            </w:tcMar>
            <w:vAlign w:val="center"/>
          </w:tcPr>
          <w:p>
            <w:pPr>
              <w:pStyle w:val="TableContents"/>
              <w:spacing w:before="0" w:after="283"/>
              <w:jc w:val="left"/>
              <w:rPr/>
            </w:pPr>
            <w:r>
              <w:rPr/>
              <w:t>Change in Control, Death, Disability</w:t>
            </w:r>
          </w:p>
        </w:tc>
        <w:tc>
          <w:tcPr>
            <w:tcW w:w="60" w:type="dxa"/>
            <w:tcBorders/>
            <w:shd w:fill="CCEEFF" w:val="clear"/>
            <w:tcMar>
              <w:bottom w:w="0" w:type="dxa"/>
            </w:tcMar>
            <w:vAlign w:val="center"/>
          </w:tcPr>
          <w:p>
            <w:pPr>
              <w:pStyle w:val="TableContents"/>
              <w:spacing w:before="0" w:after="283"/>
              <w:rPr/>
            </w:pPr>
            <w:r>
              <w:rPr/>
              <w:t> </w:t>
            </w:r>
          </w:p>
        </w:tc>
        <w:tc>
          <w:tcPr>
            <w:tcW w:w="256" w:type="dxa"/>
            <w:tcBorders/>
            <w:shd w:fill="CCEEFF" w:val="clear"/>
            <w:tcMar>
              <w:bottom w:w="0" w:type="dxa"/>
            </w:tcMar>
            <w:vAlign w:val="center"/>
          </w:tcPr>
          <w:p>
            <w:pPr>
              <w:pStyle w:val="TableContents"/>
              <w:spacing w:before="0" w:after="283"/>
              <w:jc w:val="left"/>
              <w:rPr/>
            </w:pPr>
            <w:r>
              <w:rPr/>
              <w:t>$</w:t>
            </w:r>
          </w:p>
        </w:tc>
        <w:tc>
          <w:tcPr>
            <w:tcW w:w="1468" w:type="dxa"/>
            <w:tcBorders/>
            <w:shd w:fill="CCEEFF" w:val="clear"/>
            <w:tcMar>
              <w:bottom w:w="0" w:type="dxa"/>
            </w:tcMar>
            <w:vAlign w:val="center"/>
          </w:tcPr>
          <w:p>
            <w:pPr>
              <w:pStyle w:val="TableContents"/>
              <w:spacing w:before="0" w:after="283"/>
              <w:jc w:val="right"/>
              <w:rPr/>
            </w:pPr>
            <w:r>
              <w:rPr/>
              <w:t>112,267</w:t>
            </w:r>
          </w:p>
        </w:tc>
        <w:tc>
          <w:tcPr>
            <w:tcW w:w="11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2" w:type="dxa"/>
            <w:tcBorders/>
            <w:shd w:fill="CCEEFF" w:val="clear"/>
            <w:tcMar>
              <w:bottom w:w="0" w:type="dxa"/>
            </w:tcMar>
            <w:vAlign w:val="center"/>
          </w:tcPr>
          <w:p>
            <w:pPr>
              <w:pStyle w:val="TableContents"/>
              <w:spacing w:before="0" w:after="283"/>
              <w:jc w:val="left"/>
              <w:rPr/>
            </w:pPr>
            <w:r>
              <w:rPr/>
              <w:t>$</w:t>
            </w:r>
          </w:p>
        </w:tc>
        <w:tc>
          <w:tcPr>
            <w:tcW w:w="1486" w:type="dxa"/>
            <w:tcBorders/>
            <w:shd w:fill="CCEEFF" w:val="clear"/>
            <w:tcMar>
              <w:bottom w:w="0" w:type="dxa"/>
            </w:tcMar>
            <w:vAlign w:val="center"/>
          </w:tcPr>
          <w:p>
            <w:pPr>
              <w:pStyle w:val="TableContents"/>
              <w:spacing w:before="0" w:after="283"/>
              <w:jc w:val="right"/>
              <w:rPr/>
            </w:pPr>
            <w:r>
              <w:rPr/>
              <w:t>29,170</w:t>
            </w:r>
          </w:p>
        </w:tc>
        <w:tc>
          <w:tcPr>
            <w:tcW w:w="9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141,437</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515" w:type="dxa"/>
            <w:tcBorders/>
            <w:shd w:fill="FFFFFF" w:val="clear"/>
            <w:tcMar>
              <w:bottom w:w="0" w:type="dxa"/>
            </w:tcMar>
            <w:vAlign w:val="center"/>
          </w:tcPr>
          <w:p>
            <w:pPr>
              <w:pStyle w:val="TableContents"/>
              <w:spacing w:before="0" w:after="283"/>
              <w:jc w:val="left"/>
              <w:rPr/>
            </w:pPr>
            <w:r>
              <w:rPr/>
              <w:t>Thomas F. Cofsky</w:t>
            </w:r>
          </w:p>
        </w:tc>
        <w:tc>
          <w:tcPr>
            <w:tcW w:w="60" w:type="dxa"/>
            <w:tcBorders/>
            <w:shd w:fill="FFFFFF" w:val="clear"/>
            <w:tcMar>
              <w:bottom w:w="0" w:type="dxa"/>
            </w:tcMar>
            <w:vAlign w:val="center"/>
          </w:tcPr>
          <w:p>
            <w:pPr>
              <w:pStyle w:val="TableContents"/>
              <w:spacing w:before="0" w:after="283"/>
              <w:rPr/>
            </w:pPr>
            <w:r>
              <w:rPr/>
              <w:t> </w:t>
            </w:r>
          </w:p>
        </w:tc>
        <w:tc>
          <w:tcPr>
            <w:tcW w:w="256" w:type="dxa"/>
            <w:tcBorders/>
            <w:shd w:fill="FFFFFF" w:val="clear"/>
            <w:tcMar>
              <w:bottom w:w="0" w:type="dxa"/>
            </w:tcMar>
            <w:vAlign w:val="center"/>
          </w:tcPr>
          <w:p>
            <w:pPr>
              <w:pStyle w:val="TableContents"/>
              <w:spacing w:before="0" w:after="283"/>
              <w:jc w:val="left"/>
              <w:rPr/>
            </w:pPr>
            <w:r>
              <w:rPr/>
              <w:t> </w:t>
            </w:r>
          </w:p>
        </w:tc>
        <w:tc>
          <w:tcPr>
            <w:tcW w:w="1468" w:type="dxa"/>
            <w:tcBorders/>
            <w:shd w:fill="FFFFFF" w:val="clear"/>
            <w:tcMar>
              <w:bottom w:w="0" w:type="dxa"/>
            </w:tcMar>
            <w:vAlign w:val="center"/>
          </w:tcPr>
          <w:p>
            <w:pPr>
              <w:pStyle w:val="TableContents"/>
              <w:spacing w:before="0" w:after="283"/>
              <w:jc w:val="right"/>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2" w:type="dxa"/>
            <w:tcBorders/>
            <w:shd w:fill="FFFFFF" w:val="clear"/>
            <w:tcMar>
              <w:bottom w:w="0" w:type="dxa"/>
            </w:tcMar>
            <w:vAlign w:val="center"/>
          </w:tcPr>
          <w:p>
            <w:pPr>
              <w:pStyle w:val="TableContents"/>
              <w:spacing w:before="0" w:after="283"/>
              <w:jc w:val="left"/>
              <w:rPr/>
            </w:pPr>
            <w:r>
              <w:rPr/>
              <w:t> </w:t>
            </w:r>
          </w:p>
        </w:tc>
        <w:tc>
          <w:tcPr>
            <w:tcW w:w="1486" w:type="dxa"/>
            <w:tcBorders/>
            <w:shd w:fill="FFFFFF" w:val="clear"/>
            <w:tcMar>
              <w:bottom w:w="0" w:type="dxa"/>
            </w:tcMar>
            <w:vAlign w:val="center"/>
          </w:tcPr>
          <w:p>
            <w:pPr>
              <w:pStyle w:val="TableContents"/>
              <w:spacing w:before="0" w:after="283"/>
              <w:jc w:val="right"/>
              <w:rPr/>
            </w:pPr>
            <w:r>
              <w:rPr/>
              <w:t> </w:t>
            </w:r>
          </w:p>
        </w:tc>
        <w:tc>
          <w:tcPr>
            <w:tcW w:w="9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3515" w:type="dxa"/>
            <w:tcBorders/>
            <w:shd w:fill="CCEEFF" w:val="clear"/>
            <w:tcMar>
              <w:bottom w:w="0" w:type="dxa"/>
            </w:tcMar>
            <w:vAlign w:val="center"/>
          </w:tcPr>
          <w:p>
            <w:pPr>
              <w:pStyle w:val="TableContents"/>
              <w:spacing w:before="0" w:after="283"/>
              <w:jc w:val="left"/>
              <w:rPr/>
            </w:pPr>
            <w:r>
              <w:rPr/>
              <w:t>Change in Control, Death, Disability</w:t>
            </w:r>
          </w:p>
        </w:tc>
        <w:tc>
          <w:tcPr>
            <w:tcW w:w="60" w:type="dxa"/>
            <w:tcBorders/>
            <w:shd w:fill="CCEEFF" w:val="clear"/>
            <w:tcMar>
              <w:bottom w:w="0" w:type="dxa"/>
            </w:tcMar>
            <w:vAlign w:val="center"/>
          </w:tcPr>
          <w:p>
            <w:pPr>
              <w:pStyle w:val="TableContents"/>
              <w:spacing w:before="0" w:after="283"/>
              <w:rPr/>
            </w:pPr>
            <w:r>
              <w:rPr/>
              <w:t> </w:t>
            </w:r>
          </w:p>
        </w:tc>
        <w:tc>
          <w:tcPr>
            <w:tcW w:w="256" w:type="dxa"/>
            <w:tcBorders/>
            <w:shd w:fill="CCEEFF" w:val="clear"/>
            <w:tcMar>
              <w:bottom w:w="0" w:type="dxa"/>
            </w:tcMar>
            <w:vAlign w:val="center"/>
          </w:tcPr>
          <w:p>
            <w:pPr>
              <w:pStyle w:val="TableContents"/>
              <w:spacing w:before="0" w:after="283"/>
              <w:jc w:val="left"/>
              <w:rPr/>
            </w:pPr>
            <w:r>
              <w:rPr/>
              <w:t> </w:t>
            </w:r>
          </w:p>
        </w:tc>
        <w:tc>
          <w:tcPr>
            <w:tcW w:w="1468" w:type="dxa"/>
            <w:tcBorders/>
            <w:shd w:fill="CCEEFF" w:val="clear"/>
            <w:tcMar>
              <w:bottom w:w="0" w:type="dxa"/>
            </w:tcMar>
            <w:vAlign w:val="center"/>
          </w:tcPr>
          <w:p>
            <w:pPr>
              <w:pStyle w:val="TableContents"/>
              <w:spacing w:before="0" w:after="283"/>
              <w:jc w:val="right"/>
              <w:rPr/>
            </w:pPr>
            <w:r>
              <w:rPr/>
              <w:t>—  </w:t>
            </w:r>
          </w:p>
        </w:tc>
        <w:tc>
          <w:tcPr>
            <w:tcW w:w="11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2" w:type="dxa"/>
            <w:tcBorders/>
            <w:shd w:fill="CCEEFF" w:val="clear"/>
            <w:tcMar>
              <w:bottom w:w="0" w:type="dxa"/>
            </w:tcMar>
            <w:vAlign w:val="center"/>
          </w:tcPr>
          <w:p>
            <w:pPr>
              <w:pStyle w:val="TableContents"/>
              <w:spacing w:before="0" w:after="283"/>
              <w:jc w:val="left"/>
              <w:rPr/>
            </w:pPr>
            <w:r>
              <w:rPr/>
              <w:t>$</w:t>
            </w:r>
          </w:p>
        </w:tc>
        <w:tc>
          <w:tcPr>
            <w:tcW w:w="1486" w:type="dxa"/>
            <w:tcBorders/>
            <w:shd w:fill="CCEEFF" w:val="clear"/>
            <w:tcMar>
              <w:bottom w:w="0" w:type="dxa"/>
            </w:tcMar>
            <w:vAlign w:val="center"/>
          </w:tcPr>
          <w:p>
            <w:pPr>
              <w:pStyle w:val="TableContents"/>
              <w:spacing w:before="0" w:after="283"/>
              <w:jc w:val="right"/>
              <w:rPr/>
            </w:pPr>
            <w:r>
              <w:rPr/>
              <w:t>178,958</w:t>
            </w:r>
          </w:p>
        </w:tc>
        <w:tc>
          <w:tcPr>
            <w:tcW w:w="9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178,958</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515" w:type="dxa"/>
            <w:tcBorders/>
            <w:shd w:fill="FFFFFF" w:val="clear"/>
            <w:tcMar>
              <w:bottom w:w="0" w:type="dxa"/>
            </w:tcMar>
            <w:vAlign w:val="center"/>
          </w:tcPr>
          <w:p>
            <w:pPr>
              <w:pStyle w:val="TableContents"/>
              <w:spacing w:before="0" w:after="283"/>
              <w:jc w:val="left"/>
              <w:rPr/>
            </w:pPr>
            <w:r>
              <w:rPr/>
              <w:t>Mark E. Lewry</w:t>
            </w:r>
          </w:p>
        </w:tc>
        <w:tc>
          <w:tcPr>
            <w:tcW w:w="60" w:type="dxa"/>
            <w:tcBorders/>
            <w:shd w:fill="FFFFFF" w:val="clear"/>
            <w:tcMar>
              <w:bottom w:w="0" w:type="dxa"/>
            </w:tcMar>
            <w:vAlign w:val="center"/>
          </w:tcPr>
          <w:p>
            <w:pPr>
              <w:pStyle w:val="TableContents"/>
              <w:spacing w:before="0" w:after="283"/>
              <w:rPr/>
            </w:pPr>
            <w:r>
              <w:rPr/>
              <w:t> </w:t>
            </w:r>
          </w:p>
        </w:tc>
        <w:tc>
          <w:tcPr>
            <w:tcW w:w="256" w:type="dxa"/>
            <w:tcBorders/>
            <w:shd w:fill="FFFFFF" w:val="clear"/>
            <w:tcMar>
              <w:bottom w:w="0" w:type="dxa"/>
            </w:tcMar>
            <w:vAlign w:val="center"/>
          </w:tcPr>
          <w:p>
            <w:pPr>
              <w:pStyle w:val="TableContents"/>
              <w:spacing w:before="0" w:after="283"/>
              <w:jc w:val="left"/>
              <w:rPr/>
            </w:pPr>
            <w:r>
              <w:rPr/>
              <w:t> </w:t>
            </w:r>
          </w:p>
        </w:tc>
        <w:tc>
          <w:tcPr>
            <w:tcW w:w="1468" w:type="dxa"/>
            <w:tcBorders/>
            <w:shd w:fill="FFFFFF" w:val="clear"/>
            <w:tcMar>
              <w:bottom w:w="0" w:type="dxa"/>
            </w:tcMar>
            <w:vAlign w:val="center"/>
          </w:tcPr>
          <w:p>
            <w:pPr>
              <w:pStyle w:val="TableContents"/>
              <w:spacing w:before="0" w:after="283"/>
              <w:jc w:val="right"/>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2" w:type="dxa"/>
            <w:tcBorders/>
            <w:shd w:fill="FFFFFF" w:val="clear"/>
            <w:tcMar>
              <w:bottom w:w="0" w:type="dxa"/>
            </w:tcMar>
            <w:vAlign w:val="center"/>
          </w:tcPr>
          <w:p>
            <w:pPr>
              <w:pStyle w:val="TableContents"/>
              <w:spacing w:before="0" w:after="283"/>
              <w:jc w:val="left"/>
              <w:rPr/>
            </w:pPr>
            <w:r>
              <w:rPr/>
              <w:t> </w:t>
            </w:r>
          </w:p>
        </w:tc>
        <w:tc>
          <w:tcPr>
            <w:tcW w:w="1486" w:type="dxa"/>
            <w:tcBorders/>
            <w:shd w:fill="FFFFFF" w:val="clear"/>
            <w:tcMar>
              <w:bottom w:w="0" w:type="dxa"/>
            </w:tcMar>
            <w:vAlign w:val="center"/>
          </w:tcPr>
          <w:p>
            <w:pPr>
              <w:pStyle w:val="TableContents"/>
              <w:spacing w:before="0" w:after="283"/>
              <w:jc w:val="right"/>
              <w:rPr/>
            </w:pPr>
            <w:r>
              <w:rPr/>
              <w:t> </w:t>
            </w:r>
          </w:p>
        </w:tc>
        <w:tc>
          <w:tcPr>
            <w:tcW w:w="9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3515" w:type="dxa"/>
            <w:tcBorders/>
            <w:shd w:fill="CCEEFF" w:val="clear"/>
            <w:tcMar>
              <w:bottom w:w="0" w:type="dxa"/>
            </w:tcMar>
            <w:vAlign w:val="center"/>
          </w:tcPr>
          <w:p>
            <w:pPr>
              <w:pStyle w:val="TableContents"/>
              <w:spacing w:before="0" w:after="283"/>
              <w:jc w:val="left"/>
              <w:rPr/>
            </w:pPr>
            <w:r>
              <w:rPr/>
              <w:t>Change in Control, Death, Disability</w:t>
            </w:r>
          </w:p>
        </w:tc>
        <w:tc>
          <w:tcPr>
            <w:tcW w:w="60" w:type="dxa"/>
            <w:tcBorders/>
            <w:shd w:fill="CCEEFF" w:val="clear"/>
            <w:tcMar>
              <w:bottom w:w="0" w:type="dxa"/>
            </w:tcMar>
            <w:vAlign w:val="center"/>
          </w:tcPr>
          <w:p>
            <w:pPr>
              <w:pStyle w:val="TableContents"/>
              <w:spacing w:before="0" w:after="283"/>
              <w:rPr/>
            </w:pPr>
            <w:r>
              <w:rPr/>
              <w:t> </w:t>
            </w:r>
          </w:p>
        </w:tc>
        <w:tc>
          <w:tcPr>
            <w:tcW w:w="256" w:type="dxa"/>
            <w:tcBorders/>
            <w:shd w:fill="CCEEFF" w:val="clear"/>
            <w:tcMar>
              <w:bottom w:w="0" w:type="dxa"/>
            </w:tcMar>
            <w:vAlign w:val="center"/>
          </w:tcPr>
          <w:p>
            <w:pPr>
              <w:pStyle w:val="TableContents"/>
              <w:spacing w:before="0" w:after="283"/>
              <w:jc w:val="left"/>
              <w:rPr/>
            </w:pPr>
            <w:r>
              <w:rPr/>
              <w:t> </w:t>
            </w:r>
          </w:p>
        </w:tc>
        <w:tc>
          <w:tcPr>
            <w:tcW w:w="1468" w:type="dxa"/>
            <w:tcBorders/>
            <w:shd w:fill="CCEEFF" w:val="clear"/>
            <w:tcMar>
              <w:bottom w:w="0" w:type="dxa"/>
            </w:tcMar>
            <w:vAlign w:val="center"/>
          </w:tcPr>
          <w:p>
            <w:pPr>
              <w:pStyle w:val="TableContents"/>
              <w:spacing w:before="0" w:after="283"/>
              <w:jc w:val="right"/>
              <w:rPr/>
            </w:pPr>
            <w:r>
              <w:rPr/>
              <w:t>—  </w:t>
            </w:r>
          </w:p>
        </w:tc>
        <w:tc>
          <w:tcPr>
            <w:tcW w:w="11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2" w:type="dxa"/>
            <w:tcBorders/>
            <w:shd w:fill="CCEEFF" w:val="clear"/>
            <w:tcMar>
              <w:bottom w:w="0" w:type="dxa"/>
            </w:tcMar>
            <w:vAlign w:val="center"/>
          </w:tcPr>
          <w:p>
            <w:pPr>
              <w:pStyle w:val="TableContents"/>
              <w:spacing w:before="0" w:after="283"/>
              <w:jc w:val="left"/>
              <w:rPr/>
            </w:pPr>
            <w:r>
              <w:rPr/>
              <w:t>$</w:t>
            </w:r>
          </w:p>
        </w:tc>
        <w:tc>
          <w:tcPr>
            <w:tcW w:w="1486" w:type="dxa"/>
            <w:tcBorders/>
            <w:shd w:fill="CCEEFF" w:val="clear"/>
            <w:tcMar>
              <w:bottom w:w="0" w:type="dxa"/>
            </w:tcMar>
            <w:vAlign w:val="center"/>
          </w:tcPr>
          <w:p>
            <w:pPr>
              <w:pStyle w:val="TableContents"/>
              <w:spacing w:before="0" w:after="283"/>
              <w:jc w:val="right"/>
              <w:rPr/>
            </w:pPr>
            <w:r>
              <w:rPr/>
              <w:t>350,040</w:t>
            </w:r>
          </w:p>
        </w:tc>
        <w:tc>
          <w:tcPr>
            <w:tcW w:w="9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350,040</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515" w:type="dxa"/>
            <w:tcBorders/>
            <w:shd w:fill="FFFFFF" w:val="clear"/>
            <w:tcMar>
              <w:bottom w:w="0" w:type="dxa"/>
            </w:tcMar>
            <w:vAlign w:val="center"/>
          </w:tcPr>
          <w:p>
            <w:pPr>
              <w:pStyle w:val="TableContents"/>
              <w:spacing w:before="0" w:after="283"/>
              <w:jc w:val="left"/>
              <w:rPr/>
            </w:pPr>
            <w:r>
              <w:rPr/>
              <w:t>Paul D. Ziemnisky Jr.</w:t>
            </w:r>
          </w:p>
        </w:tc>
        <w:tc>
          <w:tcPr>
            <w:tcW w:w="60" w:type="dxa"/>
            <w:tcBorders/>
            <w:shd w:fill="FFFFFF" w:val="clear"/>
            <w:tcMar>
              <w:bottom w:w="0" w:type="dxa"/>
            </w:tcMar>
            <w:vAlign w:val="center"/>
          </w:tcPr>
          <w:p>
            <w:pPr>
              <w:pStyle w:val="TableContents"/>
              <w:spacing w:before="0" w:after="283"/>
              <w:rPr/>
            </w:pPr>
            <w:r>
              <w:rPr/>
              <w:t> </w:t>
            </w:r>
          </w:p>
        </w:tc>
        <w:tc>
          <w:tcPr>
            <w:tcW w:w="256" w:type="dxa"/>
            <w:tcBorders/>
            <w:shd w:fill="FFFFFF" w:val="clear"/>
            <w:tcMar>
              <w:bottom w:w="0" w:type="dxa"/>
            </w:tcMar>
            <w:vAlign w:val="center"/>
          </w:tcPr>
          <w:p>
            <w:pPr>
              <w:pStyle w:val="TableContents"/>
              <w:spacing w:before="0" w:after="283"/>
              <w:jc w:val="left"/>
              <w:rPr/>
            </w:pPr>
            <w:r>
              <w:rPr/>
              <w:t> </w:t>
            </w:r>
          </w:p>
        </w:tc>
        <w:tc>
          <w:tcPr>
            <w:tcW w:w="1468" w:type="dxa"/>
            <w:tcBorders/>
            <w:shd w:fill="FFFFFF" w:val="clear"/>
            <w:tcMar>
              <w:bottom w:w="0" w:type="dxa"/>
            </w:tcMar>
            <w:vAlign w:val="center"/>
          </w:tcPr>
          <w:p>
            <w:pPr>
              <w:pStyle w:val="TableContents"/>
              <w:spacing w:before="0" w:after="283"/>
              <w:jc w:val="right"/>
              <w:rPr/>
            </w:pPr>
            <w:r>
              <w:rPr/>
              <w:t> </w:t>
            </w:r>
          </w:p>
        </w:tc>
        <w:tc>
          <w:tcPr>
            <w:tcW w:w="11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12" w:type="dxa"/>
            <w:tcBorders/>
            <w:shd w:fill="FFFFFF" w:val="clear"/>
            <w:tcMar>
              <w:bottom w:w="0" w:type="dxa"/>
            </w:tcMar>
            <w:vAlign w:val="center"/>
          </w:tcPr>
          <w:p>
            <w:pPr>
              <w:pStyle w:val="TableContents"/>
              <w:spacing w:before="0" w:after="283"/>
              <w:jc w:val="left"/>
              <w:rPr/>
            </w:pPr>
            <w:r>
              <w:rPr/>
              <w:t> </w:t>
            </w:r>
          </w:p>
        </w:tc>
        <w:tc>
          <w:tcPr>
            <w:tcW w:w="1486" w:type="dxa"/>
            <w:tcBorders/>
            <w:shd w:fill="FFFFFF" w:val="clear"/>
            <w:tcMar>
              <w:bottom w:w="0" w:type="dxa"/>
            </w:tcMar>
            <w:vAlign w:val="center"/>
          </w:tcPr>
          <w:p>
            <w:pPr>
              <w:pStyle w:val="TableContents"/>
              <w:spacing w:before="0" w:after="283"/>
              <w:jc w:val="right"/>
              <w:rPr/>
            </w:pPr>
            <w:r>
              <w:rPr/>
              <w:t> </w:t>
            </w:r>
          </w:p>
        </w:tc>
        <w:tc>
          <w:tcPr>
            <w:tcW w:w="91"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980" w:type="dxa"/>
            <w:tcBorders/>
            <w:shd w:fill="FFFFFF" w:val="clear"/>
            <w:tcMar>
              <w:bottom w:w="0" w:type="dxa"/>
            </w:tcMar>
            <w:vAlign w:val="center"/>
          </w:tcPr>
          <w:p>
            <w:pPr>
              <w:pStyle w:val="TableContents"/>
              <w:spacing w:before="0" w:after="283"/>
              <w:jc w:val="right"/>
              <w:rPr/>
            </w:pPr>
            <w:r>
              <w:rPr/>
              <w:t> </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3515" w:type="dxa"/>
            <w:tcBorders/>
            <w:shd w:fill="CCEEFF" w:val="clear"/>
            <w:tcMar>
              <w:bottom w:w="0" w:type="dxa"/>
            </w:tcMar>
            <w:vAlign w:val="center"/>
          </w:tcPr>
          <w:p>
            <w:pPr>
              <w:pStyle w:val="TableContents"/>
              <w:spacing w:before="0" w:after="283"/>
              <w:jc w:val="left"/>
              <w:rPr/>
            </w:pPr>
            <w:r>
              <w:rPr/>
              <w:t>Change in Control, Death, Disability</w:t>
            </w:r>
          </w:p>
        </w:tc>
        <w:tc>
          <w:tcPr>
            <w:tcW w:w="60" w:type="dxa"/>
            <w:tcBorders/>
            <w:shd w:fill="CCEEFF" w:val="clear"/>
            <w:tcMar>
              <w:bottom w:w="0" w:type="dxa"/>
            </w:tcMar>
            <w:vAlign w:val="center"/>
          </w:tcPr>
          <w:p>
            <w:pPr>
              <w:pStyle w:val="TableContents"/>
              <w:spacing w:before="0" w:after="283"/>
              <w:rPr/>
            </w:pPr>
            <w:r>
              <w:rPr/>
              <w:t> </w:t>
            </w:r>
          </w:p>
        </w:tc>
        <w:tc>
          <w:tcPr>
            <w:tcW w:w="256" w:type="dxa"/>
            <w:tcBorders/>
            <w:shd w:fill="CCEEFF" w:val="clear"/>
            <w:tcMar>
              <w:bottom w:w="0" w:type="dxa"/>
            </w:tcMar>
            <w:vAlign w:val="center"/>
          </w:tcPr>
          <w:p>
            <w:pPr>
              <w:pStyle w:val="TableContents"/>
              <w:spacing w:before="0" w:after="283"/>
              <w:jc w:val="left"/>
              <w:rPr/>
            </w:pPr>
            <w:r>
              <w:rPr/>
              <w:t> </w:t>
            </w:r>
          </w:p>
        </w:tc>
        <w:tc>
          <w:tcPr>
            <w:tcW w:w="1468" w:type="dxa"/>
            <w:tcBorders/>
            <w:shd w:fill="CCEEFF" w:val="clear"/>
            <w:tcMar>
              <w:bottom w:w="0" w:type="dxa"/>
            </w:tcMar>
            <w:vAlign w:val="center"/>
          </w:tcPr>
          <w:p>
            <w:pPr>
              <w:pStyle w:val="TableContents"/>
              <w:spacing w:before="0" w:after="283"/>
              <w:jc w:val="right"/>
              <w:rPr/>
            </w:pPr>
            <w:r>
              <w:rPr/>
              <w:t>—  </w:t>
            </w:r>
          </w:p>
        </w:tc>
        <w:tc>
          <w:tcPr>
            <w:tcW w:w="11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12" w:type="dxa"/>
            <w:tcBorders/>
            <w:shd w:fill="CCEEFF" w:val="clear"/>
            <w:tcMar>
              <w:bottom w:w="0" w:type="dxa"/>
            </w:tcMar>
            <w:vAlign w:val="center"/>
          </w:tcPr>
          <w:p>
            <w:pPr>
              <w:pStyle w:val="TableContents"/>
              <w:spacing w:before="0" w:after="283"/>
              <w:jc w:val="left"/>
              <w:rPr/>
            </w:pPr>
            <w:r>
              <w:rPr/>
              <w:t>$</w:t>
            </w:r>
          </w:p>
        </w:tc>
        <w:tc>
          <w:tcPr>
            <w:tcW w:w="1486" w:type="dxa"/>
            <w:tcBorders/>
            <w:shd w:fill="CCEEFF" w:val="clear"/>
            <w:tcMar>
              <w:bottom w:w="0" w:type="dxa"/>
            </w:tcMar>
            <w:vAlign w:val="center"/>
          </w:tcPr>
          <w:p>
            <w:pPr>
              <w:pStyle w:val="TableContents"/>
              <w:spacing w:before="0" w:after="283"/>
              <w:jc w:val="right"/>
              <w:rPr/>
            </w:pPr>
            <w:r>
              <w:rPr/>
              <w:t>291,700</w:t>
            </w:r>
          </w:p>
        </w:tc>
        <w:tc>
          <w:tcPr>
            <w:tcW w:w="91"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980" w:type="dxa"/>
            <w:tcBorders/>
            <w:shd w:fill="CCEEFF" w:val="clear"/>
            <w:tcMar>
              <w:bottom w:w="0" w:type="dxa"/>
            </w:tcMar>
            <w:vAlign w:val="center"/>
          </w:tcPr>
          <w:p>
            <w:pPr>
              <w:pStyle w:val="TableContents"/>
              <w:spacing w:before="0" w:after="283"/>
              <w:jc w:val="right"/>
              <w:rPr/>
            </w:pPr>
            <w:r>
              <w:rPr/>
              <w:t>291,700</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shown reflect each named executive officer’s balance in his executive deferred bonus account of our annual incentive plan. As explained above, our annual incentive plan provides for immediate vesting and payment, as allowed by law, of a participant’s executive deferred bonus award account upon the participant’s death, disability, retirement with age plus years of service equal to 80 years, or change in control of the Company.</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amounts shown represent, as of July 31, 2014: (a) the market price of any unvested shares of restricted stock; and/or (b) the excess of the market price of the shares of stock underlying unvested stock options over the option exercise price. As of July 31, 2014, none of the named executive officers had any unvested stock options. As explained above, previously unvested shares of restricted stock and stock options become immediately vested upon the events listed.</w:t>
      </w:r>
    </w:p>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40" w:name="a_Toc339007579"/>
      <w:bookmarkEnd w:id="40"/>
      <w:r>
        <w:rPr>
          <w:rFonts w:ascii="Times New Roman;Times;Serif" w:hAnsi="Times New Roman;Times;Serif"/>
          <w:b/>
          <w:i w:val="false"/>
          <w:caps w:val="false"/>
          <w:smallCaps w:val="false"/>
          <w:sz w:val="20"/>
        </w:rPr>
        <w:t>STOCK OWNERSHIP</w:t>
      </w:r>
    </w:p>
    <w:p>
      <w:pPr>
        <w:pStyle w:val="TextBody"/>
        <w:spacing w:before="400" w:after="200"/>
        <w:ind w:left="400" w:right="400" w:hanging="0"/>
        <w:jc w:val="center"/>
        <w:rPr>
          <w:rFonts w:ascii="Times New Roman;Times;Serif" w:hAnsi="Times New Roman;Times;Serif"/>
          <w:b/>
          <w:i w:val="false"/>
          <w:caps w:val="false"/>
          <w:smallCaps w:val="false"/>
          <w:sz w:val="20"/>
        </w:rPr>
      </w:pPr>
      <w:bookmarkStart w:id="41" w:name="a_Toc339007580"/>
      <w:bookmarkEnd w:id="41"/>
      <w:r>
        <w:rPr>
          <w:rFonts w:ascii="Times New Roman;Times;Serif" w:hAnsi="Times New Roman;Times;Serif"/>
          <w:b/>
          <w:i w:val="false"/>
          <w:caps w:val="false"/>
          <w:smallCaps w:val="false"/>
          <w:sz w:val="20"/>
        </w:rPr>
        <w:t>Principal Stockholders</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October 17, 2014,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executive officers.</w:t>
      </w:r>
    </w:p>
    <w:tbl>
      <w:tblPr>
        <w:tblW w:w="10205" w:type="dxa"/>
        <w:jc w:val="left"/>
        <w:tblInd w:w="0" w:type="dxa"/>
        <w:tblCellMar>
          <w:top w:w="0" w:type="dxa"/>
          <w:left w:w="0" w:type="dxa"/>
          <w:bottom w:w="0" w:type="dxa"/>
          <w:right w:w="0" w:type="dxa"/>
        </w:tblCellMar>
      </w:tblPr>
      <w:tblGrid>
        <w:gridCol w:w="2897"/>
        <w:gridCol w:w="168"/>
        <w:gridCol w:w="1252"/>
        <w:gridCol w:w="60"/>
        <w:gridCol w:w="68"/>
        <w:gridCol w:w="1113"/>
        <w:gridCol w:w="68"/>
        <w:gridCol w:w="68"/>
        <w:gridCol w:w="68"/>
        <w:gridCol w:w="734"/>
        <w:gridCol w:w="68"/>
        <w:gridCol w:w="68"/>
        <w:gridCol w:w="927"/>
        <w:gridCol w:w="355"/>
        <w:gridCol w:w="100"/>
        <w:gridCol w:w="68"/>
        <w:gridCol w:w="1289"/>
        <w:gridCol w:w="743"/>
        <w:gridCol w:w="91"/>
      </w:tblGrid>
      <w:tr>
        <w:trPr/>
        <w:tc>
          <w:tcPr>
            <w:tcW w:w="2897" w:type="dxa"/>
            <w:tcBorders/>
            <w:shd w:fill="auto" w:val="clear"/>
            <w:vAlign w:val="center"/>
          </w:tcPr>
          <w:p>
            <w:pPr>
              <w:pStyle w:val="TableContents"/>
              <w:spacing w:before="0" w:after="283"/>
              <w:jc w:val="left"/>
              <w:rPr/>
            </w:pPr>
            <w:r>
              <w:rPr/>
              <w:t> </w:t>
            </w:r>
          </w:p>
        </w:tc>
        <w:tc>
          <w:tcPr>
            <w:tcW w:w="168" w:type="dxa"/>
            <w:tcBorders/>
            <w:shd w:fill="auto" w:val="clear"/>
            <w:vAlign w:val="center"/>
          </w:tcPr>
          <w:p>
            <w:pPr>
              <w:pStyle w:val="TableContents"/>
              <w:spacing w:before="0" w:after="283"/>
              <w:rPr/>
            </w:pPr>
            <w:r>
              <w:rPr/>
              <w:t> </w:t>
            </w:r>
          </w:p>
        </w:tc>
        <w:tc>
          <w:tcPr>
            <w:tcW w:w="1252"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5828" w:type="dxa"/>
            <w:gridSpan w:val="15"/>
            <w:tcBorders>
              <w:bottom w:val="single" w:sz="8" w:space="0" w:color="000000"/>
            </w:tcBorders>
            <w:shd w:fill="auto" w:val="clear"/>
            <w:tcMar>
              <w:bottom w:w="28" w:type="dxa"/>
            </w:tcMar>
            <w:vAlign w:val="center"/>
          </w:tcPr>
          <w:p>
            <w:pPr>
              <w:pStyle w:val="TableContents"/>
              <w:spacing w:before="0" w:after="283"/>
              <w:jc w:val="center"/>
              <w:rPr>
                <w:b/>
              </w:rPr>
            </w:pPr>
            <w:r>
              <w:rPr>
                <w:b/>
              </w:rPr>
              <w:t>Amount and Nature of Beneficial Ownership (1)</w:t>
            </w:r>
          </w:p>
        </w:tc>
      </w:tr>
      <w:tr>
        <w:trPr/>
        <w:tc>
          <w:tcPr>
            <w:tcW w:w="2897" w:type="dxa"/>
            <w:tcBorders>
              <w:bottom w:val="single" w:sz="8" w:space="0" w:color="000000"/>
            </w:tcBorders>
            <w:shd w:fill="auto" w:val="clear"/>
            <w:tcMar>
              <w:bottom w:w="28" w:type="dxa"/>
            </w:tcMar>
            <w:vAlign w:val="center"/>
          </w:tcPr>
          <w:p>
            <w:pPr>
              <w:pStyle w:val="TableContents"/>
              <w:spacing w:before="0" w:after="283"/>
              <w:jc w:val="left"/>
              <w:rPr>
                <w:b/>
              </w:rPr>
            </w:pPr>
            <w:r>
              <w:rPr>
                <w:b/>
              </w:rPr>
              <w:t>Name and Address of Beneficial Owner</w:t>
            </w:r>
          </w:p>
        </w:tc>
        <w:tc>
          <w:tcPr>
            <w:tcW w:w="168" w:type="dxa"/>
            <w:tcBorders>
              <w:bottom w:val="single" w:sz="8" w:space="0" w:color="000000"/>
            </w:tcBorders>
            <w:shd w:fill="auto" w:val="clear"/>
            <w:tcMar>
              <w:bottom w:w="28" w:type="dxa"/>
            </w:tcMar>
            <w:vAlign w:val="center"/>
          </w:tcPr>
          <w:p>
            <w:pPr>
              <w:pStyle w:val="TableContents"/>
              <w:spacing w:before="0" w:after="283"/>
              <w:rPr/>
            </w:pPr>
            <w:r>
              <w:rPr/>
              <w:t> </w:t>
            </w:r>
          </w:p>
        </w:tc>
        <w:tc>
          <w:tcPr>
            <w:tcW w:w="1252" w:type="dxa"/>
            <w:tcBorders>
              <w:bottom w:val="single" w:sz="8" w:space="0" w:color="000000"/>
            </w:tcBorders>
            <w:shd w:fill="auto" w:val="clear"/>
            <w:tcMar>
              <w:bottom w:w="28" w:type="dxa"/>
            </w:tcMar>
            <w:vAlign w:val="center"/>
          </w:tcPr>
          <w:p>
            <w:pPr>
              <w:pStyle w:val="TableContents"/>
              <w:spacing w:before="0" w:after="283"/>
              <w:jc w:val="left"/>
              <w:rPr>
                <w:b/>
              </w:rPr>
            </w:pPr>
            <w:r>
              <w:rPr>
                <w:b/>
              </w:rPr>
              <w:t>Title of Class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187" w:type="dxa"/>
            <w:gridSpan w:val="7"/>
            <w:tcBorders>
              <w:bottom w:val="single" w:sz="8" w:space="0" w:color="000000"/>
            </w:tcBorders>
            <w:shd w:fill="auto" w:val="clear"/>
            <w:tcMar>
              <w:bottom w:w="28" w:type="dxa"/>
            </w:tcMar>
            <w:vAlign w:val="center"/>
          </w:tcPr>
          <w:p>
            <w:pPr>
              <w:pStyle w:val="TableContents"/>
              <w:spacing w:before="0" w:after="283"/>
              <w:jc w:val="center"/>
              <w:rPr>
                <w:b/>
              </w:rPr>
            </w:pPr>
            <w:r>
              <w:rPr>
                <w:b/>
              </w:rPr>
              <w:t xml:space="preserve">Number of Shares of </w:t>
              <w:br/>
              <w:t>Common Stock and</w:t>
              <w:br/>
              <w:t>Class B Stock</w:t>
            </w:r>
          </w:p>
        </w:tc>
        <w:tc>
          <w:tcPr>
            <w:tcW w:w="68" w:type="dxa"/>
            <w:tcBorders>
              <w:bottom w:val="single" w:sz="8" w:space="0" w:color="000000"/>
            </w:tcBorders>
            <w:shd w:fill="auto" w:val="clear"/>
            <w:tcMar>
              <w:bottom w:w="28" w:type="dxa"/>
            </w:tcMar>
            <w:vAlign w:val="center"/>
          </w:tcPr>
          <w:p>
            <w:pPr>
              <w:pStyle w:val="TableContents"/>
              <w:spacing w:before="0" w:after="283"/>
              <w:rPr/>
            </w:pPr>
            <w:r>
              <w:rPr/>
              <w:t> </w:t>
            </w:r>
          </w:p>
        </w:tc>
        <w:tc>
          <w:tcPr>
            <w:tcW w:w="1382"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 xml:space="preserve">Percentage of </w:t>
              <w:br/>
              <w:t xml:space="preserve">Outstanding </w:t>
              <w:br/>
              <w:t>Stock of Class</w:t>
            </w:r>
          </w:p>
        </w:tc>
        <w:tc>
          <w:tcPr>
            <w:tcW w:w="68" w:type="dxa"/>
            <w:tcBorders>
              <w:bottom w:val="single" w:sz="8" w:space="0" w:color="000000"/>
            </w:tcBorders>
            <w:shd w:fill="auto" w:val="clear"/>
            <w:tcMar>
              <w:bottom w:w="28" w:type="dxa"/>
            </w:tcMar>
            <w:vAlign w:val="center"/>
          </w:tcPr>
          <w:p>
            <w:pPr>
              <w:pStyle w:val="TableContents"/>
              <w:spacing w:before="0" w:after="283"/>
              <w:rPr/>
            </w:pPr>
            <w:r>
              <w:rPr/>
              <w:t> </w:t>
            </w:r>
          </w:p>
        </w:tc>
        <w:tc>
          <w:tcPr>
            <w:tcW w:w="2123"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 xml:space="preserve">Percentage of </w:t>
              <w:br/>
              <w:t xml:space="preserve">Aggregate </w:t>
              <w:br/>
              <w:t xml:space="preserve">Voting Power of </w:t>
              <w:br/>
              <w:t xml:space="preserve">Common Stock and </w:t>
              <w:br/>
              <w:t>Class B Stock</w:t>
            </w:r>
          </w:p>
        </w:tc>
      </w:tr>
      <w:tr>
        <w:trPr/>
        <w:tc>
          <w:tcPr>
            <w:tcW w:w="2897" w:type="dxa"/>
            <w:tcBorders/>
            <w:shd w:fill="CCEEFF" w:val="clear"/>
            <w:vAlign w:val="center"/>
          </w:tcPr>
          <w:p>
            <w:pPr>
              <w:pStyle w:val="TableContents"/>
              <w:spacing w:before="0" w:after="283"/>
              <w:jc w:val="left"/>
              <w:rPr/>
            </w:pPr>
            <w:r>
              <w:rPr/>
              <w:t>Richard M. Jaffee (2)(3)</w:t>
            </w:r>
          </w:p>
        </w:tc>
        <w:tc>
          <w:tcPr>
            <w:tcW w:w="168"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left"/>
              <w:rPr/>
            </w:pPr>
            <w:r>
              <w:rPr/>
              <w:t>Common Stock</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13"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right"/>
              <w:rPr/>
            </w:pPr>
            <w:r>
              <w:rPr/>
              <w:t> </w:t>
            </w:r>
          </w:p>
        </w:tc>
        <w:tc>
          <w:tcPr>
            <w:tcW w:w="734"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927" w:type="dxa"/>
            <w:tcBorders/>
            <w:shd w:fill="CCEEFF" w:val="clear"/>
            <w:vAlign w:val="center"/>
          </w:tcPr>
          <w:p>
            <w:pPr>
              <w:pStyle w:val="TableContents"/>
              <w:spacing w:before="0" w:after="283"/>
              <w:jc w:val="right"/>
              <w:rPr/>
            </w:pPr>
            <w:r>
              <w:rPr/>
              <w:t>—  </w:t>
            </w:r>
          </w:p>
        </w:tc>
        <w:tc>
          <w:tcPr>
            <w:tcW w:w="355" w:type="dxa"/>
            <w:tcBorders/>
            <w:shd w:fill="CCEEFF" w:val="clear"/>
            <w:vAlign w:val="center"/>
          </w:tcPr>
          <w:p>
            <w:pPr>
              <w:pStyle w:val="TableContents"/>
              <w:spacing w:before="0" w:after="283"/>
              <w:jc w:val="left"/>
              <w:rPr/>
            </w:pPr>
            <w:r>
              <w:rPr/>
              <w:t> </w:t>
            </w:r>
          </w:p>
        </w:tc>
        <w:tc>
          <w:tcPr>
            <w:tcW w:w="10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289" w:type="dxa"/>
            <w:tcBorders/>
            <w:shd w:fill="CCEEFF" w:val="clear"/>
            <w:vAlign w:val="center"/>
          </w:tcPr>
          <w:p>
            <w:pPr>
              <w:pStyle w:val="TableContents"/>
              <w:spacing w:before="0" w:after="283"/>
              <w:jc w:val="right"/>
              <w:rPr/>
            </w:pPr>
            <w:r>
              <w:rPr/>
              <w:t>—  </w:t>
            </w:r>
          </w:p>
        </w:tc>
        <w:tc>
          <w:tcPr>
            <w:tcW w:w="743" w:type="dxa"/>
            <w:tcBorders/>
            <w:shd w:fill="CCEEFF" w:val="clear"/>
            <w:vAlign w:val="center"/>
          </w:tcPr>
          <w:p>
            <w:pPr>
              <w:pStyle w:val="TableContents"/>
              <w:spacing w:before="0" w:after="283"/>
              <w:ind w:left="0" w:right="0" w:firstLine="108"/>
              <w:jc w:val="left"/>
              <w:rPr/>
            </w:pPr>
            <w:r>
              <w:rPr/>
              <w:t> </w:t>
            </w:r>
          </w:p>
        </w:tc>
        <w:tc>
          <w:tcPr>
            <w:tcW w:w="91" w:type="dxa"/>
            <w:tcBorders/>
            <w:shd w:fill="CCEEFF" w:val="clear"/>
          </w:tcPr>
          <w:p>
            <w:pPr>
              <w:pStyle w:val="TableContents"/>
              <w:spacing w:before="0" w:after="283"/>
              <w:rPr>
                <w:sz w:val="4"/>
                <w:szCs w:val="4"/>
              </w:rPr>
            </w:pPr>
            <w:r>
              <w:rPr>
                <w:sz w:val="4"/>
                <w:szCs w:val="4"/>
              </w:rPr>
            </w:r>
          </w:p>
        </w:tc>
      </w:tr>
      <w:tr>
        <w:trPr/>
        <w:tc>
          <w:tcPr>
            <w:tcW w:w="2897" w:type="dxa"/>
            <w:tcBorders/>
            <w:shd w:fill="CCEEFF" w:val="clear"/>
            <w:vAlign w:val="center"/>
          </w:tcPr>
          <w:p>
            <w:pPr>
              <w:pStyle w:val="TableContents"/>
              <w:spacing w:before="0" w:after="283"/>
              <w:jc w:val="left"/>
              <w:rPr/>
            </w:pPr>
            <w:r>
              <w:rPr/>
              <w:t>410 N. Michigan Avenue</w:t>
            </w:r>
          </w:p>
        </w:tc>
        <w:tc>
          <w:tcPr>
            <w:tcW w:w="168"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left"/>
              <w:rPr/>
            </w:pPr>
            <w:r>
              <w:rPr/>
              <w:t>Class B Stock</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13" w:type="dxa"/>
            <w:tcBorders/>
            <w:shd w:fill="CCEEFF" w:val="clear"/>
            <w:vAlign w:val="center"/>
          </w:tcPr>
          <w:p>
            <w:pPr>
              <w:pStyle w:val="TableContents"/>
              <w:spacing w:before="0" w:after="283"/>
              <w:jc w:val="right"/>
              <w:rPr/>
            </w:pPr>
            <w:r>
              <w:rPr/>
              <w:t>409,558</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sz w:val="4"/>
                <w:szCs w:val="4"/>
              </w:rPr>
            </w:pPr>
            <w:r>
              <w:rPr>
                <w:sz w:val="4"/>
                <w:szCs w:val="4"/>
              </w:rPr>
            </w:r>
          </w:p>
        </w:tc>
        <w:tc>
          <w:tcPr>
            <w:tcW w:w="734" w:type="dxa"/>
            <w:tcBorders/>
            <w:shd w:fill="CCEEFF" w:val="clear"/>
            <w:vAlign w:val="center"/>
          </w:tcPr>
          <w:p>
            <w:pPr>
              <w:pStyle w:val="TableContents"/>
              <w:spacing w:before="0" w:after="283"/>
              <w:jc w:val="left"/>
              <w:rPr/>
            </w:pPr>
            <w:r>
              <w:rPr/>
              <w:t>(4)(5)(6)</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927" w:type="dxa"/>
            <w:tcBorders/>
            <w:shd w:fill="CCEEFF" w:val="clear"/>
            <w:vAlign w:val="center"/>
          </w:tcPr>
          <w:p>
            <w:pPr>
              <w:pStyle w:val="TableContents"/>
              <w:spacing w:before="0" w:after="283"/>
              <w:jc w:val="right"/>
              <w:rPr/>
            </w:pPr>
            <w:r>
              <w:rPr/>
              <w:t>19.83</w:t>
            </w:r>
          </w:p>
        </w:tc>
        <w:tc>
          <w:tcPr>
            <w:tcW w:w="355" w:type="dxa"/>
            <w:tcBorders/>
            <w:shd w:fill="CCEEFF" w:val="clear"/>
            <w:vAlign w:val="center"/>
          </w:tcPr>
          <w:p>
            <w:pPr>
              <w:pStyle w:val="TableContents"/>
              <w:spacing w:before="0" w:after="283"/>
              <w:jc w:val="left"/>
              <w:rPr/>
            </w:pPr>
            <w:r>
              <w:rPr/>
              <w:t>%</w:t>
            </w:r>
          </w:p>
        </w:tc>
        <w:tc>
          <w:tcPr>
            <w:tcW w:w="10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289" w:type="dxa"/>
            <w:tcBorders/>
            <w:shd w:fill="CCEEFF" w:val="clear"/>
            <w:vAlign w:val="center"/>
          </w:tcPr>
          <w:p>
            <w:pPr>
              <w:pStyle w:val="TableContents"/>
              <w:spacing w:before="0" w:after="283"/>
              <w:jc w:val="right"/>
              <w:rPr/>
            </w:pPr>
            <w:r>
              <w:rPr/>
              <w:t>15.96</w:t>
            </w:r>
          </w:p>
        </w:tc>
        <w:tc>
          <w:tcPr>
            <w:tcW w:w="743" w:type="dxa"/>
            <w:tcBorders/>
            <w:shd w:fill="CCEEFF" w:val="clear"/>
            <w:vAlign w:val="center"/>
          </w:tcPr>
          <w:p>
            <w:pPr>
              <w:pStyle w:val="TableContents"/>
              <w:spacing w:before="0" w:after="283"/>
              <w:ind w:left="0" w:right="0" w:firstLine="108"/>
              <w:jc w:val="left"/>
              <w:rPr/>
            </w:pPr>
            <w:r>
              <w:rPr/>
              <w:t>%</w:t>
            </w:r>
          </w:p>
        </w:tc>
        <w:tc>
          <w:tcPr>
            <w:tcW w:w="91" w:type="dxa"/>
            <w:tcBorders/>
            <w:shd w:fill="CCEEFF" w:val="clear"/>
          </w:tcPr>
          <w:p>
            <w:pPr>
              <w:pStyle w:val="TableContents"/>
              <w:spacing w:before="0" w:after="283"/>
              <w:rPr>
                <w:sz w:val="4"/>
                <w:szCs w:val="4"/>
              </w:rPr>
            </w:pPr>
            <w:r>
              <w:rPr>
                <w:sz w:val="4"/>
                <w:szCs w:val="4"/>
              </w:rPr>
            </w:r>
          </w:p>
        </w:tc>
      </w:tr>
      <w:tr>
        <w:trPr/>
        <w:tc>
          <w:tcPr>
            <w:tcW w:w="2897" w:type="dxa"/>
            <w:tcBorders/>
            <w:shd w:fill="CCEEFF" w:val="clear"/>
            <w:vAlign w:val="center"/>
          </w:tcPr>
          <w:p>
            <w:pPr>
              <w:pStyle w:val="TableContents"/>
              <w:spacing w:before="0" w:after="283"/>
              <w:jc w:val="left"/>
              <w:rPr/>
            </w:pPr>
            <w:r>
              <w:rPr/>
              <w:t>Chicago, IL  60611</w:t>
            </w:r>
          </w:p>
        </w:tc>
        <w:tc>
          <w:tcPr>
            <w:tcW w:w="168" w:type="dxa"/>
            <w:tcBorders/>
            <w:shd w:fill="CCEEFF" w:val="clear"/>
            <w:vAlign w:val="center"/>
          </w:tcPr>
          <w:p>
            <w:pPr>
              <w:pStyle w:val="TableContents"/>
              <w:spacing w:before="0" w:after="283"/>
              <w:ind w:left="0" w:right="0" w:firstLine="108"/>
              <w:rPr/>
            </w:pPr>
            <w:r>
              <w:rPr/>
              <w:t> </w:t>
            </w:r>
          </w:p>
        </w:tc>
        <w:tc>
          <w:tcPr>
            <w:tcW w:w="1252"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13"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right"/>
              <w:rPr/>
            </w:pPr>
            <w:r>
              <w:rPr/>
              <w:t> </w:t>
            </w:r>
          </w:p>
        </w:tc>
        <w:tc>
          <w:tcPr>
            <w:tcW w:w="734"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927" w:type="dxa"/>
            <w:tcBorders/>
            <w:shd w:fill="CCEEFF" w:val="clear"/>
            <w:vAlign w:val="center"/>
          </w:tcPr>
          <w:p>
            <w:pPr>
              <w:pStyle w:val="TableContents"/>
              <w:spacing w:before="0" w:after="283"/>
              <w:jc w:val="right"/>
              <w:rPr/>
            </w:pPr>
            <w:r>
              <w:rPr/>
              <w:t> </w:t>
            </w:r>
          </w:p>
        </w:tc>
        <w:tc>
          <w:tcPr>
            <w:tcW w:w="355" w:type="dxa"/>
            <w:tcBorders/>
            <w:shd w:fill="CCEEFF" w:val="clear"/>
            <w:vAlign w:val="center"/>
          </w:tcPr>
          <w:p>
            <w:pPr>
              <w:pStyle w:val="TableContents"/>
              <w:spacing w:before="0" w:after="283"/>
              <w:jc w:val="left"/>
              <w:rPr/>
            </w:pPr>
            <w:r>
              <w:rPr/>
              <w:t> </w:t>
            </w:r>
          </w:p>
        </w:tc>
        <w:tc>
          <w:tcPr>
            <w:tcW w:w="10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289" w:type="dxa"/>
            <w:tcBorders/>
            <w:shd w:fill="CCEEFF" w:val="clear"/>
            <w:vAlign w:val="center"/>
          </w:tcPr>
          <w:p>
            <w:pPr>
              <w:pStyle w:val="TableContents"/>
              <w:spacing w:before="0" w:after="283"/>
              <w:jc w:val="right"/>
              <w:rPr/>
            </w:pPr>
            <w:r>
              <w:rPr/>
              <w:t> </w:t>
            </w:r>
          </w:p>
        </w:tc>
        <w:tc>
          <w:tcPr>
            <w:tcW w:w="743" w:type="dxa"/>
            <w:tcBorders/>
            <w:shd w:fill="CCEEFF" w:val="clear"/>
            <w:vAlign w:val="center"/>
          </w:tcPr>
          <w:p>
            <w:pPr>
              <w:pStyle w:val="TableContents"/>
              <w:spacing w:before="0" w:after="283"/>
              <w:jc w:val="left"/>
              <w:rPr/>
            </w:pPr>
            <w:r>
              <w:rPr/>
              <w:t> </w:t>
            </w:r>
          </w:p>
        </w:tc>
        <w:tc>
          <w:tcPr>
            <w:tcW w:w="91" w:type="dxa"/>
            <w:tcBorders/>
            <w:shd w:fill="CCEEFF" w:val="clear"/>
          </w:tcPr>
          <w:p>
            <w:pPr>
              <w:pStyle w:val="TableContents"/>
              <w:spacing w:before="0" w:after="283"/>
              <w:rPr>
                <w:sz w:val="4"/>
                <w:szCs w:val="4"/>
              </w:rPr>
            </w:pPr>
            <w:r>
              <w:rPr>
                <w:sz w:val="4"/>
                <w:szCs w:val="4"/>
              </w:rPr>
            </w:r>
          </w:p>
        </w:tc>
      </w:tr>
      <w:tr>
        <w:trPr/>
        <w:tc>
          <w:tcPr>
            <w:tcW w:w="2897" w:type="dxa"/>
            <w:tcBorders/>
            <w:shd w:fill="FFFFFF" w:val="clear"/>
            <w:vAlign w:val="center"/>
          </w:tcPr>
          <w:p>
            <w:pPr>
              <w:pStyle w:val="TableContents"/>
              <w:spacing w:before="0" w:after="283"/>
              <w:jc w:val="left"/>
              <w:rPr/>
            </w:pPr>
            <w:r>
              <w:rPr/>
              <w:t>Daniel S. Jaffee (2)</w:t>
            </w:r>
          </w:p>
        </w:tc>
        <w:tc>
          <w:tcPr>
            <w:tcW w:w="168" w:type="dxa"/>
            <w:tcBorders/>
            <w:shd w:fill="FFFFFF" w:val="clear"/>
            <w:vAlign w:val="center"/>
          </w:tcPr>
          <w:p>
            <w:pPr>
              <w:pStyle w:val="TableContents"/>
              <w:spacing w:before="0" w:after="283"/>
              <w:rPr/>
            </w:pPr>
            <w:r>
              <w:rPr/>
              <w:t> </w:t>
            </w:r>
          </w:p>
        </w:tc>
        <w:tc>
          <w:tcPr>
            <w:tcW w:w="1252" w:type="dxa"/>
            <w:tcBorders/>
            <w:shd w:fill="FFFFFF" w:val="clear"/>
            <w:vAlign w:val="center"/>
          </w:tcPr>
          <w:p>
            <w:pPr>
              <w:pStyle w:val="TableContents"/>
              <w:spacing w:before="0" w:after="283"/>
              <w:jc w:val="left"/>
              <w:rPr/>
            </w:pPr>
            <w:r>
              <w:rPr/>
              <w:t>Common Stock</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113" w:type="dxa"/>
            <w:tcBorders/>
            <w:shd w:fill="FFFFFF" w:val="clear"/>
            <w:vAlign w:val="center"/>
          </w:tcPr>
          <w:p>
            <w:pPr>
              <w:pStyle w:val="TableContents"/>
              <w:spacing w:before="0" w:after="283"/>
              <w:jc w:val="right"/>
              <w:rPr/>
            </w:pPr>
            <w:r>
              <w:rPr/>
              <w:t>—  </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jc w:val="right"/>
              <w:rPr/>
            </w:pPr>
            <w:r>
              <w:rPr/>
              <w:t> </w:t>
            </w:r>
          </w:p>
        </w:tc>
        <w:tc>
          <w:tcPr>
            <w:tcW w:w="734"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927" w:type="dxa"/>
            <w:tcBorders/>
            <w:shd w:fill="FFFFFF" w:val="clear"/>
            <w:vAlign w:val="center"/>
          </w:tcPr>
          <w:p>
            <w:pPr>
              <w:pStyle w:val="TableContents"/>
              <w:spacing w:before="0" w:after="283"/>
              <w:jc w:val="right"/>
              <w:rPr/>
            </w:pPr>
            <w:r>
              <w:rPr/>
              <w:t>—  </w:t>
            </w:r>
          </w:p>
        </w:tc>
        <w:tc>
          <w:tcPr>
            <w:tcW w:w="355" w:type="dxa"/>
            <w:tcBorders/>
            <w:shd w:fill="FFFFFF" w:val="clear"/>
            <w:vAlign w:val="center"/>
          </w:tcPr>
          <w:p>
            <w:pPr>
              <w:pStyle w:val="TableContents"/>
              <w:spacing w:before="0" w:after="283"/>
              <w:jc w:val="left"/>
              <w:rPr/>
            </w:pPr>
            <w:r>
              <w:rPr/>
              <w:t> </w:t>
            </w:r>
          </w:p>
        </w:tc>
        <w:tc>
          <w:tcPr>
            <w:tcW w:w="10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289" w:type="dxa"/>
            <w:tcBorders/>
            <w:shd w:fill="FFFFFF" w:val="clear"/>
            <w:vAlign w:val="center"/>
          </w:tcPr>
          <w:p>
            <w:pPr>
              <w:pStyle w:val="TableContents"/>
              <w:spacing w:before="0" w:after="283"/>
              <w:jc w:val="right"/>
              <w:rPr/>
            </w:pPr>
            <w:r>
              <w:rPr/>
              <w:t>—  </w:t>
            </w:r>
          </w:p>
        </w:tc>
        <w:tc>
          <w:tcPr>
            <w:tcW w:w="743" w:type="dxa"/>
            <w:tcBorders/>
            <w:shd w:fill="FFFFFF" w:val="clear"/>
            <w:vAlign w:val="center"/>
          </w:tcPr>
          <w:p>
            <w:pPr>
              <w:pStyle w:val="TableContents"/>
              <w:spacing w:before="0" w:after="283"/>
              <w:ind w:left="0" w:right="0" w:firstLine="108"/>
              <w:jc w:val="left"/>
              <w:rPr/>
            </w:pPr>
            <w:r>
              <w:rPr/>
              <w:t> </w:t>
            </w:r>
          </w:p>
        </w:tc>
        <w:tc>
          <w:tcPr>
            <w:tcW w:w="91" w:type="dxa"/>
            <w:tcBorders/>
            <w:shd w:fill="FFFFFF" w:val="clear"/>
          </w:tcPr>
          <w:p>
            <w:pPr>
              <w:pStyle w:val="TableContents"/>
              <w:spacing w:before="0" w:after="283"/>
              <w:rPr>
                <w:sz w:val="4"/>
                <w:szCs w:val="4"/>
              </w:rPr>
            </w:pPr>
            <w:r>
              <w:rPr>
                <w:sz w:val="4"/>
                <w:szCs w:val="4"/>
              </w:rPr>
            </w:r>
          </w:p>
        </w:tc>
      </w:tr>
      <w:tr>
        <w:trPr/>
        <w:tc>
          <w:tcPr>
            <w:tcW w:w="2897" w:type="dxa"/>
            <w:tcBorders/>
            <w:shd w:fill="auto" w:val="clear"/>
            <w:vAlign w:val="center"/>
          </w:tcPr>
          <w:p>
            <w:pPr>
              <w:pStyle w:val="TableContents"/>
              <w:spacing w:before="0" w:after="283"/>
              <w:jc w:val="left"/>
              <w:rPr/>
            </w:pPr>
            <w:r>
              <w:rPr/>
              <w:t>410 N. Michigan Avenue</w:t>
            </w:r>
          </w:p>
        </w:tc>
        <w:tc>
          <w:tcPr>
            <w:tcW w:w="168" w:type="dxa"/>
            <w:tcBorders/>
            <w:shd w:fill="auto" w:val="clear"/>
            <w:vAlign w:val="center"/>
          </w:tcPr>
          <w:p>
            <w:pPr>
              <w:pStyle w:val="TableContents"/>
              <w:spacing w:before="0" w:after="283"/>
              <w:rPr/>
            </w:pPr>
            <w:r>
              <w:rPr/>
              <w:t> </w:t>
            </w:r>
          </w:p>
        </w:tc>
        <w:tc>
          <w:tcPr>
            <w:tcW w:w="1252" w:type="dxa"/>
            <w:tcBorders/>
            <w:shd w:fill="auto" w:val="clear"/>
            <w:vAlign w:val="center"/>
          </w:tcPr>
          <w:p>
            <w:pPr>
              <w:pStyle w:val="TableContents"/>
              <w:spacing w:before="0" w:after="283"/>
              <w:jc w:val="left"/>
              <w:rPr/>
            </w:pPr>
            <w:r>
              <w:rPr/>
              <w:t>Class B Stock</w:t>
            </w:r>
          </w:p>
        </w:tc>
        <w:tc>
          <w:tcPr>
            <w:tcW w:w="6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jc w:val="left"/>
              <w:rPr/>
            </w:pPr>
            <w:r>
              <w:rPr/>
              <w:t> </w:t>
            </w:r>
          </w:p>
        </w:tc>
        <w:tc>
          <w:tcPr>
            <w:tcW w:w="1113" w:type="dxa"/>
            <w:tcBorders/>
            <w:shd w:fill="auto" w:val="clear"/>
            <w:vAlign w:val="center"/>
          </w:tcPr>
          <w:p>
            <w:pPr>
              <w:pStyle w:val="TableContents"/>
              <w:spacing w:before="0" w:after="283"/>
              <w:jc w:val="right"/>
              <w:rPr/>
            </w:pPr>
            <w:r>
              <w:rPr/>
              <w:t>268,118</w:t>
            </w:r>
          </w:p>
        </w:tc>
        <w:tc>
          <w:tcPr>
            <w:tcW w:w="68" w:type="dxa"/>
            <w:tcBorders/>
            <w:shd w:fill="auto" w:val="clear"/>
            <w:vAlign w:val="center"/>
          </w:tcPr>
          <w:p>
            <w:pPr>
              <w:pStyle w:val="TableContents"/>
              <w:spacing w:before="0" w:after="283"/>
              <w:jc w:val="left"/>
              <w:rPr/>
            </w:pPr>
            <w:r>
              <w:rPr/>
              <w:t> </w:t>
            </w:r>
          </w:p>
        </w:tc>
        <w:tc>
          <w:tcPr>
            <w:tcW w:w="68" w:type="dxa"/>
            <w:tcBorders/>
            <w:shd w:fill="auto" w:val="clear"/>
            <w:vAlign w:val="center"/>
          </w:tcPr>
          <w:p>
            <w:pPr>
              <w:pStyle w:val="TableContents"/>
              <w:spacing w:before="0" w:after="283"/>
              <w:jc w:val="left"/>
              <w:rPr/>
            </w:pPr>
            <w:r>
              <w:rPr/>
              <w:t> </w:t>
            </w:r>
          </w:p>
        </w:tc>
        <w:tc>
          <w:tcPr>
            <w:tcW w:w="68"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jc w:val="left"/>
              <w:rPr/>
            </w:pPr>
            <w:r>
              <w:rPr/>
              <w:t>(6)(7)</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jc w:val="left"/>
              <w:rPr/>
            </w:pPr>
            <w:r>
              <w:rPr/>
              <w:t> </w:t>
            </w:r>
          </w:p>
        </w:tc>
        <w:tc>
          <w:tcPr>
            <w:tcW w:w="927" w:type="dxa"/>
            <w:tcBorders/>
            <w:shd w:fill="auto" w:val="clear"/>
            <w:vAlign w:val="center"/>
          </w:tcPr>
          <w:p>
            <w:pPr>
              <w:pStyle w:val="TableContents"/>
              <w:spacing w:before="0" w:after="283"/>
              <w:jc w:val="right"/>
              <w:rPr/>
            </w:pPr>
            <w:r>
              <w:rPr/>
              <w:t>12.98</w:t>
            </w:r>
          </w:p>
        </w:tc>
        <w:tc>
          <w:tcPr>
            <w:tcW w:w="355" w:type="dxa"/>
            <w:tcBorders/>
            <w:shd w:fill="auto" w:val="clear"/>
            <w:vAlign w:val="center"/>
          </w:tcPr>
          <w:p>
            <w:pPr>
              <w:pStyle w:val="TableContents"/>
              <w:spacing w:before="0" w:after="283"/>
              <w:jc w:val="left"/>
              <w:rPr/>
            </w:pPr>
            <w:r>
              <w:rPr/>
              <w:t>%</w:t>
            </w:r>
          </w:p>
        </w:tc>
        <w:tc>
          <w:tcPr>
            <w:tcW w:w="10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jc w:val="left"/>
              <w:rPr/>
            </w:pPr>
            <w:r>
              <w:rPr/>
              <w:t> </w:t>
            </w:r>
          </w:p>
        </w:tc>
        <w:tc>
          <w:tcPr>
            <w:tcW w:w="1289" w:type="dxa"/>
            <w:tcBorders/>
            <w:shd w:fill="auto" w:val="clear"/>
            <w:vAlign w:val="center"/>
          </w:tcPr>
          <w:p>
            <w:pPr>
              <w:pStyle w:val="TableContents"/>
              <w:spacing w:before="0" w:after="283"/>
              <w:jc w:val="right"/>
              <w:rPr/>
            </w:pPr>
            <w:r>
              <w:rPr/>
              <w:t>10.45</w:t>
            </w:r>
          </w:p>
        </w:tc>
        <w:tc>
          <w:tcPr>
            <w:tcW w:w="743" w:type="dxa"/>
            <w:tcBorders/>
            <w:shd w:fill="auto" w:val="clear"/>
            <w:vAlign w:val="center"/>
          </w:tcPr>
          <w:p>
            <w:pPr>
              <w:pStyle w:val="TableContents"/>
              <w:spacing w:before="0" w:after="283"/>
              <w:ind w:left="0" w:right="0" w:firstLine="108"/>
              <w:jc w:val="left"/>
              <w:rPr/>
            </w:pPr>
            <w:r>
              <w:rPr/>
              <w:t>%</w:t>
            </w:r>
          </w:p>
        </w:tc>
        <w:tc>
          <w:tcPr>
            <w:tcW w:w="91" w:type="dxa"/>
            <w:tcBorders/>
            <w:shd w:fill="auto" w:val="clear"/>
          </w:tcPr>
          <w:p>
            <w:pPr>
              <w:pStyle w:val="TableContents"/>
              <w:spacing w:before="0" w:after="283"/>
              <w:rPr>
                <w:sz w:val="4"/>
                <w:szCs w:val="4"/>
              </w:rPr>
            </w:pPr>
            <w:r>
              <w:rPr>
                <w:sz w:val="4"/>
                <w:szCs w:val="4"/>
              </w:rPr>
            </w:r>
          </w:p>
        </w:tc>
      </w:tr>
      <w:tr>
        <w:trPr/>
        <w:tc>
          <w:tcPr>
            <w:tcW w:w="2897" w:type="dxa"/>
            <w:tcBorders/>
            <w:shd w:fill="FFFFFF" w:val="clear"/>
            <w:vAlign w:val="center"/>
          </w:tcPr>
          <w:p>
            <w:pPr>
              <w:pStyle w:val="TableContents"/>
              <w:spacing w:before="0" w:after="283"/>
              <w:jc w:val="left"/>
              <w:rPr/>
            </w:pPr>
            <w:r>
              <w:rPr/>
              <w:t>Chicago, IL  60611</w:t>
            </w:r>
          </w:p>
        </w:tc>
        <w:tc>
          <w:tcPr>
            <w:tcW w:w="168" w:type="dxa"/>
            <w:tcBorders/>
            <w:shd w:fill="FFFFFF" w:val="clear"/>
            <w:vAlign w:val="center"/>
          </w:tcPr>
          <w:p>
            <w:pPr>
              <w:pStyle w:val="TableContents"/>
              <w:spacing w:before="0" w:after="283"/>
              <w:ind w:left="0" w:right="0" w:firstLine="108"/>
              <w:rPr/>
            </w:pPr>
            <w:r>
              <w:rPr/>
              <w:t> </w:t>
            </w:r>
          </w:p>
        </w:tc>
        <w:tc>
          <w:tcPr>
            <w:tcW w:w="125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113" w:type="dxa"/>
            <w:tcBorders/>
            <w:shd w:fill="FFFFFF" w:val="clear"/>
            <w:vAlign w:val="center"/>
          </w:tcPr>
          <w:p>
            <w:pPr>
              <w:pStyle w:val="TableContents"/>
              <w:spacing w:before="0" w:after="283"/>
              <w:jc w:val="right"/>
              <w:rPr/>
            </w:pPr>
            <w:r>
              <w:rPr/>
              <w:t> </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jc w:val="right"/>
              <w:rPr/>
            </w:pPr>
            <w:r>
              <w:rPr/>
              <w:t> </w:t>
            </w:r>
          </w:p>
        </w:tc>
        <w:tc>
          <w:tcPr>
            <w:tcW w:w="734"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927" w:type="dxa"/>
            <w:tcBorders/>
            <w:shd w:fill="FFFFFF" w:val="clear"/>
            <w:vAlign w:val="center"/>
          </w:tcPr>
          <w:p>
            <w:pPr>
              <w:pStyle w:val="TableContents"/>
              <w:spacing w:before="0" w:after="283"/>
              <w:jc w:val="right"/>
              <w:rPr/>
            </w:pPr>
            <w:r>
              <w:rPr/>
              <w:t> </w:t>
            </w:r>
          </w:p>
        </w:tc>
        <w:tc>
          <w:tcPr>
            <w:tcW w:w="355" w:type="dxa"/>
            <w:tcBorders/>
            <w:shd w:fill="FFFFFF" w:val="clear"/>
            <w:vAlign w:val="center"/>
          </w:tcPr>
          <w:p>
            <w:pPr>
              <w:pStyle w:val="TableContents"/>
              <w:spacing w:before="0" w:after="283"/>
              <w:jc w:val="left"/>
              <w:rPr/>
            </w:pPr>
            <w:r>
              <w:rPr/>
              <w:t> </w:t>
            </w:r>
          </w:p>
        </w:tc>
        <w:tc>
          <w:tcPr>
            <w:tcW w:w="10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289" w:type="dxa"/>
            <w:tcBorders/>
            <w:shd w:fill="FFFFFF" w:val="clear"/>
            <w:vAlign w:val="center"/>
          </w:tcPr>
          <w:p>
            <w:pPr>
              <w:pStyle w:val="TableContents"/>
              <w:spacing w:before="0" w:after="283"/>
              <w:jc w:val="right"/>
              <w:rPr/>
            </w:pPr>
            <w:r>
              <w:rPr/>
              <w:t> </w:t>
            </w:r>
          </w:p>
        </w:tc>
        <w:tc>
          <w:tcPr>
            <w:tcW w:w="743" w:type="dxa"/>
            <w:tcBorders/>
            <w:shd w:fill="FFFFFF" w:val="clear"/>
            <w:vAlign w:val="center"/>
          </w:tcPr>
          <w:p>
            <w:pPr>
              <w:pStyle w:val="TableContents"/>
              <w:spacing w:before="0" w:after="283"/>
              <w:jc w:val="left"/>
              <w:rPr/>
            </w:pPr>
            <w:r>
              <w:rPr/>
              <w:t> </w:t>
            </w:r>
          </w:p>
        </w:tc>
        <w:tc>
          <w:tcPr>
            <w:tcW w:w="91" w:type="dxa"/>
            <w:tcBorders/>
            <w:shd w:fill="FFFFFF" w:val="clear"/>
          </w:tcPr>
          <w:p>
            <w:pPr>
              <w:pStyle w:val="TableContents"/>
              <w:spacing w:before="0" w:after="283"/>
              <w:rPr>
                <w:sz w:val="4"/>
                <w:szCs w:val="4"/>
              </w:rPr>
            </w:pPr>
            <w:r>
              <w:rPr>
                <w:sz w:val="4"/>
                <w:szCs w:val="4"/>
              </w:rPr>
            </w:r>
          </w:p>
        </w:tc>
      </w:tr>
      <w:tr>
        <w:trPr/>
        <w:tc>
          <w:tcPr>
            <w:tcW w:w="2897" w:type="dxa"/>
            <w:tcBorders/>
            <w:shd w:fill="CCEEFF" w:val="clear"/>
            <w:vAlign w:val="center"/>
          </w:tcPr>
          <w:p>
            <w:pPr>
              <w:pStyle w:val="TableContents"/>
              <w:spacing w:before="0" w:after="283"/>
              <w:jc w:val="left"/>
              <w:rPr/>
            </w:pPr>
            <w:r>
              <w:rPr/>
              <w:t>Jaffee Investment Partnership, L.P. (3)</w:t>
            </w:r>
          </w:p>
        </w:tc>
        <w:tc>
          <w:tcPr>
            <w:tcW w:w="168"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left"/>
              <w:rPr/>
            </w:pPr>
            <w:r>
              <w:rPr/>
              <w:t>Common Stock</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13"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right"/>
              <w:rPr/>
            </w:pPr>
            <w:r>
              <w:rPr/>
              <w:t> </w:t>
            </w:r>
          </w:p>
        </w:tc>
        <w:tc>
          <w:tcPr>
            <w:tcW w:w="734"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927" w:type="dxa"/>
            <w:tcBorders/>
            <w:shd w:fill="CCEEFF" w:val="clear"/>
            <w:vAlign w:val="center"/>
          </w:tcPr>
          <w:p>
            <w:pPr>
              <w:pStyle w:val="TableContents"/>
              <w:spacing w:before="0" w:after="283"/>
              <w:jc w:val="right"/>
              <w:rPr/>
            </w:pPr>
            <w:r>
              <w:rPr/>
              <w:t>—  </w:t>
            </w:r>
          </w:p>
        </w:tc>
        <w:tc>
          <w:tcPr>
            <w:tcW w:w="355" w:type="dxa"/>
            <w:tcBorders/>
            <w:shd w:fill="CCEEFF" w:val="clear"/>
            <w:vAlign w:val="center"/>
          </w:tcPr>
          <w:p>
            <w:pPr>
              <w:pStyle w:val="TableContents"/>
              <w:spacing w:before="0" w:after="283"/>
              <w:jc w:val="left"/>
              <w:rPr/>
            </w:pPr>
            <w:r>
              <w:rPr/>
              <w:t> </w:t>
            </w:r>
          </w:p>
        </w:tc>
        <w:tc>
          <w:tcPr>
            <w:tcW w:w="10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289" w:type="dxa"/>
            <w:tcBorders/>
            <w:shd w:fill="CCEEFF" w:val="clear"/>
            <w:vAlign w:val="center"/>
          </w:tcPr>
          <w:p>
            <w:pPr>
              <w:pStyle w:val="TableContents"/>
              <w:spacing w:before="0" w:after="283"/>
              <w:jc w:val="right"/>
              <w:rPr/>
            </w:pPr>
            <w:r>
              <w:rPr/>
              <w:t>—  </w:t>
            </w:r>
          </w:p>
        </w:tc>
        <w:tc>
          <w:tcPr>
            <w:tcW w:w="743" w:type="dxa"/>
            <w:tcBorders/>
            <w:shd w:fill="CCEEFF" w:val="clear"/>
            <w:vAlign w:val="center"/>
          </w:tcPr>
          <w:p>
            <w:pPr>
              <w:pStyle w:val="TableContents"/>
              <w:spacing w:before="0" w:after="283"/>
              <w:ind w:left="0" w:right="0" w:firstLine="108"/>
              <w:jc w:val="left"/>
              <w:rPr/>
            </w:pPr>
            <w:r>
              <w:rPr/>
              <w:t> </w:t>
            </w:r>
          </w:p>
        </w:tc>
        <w:tc>
          <w:tcPr>
            <w:tcW w:w="91" w:type="dxa"/>
            <w:tcBorders/>
            <w:shd w:fill="CCEEFF" w:val="clear"/>
          </w:tcPr>
          <w:p>
            <w:pPr>
              <w:pStyle w:val="TableContents"/>
              <w:spacing w:before="0" w:after="283"/>
              <w:rPr>
                <w:sz w:val="4"/>
                <w:szCs w:val="4"/>
              </w:rPr>
            </w:pPr>
            <w:r>
              <w:rPr>
                <w:sz w:val="4"/>
                <w:szCs w:val="4"/>
              </w:rPr>
            </w:r>
          </w:p>
        </w:tc>
      </w:tr>
      <w:tr>
        <w:trPr/>
        <w:tc>
          <w:tcPr>
            <w:tcW w:w="2897" w:type="dxa"/>
            <w:tcBorders/>
            <w:shd w:fill="CCEEFF" w:val="clear"/>
            <w:vAlign w:val="center"/>
          </w:tcPr>
          <w:p>
            <w:pPr>
              <w:pStyle w:val="TableContents"/>
              <w:spacing w:before="0" w:after="283"/>
              <w:jc w:val="left"/>
              <w:rPr/>
            </w:pPr>
            <w:r>
              <w:rPr/>
              <w:t>410 N. Michigan Avenue</w:t>
            </w:r>
          </w:p>
        </w:tc>
        <w:tc>
          <w:tcPr>
            <w:tcW w:w="168"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left"/>
              <w:rPr/>
            </w:pPr>
            <w:r>
              <w:rPr/>
              <w:t>Class B Stock</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13" w:type="dxa"/>
            <w:tcBorders/>
            <w:shd w:fill="CCEEFF" w:val="clear"/>
            <w:vAlign w:val="center"/>
          </w:tcPr>
          <w:p>
            <w:pPr>
              <w:pStyle w:val="TableContents"/>
              <w:spacing w:before="0" w:after="283"/>
              <w:jc w:val="right"/>
              <w:rPr/>
            </w:pPr>
            <w:r>
              <w:rPr/>
              <w:t>1,250,000</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sz w:val="4"/>
                <w:szCs w:val="4"/>
              </w:rPr>
            </w:pPr>
            <w:r>
              <w:rPr>
                <w:sz w:val="4"/>
                <w:szCs w:val="4"/>
              </w:rPr>
            </w:r>
          </w:p>
        </w:tc>
        <w:tc>
          <w:tcPr>
            <w:tcW w:w="734" w:type="dxa"/>
            <w:tcBorders/>
            <w:shd w:fill="CCEEFF" w:val="clear"/>
            <w:vAlign w:val="center"/>
          </w:tcPr>
          <w:p>
            <w:pPr>
              <w:pStyle w:val="TableContents"/>
              <w:spacing w:before="0" w:after="283"/>
              <w:jc w:val="left"/>
              <w:rPr/>
            </w:pPr>
            <w:r>
              <w:rPr/>
              <w:t>(5)</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927" w:type="dxa"/>
            <w:tcBorders/>
            <w:shd w:fill="CCEEFF" w:val="clear"/>
            <w:vAlign w:val="center"/>
          </w:tcPr>
          <w:p>
            <w:pPr>
              <w:pStyle w:val="TableContents"/>
              <w:spacing w:before="0" w:after="283"/>
              <w:jc w:val="right"/>
              <w:rPr/>
            </w:pPr>
            <w:r>
              <w:rPr/>
              <w:t>60.53</w:t>
            </w:r>
          </w:p>
        </w:tc>
        <w:tc>
          <w:tcPr>
            <w:tcW w:w="355" w:type="dxa"/>
            <w:tcBorders/>
            <w:shd w:fill="CCEEFF" w:val="clear"/>
            <w:vAlign w:val="center"/>
          </w:tcPr>
          <w:p>
            <w:pPr>
              <w:pStyle w:val="TableContents"/>
              <w:spacing w:before="0" w:after="283"/>
              <w:jc w:val="left"/>
              <w:rPr/>
            </w:pPr>
            <w:r>
              <w:rPr/>
              <w:t>%</w:t>
            </w:r>
          </w:p>
        </w:tc>
        <w:tc>
          <w:tcPr>
            <w:tcW w:w="10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289" w:type="dxa"/>
            <w:tcBorders/>
            <w:shd w:fill="CCEEFF" w:val="clear"/>
            <w:vAlign w:val="center"/>
          </w:tcPr>
          <w:p>
            <w:pPr>
              <w:pStyle w:val="TableContents"/>
              <w:spacing w:before="0" w:after="283"/>
              <w:jc w:val="right"/>
              <w:rPr/>
            </w:pPr>
            <w:r>
              <w:rPr/>
              <w:t>48.70</w:t>
            </w:r>
          </w:p>
        </w:tc>
        <w:tc>
          <w:tcPr>
            <w:tcW w:w="743" w:type="dxa"/>
            <w:tcBorders/>
            <w:shd w:fill="CCEEFF" w:val="clear"/>
            <w:vAlign w:val="center"/>
          </w:tcPr>
          <w:p>
            <w:pPr>
              <w:pStyle w:val="TableContents"/>
              <w:spacing w:before="0" w:after="283"/>
              <w:ind w:left="0" w:right="0" w:firstLine="108"/>
              <w:jc w:val="left"/>
              <w:rPr/>
            </w:pPr>
            <w:r>
              <w:rPr/>
              <w:t>%</w:t>
            </w:r>
          </w:p>
        </w:tc>
        <w:tc>
          <w:tcPr>
            <w:tcW w:w="91" w:type="dxa"/>
            <w:tcBorders/>
            <w:shd w:fill="CCEEFF" w:val="clear"/>
          </w:tcPr>
          <w:p>
            <w:pPr>
              <w:pStyle w:val="TableContents"/>
              <w:spacing w:before="0" w:after="283"/>
              <w:rPr>
                <w:sz w:val="4"/>
                <w:szCs w:val="4"/>
              </w:rPr>
            </w:pPr>
            <w:r>
              <w:rPr>
                <w:sz w:val="4"/>
                <w:szCs w:val="4"/>
              </w:rPr>
            </w:r>
          </w:p>
        </w:tc>
      </w:tr>
      <w:tr>
        <w:trPr/>
        <w:tc>
          <w:tcPr>
            <w:tcW w:w="2897" w:type="dxa"/>
            <w:tcBorders/>
            <w:shd w:fill="CCEEFF" w:val="clear"/>
            <w:vAlign w:val="center"/>
          </w:tcPr>
          <w:p>
            <w:pPr>
              <w:pStyle w:val="TableContents"/>
              <w:spacing w:before="0" w:after="283"/>
              <w:jc w:val="left"/>
              <w:rPr/>
            </w:pPr>
            <w:r>
              <w:rPr/>
              <w:t>Chicago, IL  60611</w:t>
            </w:r>
          </w:p>
        </w:tc>
        <w:tc>
          <w:tcPr>
            <w:tcW w:w="168" w:type="dxa"/>
            <w:tcBorders/>
            <w:shd w:fill="CCEEFF" w:val="clear"/>
            <w:vAlign w:val="center"/>
          </w:tcPr>
          <w:p>
            <w:pPr>
              <w:pStyle w:val="TableContents"/>
              <w:spacing w:before="0" w:after="283"/>
              <w:ind w:left="0" w:right="0" w:firstLine="108"/>
              <w:rPr/>
            </w:pPr>
            <w:r>
              <w:rPr/>
              <w:t> </w:t>
            </w:r>
          </w:p>
        </w:tc>
        <w:tc>
          <w:tcPr>
            <w:tcW w:w="1252"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13"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right"/>
              <w:rPr/>
            </w:pPr>
            <w:r>
              <w:rPr/>
              <w:t> </w:t>
            </w:r>
          </w:p>
        </w:tc>
        <w:tc>
          <w:tcPr>
            <w:tcW w:w="734"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927" w:type="dxa"/>
            <w:tcBorders/>
            <w:shd w:fill="CCEEFF" w:val="clear"/>
            <w:vAlign w:val="center"/>
          </w:tcPr>
          <w:p>
            <w:pPr>
              <w:pStyle w:val="TableContents"/>
              <w:spacing w:before="0" w:after="283"/>
              <w:jc w:val="right"/>
              <w:rPr/>
            </w:pPr>
            <w:r>
              <w:rPr/>
              <w:t> </w:t>
            </w:r>
          </w:p>
        </w:tc>
        <w:tc>
          <w:tcPr>
            <w:tcW w:w="355" w:type="dxa"/>
            <w:tcBorders/>
            <w:shd w:fill="CCEEFF" w:val="clear"/>
            <w:vAlign w:val="center"/>
          </w:tcPr>
          <w:p>
            <w:pPr>
              <w:pStyle w:val="TableContents"/>
              <w:spacing w:before="0" w:after="283"/>
              <w:jc w:val="left"/>
              <w:rPr/>
            </w:pPr>
            <w:r>
              <w:rPr/>
              <w:t> </w:t>
            </w:r>
          </w:p>
        </w:tc>
        <w:tc>
          <w:tcPr>
            <w:tcW w:w="10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289" w:type="dxa"/>
            <w:tcBorders/>
            <w:shd w:fill="CCEEFF" w:val="clear"/>
            <w:vAlign w:val="center"/>
          </w:tcPr>
          <w:p>
            <w:pPr>
              <w:pStyle w:val="TableContents"/>
              <w:spacing w:before="0" w:after="283"/>
              <w:jc w:val="right"/>
              <w:rPr/>
            </w:pPr>
            <w:r>
              <w:rPr/>
              <w:t> </w:t>
            </w:r>
          </w:p>
        </w:tc>
        <w:tc>
          <w:tcPr>
            <w:tcW w:w="743" w:type="dxa"/>
            <w:tcBorders/>
            <w:shd w:fill="CCEEFF" w:val="clear"/>
            <w:vAlign w:val="center"/>
          </w:tcPr>
          <w:p>
            <w:pPr>
              <w:pStyle w:val="TableContents"/>
              <w:spacing w:before="0" w:after="283"/>
              <w:jc w:val="left"/>
              <w:rPr/>
            </w:pPr>
            <w:r>
              <w:rPr/>
              <w:t> </w:t>
            </w:r>
          </w:p>
        </w:tc>
        <w:tc>
          <w:tcPr>
            <w:tcW w:w="91" w:type="dxa"/>
            <w:tcBorders/>
            <w:shd w:fill="CCEEFF" w:val="clear"/>
          </w:tcPr>
          <w:p>
            <w:pPr>
              <w:pStyle w:val="TableContents"/>
              <w:spacing w:before="0" w:after="283"/>
              <w:rPr>
                <w:sz w:val="4"/>
                <w:szCs w:val="4"/>
              </w:rPr>
            </w:pPr>
            <w:r>
              <w:rPr>
                <w:sz w:val="4"/>
                <w:szCs w:val="4"/>
              </w:rPr>
            </w:r>
          </w:p>
        </w:tc>
      </w:tr>
      <w:tr>
        <w:trPr/>
        <w:tc>
          <w:tcPr>
            <w:tcW w:w="2897" w:type="dxa"/>
            <w:tcBorders/>
            <w:shd w:fill="FFFFFF" w:val="clear"/>
            <w:vAlign w:val="center"/>
          </w:tcPr>
          <w:p>
            <w:pPr>
              <w:pStyle w:val="TableContents"/>
              <w:spacing w:before="0" w:after="283"/>
              <w:jc w:val="left"/>
              <w:rPr/>
            </w:pPr>
            <w:r>
              <w:rPr/>
              <w:t>Dimensional Fund Advisors LP</w:t>
            </w:r>
          </w:p>
        </w:tc>
        <w:tc>
          <w:tcPr>
            <w:tcW w:w="168" w:type="dxa"/>
            <w:tcBorders/>
            <w:shd w:fill="FFFFFF" w:val="clear"/>
            <w:vAlign w:val="center"/>
          </w:tcPr>
          <w:p>
            <w:pPr>
              <w:pStyle w:val="TableContents"/>
              <w:spacing w:before="0" w:after="283"/>
              <w:rPr/>
            </w:pPr>
            <w:r>
              <w:rPr/>
              <w:t> </w:t>
            </w:r>
          </w:p>
        </w:tc>
        <w:tc>
          <w:tcPr>
            <w:tcW w:w="1252" w:type="dxa"/>
            <w:tcBorders/>
            <w:shd w:fill="FFFFFF" w:val="clear"/>
            <w:vAlign w:val="center"/>
          </w:tcPr>
          <w:p>
            <w:pPr>
              <w:pStyle w:val="TableContents"/>
              <w:spacing w:before="0" w:after="283"/>
              <w:jc w:val="left"/>
              <w:rPr/>
            </w:pPr>
            <w:r>
              <w:rPr/>
              <w:t>Common Stock</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113" w:type="dxa"/>
            <w:tcBorders/>
            <w:shd w:fill="FFFFFF" w:val="clear"/>
            <w:vAlign w:val="center"/>
          </w:tcPr>
          <w:p>
            <w:pPr>
              <w:pStyle w:val="TableContents"/>
              <w:spacing w:before="0" w:after="283"/>
              <w:jc w:val="right"/>
              <w:rPr/>
            </w:pPr>
            <w:r>
              <w:rPr/>
              <w:t>356,907</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sz w:val="4"/>
                <w:szCs w:val="4"/>
              </w:rPr>
            </w:pPr>
            <w:r>
              <w:rPr>
                <w:sz w:val="4"/>
                <w:szCs w:val="4"/>
              </w:rPr>
            </w:r>
          </w:p>
        </w:tc>
        <w:tc>
          <w:tcPr>
            <w:tcW w:w="734" w:type="dxa"/>
            <w:tcBorders/>
            <w:shd w:fill="FFFFFF" w:val="clear"/>
            <w:vAlign w:val="center"/>
          </w:tcPr>
          <w:p>
            <w:pPr>
              <w:pStyle w:val="TableContents"/>
              <w:spacing w:before="0" w:after="283"/>
              <w:jc w:val="left"/>
              <w:rPr/>
            </w:pPr>
            <w:r>
              <w:rPr/>
              <w:t>(8)</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927" w:type="dxa"/>
            <w:tcBorders/>
            <w:shd w:fill="FFFFFF" w:val="clear"/>
            <w:vAlign w:val="center"/>
          </w:tcPr>
          <w:p>
            <w:pPr>
              <w:pStyle w:val="TableContents"/>
              <w:spacing w:before="0" w:after="283"/>
              <w:jc w:val="right"/>
              <w:rPr/>
            </w:pPr>
            <w:r>
              <w:rPr/>
              <w:t>7.12</w:t>
            </w:r>
          </w:p>
        </w:tc>
        <w:tc>
          <w:tcPr>
            <w:tcW w:w="355" w:type="dxa"/>
            <w:tcBorders/>
            <w:shd w:fill="FFFFFF" w:val="clear"/>
            <w:vAlign w:val="center"/>
          </w:tcPr>
          <w:p>
            <w:pPr>
              <w:pStyle w:val="TableContents"/>
              <w:spacing w:before="0" w:after="283"/>
              <w:jc w:val="left"/>
              <w:rPr/>
            </w:pPr>
            <w:r>
              <w:rPr/>
              <w:t>%</w:t>
            </w:r>
          </w:p>
        </w:tc>
        <w:tc>
          <w:tcPr>
            <w:tcW w:w="10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289" w:type="dxa"/>
            <w:tcBorders/>
            <w:shd w:fill="FFFFFF" w:val="clear"/>
            <w:vAlign w:val="center"/>
          </w:tcPr>
          <w:p>
            <w:pPr>
              <w:pStyle w:val="TableContents"/>
              <w:spacing w:before="0" w:after="283"/>
              <w:jc w:val="right"/>
              <w:rPr/>
            </w:pPr>
            <w:r>
              <w:rPr/>
              <w:t>1.39</w:t>
            </w:r>
          </w:p>
        </w:tc>
        <w:tc>
          <w:tcPr>
            <w:tcW w:w="743" w:type="dxa"/>
            <w:tcBorders/>
            <w:shd w:fill="FFFFFF" w:val="clear"/>
            <w:vAlign w:val="center"/>
          </w:tcPr>
          <w:p>
            <w:pPr>
              <w:pStyle w:val="TableContents"/>
              <w:spacing w:before="0" w:after="283"/>
              <w:ind w:left="0" w:right="0" w:firstLine="108"/>
              <w:jc w:val="left"/>
              <w:rPr/>
            </w:pPr>
            <w:r>
              <w:rPr/>
              <w:t>%</w:t>
            </w:r>
          </w:p>
        </w:tc>
        <w:tc>
          <w:tcPr>
            <w:tcW w:w="91" w:type="dxa"/>
            <w:tcBorders/>
            <w:shd w:fill="FFFFFF" w:val="clear"/>
          </w:tcPr>
          <w:p>
            <w:pPr>
              <w:pStyle w:val="TableContents"/>
              <w:spacing w:before="0" w:after="283"/>
              <w:rPr>
                <w:sz w:val="4"/>
                <w:szCs w:val="4"/>
              </w:rPr>
            </w:pPr>
            <w:r>
              <w:rPr>
                <w:sz w:val="4"/>
                <w:szCs w:val="4"/>
              </w:rPr>
            </w:r>
          </w:p>
        </w:tc>
      </w:tr>
      <w:tr>
        <w:trPr/>
        <w:tc>
          <w:tcPr>
            <w:tcW w:w="2897" w:type="dxa"/>
            <w:tcBorders/>
            <w:shd w:fill="auto" w:val="clear"/>
            <w:vAlign w:val="center"/>
          </w:tcPr>
          <w:p>
            <w:pPr>
              <w:pStyle w:val="TableContents"/>
              <w:spacing w:before="0" w:after="283"/>
              <w:jc w:val="left"/>
              <w:rPr/>
            </w:pPr>
            <w:r>
              <w:rPr/>
              <w:t>Palisades West, Building One</w:t>
            </w:r>
          </w:p>
        </w:tc>
        <w:tc>
          <w:tcPr>
            <w:tcW w:w="168" w:type="dxa"/>
            <w:tcBorders/>
            <w:shd w:fill="auto" w:val="clear"/>
            <w:vAlign w:val="center"/>
          </w:tcPr>
          <w:p>
            <w:pPr>
              <w:pStyle w:val="TableContents"/>
              <w:spacing w:before="0" w:after="283"/>
              <w:rPr/>
            </w:pPr>
            <w:r>
              <w:rPr/>
              <w:t> </w:t>
            </w:r>
          </w:p>
        </w:tc>
        <w:tc>
          <w:tcPr>
            <w:tcW w:w="1252" w:type="dxa"/>
            <w:tcBorders/>
            <w:shd w:fill="auto" w:val="clear"/>
            <w:vAlign w:val="center"/>
          </w:tcPr>
          <w:p>
            <w:pPr>
              <w:pStyle w:val="TableContents"/>
              <w:spacing w:before="0" w:after="283"/>
              <w:jc w:val="left"/>
              <w:rPr/>
            </w:pPr>
            <w:r>
              <w:rPr/>
              <w:t>Class B Stock</w:t>
            </w:r>
          </w:p>
        </w:tc>
        <w:tc>
          <w:tcPr>
            <w:tcW w:w="6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jc w:val="left"/>
              <w:rPr/>
            </w:pPr>
            <w:r>
              <w:rPr/>
              <w:t> </w:t>
            </w:r>
          </w:p>
        </w:tc>
        <w:tc>
          <w:tcPr>
            <w:tcW w:w="1113" w:type="dxa"/>
            <w:tcBorders/>
            <w:shd w:fill="auto" w:val="clear"/>
            <w:vAlign w:val="center"/>
          </w:tcPr>
          <w:p>
            <w:pPr>
              <w:pStyle w:val="TableContents"/>
              <w:spacing w:before="0" w:after="283"/>
              <w:jc w:val="right"/>
              <w:rPr/>
            </w:pPr>
            <w:r>
              <w:rPr/>
              <w:t>—  </w:t>
            </w:r>
          </w:p>
        </w:tc>
        <w:tc>
          <w:tcPr>
            <w:tcW w:w="68" w:type="dxa"/>
            <w:tcBorders/>
            <w:shd w:fill="auto" w:val="clear"/>
            <w:vAlign w:val="center"/>
          </w:tcPr>
          <w:p>
            <w:pPr>
              <w:pStyle w:val="TableContents"/>
              <w:spacing w:before="0" w:after="283"/>
              <w:jc w:val="left"/>
              <w:rPr/>
            </w:pPr>
            <w:r>
              <w:rPr/>
              <w:t> </w:t>
            </w:r>
          </w:p>
        </w:tc>
        <w:tc>
          <w:tcPr>
            <w:tcW w:w="68" w:type="dxa"/>
            <w:tcBorders/>
            <w:shd w:fill="auto" w:val="clear"/>
            <w:vAlign w:val="center"/>
          </w:tcPr>
          <w:p>
            <w:pPr>
              <w:pStyle w:val="TableContents"/>
              <w:spacing w:before="0" w:after="283"/>
              <w:jc w:val="left"/>
              <w:rPr/>
            </w:pPr>
            <w:r>
              <w:rPr/>
              <w:t> </w:t>
            </w:r>
          </w:p>
        </w:tc>
        <w:tc>
          <w:tcPr>
            <w:tcW w:w="68" w:type="dxa"/>
            <w:tcBorders/>
            <w:shd w:fill="auto" w:val="clear"/>
            <w:vAlign w:val="center"/>
          </w:tcPr>
          <w:p>
            <w:pPr>
              <w:pStyle w:val="TableContents"/>
              <w:spacing w:before="0" w:after="283"/>
              <w:jc w:val="right"/>
              <w:rPr/>
            </w:pPr>
            <w:r>
              <w:rPr/>
              <w:t> </w:t>
            </w:r>
          </w:p>
        </w:tc>
        <w:tc>
          <w:tcPr>
            <w:tcW w:w="734" w:type="dxa"/>
            <w:tcBorders/>
            <w:shd w:fill="auto" w:val="clear"/>
            <w:vAlign w:val="center"/>
          </w:tcPr>
          <w:p>
            <w:pPr>
              <w:pStyle w:val="TableContents"/>
              <w:spacing w:before="0" w:after="283"/>
              <w:jc w:val="left"/>
              <w:rPr/>
            </w:pPr>
            <w:r>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jc w:val="left"/>
              <w:rPr/>
            </w:pPr>
            <w:r>
              <w:rPr/>
              <w:t> </w:t>
            </w:r>
          </w:p>
        </w:tc>
        <w:tc>
          <w:tcPr>
            <w:tcW w:w="927" w:type="dxa"/>
            <w:tcBorders/>
            <w:shd w:fill="auto" w:val="clear"/>
            <w:vAlign w:val="center"/>
          </w:tcPr>
          <w:p>
            <w:pPr>
              <w:pStyle w:val="TableContents"/>
              <w:spacing w:before="0" w:after="283"/>
              <w:jc w:val="right"/>
              <w:rPr/>
            </w:pPr>
            <w:r>
              <w:rPr/>
              <w:t>—  </w:t>
            </w:r>
          </w:p>
        </w:tc>
        <w:tc>
          <w:tcPr>
            <w:tcW w:w="355" w:type="dxa"/>
            <w:tcBorders/>
            <w:shd w:fill="auto" w:val="clear"/>
            <w:vAlign w:val="center"/>
          </w:tcPr>
          <w:p>
            <w:pPr>
              <w:pStyle w:val="TableContents"/>
              <w:spacing w:before="0" w:after="283"/>
              <w:jc w:val="left"/>
              <w:rPr/>
            </w:pPr>
            <w:r>
              <w:rPr/>
              <w:t> </w:t>
            </w:r>
          </w:p>
        </w:tc>
        <w:tc>
          <w:tcPr>
            <w:tcW w:w="10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jc w:val="left"/>
              <w:rPr/>
            </w:pPr>
            <w:r>
              <w:rPr/>
              <w:t> </w:t>
            </w:r>
          </w:p>
        </w:tc>
        <w:tc>
          <w:tcPr>
            <w:tcW w:w="1289" w:type="dxa"/>
            <w:tcBorders/>
            <w:shd w:fill="auto" w:val="clear"/>
            <w:vAlign w:val="center"/>
          </w:tcPr>
          <w:p>
            <w:pPr>
              <w:pStyle w:val="TableContents"/>
              <w:spacing w:before="0" w:after="283"/>
              <w:jc w:val="right"/>
              <w:rPr/>
            </w:pPr>
            <w:r>
              <w:rPr/>
              <w:t>—  </w:t>
            </w:r>
          </w:p>
        </w:tc>
        <w:tc>
          <w:tcPr>
            <w:tcW w:w="743" w:type="dxa"/>
            <w:tcBorders/>
            <w:shd w:fill="auto" w:val="clear"/>
            <w:vAlign w:val="center"/>
          </w:tcPr>
          <w:p>
            <w:pPr>
              <w:pStyle w:val="TableContents"/>
              <w:spacing w:before="0" w:after="283"/>
              <w:ind w:left="0" w:right="0" w:firstLine="108"/>
              <w:jc w:val="left"/>
              <w:rPr/>
            </w:pPr>
            <w:r>
              <w:rPr/>
              <w:t> </w:t>
            </w:r>
          </w:p>
        </w:tc>
        <w:tc>
          <w:tcPr>
            <w:tcW w:w="91" w:type="dxa"/>
            <w:tcBorders/>
            <w:shd w:fill="auto" w:val="clear"/>
          </w:tcPr>
          <w:p>
            <w:pPr>
              <w:pStyle w:val="TableContents"/>
              <w:spacing w:before="0" w:after="283"/>
              <w:rPr>
                <w:sz w:val="4"/>
                <w:szCs w:val="4"/>
              </w:rPr>
            </w:pPr>
            <w:r>
              <w:rPr>
                <w:sz w:val="4"/>
                <w:szCs w:val="4"/>
              </w:rPr>
            </w:r>
          </w:p>
        </w:tc>
      </w:tr>
      <w:tr>
        <w:trPr/>
        <w:tc>
          <w:tcPr>
            <w:tcW w:w="2897" w:type="dxa"/>
            <w:tcBorders/>
            <w:shd w:fill="FFFFFF" w:val="clear"/>
            <w:vAlign w:val="center"/>
          </w:tcPr>
          <w:p>
            <w:pPr>
              <w:pStyle w:val="TableContents"/>
              <w:spacing w:before="0" w:after="283"/>
              <w:jc w:val="left"/>
              <w:rPr/>
            </w:pPr>
            <w:r>
              <w:rPr/>
              <w:t>6300 Bee Cave Road</w:t>
            </w:r>
          </w:p>
        </w:tc>
        <w:tc>
          <w:tcPr>
            <w:tcW w:w="168" w:type="dxa"/>
            <w:tcBorders/>
            <w:shd w:fill="FFFFFF" w:val="clear"/>
            <w:vAlign w:val="center"/>
          </w:tcPr>
          <w:p>
            <w:pPr>
              <w:pStyle w:val="TableContents"/>
              <w:spacing w:before="0" w:after="283"/>
              <w:ind w:left="0" w:right="0" w:firstLine="108"/>
              <w:rPr/>
            </w:pPr>
            <w:r>
              <w:rPr/>
              <w:t> </w:t>
            </w:r>
          </w:p>
        </w:tc>
        <w:tc>
          <w:tcPr>
            <w:tcW w:w="125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113" w:type="dxa"/>
            <w:tcBorders/>
            <w:shd w:fill="FFFFFF" w:val="clear"/>
            <w:vAlign w:val="center"/>
          </w:tcPr>
          <w:p>
            <w:pPr>
              <w:pStyle w:val="TableContents"/>
              <w:spacing w:before="0" w:after="283"/>
              <w:jc w:val="right"/>
              <w:rPr/>
            </w:pPr>
            <w:r>
              <w:rPr/>
              <w:t> </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jc w:val="right"/>
              <w:rPr/>
            </w:pPr>
            <w:r>
              <w:rPr/>
              <w:t> </w:t>
            </w:r>
          </w:p>
        </w:tc>
        <w:tc>
          <w:tcPr>
            <w:tcW w:w="734"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927" w:type="dxa"/>
            <w:tcBorders/>
            <w:shd w:fill="FFFFFF" w:val="clear"/>
            <w:vAlign w:val="center"/>
          </w:tcPr>
          <w:p>
            <w:pPr>
              <w:pStyle w:val="TableContents"/>
              <w:spacing w:before="0" w:after="283"/>
              <w:jc w:val="right"/>
              <w:rPr/>
            </w:pPr>
            <w:r>
              <w:rPr/>
              <w:t> </w:t>
            </w:r>
          </w:p>
        </w:tc>
        <w:tc>
          <w:tcPr>
            <w:tcW w:w="355" w:type="dxa"/>
            <w:tcBorders/>
            <w:shd w:fill="FFFFFF" w:val="clear"/>
            <w:vAlign w:val="center"/>
          </w:tcPr>
          <w:p>
            <w:pPr>
              <w:pStyle w:val="TableContents"/>
              <w:spacing w:before="0" w:after="283"/>
              <w:jc w:val="left"/>
              <w:rPr/>
            </w:pPr>
            <w:r>
              <w:rPr/>
              <w:t> </w:t>
            </w:r>
          </w:p>
        </w:tc>
        <w:tc>
          <w:tcPr>
            <w:tcW w:w="10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289" w:type="dxa"/>
            <w:tcBorders/>
            <w:shd w:fill="FFFFFF" w:val="clear"/>
            <w:vAlign w:val="center"/>
          </w:tcPr>
          <w:p>
            <w:pPr>
              <w:pStyle w:val="TableContents"/>
              <w:spacing w:before="0" w:after="283"/>
              <w:jc w:val="right"/>
              <w:rPr/>
            </w:pPr>
            <w:r>
              <w:rPr/>
              <w:t> </w:t>
            </w:r>
          </w:p>
        </w:tc>
        <w:tc>
          <w:tcPr>
            <w:tcW w:w="743" w:type="dxa"/>
            <w:tcBorders/>
            <w:shd w:fill="FFFFFF" w:val="clear"/>
            <w:vAlign w:val="center"/>
          </w:tcPr>
          <w:p>
            <w:pPr>
              <w:pStyle w:val="TableContents"/>
              <w:spacing w:before="0" w:after="283"/>
              <w:ind w:left="0" w:right="0" w:firstLine="108"/>
              <w:jc w:val="left"/>
              <w:rPr/>
            </w:pPr>
            <w:r>
              <w:rPr/>
              <w:t> </w:t>
            </w:r>
          </w:p>
        </w:tc>
        <w:tc>
          <w:tcPr>
            <w:tcW w:w="91" w:type="dxa"/>
            <w:tcBorders/>
            <w:shd w:fill="FFFFFF" w:val="clear"/>
          </w:tcPr>
          <w:p>
            <w:pPr>
              <w:pStyle w:val="TableContents"/>
              <w:spacing w:before="0" w:after="283"/>
              <w:rPr>
                <w:sz w:val="4"/>
                <w:szCs w:val="4"/>
              </w:rPr>
            </w:pPr>
            <w:r>
              <w:rPr>
                <w:sz w:val="4"/>
                <w:szCs w:val="4"/>
              </w:rPr>
            </w:r>
          </w:p>
        </w:tc>
      </w:tr>
      <w:tr>
        <w:trPr/>
        <w:tc>
          <w:tcPr>
            <w:tcW w:w="2897" w:type="dxa"/>
            <w:tcBorders/>
            <w:shd w:fill="auto" w:val="clear"/>
            <w:vAlign w:val="center"/>
          </w:tcPr>
          <w:p>
            <w:pPr>
              <w:pStyle w:val="TableContents"/>
              <w:spacing w:before="0" w:after="283"/>
              <w:jc w:val="left"/>
              <w:rPr/>
            </w:pPr>
            <w:r>
              <w:rPr/>
              <w:t>Austin, TX  78746</w:t>
            </w:r>
          </w:p>
        </w:tc>
        <w:tc>
          <w:tcPr>
            <w:tcW w:w="168" w:type="dxa"/>
            <w:tcBorders/>
            <w:shd w:fill="auto" w:val="clear"/>
            <w:vAlign w:val="center"/>
          </w:tcPr>
          <w:p>
            <w:pPr>
              <w:pStyle w:val="TableContents"/>
              <w:spacing w:before="0" w:after="283"/>
              <w:ind w:left="0" w:right="0" w:firstLine="108"/>
              <w:rPr/>
            </w:pPr>
            <w:r>
              <w:rPr/>
              <w:t> </w:t>
            </w:r>
          </w:p>
        </w:tc>
        <w:tc>
          <w:tcPr>
            <w:tcW w:w="1252"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jc w:val="left"/>
              <w:rPr/>
            </w:pPr>
            <w:r>
              <w:rPr/>
              <w:t> </w:t>
            </w:r>
          </w:p>
        </w:tc>
        <w:tc>
          <w:tcPr>
            <w:tcW w:w="1113" w:type="dxa"/>
            <w:tcBorders/>
            <w:shd w:fill="auto" w:val="clear"/>
            <w:vAlign w:val="center"/>
          </w:tcPr>
          <w:p>
            <w:pPr>
              <w:pStyle w:val="TableContents"/>
              <w:spacing w:before="0" w:after="283"/>
              <w:jc w:val="right"/>
              <w:rPr/>
            </w:pPr>
            <w:r>
              <w:rPr/>
              <w:t> </w:t>
            </w:r>
          </w:p>
        </w:tc>
        <w:tc>
          <w:tcPr>
            <w:tcW w:w="68" w:type="dxa"/>
            <w:tcBorders/>
            <w:shd w:fill="auto" w:val="clear"/>
            <w:vAlign w:val="center"/>
          </w:tcPr>
          <w:p>
            <w:pPr>
              <w:pStyle w:val="TableContents"/>
              <w:spacing w:before="0" w:after="283"/>
              <w:jc w:val="left"/>
              <w:rPr/>
            </w:pPr>
            <w:r>
              <w:rPr/>
              <w:t> </w:t>
            </w:r>
          </w:p>
        </w:tc>
        <w:tc>
          <w:tcPr>
            <w:tcW w:w="68" w:type="dxa"/>
            <w:tcBorders/>
            <w:shd w:fill="auto" w:val="clear"/>
            <w:vAlign w:val="center"/>
          </w:tcPr>
          <w:p>
            <w:pPr>
              <w:pStyle w:val="TableContents"/>
              <w:spacing w:before="0" w:after="283"/>
              <w:jc w:val="left"/>
              <w:rPr/>
            </w:pPr>
            <w:r>
              <w:rPr/>
              <w:t> </w:t>
            </w:r>
          </w:p>
        </w:tc>
        <w:tc>
          <w:tcPr>
            <w:tcW w:w="68" w:type="dxa"/>
            <w:tcBorders/>
            <w:shd w:fill="auto" w:val="clear"/>
            <w:vAlign w:val="center"/>
          </w:tcPr>
          <w:p>
            <w:pPr>
              <w:pStyle w:val="TableContents"/>
              <w:spacing w:before="0" w:after="283"/>
              <w:jc w:val="right"/>
              <w:rPr/>
            </w:pPr>
            <w:r>
              <w:rPr/>
              <w:t> </w:t>
            </w:r>
          </w:p>
        </w:tc>
        <w:tc>
          <w:tcPr>
            <w:tcW w:w="734" w:type="dxa"/>
            <w:tcBorders/>
            <w:shd w:fill="auto" w:val="clear"/>
            <w:vAlign w:val="center"/>
          </w:tcPr>
          <w:p>
            <w:pPr>
              <w:pStyle w:val="TableContents"/>
              <w:spacing w:before="0" w:after="283"/>
              <w:jc w:val="left"/>
              <w:rPr/>
            </w:pPr>
            <w:r>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jc w:val="left"/>
              <w:rPr/>
            </w:pPr>
            <w:r>
              <w:rPr/>
              <w:t> </w:t>
            </w:r>
          </w:p>
        </w:tc>
        <w:tc>
          <w:tcPr>
            <w:tcW w:w="927" w:type="dxa"/>
            <w:tcBorders/>
            <w:shd w:fill="auto" w:val="clear"/>
            <w:vAlign w:val="center"/>
          </w:tcPr>
          <w:p>
            <w:pPr>
              <w:pStyle w:val="TableContents"/>
              <w:spacing w:before="0" w:after="283"/>
              <w:jc w:val="right"/>
              <w:rPr/>
            </w:pPr>
            <w:r>
              <w:rPr/>
              <w:t> </w:t>
            </w:r>
          </w:p>
        </w:tc>
        <w:tc>
          <w:tcPr>
            <w:tcW w:w="355" w:type="dxa"/>
            <w:tcBorders/>
            <w:shd w:fill="auto" w:val="clear"/>
            <w:vAlign w:val="center"/>
          </w:tcPr>
          <w:p>
            <w:pPr>
              <w:pStyle w:val="TableContents"/>
              <w:spacing w:before="0" w:after="283"/>
              <w:jc w:val="left"/>
              <w:rPr/>
            </w:pPr>
            <w:r>
              <w:rPr/>
              <w:t> </w:t>
            </w:r>
          </w:p>
        </w:tc>
        <w:tc>
          <w:tcPr>
            <w:tcW w:w="10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jc w:val="left"/>
              <w:rPr/>
            </w:pPr>
            <w:r>
              <w:rPr/>
              <w:t> </w:t>
            </w:r>
          </w:p>
        </w:tc>
        <w:tc>
          <w:tcPr>
            <w:tcW w:w="1289" w:type="dxa"/>
            <w:tcBorders/>
            <w:shd w:fill="auto" w:val="clear"/>
            <w:vAlign w:val="center"/>
          </w:tcPr>
          <w:p>
            <w:pPr>
              <w:pStyle w:val="TableContents"/>
              <w:spacing w:before="0" w:after="283"/>
              <w:jc w:val="right"/>
              <w:rPr/>
            </w:pPr>
            <w:r>
              <w:rPr/>
              <w:t> </w:t>
            </w:r>
          </w:p>
        </w:tc>
        <w:tc>
          <w:tcPr>
            <w:tcW w:w="743" w:type="dxa"/>
            <w:tcBorders/>
            <w:shd w:fill="auto" w:val="clear"/>
            <w:vAlign w:val="center"/>
          </w:tcPr>
          <w:p>
            <w:pPr>
              <w:pStyle w:val="TableContents"/>
              <w:spacing w:before="0" w:after="283"/>
              <w:jc w:val="left"/>
              <w:rPr/>
            </w:pPr>
            <w:r>
              <w:rPr/>
              <w:t> </w:t>
            </w:r>
          </w:p>
        </w:tc>
        <w:tc>
          <w:tcPr>
            <w:tcW w:w="91" w:type="dxa"/>
            <w:tcBorders/>
            <w:shd w:fill="auto" w:val="clear"/>
          </w:tcPr>
          <w:p>
            <w:pPr>
              <w:pStyle w:val="TableContents"/>
              <w:spacing w:before="0" w:after="283"/>
              <w:rPr>
                <w:sz w:val="4"/>
                <w:szCs w:val="4"/>
              </w:rPr>
            </w:pPr>
            <w:r>
              <w:rPr>
                <w:sz w:val="4"/>
                <w:szCs w:val="4"/>
              </w:rPr>
            </w:r>
          </w:p>
        </w:tc>
      </w:tr>
      <w:tr>
        <w:trPr/>
        <w:tc>
          <w:tcPr>
            <w:tcW w:w="2897" w:type="dxa"/>
            <w:tcBorders/>
            <w:shd w:fill="CCEEFF" w:val="clear"/>
            <w:vAlign w:val="center"/>
          </w:tcPr>
          <w:p>
            <w:pPr>
              <w:pStyle w:val="TableContents"/>
              <w:spacing w:before="0" w:after="283"/>
              <w:jc w:val="left"/>
              <w:rPr/>
            </w:pPr>
            <w:r>
              <w:rPr/>
              <w:t>GAMCO Asset Management Inc. et al.</w:t>
            </w:r>
          </w:p>
        </w:tc>
        <w:tc>
          <w:tcPr>
            <w:tcW w:w="168"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left"/>
              <w:rPr/>
            </w:pPr>
            <w:r>
              <w:rPr/>
              <w:t>Common Stock</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13" w:type="dxa"/>
            <w:tcBorders/>
            <w:shd w:fill="CCEEFF" w:val="clear"/>
            <w:vAlign w:val="center"/>
          </w:tcPr>
          <w:p>
            <w:pPr>
              <w:pStyle w:val="TableContents"/>
              <w:spacing w:before="0" w:after="283"/>
              <w:jc w:val="right"/>
              <w:rPr/>
            </w:pPr>
            <w:r>
              <w:rPr/>
              <w:t>875,729</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sz w:val="4"/>
                <w:szCs w:val="4"/>
              </w:rPr>
            </w:pPr>
            <w:r>
              <w:rPr>
                <w:sz w:val="4"/>
                <w:szCs w:val="4"/>
              </w:rPr>
            </w:r>
          </w:p>
        </w:tc>
        <w:tc>
          <w:tcPr>
            <w:tcW w:w="734" w:type="dxa"/>
            <w:tcBorders/>
            <w:shd w:fill="CCEEFF" w:val="clear"/>
            <w:vAlign w:val="center"/>
          </w:tcPr>
          <w:p>
            <w:pPr>
              <w:pStyle w:val="TableContents"/>
              <w:spacing w:before="0" w:after="283"/>
              <w:jc w:val="left"/>
              <w:rPr/>
            </w:pPr>
            <w:r>
              <w:rPr/>
              <w:t>(9)</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927" w:type="dxa"/>
            <w:tcBorders/>
            <w:shd w:fill="CCEEFF" w:val="clear"/>
            <w:vAlign w:val="center"/>
          </w:tcPr>
          <w:p>
            <w:pPr>
              <w:pStyle w:val="TableContents"/>
              <w:spacing w:before="0" w:after="283"/>
              <w:jc w:val="right"/>
              <w:rPr/>
            </w:pPr>
            <w:r>
              <w:rPr/>
              <w:t>17.46</w:t>
            </w:r>
          </w:p>
        </w:tc>
        <w:tc>
          <w:tcPr>
            <w:tcW w:w="355" w:type="dxa"/>
            <w:tcBorders/>
            <w:shd w:fill="CCEEFF" w:val="clear"/>
            <w:vAlign w:val="center"/>
          </w:tcPr>
          <w:p>
            <w:pPr>
              <w:pStyle w:val="TableContents"/>
              <w:spacing w:before="0" w:after="283"/>
              <w:jc w:val="left"/>
              <w:rPr/>
            </w:pPr>
            <w:r>
              <w:rPr/>
              <w:t>%</w:t>
            </w:r>
          </w:p>
        </w:tc>
        <w:tc>
          <w:tcPr>
            <w:tcW w:w="10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289" w:type="dxa"/>
            <w:tcBorders/>
            <w:shd w:fill="CCEEFF" w:val="clear"/>
            <w:vAlign w:val="center"/>
          </w:tcPr>
          <w:p>
            <w:pPr>
              <w:pStyle w:val="TableContents"/>
              <w:spacing w:before="0" w:after="283"/>
              <w:jc w:val="right"/>
              <w:rPr/>
            </w:pPr>
            <w:r>
              <w:rPr/>
              <w:t>3.41</w:t>
            </w:r>
          </w:p>
        </w:tc>
        <w:tc>
          <w:tcPr>
            <w:tcW w:w="743" w:type="dxa"/>
            <w:tcBorders/>
            <w:shd w:fill="CCEEFF" w:val="clear"/>
            <w:vAlign w:val="center"/>
          </w:tcPr>
          <w:p>
            <w:pPr>
              <w:pStyle w:val="TableContents"/>
              <w:spacing w:before="0" w:after="283"/>
              <w:ind w:left="0" w:right="0" w:firstLine="108"/>
              <w:jc w:val="left"/>
              <w:rPr/>
            </w:pPr>
            <w:r>
              <w:rPr/>
              <w:t>%</w:t>
            </w:r>
          </w:p>
        </w:tc>
        <w:tc>
          <w:tcPr>
            <w:tcW w:w="91" w:type="dxa"/>
            <w:tcBorders/>
            <w:shd w:fill="CCEEFF" w:val="clear"/>
          </w:tcPr>
          <w:p>
            <w:pPr>
              <w:pStyle w:val="TableContents"/>
              <w:spacing w:before="0" w:after="283"/>
              <w:rPr>
                <w:sz w:val="4"/>
                <w:szCs w:val="4"/>
              </w:rPr>
            </w:pPr>
            <w:r>
              <w:rPr>
                <w:sz w:val="4"/>
                <w:szCs w:val="4"/>
              </w:rPr>
            </w:r>
          </w:p>
        </w:tc>
      </w:tr>
      <w:tr>
        <w:trPr/>
        <w:tc>
          <w:tcPr>
            <w:tcW w:w="2897" w:type="dxa"/>
            <w:tcBorders/>
            <w:shd w:fill="CCEEFF" w:val="clear"/>
            <w:vAlign w:val="center"/>
          </w:tcPr>
          <w:p>
            <w:pPr>
              <w:pStyle w:val="TableContents"/>
              <w:spacing w:before="0" w:after="283"/>
              <w:jc w:val="left"/>
              <w:rPr/>
            </w:pPr>
            <w:r>
              <w:rPr/>
              <w:t>One Corporate Center</w:t>
            </w:r>
          </w:p>
        </w:tc>
        <w:tc>
          <w:tcPr>
            <w:tcW w:w="168"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left"/>
              <w:rPr/>
            </w:pPr>
            <w:r>
              <w:rPr/>
              <w:t>Class B Stock</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13"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right"/>
              <w:rPr/>
            </w:pPr>
            <w:r>
              <w:rPr/>
              <w:t> </w:t>
            </w:r>
          </w:p>
        </w:tc>
        <w:tc>
          <w:tcPr>
            <w:tcW w:w="734"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927" w:type="dxa"/>
            <w:tcBorders/>
            <w:shd w:fill="CCEEFF" w:val="clear"/>
            <w:vAlign w:val="center"/>
          </w:tcPr>
          <w:p>
            <w:pPr>
              <w:pStyle w:val="TableContents"/>
              <w:spacing w:before="0" w:after="283"/>
              <w:jc w:val="right"/>
              <w:rPr/>
            </w:pPr>
            <w:r>
              <w:rPr/>
              <w:t>—  </w:t>
            </w:r>
          </w:p>
        </w:tc>
        <w:tc>
          <w:tcPr>
            <w:tcW w:w="355" w:type="dxa"/>
            <w:tcBorders/>
            <w:shd w:fill="CCEEFF" w:val="clear"/>
            <w:vAlign w:val="center"/>
          </w:tcPr>
          <w:p>
            <w:pPr>
              <w:pStyle w:val="TableContents"/>
              <w:spacing w:before="0" w:after="283"/>
              <w:jc w:val="left"/>
              <w:rPr/>
            </w:pPr>
            <w:r>
              <w:rPr/>
              <w:t> </w:t>
            </w:r>
          </w:p>
        </w:tc>
        <w:tc>
          <w:tcPr>
            <w:tcW w:w="10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289" w:type="dxa"/>
            <w:tcBorders/>
            <w:shd w:fill="CCEEFF" w:val="clear"/>
            <w:vAlign w:val="center"/>
          </w:tcPr>
          <w:p>
            <w:pPr>
              <w:pStyle w:val="TableContents"/>
              <w:spacing w:before="0" w:after="283"/>
              <w:jc w:val="right"/>
              <w:rPr/>
            </w:pPr>
            <w:r>
              <w:rPr/>
              <w:t>—  </w:t>
            </w:r>
          </w:p>
        </w:tc>
        <w:tc>
          <w:tcPr>
            <w:tcW w:w="743" w:type="dxa"/>
            <w:tcBorders/>
            <w:shd w:fill="CCEEFF" w:val="clear"/>
            <w:vAlign w:val="center"/>
          </w:tcPr>
          <w:p>
            <w:pPr>
              <w:pStyle w:val="TableContents"/>
              <w:spacing w:before="0" w:after="283"/>
              <w:ind w:left="0" w:right="0" w:firstLine="108"/>
              <w:jc w:val="left"/>
              <w:rPr/>
            </w:pPr>
            <w:r>
              <w:rPr/>
              <w:t> </w:t>
            </w:r>
          </w:p>
        </w:tc>
        <w:tc>
          <w:tcPr>
            <w:tcW w:w="91" w:type="dxa"/>
            <w:tcBorders/>
            <w:shd w:fill="CCEEFF" w:val="clear"/>
          </w:tcPr>
          <w:p>
            <w:pPr>
              <w:pStyle w:val="TableContents"/>
              <w:spacing w:before="0" w:after="283"/>
              <w:rPr>
                <w:sz w:val="4"/>
                <w:szCs w:val="4"/>
              </w:rPr>
            </w:pPr>
            <w:r>
              <w:rPr>
                <w:sz w:val="4"/>
                <w:szCs w:val="4"/>
              </w:rPr>
            </w:r>
          </w:p>
        </w:tc>
      </w:tr>
      <w:tr>
        <w:trPr/>
        <w:tc>
          <w:tcPr>
            <w:tcW w:w="2897" w:type="dxa"/>
            <w:tcBorders/>
            <w:shd w:fill="CCEEFF" w:val="clear"/>
            <w:vAlign w:val="center"/>
          </w:tcPr>
          <w:p>
            <w:pPr>
              <w:pStyle w:val="TableContents"/>
              <w:spacing w:before="0" w:after="283"/>
              <w:jc w:val="left"/>
              <w:rPr/>
            </w:pPr>
            <w:r>
              <w:rPr/>
              <w:t>Rye, NY  10580</w:t>
            </w:r>
          </w:p>
        </w:tc>
        <w:tc>
          <w:tcPr>
            <w:tcW w:w="168" w:type="dxa"/>
            <w:tcBorders/>
            <w:shd w:fill="CCEEFF" w:val="clear"/>
            <w:vAlign w:val="center"/>
          </w:tcPr>
          <w:p>
            <w:pPr>
              <w:pStyle w:val="TableContents"/>
              <w:spacing w:before="0" w:after="283"/>
              <w:ind w:left="0" w:right="0" w:firstLine="108"/>
              <w:rPr/>
            </w:pPr>
            <w:r>
              <w:rPr/>
              <w:t> </w:t>
            </w:r>
          </w:p>
        </w:tc>
        <w:tc>
          <w:tcPr>
            <w:tcW w:w="1252"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13"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right"/>
              <w:rPr/>
            </w:pPr>
            <w:r>
              <w:rPr/>
              <w:t> </w:t>
            </w:r>
          </w:p>
        </w:tc>
        <w:tc>
          <w:tcPr>
            <w:tcW w:w="734"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927" w:type="dxa"/>
            <w:tcBorders/>
            <w:shd w:fill="CCEEFF" w:val="clear"/>
            <w:vAlign w:val="center"/>
          </w:tcPr>
          <w:p>
            <w:pPr>
              <w:pStyle w:val="TableContents"/>
              <w:spacing w:before="0" w:after="283"/>
              <w:jc w:val="right"/>
              <w:rPr/>
            </w:pPr>
            <w:r>
              <w:rPr/>
              <w:t> </w:t>
            </w:r>
          </w:p>
        </w:tc>
        <w:tc>
          <w:tcPr>
            <w:tcW w:w="355" w:type="dxa"/>
            <w:tcBorders/>
            <w:shd w:fill="CCEEFF" w:val="clear"/>
            <w:vAlign w:val="center"/>
          </w:tcPr>
          <w:p>
            <w:pPr>
              <w:pStyle w:val="TableContents"/>
              <w:spacing w:before="0" w:after="283"/>
              <w:jc w:val="left"/>
              <w:rPr/>
            </w:pPr>
            <w:r>
              <w:rPr/>
              <w:t> </w:t>
            </w:r>
          </w:p>
        </w:tc>
        <w:tc>
          <w:tcPr>
            <w:tcW w:w="10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289" w:type="dxa"/>
            <w:tcBorders/>
            <w:shd w:fill="CCEEFF" w:val="clear"/>
            <w:vAlign w:val="center"/>
          </w:tcPr>
          <w:p>
            <w:pPr>
              <w:pStyle w:val="TableContents"/>
              <w:spacing w:before="0" w:after="283"/>
              <w:jc w:val="right"/>
              <w:rPr/>
            </w:pPr>
            <w:r>
              <w:rPr/>
              <w:t> </w:t>
            </w:r>
          </w:p>
        </w:tc>
        <w:tc>
          <w:tcPr>
            <w:tcW w:w="743" w:type="dxa"/>
            <w:tcBorders/>
            <w:shd w:fill="CCEEFF" w:val="clear"/>
            <w:vAlign w:val="center"/>
          </w:tcPr>
          <w:p>
            <w:pPr>
              <w:pStyle w:val="TableContents"/>
              <w:spacing w:before="0" w:after="283"/>
              <w:jc w:val="left"/>
              <w:rPr/>
            </w:pPr>
            <w:r>
              <w:rPr/>
              <w:t> </w:t>
            </w:r>
          </w:p>
        </w:tc>
        <w:tc>
          <w:tcPr>
            <w:tcW w:w="91" w:type="dxa"/>
            <w:tcBorders/>
            <w:shd w:fill="CCEEFF" w:val="clear"/>
          </w:tcPr>
          <w:p>
            <w:pPr>
              <w:pStyle w:val="TableContents"/>
              <w:spacing w:before="0" w:after="283"/>
              <w:rPr>
                <w:sz w:val="4"/>
                <w:szCs w:val="4"/>
              </w:rPr>
            </w:pPr>
            <w:r>
              <w:rPr>
                <w:sz w:val="4"/>
                <w:szCs w:val="4"/>
              </w:rPr>
            </w:r>
          </w:p>
        </w:tc>
      </w:tr>
      <w:tr>
        <w:trPr/>
        <w:tc>
          <w:tcPr>
            <w:tcW w:w="2897" w:type="dxa"/>
            <w:tcBorders/>
            <w:shd w:fill="FFFFFF" w:val="clear"/>
            <w:vAlign w:val="center"/>
          </w:tcPr>
          <w:p>
            <w:pPr>
              <w:pStyle w:val="TableContents"/>
              <w:spacing w:before="0" w:after="283"/>
              <w:jc w:val="left"/>
              <w:rPr/>
            </w:pPr>
            <w:r>
              <w:rPr/>
              <w:t>Renaissance Technologies LLC</w:t>
            </w:r>
          </w:p>
        </w:tc>
        <w:tc>
          <w:tcPr>
            <w:tcW w:w="168" w:type="dxa"/>
            <w:tcBorders/>
            <w:shd w:fill="FFFFFF" w:val="clear"/>
            <w:vAlign w:val="center"/>
          </w:tcPr>
          <w:p>
            <w:pPr>
              <w:pStyle w:val="TableContents"/>
              <w:spacing w:before="0" w:after="283"/>
              <w:rPr/>
            </w:pPr>
            <w:r>
              <w:rPr/>
              <w:t> </w:t>
            </w:r>
          </w:p>
        </w:tc>
        <w:tc>
          <w:tcPr>
            <w:tcW w:w="1252" w:type="dxa"/>
            <w:tcBorders/>
            <w:shd w:fill="FFFFFF" w:val="clear"/>
            <w:vAlign w:val="center"/>
          </w:tcPr>
          <w:p>
            <w:pPr>
              <w:pStyle w:val="TableContents"/>
              <w:spacing w:before="0" w:after="283"/>
              <w:jc w:val="left"/>
              <w:rPr/>
            </w:pPr>
            <w:r>
              <w:rPr/>
              <w:t>Common Stock</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113" w:type="dxa"/>
            <w:tcBorders/>
            <w:shd w:fill="FFFFFF" w:val="clear"/>
            <w:vAlign w:val="center"/>
          </w:tcPr>
          <w:p>
            <w:pPr>
              <w:pStyle w:val="TableContents"/>
              <w:spacing w:before="0" w:after="283"/>
              <w:jc w:val="right"/>
              <w:rPr/>
            </w:pPr>
            <w:r>
              <w:rPr/>
              <w:t>380,225</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sz w:val="4"/>
                <w:szCs w:val="4"/>
              </w:rPr>
            </w:pPr>
            <w:r>
              <w:rPr>
                <w:sz w:val="4"/>
                <w:szCs w:val="4"/>
              </w:rPr>
            </w:r>
          </w:p>
        </w:tc>
        <w:tc>
          <w:tcPr>
            <w:tcW w:w="734" w:type="dxa"/>
            <w:tcBorders/>
            <w:shd w:fill="FFFFFF" w:val="clear"/>
            <w:vAlign w:val="center"/>
          </w:tcPr>
          <w:p>
            <w:pPr>
              <w:pStyle w:val="TableContents"/>
              <w:spacing w:before="0" w:after="283"/>
              <w:jc w:val="left"/>
              <w:rPr/>
            </w:pPr>
            <w:r>
              <w:rPr/>
              <w:t>(10)</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927" w:type="dxa"/>
            <w:tcBorders/>
            <w:shd w:fill="FFFFFF" w:val="clear"/>
            <w:vAlign w:val="center"/>
          </w:tcPr>
          <w:p>
            <w:pPr>
              <w:pStyle w:val="TableContents"/>
              <w:spacing w:before="0" w:after="283"/>
              <w:jc w:val="right"/>
              <w:rPr/>
            </w:pPr>
            <w:r>
              <w:rPr/>
              <w:t>7.58</w:t>
            </w:r>
          </w:p>
        </w:tc>
        <w:tc>
          <w:tcPr>
            <w:tcW w:w="355" w:type="dxa"/>
            <w:tcBorders/>
            <w:shd w:fill="FFFFFF" w:val="clear"/>
            <w:vAlign w:val="center"/>
          </w:tcPr>
          <w:p>
            <w:pPr>
              <w:pStyle w:val="TableContents"/>
              <w:spacing w:before="0" w:after="283"/>
              <w:jc w:val="left"/>
              <w:rPr/>
            </w:pPr>
            <w:r>
              <w:rPr/>
              <w:t>%</w:t>
            </w:r>
          </w:p>
        </w:tc>
        <w:tc>
          <w:tcPr>
            <w:tcW w:w="10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289" w:type="dxa"/>
            <w:tcBorders/>
            <w:shd w:fill="FFFFFF" w:val="clear"/>
            <w:vAlign w:val="center"/>
          </w:tcPr>
          <w:p>
            <w:pPr>
              <w:pStyle w:val="TableContents"/>
              <w:spacing w:before="0" w:after="283"/>
              <w:jc w:val="right"/>
              <w:rPr/>
            </w:pPr>
            <w:r>
              <w:rPr/>
              <w:t>1.48</w:t>
            </w:r>
          </w:p>
        </w:tc>
        <w:tc>
          <w:tcPr>
            <w:tcW w:w="743" w:type="dxa"/>
            <w:tcBorders/>
            <w:shd w:fill="FFFFFF" w:val="clear"/>
            <w:vAlign w:val="center"/>
          </w:tcPr>
          <w:p>
            <w:pPr>
              <w:pStyle w:val="TableContents"/>
              <w:spacing w:before="0" w:after="283"/>
              <w:ind w:left="0" w:right="0" w:firstLine="108"/>
              <w:jc w:val="left"/>
              <w:rPr/>
            </w:pPr>
            <w:r>
              <w:rPr/>
              <w:t>%</w:t>
            </w:r>
          </w:p>
        </w:tc>
        <w:tc>
          <w:tcPr>
            <w:tcW w:w="91" w:type="dxa"/>
            <w:tcBorders/>
            <w:shd w:fill="FFFFFF" w:val="clear"/>
          </w:tcPr>
          <w:p>
            <w:pPr>
              <w:pStyle w:val="TableContents"/>
              <w:spacing w:before="0" w:after="283"/>
              <w:rPr>
                <w:sz w:val="4"/>
                <w:szCs w:val="4"/>
              </w:rPr>
            </w:pPr>
            <w:r>
              <w:rPr>
                <w:sz w:val="4"/>
                <w:szCs w:val="4"/>
              </w:rPr>
            </w:r>
          </w:p>
        </w:tc>
      </w:tr>
      <w:tr>
        <w:trPr/>
        <w:tc>
          <w:tcPr>
            <w:tcW w:w="2897" w:type="dxa"/>
            <w:tcBorders/>
            <w:shd w:fill="auto" w:val="clear"/>
            <w:vAlign w:val="center"/>
          </w:tcPr>
          <w:p>
            <w:pPr>
              <w:pStyle w:val="TableContents"/>
              <w:spacing w:before="0" w:after="283"/>
              <w:jc w:val="left"/>
              <w:rPr/>
            </w:pPr>
            <w:r>
              <w:rPr/>
              <w:t>800 Third Avenue</w:t>
            </w:r>
          </w:p>
        </w:tc>
        <w:tc>
          <w:tcPr>
            <w:tcW w:w="168" w:type="dxa"/>
            <w:tcBorders/>
            <w:shd w:fill="auto" w:val="clear"/>
            <w:vAlign w:val="center"/>
          </w:tcPr>
          <w:p>
            <w:pPr>
              <w:pStyle w:val="TableContents"/>
              <w:spacing w:before="0" w:after="283"/>
              <w:rPr/>
            </w:pPr>
            <w:r>
              <w:rPr/>
              <w:t> </w:t>
            </w:r>
          </w:p>
        </w:tc>
        <w:tc>
          <w:tcPr>
            <w:tcW w:w="1252" w:type="dxa"/>
            <w:tcBorders/>
            <w:shd w:fill="auto" w:val="clear"/>
            <w:vAlign w:val="center"/>
          </w:tcPr>
          <w:p>
            <w:pPr>
              <w:pStyle w:val="TableContents"/>
              <w:spacing w:before="0" w:after="283"/>
              <w:jc w:val="left"/>
              <w:rPr/>
            </w:pPr>
            <w:r>
              <w:rPr/>
              <w:t>Class B Stock</w:t>
            </w:r>
          </w:p>
        </w:tc>
        <w:tc>
          <w:tcPr>
            <w:tcW w:w="6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jc w:val="left"/>
              <w:rPr/>
            </w:pPr>
            <w:r>
              <w:rPr/>
              <w:t> </w:t>
            </w:r>
          </w:p>
        </w:tc>
        <w:tc>
          <w:tcPr>
            <w:tcW w:w="1113" w:type="dxa"/>
            <w:tcBorders/>
            <w:shd w:fill="auto" w:val="clear"/>
            <w:vAlign w:val="center"/>
          </w:tcPr>
          <w:p>
            <w:pPr>
              <w:pStyle w:val="TableContents"/>
              <w:spacing w:before="0" w:after="283"/>
              <w:jc w:val="right"/>
              <w:rPr/>
            </w:pPr>
            <w:r>
              <w:rPr/>
              <w:t>—  </w:t>
            </w:r>
          </w:p>
        </w:tc>
        <w:tc>
          <w:tcPr>
            <w:tcW w:w="68" w:type="dxa"/>
            <w:tcBorders/>
            <w:shd w:fill="auto" w:val="clear"/>
            <w:vAlign w:val="center"/>
          </w:tcPr>
          <w:p>
            <w:pPr>
              <w:pStyle w:val="TableContents"/>
              <w:spacing w:before="0" w:after="283"/>
              <w:jc w:val="left"/>
              <w:rPr/>
            </w:pPr>
            <w:r>
              <w:rPr/>
              <w:t> </w:t>
            </w:r>
          </w:p>
        </w:tc>
        <w:tc>
          <w:tcPr>
            <w:tcW w:w="68" w:type="dxa"/>
            <w:tcBorders/>
            <w:shd w:fill="auto" w:val="clear"/>
            <w:vAlign w:val="center"/>
          </w:tcPr>
          <w:p>
            <w:pPr>
              <w:pStyle w:val="TableContents"/>
              <w:spacing w:before="0" w:after="283"/>
              <w:jc w:val="left"/>
              <w:rPr/>
            </w:pPr>
            <w:r>
              <w:rPr/>
              <w:t> </w:t>
            </w:r>
          </w:p>
        </w:tc>
        <w:tc>
          <w:tcPr>
            <w:tcW w:w="68" w:type="dxa"/>
            <w:tcBorders/>
            <w:shd w:fill="auto" w:val="clear"/>
            <w:vAlign w:val="center"/>
          </w:tcPr>
          <w:p>
            <w:pPr>
              <w:pStyle w:val="TableContents"/>
              <w:spacing w:before="0" w:after="283"/>
              <w:jc w:val="right"/>
              <w:rPr/>
            </w:pPr>
            <w:r>
              <w:rPr/>
              <w:t> </w:t>
            </w:r>
          </w:p>
        </w:tc>
        <w:tc>
          <w:tcPr>
            <w:tcW w:w="734" w:type="dxa"/>
            <w:tcBorders/>
            <w:shd w:fill="auto" w:val="clear"/>
            <w:vAlign w:val="center"/>
          </w:tcPr>
          <w:p>
            <w:pPr>
              <w:pStyle w:val="TableContents"/>
              <w:spacing w:before="0" w:after="283"/>
              <w:jc w:val="left"/>
              <w:rPr/>
            </w:pPr>
            <w:r>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jc w:val="left"/>
              <w:rPr/>
            </w:pPr>
            <w:r>
              <w:rPr/>
              <w:t> </w:t>
            </w:r>
          </w:p>
        </w:tc>
        <w:tc>
          <w:tcPr>
            <w:tcW w:w="927" w:type="dxa"/>
            <w:tcBorders/>
            <w:shd w:fill="auto" w:val="clear"/>
            <w:vAlign w:val="center"/>
          </w:tcPr>
          <w:p>
            <w:pPr>
              <w:pStyle w:val="TableContents"/>
              <w:spacing w:before="0" w:after="283"/>
              <w:jc w:val="right"/>
              <w:rPr/>
            </w:pPr>
            <w:r>
              <w:rPr/>
              <w:t>—  </w:t>
            </w:r>
          </w:p>
        </w:tc>
        <w:tc>
          <w:tcPr>
            <w:tcW w:w="355" w:type="dxa"/>
            <w:tcBorders/>
            <w:shd w:fill="auto" w:val="clear"/>
            <w:vAlign w:val="center"/>
          </w:tcPr>
          <w:p>
            <w:pPr>
              <w:pStyle w:val="TableContents"/>
              <w:spacing w:before="0" w:after="283"/>
              <w:jc w:val="left"/>
              <w:rPr/>
            </w:pPr>
            <w:r>
              <w:rPr/>
              <w:t> </w:t>
            </w:r>
          </w:p>
        </w:tc>
        <w:tc>
          <w:tcPr>
            <w:tcW w:w="10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jc w:val="left"/>
              <w:rPr/>
            </w:pPr>
            <w:r>
              <w:rPr/>
              <w:t> </w:t>
            </w:r>
          </w:p>
        </w:tc>
        <w:tc>
          <w:tcPr>
            <w:tcW w:w="1289" w:type="dxa"/>
            <w:tcBorders/>
            <w:shd w:fill="auto" w:val="clear"/>
            <w:vAlign w:val="center"/>
          </w:tcPr>
          <w:p>
            <w:pPr>
              <w:pStyle w:val="TableContents"/>
              <w:spacing w:before="0" w:after="283"/>
              <w:jc w:val="right"/>
              <w:rPr/>
            </w:pPr>
            <w:r>
              <w:rPr/>
              <w:t>—  </w:t>
            </w:r>
          </w:p>
        </w:tc>
        <w:tc>
          <w:tcPr>
            <w:tcW w:w="743" w:type="dxa"/>
            <w:tcBorders/>
            <w:shd w:fill="auto" w:val="clear"/>
            <w:vAlign w:val="center"/>
          </w:tcPr>
          <w:p>
            <w:pPr>
              <w:pStyle w:val="TableContents"/>
              <w:spacing w:before="0" w:after="283"/>
              <w:ind w:left="0" w:right="0" w:firstLine="108"/>
              <w:jc w:val="left"/>
              <w:rPr/>
            </w:pPr>
            <w:r>
              <w:rPr/>
              <w:t> </w:t>
            </w:r>
          </w:p>
        </w:tc>
        <w:tc>
          <w:tcPr>
            <w:tcW w:w="91" w:type="dxa"/>
            <w:tcBorders/>
            <w:shd w:fill="auto" w:val="clear"/>
          </w:tcPr>
          <w:p>
            <w:pPr>
              <w:pStyle w:val="TableContents"/>
              <w:spacing w:before="0" w:after="283"/>
              <w:rPr>
                <w:sz w:val="4"/>
                <w:szCs w:val="4"/>
              </w:rPr>
            </w:pPr>
            <w:r>
              <w:rPr>
                <w:sz w:val="4"/>
                <w:szCs w:val="4"/>
              </w:rPr>
            </w:r>
          </w:p>
        </w:tc>
      </w:tr>
      <w:tr>
        <w:trPr/>
        <w:tc>
          <w:tcPr>
            <w:tcW w:w="2897" w:type="dxa"/>
            <w:tcBorders/>
            <w:shd w:fill="FFFFFF" w:val="clear"/>
            <w:vAlign w:val="center"/>
          </w:tcPr>
          <w:p>
            <w:pPr>
              <w:pStyle w:val="TableContents"/>
              <w:spacing w:before="0" w:after="283"/>
              <w:jc w:val="left"/>
              <w:rPr/>
            </w:pPr>
            <w:r>
              <w:rPr/>
              <w:t>New York, NY  10022</w:t>
            </w:r>
          </w:p>
        </w:tc>
        <w:tc>
          <w:tcPr>
            <w:tcW w:w="168" w:type="dxa"/>
            <w:tcBorders/>
            <w:shd w:fill="FFFFFF" w:val="clear"/>
            <w:vAlign w:val="center"/>
          </w:tcPr>
          <w:p>
            <w:pPr>
              <w:pStyle w:val="TableContents"/>
              <w:spacing w:before="0" w:after="283"/>
              <w:ind w:left="0" w:right="0" w:firstLine="108"/>
              <w:rPr/>
            </w:pPr>
            <w:r>
              <w:rPr/>
              <w:t> </w:t>
            </w:r>
          </w:p>
        </w:tc>
        <w:tc>
          <w:tcPr>
            <w:tcW w:w="1252"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113" w:type="dxa"/>
            <w:tcBorders/>
            <w:shd w:fill="FFFFFF" w:val="clear"/>
            <w:vAlign w:val="center"/>
          </w:tcPr>
          <w:p>
            <w:pPr>
              <w:pStyle w:val="TableContents"/>
              <w:spacing w:before="0" w:after="283"/>
              <w:jc w:val="right"/>
              <w:rPr/>
            </w:pPr>
            <w:r>
              <w:rPr/>
              <w:t> </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jc w:val="right"/>
              <w:rPr/>
            </w:pPr>
            <w:r>
              <w:rPr/>
              <w:t> </w:t>
            </w:r>
          </w:p>
        </w:tc>
        <w:tc>
          <w:tcPr>
            <w:tcW w:w="734"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927" w:type="dxa"/>
            <w:tcBorders/>
            <w:shd w:fill="FFFFFF" w:val="clear"/>
            <w:vAlign w:val="center"/>
          </w:tcPr>
          <w:p>
            <w:pPr>
              <w:pStyle w:val="TableContents"/>
              <w:spacing w:before="0" w:after="283"/>
              <w:jc w:val="right"/>
              <w:rPr/>
            </w:pPr>
            <w:r>
              <w:rPr/>
              <w:t> </w:t>
            </w:r>
          </w:p>
        </w:tc>
        <w:tc>
          <w:tcPr>
            <w:tcW w:w="355" w:type="dxa"/>
            <w:tcBorders/>
            <w:shd w:fill="FFFFFF" w:val="clear"/>
            <w:vAlign w:val="center"/>
          </w:tcPr>
          <w:p>
            <w:pPr>
              <w:pStyle w:val="TableContents"/>
              <w:spacing w:before="0" w:after="283"/>
              <w:jc w:val="left"/>
              <w:rPr/>
            </w:pPr>
            <w:r>
              <w:rPr/>
              <w:t> </w:t>
            </w:r>
          </w:p>
        </w:tc>
        <w:tc>
          <w:tcPr>
            <w:tcW w:w="10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289" w:type="dxa"/>
            <w:tcBorders/>
            <w:shd w:fill="FFFFFF" w:val="clear"/>
            <w:vAlign w:val="center"/>
          </w:tcPr>
          <w:p>
            <w:pPr>
              <w:pStyle w:val="TableContents"/>
              <w:spacing w:before="0" w:after="283"/>
              <w:jc w:val="right"/>
              <w:rPr/>
            </w:pPr>
            <w:r>
              <w:rPr/>
              <w:t> </w:t>
            </w:r>
          </w:p>
        </w:tc>
        <w:tc>
          <w:tcPr>
            <w:tcW w:w="743" w:type="dxa"/>
            <w:tcBorders/>
            <w:shd w:fill="FFFFFF" w:val="clear"/>
            <w:vAlign w:val="center"/>
          </w:tcPr>
          <w:p>
            <w:pPr>
              <w:pStyle w:val="TableContents"/>
              <w:spacing w:before="0" w:after="283"/>
              <w:jc w:val="left"/>
              <w:rPr/>
            </w:pPr>
            <w:r>
              <w:rPr/>
              <w:t> </w:t>
            </w:r>
          </w:p>
        </w:tc>
        <w:tc>
          <w:tcPr>
            <w:tcW w:w="91" w:type="dxa"/>
            <w:tcBorders/>
            <w:shd w:fill="FFFFFF" w:val="clear"/>
          </w:tcPr>
          <w:p>
            <w:pPr>
              <w:pStyle w:val="TableContents"/>
              <w:spacing w:before="0" w:after="283"/>
              <w:rPr>
                <w:sz w:val="4"/>
                <w:szCs w:val="4"/>
              </w:rPr>
            </w:pPr>
            <w:r>
              <w:rPr>
                <w:sz w:val="4"/>
                <w:szCs w:val="4"/>
              </w:rPr>
            </w:r>
          </w:p>
        </w:tc>
      </w:tr>
      <w:tr>
        <w:trPr/>
        <w:tc>
          <w:tcPr>
            <w:tcW w:w="2897" w:type="dxa"/>
            <w:tcBorders/>
            <w:shd w:fill="CCEEFF" w:val="clear"/>
            <w:vAlign w:val="center"/>
          </w:tcPr>
          <w:p>
            <w:pPr>
              <w:pStyle w:val="TableContents"/>
              <w:spacing w:before="0" w:after="283"/>
              <w:jc w:val="left"/>
              <w:rPr/>
            </w:pPr>
            <w:r>
              <w:rPr/>
              <w:t>T. Rowe Price Associates, Inc.</w:t>
            </w:r>
          </w:p>
        </w:tc>
        <w:tc>
          <w:tcPr>
            <w:tcW w:w="168"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left"/>
              <w:rPr/>
            </w:pPr>
            <w:r>
              <w:rPr/>
              <w:t>Common Stock</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13" w:type="dxa"/>
            <w:tcBorders/>
            <w:shd w:fill="CCEEFF" w:val="clear"/>
            <w:vAlign w:val="center"/>
          </w:tcPr>
          <w:p>
            <w:pPr>
              <w:pStyle w:val="TableContents"/>
              <w:spacing w:before="0" w:after="283"/>
              <w:jc w:val="right"/>
              <w:rPr/>
            </w:pPr>
            <w:r>
              <w:rPr/>
              <w:t>620,206</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sz w:val="4"/>
                <w:szCs w:val="4"/>
              </w:rPr>
            </w:pPr>
            <w:r>
              <w:rPr>
                <w:sz w:val="4"/>
                <w:szCs w:val="4"/>
              </w:rPr>
            </w:r>
          </w:p>
        </w:tc>
        <w:tc>
          <w:tcPr>
            <w:tcW w:w="734" w:type="dxa"/>
            <w:tcBorders/>
            <w:shd w:fill="CCEEFF" w:val="clear"/>
            <w:vAlign w:val="center"/>
          </w:tcPr>
          <w:p>
            <w:pPr>
              <w:pStyle w:val="TableContents"/>
              <w:spacing w:before="0" w:after="283"/>
              <w:jc w:val="left"/>
              <w:rPr/>
            </w:pPr>
            <w:r>
              <w:rPr/>
              <w:t>(11)</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927" w:type="dxa"/>
            <w:tcBorders/>
            <w:shd w:fill="CCEEFF" w:val="clear"/>
            <w:vAlign w:val="center"/>
          </w:tcPr>
          <w:p>
            <w:pPr>
              <w:pStyle w:val="TableContents"/>
              <w:spacing w:before="0" w:after="283"/>
              <w:jc w:val="right"/>
              <w:rPr/>
            </w:pPr>
            <w:r>
              <w:rPr/>
              <w:t>12.37</w:t>
            </w:r>
          </w:p>
        </w:tc>
        <w:tc>
          <w:tcPr>
            <w:tcW w:w="355" w:type="dxa"/>
            <w:tcBorders/>
            <w:shd w:fill="CCEEFF" w:val="clear"/>
            <w:vAlign w:val="center"/>
          </w:tcPr>
          <w:p>
            <w:pPr>
              <w:pStyle w:val="TableContents"/>
              <w:spacing w:before="0" w:after="283"/>
              <w:jc w:val="left"/>
              <w:rPr/>
            </w:pPr>
            <w:r>
              <w:rPr/>
              <w:t>%</w:t>
            </w:r>
          </w:p>
        </w:tc>
        <w:tc>
          <w:tcPr>
            <w:tcW w:w="10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289" w:type="dxa"/>
            <w:tcBorders/>
            <w:shd w:fill="CCEEFF" w:val="clear"/>
            <w:vAlign w:val="center"/>
          </w:tcPr>
          <w:p>
            <w:pPr>
              <w:pStyle w:val="TableContents"/>
              <w:spacing w:before="0" w:after="283"/>
              <w:jc w:val="right"/>
              <w:rPr/>
            </w:pPr>
            <w:r>
              <w:rPr/>
              <w:t>2.42</w:t>
            </w:r>
          </w:p>
        </w:tc>
        <w:tc>
          <w:tcPr>
            <w:tcW w:w="743" w:type="dxa"/>
            <w:tcBorders/>
            <w:shd w:fill="CCEEFF" w:val="clear"/>
            <w:vAlign w:val="center"/>
          </w:tcPr>
          <w:p>
            <w:pPr>
              <w:pStyle w:val="TableContents"/>
              <w:spacing w:before="0" w:after="283"/>
              <w:ind w:left="0" w:right="0" w:firstLine="108"/>
              <w:jc w:val="left"/>
              <w:rPr/>
            </w:pPr>
            <w:r>
              <w:rPr/>
              <w:t>%</w:t>
            </w:r>
          </w:p>
        </w:tc>
        <w:tc>
          <w:tcPr>
            <w:tcW w:w="91" w:type="dxa"/>
            <w:tcBorders/>
            <w:shd w:fill="CCEEFF" w:val="clear"/>
          </w:tcPr>
          <w:p>
            <w:pPr>
              <w:pStyle w:val="TableContents"/>
              <w:spacing w:before="0" w:after="283"/>
              <w:rPr>
                <w:sz w:val="4"/>
                <w:szCs w:val="4"/>
              </w:rPr>
            </w:pPr>
            <w:r>
              <w:rPr>
                <w:sz w:val="4"/>
                <w:szCs w:val="4"/>
              </w:rPr>
            </w:r>
          </w:p>
        </w:tc>
      </w:tr>
      <w:tr>
        <w:trPr/>
        <w:tc>
          <w:tcPr>
            <w:tcW w:w="2897" w:type="dxa"/>
            <w:tcBorders/>
            <w:shd w:fill="CCEEFF" w:val="clear"/>
            <w:vAlign w:val="center"/>
          </w:tcPr>
          <w:p>
            <w:pPr>
              <w:pStyle w:val="TableContents"/>
              <w:spacing w:before="0" w:after="283"/>
              <w:jc w:val="left"/>
              <w:rPr/>
            </w:pPr>
            <w:r>
              <w:rPr/>
              <w:t>100 East Pratt Street</w:t>
            </w:r>
          </w:p>
        </w:tc>
        <w:tc>
          <w:tcPr>
            <w:tcW w:w="168"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left"/>
              <w:rPr/>
            </w:pPr>
            <w:r>
              <w:rPr/>
              <w:t>Class B Stock</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13"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right"/>
              <w:rPr/>
            </w:pPr>
            <w:r>
              <w:rPr/>
              <w:t> </w:t>
            </w:r>
          </w:p>
        </w:tc>
        <w:tc>
          <w:tcPr>
            <w:tcW w:w="734"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927" w:type="dxa"/>
            <w:tcBorders/>
            <w:shd w:fill="CCEEFF" w:val="clear"/>
            <w:vAlign w:val="center"/>
          </w:tcPr>
          <w:p>
            <w:pPr>
              <w:pStyle w:val="TableContents"/>
              <w:spacing w:before="0" w:after="283"/>
              <w:jc w:val="right"/>
              <w:rPr/>
            </w:pPr>
            <w:r>
              <w:rPr/>
              <w:t>—  </w:t>
            </w:r>
          </w:p>
        </w:tc>
        <w:tc>
          <w:tcPr>
            <w:tcW w:w="355" w:type="dxa"/>
            <w:tcBorders/>
            <w:shd w:fill="CCEEFF" w:val="clear"/>
            <w:vAlign w:val="center"/>
          </w:tcPr>
          <w:p>
            <w:pPr>
              <w:pStyle w:val="TableContents"/>
              <w:spacing w:before="0" w:after="283"/>
              <w:jc w:val="left"/>
              <w:rPr/>
            </w:pPr>
            <w:r>
              <w:rPr/>
              <w:t> </w:t>
            </w:r>
          </w:p>
        </w:tc>
        <w:tc>
          <w:tcPr>
            <w:tcW w:w="10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289" w:type="dxa"/>
            <w:tcBorders/>
            <w:shd w:fill="CCEEFF" w:val="clear"/>
            <w:vAlign w:val="center"/>
          </w:tcPr>
          <w:p>
            <w:pPr>
              <w:pStyle w:val="TableContents"/>
              <w:spacing w:before="0" w:after="283"/>
              <w:jc w:val="right"/>
              <w:rPr/>
            </w:pPr>
            <w:r>
              <w:rPr/>
              <w:t>—  </w:t>
            </w:r>
          </w:p>
        </w:tc>
        <w:tc>
          <w:tcPr>
            <w:tcW w:w="743" w:type="dxa"/>
            <w:tcBorders/>
            <w:shd w:fill="CCEEFF" w:val="clear"/>
            <w:vAlign w:val="center"/>
          </w:tcPr>
          <w:p>
            <w:pPr>
              <w:pStyle w:val="TableContents"/>
              <w:spacing w:before="0" w:after="283"/>
              <w:ind w:left="0" w:right="0" w:firstLine="108"/>
              <w:jc w:val="left"/>
              <w:rPr/>
            </w:pPr>
            <w:r>
              <w:rPr/>
              <w:t> </w:t>
            </w:r>
          </w:p>
        </w:tc>
        <w:tc>
          <w:tcPr>
            <w:tcW w:w="91" w:type="dxa"/>
            <w:tcBorders/>
            <w:shd w:fill="CCEEFF" w:val="clear"/>
          </w:tcPr>
          <w:p>
            <w:pPr>
              <w:pStyle w:val="TableContents"/>
              <w:spacing w:before="0" w:after="283"/>
              <w:rPr>
                <w:sz w:val="4"/>
                <w:szCs w:val="4"/>
              </w:rPr>
            </w:pPr>
            <w:r>
              <w:rPr>
                <w:sz w:val="4"/>
                <w:szCs w:val="4"/>
              </w:rPr>
            </w:r>
          </w:p>
        </w:tc>
      </w:tr>
      <w:tr>
        <w:trPr/>
        <w:tc>
          <w:tcPr>
            <w:tcW w:w="2897" w:type="dxa"/>
            <w:tcBorders/>
            <w:shd w:fill="CCEEFF" w:val="clear"/>
            <w:vAlign w:val="center"/>
          </w:tcPr>
          <w:p>
            <w:pPr>
              <w:pStyle w:val="TableContents"/>
              <w:spacing w:before="0" w:after="283"/>
              <w:jc w:val="left"/>
              <w:rPr/>
            </w:pPr>
            <w:r>
              <w:rPr/>
              <w:t>Baltimore, MD  21202</w:t>
            </w:r>
          </w:p>
        </w:tc>
        <w:tc>
          <w:tcPr>
            <w:tcW w:w="168" w:type="dxa"/>
            <w:tcBorders/>
            <w:shd w:fill="CCEEFF" w:val="clear"/>
            <w:vAlign w:val="center"/>
          </w:tcPr>
          <w:p>
            <w:pPr>
              <w:pStyle w:val="TableContents"/>
              <w:spacing w:before="0" w:after="283"/>
              <w:ind w:left="0" w:right="0" w:firstLine="108"/>
              <w:rPr/>
            </w:pPr>
            <w:r>
              <w:rPr/>
              <w:t> </w:t>
            </w:r>
          </w:p>
        </w:tc>
        <w:tc>
          <w:tcPr>
            <w:tcW w:w="1252"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13"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jc w:val="right"/>
              <w:rPr/>
            </w:pPr>
            <w:r>
              <w:rPr/>
              <w:t> </w:t>
            </w:r>
          </w:p>
        </w:tc>
        <w:tc>
          <w:tcPr>
            <w:tcW w:w="734"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927" w:type="dxa"/>
            <w:tcBorders/>
            <w:shd w:fill="CCEEFF" w:val="clear"/>
            <w:vAlign w:val="center"/>
          </w:tcPr>
          <w:p>
            <w:pPr>
              <w:pStyle w:val="TableContents"/>
              <w:spacing w:before="0" w:after="283"/>
              <w:jc w:val="right"/>
              <w:rPr/>
            </w:pPr>
            <w:r>
              <w:rPr/>
              <w:t> </w:t>
            </w:r>
          </w:p>
        </w:tc>
        <w:tc>
          <w:tcPr>
            <w:tcW w:w="355" w:type="dxa"/>
            <w:tcBorders/>
            <w:shd w:fill="CCEEFF" w:val="clear"/>
            <w:vAlign w:val="center"/>
          </w:tcPr>
          <w:p>
            <w:pPr>
              <w:pStyle w:val="TableContents"/>
              <w:spacing w:before="0" w:after="283"/>
              <w:jc w:val="left"/>
              <w:rPr/>
            </w:pPr>
            <w:r>
              <w:rPr/>
              <w:t> </w:t>
            </w:r>
          </w:p>
        </w:tc>
        <w:tc>
          <w:tcPr>
            <w:tcW w:w="10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289" w:type="dxa"/>
            <w:tcBorders/>
            <w:shd w:fill="CCEEFF" w:val="clear"/>
            <w:vAlign w:val="center"/>
          </w:tcPr>
          <w:p>
            <w:pPr>
              <w:pStyle w:val="TableContents"/>
              <w:spacing w:before="0" w:after="283"/>
              <w:jc w:val="right"/>
              <w:rPr/>
            </w:pPr>
            <w:r>
              <w:rPr/>
              <w:t> </w:t>
            </w:r>
          </w:p>
        </w:tc>
        <w:tc>
          <w:tcPr>
            <w:tcW w:w="743" w:type="dxa"/>
            <w:tcBorders/>
            <w:shd w:fill="CCEEFF" w:val="clear"/>
            <w:vAlign w:val="center"/>
          </w:tcPr>
          <w:p>
            <w:pPr>
              <w:pStyle w:val="TableContents"/>
              <w:spacing w:before="0" w:after="283"/>
              <w:jc w:val="left"/>
              <w:rPr/>
            </w:pPr>
            <w:r>
              <w:rPr/>
              <w:t> </w:t>
            </w:r>
          </w:p>
        </w:tc>
        <w:tc>
          <w:tcPr>
            <w:tcW w:w="91" w:type="dxa"/>
            <w:tcBorders/>
            <w:shd w:fill="CCEEFF" w:val="clear"/>
          </w:tcPr>
          <w:p>
            <w:pPr>
              <w:pStyle w:val="TableContents"/>
              <w:spacing w:before="0" w:after="283"/>
              <w:rPr>
                <w:sz w:val="4"/>
                <w:szCs w:val="4"/>
              </w:rPr>
            </w:pPr>
            <w:r>
              <w:rPr>
                <w:sz w:val="4"/>
                <w:szCs w:val="4"/>
              </w:rPr>
            </w:r>
          </w:p>
        </w:tc>
      </w:tr>
    </w:tbl>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17, 2014,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5,015,442 shares of Common Stock and 2,064,994 shares of Class B Stock outstanding as of the close of business on October 17, 2014. Shares of Common Stock and Class B Stock subject to options, warrants or other rights that are exercisable or convertible within 60 days after October 17, 2014, are deemed outstanding for the purpose of calculating the percentage ownership of the person holding those options, warrants or other rights but are not treated as outstanding for the purpose of calculating the percentage ownership of any other person.</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Daniel S. Jaffee is Richard M. Jaffee’s son.</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By virtue of their direct and indirect ownership of shares of our stock, Richard M. Jaffee and Jaffee Investment Partnership, L.P. may be deemed to be control persons of the Company under federal securities laws.</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Consists of 290,895 shares held in a revocable trust of which Richard M. Jaffee is the grantor and, during his lifetime, the trustee and sole beneficiary, and 118,538 shares held in a revocable trust of which his spouse is the grantor and, during her lifetime, the trustee and sole beneficiary, and 125 shares held in joint tenancy with his spouse.</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Jaffee Investment Partnership, L.P. is managed by its general partners, generally acting by a majority vote. Two of the general partners, Richard M. Jaffee and his spouse Shirley H. Jaffee, each have eight votes. Each of the remaining four general partners, Daniel S. Jaffee, Karen Jaffee Cofsky, Susan Jaffee and Nancy E. Jaffee, all children of Richard M. and Shirley H. Jaffee, have one vote. Richard M. Jaffee, as the managing general partner, might be deemed to have, but disclaims, beneficial ownership of the partnership’s shares, which are not reflected in his share ownership shown in this table.</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Does not include shares beneficially owned by Jaffee Investment Partnership, L.P.</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Consists of 262,366 shares of Class B Stock directly owned by Daniel S. Jaffee (36,396 of which are restricted shares), 2 shares of Class B Stock owned by his spouse, 5,625 shares of Class B Stock he owns as trustee for his children and 125 shares of Class B Stock held in joint tenancy with his spouse. Of the 36,396 restricted shares of Class B Stock: (a) 25,000 shares become non-forfeitable on October 6, 2015; (b) 5,006 shares become non-forfeitable on July 31, 2015; and (c) 6,390 shares become non-forfeitable on July 31, 2016.</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Information is as provided by the reporting persons in a Schedule 13G/A filed with the SEC on February 10, 2014. Based on such Schedule 13G/A, Dimensional Fund Advisors LP (“Dimensional”), a registered investment adviser, furnishes investment advice to four investment companies registered under the Investment Company Act of 1940 and serves as investment manager to certain other commingled group trusts and separate accounts. These investment companies, trusts and accounts are the “Funds.” In certain cases, subsidiaries of Dimensional may act as adviser or sub-adviser to certain Funds. Although such Schedule 13G/A identifies Dimensional as having sole voting power over 354,548 shares of Common Stock and sole dispositive power over 356,907 shares of Common Stock, it notes that in its role as investment advisor, sub-adviser and/or manager, neither Dimensional nor its subsidiaries possesses investment and/or voting power over the shares of Common Stock owned by the Funds, and may be deemed to be the beneficial owner of those shares under applicable SEC rules; however, all of these shares are owned by the Funds, and Dimensional disclaims beneficial ownership of such shares.</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Information is as provided by the reporting persons in a Schedule 13D/A filed with the SEC on June 11, 2012. Such Schedule 13D/A filed by Gabelli Funds, LLC (“Gabelli Funds”), GAMCO Asset Management, Inc. (“GAMCO”), Teton Advisors, Inc. (“Teton Advisors”), GGCP, Inc., GAMCO Investors, Inc. (“GBL”) and Mario J. Gabelli reports: (a) 165,500 shares of Common Stock beneficially owned by Gabelli Funds; (b) 583,839 shares of Common Stock beneficially owned by GAMCO; and (c) 126,390 shares of Common Stock beneficially owned by Teton Advisors. The Schedule 13D/A reports that each such entity has sole voting and sole dispositive power over the shares reported as beneficially owned by it, except that: (i) Gabelli Funds has sole dispositive and voting power with respect to the shares held by such funds so long as the aggregate voting interest of all joint filers does not exceed 25% of their total voting interest in the Company; (ii) GAMCO does not have the authority to vote 1,500 of the reported shares; (iii) in certain circumstances, proxy voting committees of each fund may have voting power over the reported shares; and (iv) the power of Mario J. Gabelli, GBL and GGCP, Inc. is indirect with respect to securities beneficially owned directly by other reporting persons.</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Information is as provided by the reporting persons in a Schedule 13G/A filed with the SEC on February 13, 2014. Such Schedule 13G/A filed by Renaissance Technologies LLC, an investment adviser (“RTC”), and Renaissance Technologies Holdings Corporation, majority owner of RTC (“RTHC”), reports that RTC and RTHC have sole voting and sole dispositive power over 380,225 shares of Common Stock.</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Information is as provided by the reporting persons in a Schedule 13G/A filed with the SEC on February 14, 2014. Such Schedule 13G/A filed by T. Rowe Price Associates, Inc., a registered investment adviser (“Price Associates”), and T. Rowe Price Small-Cap Value Fund, Inc. reports that Price Associates held sole voting power over 30,940 shares of Common Stock and sole dispositive power over 620,206 shares of Common Stock, and T. Rowe Price Small-Cap Value Fund, Inc. held sole voting power over 589,266 shares of Common Stock. Price Associates expressly disclaims that it is, in fact, the beneficial owner of such securities.</w:t>
      </w:r>
    </w:p>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400" w:after="200"/>
        <w:ind w:left="400" w:right="400" w:hanging="0"/>
        <w:jc w:val="center"/>
        <w:rPr>
          <w:rFonts w:ascii="Times New Roman;Times;Serif" w:hAnsi="Times New Roman;Times;Serif"/>
          <w:b/>
          <w:i w:val="false"/>
          <w:caps w:val="false"/>
          <w:smallCaps w:val="false"/>
          <w:sz w:val="20"/>
        </w:rPr>
      </w:pPr>
      <w:bookmarkStart w:id="42" w:name="a_Toc339007581"/>
      <w:bookmarkEnd w:id="42"/>
      <w:r>
        <w:rPr>
          <w:rFonts w:ascii="Times New Roman;Times;Serif" w:hAnsi="Times New Roman;Times;Serif"/>
          <w:b/>
          <w:i w:val="false"/>
          <w:caps w:val="false"/>
          <w:smallCaps w:val="false"/>
          <w:sz w:val="20"/>
        </w:rPr>
        <w:t>Security Ownership of Management</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number of shares of Common Stock and Class B Stock beneficially owned as of October 17, 2014 by our directors, by the named executive officers and by our directors and named executive officers as a group.</w:t>
      </w:r>
    </w:p>
    <w:tbl>
      <w:tblPr>
        <w:tblW w:w="10205" w:type="dxa"/>
        <w:jc w:val="left"/>
        <w:tblInd w:w="0" w:type="dxa"/>
        <w:tblCellMar>
          <w:top w:w="0" w:type="dxa"/>
          <w:left w:w="0" w:type="dxa"/>
          <w:bottom w:w="28" w:type="dxa"/>
          <w:right w:w="0" w:type="dxa"/>
        </w:tblCellMar>
      </w:tblPr>
      <w:tblGrid>
        <w:gridCol w:w="4657"/>
        <w:gridCol w:w="60"/>
        <w:gridCol w:w="92"/>
        <w:gridCol w:w="1236"/>
        <w:gridCol w:w="714"/>
        <w:gridCol w:w="60"/>
        <w:gridCol w:w="128"/>
        <w:gridCol w:w="949"/>
        <w:gridCol w:w="464"/>
        <w:gridCol w:w="60"/>
        <w:gridCol w:w="75"/>
        <w:gridCol w:w="1005"/>
        <w:gridCol w:w="578"/>
        <w:gridCol w:w="75"/>
        <w:gridCol w:w="52"/>
      </w:tblGrid>
      <w:tr>
        <w:trPr/>
        <w:tc>
          <w:tcPr>
            <w:tcW w:w="4657" w:type="dxa"/>
            <w:tcBorders>
              <w:bottom w:val="single" w:sz="8" w:space="0" w:color="000000"/>
            </w:tcBorders>
            <w:shd w:fill="auto" w:val="clear"/>
            <w:vAlign w:val="center"/>
          </w:tcPr>
          <w:p>
            <w:pPr>
              <w:pStyle w:val="TableContents"/>
              <w:spacing w:before="0" w:after="283"/>
              <w:jc w:val="left"/>
              <w:rPr>
                <w:b/>
              </w:rPr>
            </w:pPr>
            <w:r>
              <w:rPr>
                <w:b/>
              </w:rPr>
              <w:t>Name of Beneficial Owner (1)</w:t>
            </w:r>
          </w:p>
        </w:tc>
        <w:tc>
          <w:tcPr>
            <w:tcW w:w="60" w:type="dxa"/>
            <w:tcBorders>
              <w:bottom w:val="single" w:sz="8" w:space="0" w:color="000000"/>
            </w:tcBorders>
            <w:shd w:fill="auto" w:val="clear"/>
            <w:vAlign w:val="center"/>
          </w:tcPr>
          <w:p>
            <w:pPr>
              <w:pStyle w:val="TableContents"/>
              <w:spacing w:before="0" w:after="283"/>
              <w:rPr/>
            </w:pPr>
            <w:r>
              <w:rPr/>
              <w:t> </w:t>
            </w:r>
          </w:p>
        </w:tc>
        <w:tc>
          <w:tcPr>
            <w:tcW w:w="2042" w:type="dxa"/>
            <w:gridSpan w:val="3"/>
            <w:tcBorders>
              <w:bottom w:val="single" w:sz="8" w:space="0" w:color="000000"/>
            </w:tcBorders>
            <w:shd w:fill="auto" w:val="clear"/>
            <w:vAlign w:val="center"/>
          </w:tcPr>
          <w:p>
            <w:pPr>
              <w:pStyle w:val="TableContents"/>
              <w:spacing w:before="0" w:after="283"/>
              <w:jc w:val="center"/>
              <w:rPr>
                <w:b/>
              </w:rPr>
            </w:pPr>
            <w:r>
              <w:rPr>
                <w:b/>
              </w:rPr>
              <w:t xml:space="preserve">Number of Shares of </w:t>
              <w:br/>
              <w:t>Common Stock</w:t>
            </w:r>
          </w:p>
        </w:tc>
        <w:tc>
          <w:tcPr>
            <w:tcW w:w="60" w:type="dxa"/>
            <w:tcBorders>
              <w:bottom w:val="single" w:sz="8" w:space="0" w:color="000000"/>
            </w:tcBorders>
            <w:shd w:fill="auto" w:val="clear"/>
            <w:vAlign w:val="center"/>
          </w:tcPr>
          <w:p>
            <w:pPr>
              <w:pStyle w:val="TableContents"/>
              <w:spacing w:before="0" w:after="283"/>
              <w:rPr/>
            </w:pPr>
            <w:r>
              <w:rPr/>
              <w:t> </w:t>
            </w:r>
          </w:p>
        </w:tc>
        <w:tc>
          <w:tcPr>
            <w:tcW w:w="1541" w:type="dxa"/>
            <w:gridSpan w:val="3"/>
            <w:tcBorders>
              <w:bottom w:val="single" w:sz="8" w:space="0" w:color="000000"/>
            </w:tcBorders>
            <w:shd w:fill="auto" w:val="clear"/>
            <w:vAlign w:val="center"/>
          </w:tcPr>
          <w:p>
            <w:pPr>
              <w:pStyle w:val="TableContents"/>
              <w:spacing w:before="0" w:after="283"/>
              <w:jc w:val="center"/>
              <w:rPr>
                <w:b/>
              </w:rPr>
            </w:pPr>
            <w:r>
              <w:rPr>
                <w:b/>
              </w:rPr>
              <w:t xml:space="preserve">Percentage of </w:t>
              <w:br/>
              <w:t xml:space="preserve">Outstanding </w:t>
              <w:br/>
              <w:t>Common Stock</w:t>
            </w:r>
          </w:p>
        </w:tc>
        <w:tc>
          <w:tcPr>
            <w:tcW w:w="60" w:type="dxa"/>
            <w:tcBorders>
              <w:bottom w:val="single" w:sz="8" w:space="0" w:color="000000"/>
            </w:tcBorders>
            <w:shd w:fill="auto" w:val="clear"/>
            <w:vAlign w:val="center"/>
          </w:tcPr>
          <w:p>
            <w:pPr>
              <w:pStyle w:val="TableContents"/>
              <w:spacing w:before="0" w:after="283"/>
              <w:rPr/>
            </w:pPr>
            <w:r>
              <w:rPr/>
              <w:t> </w:t>
            </w:r>
          </w:p>
        </w:tc>
        <w:tc>
          <w:tcPr>
            <w:tcW w:w="1785" w:type="dxa"/>
            <w:gridSpan w:val="5"/>
            <w:tcBorders>
              <w:bottom w:val="single" w:sz="8" w:space="0" w:color="000000"/>
            </w:tcBorders>
            <w:shd w:fill="auto" w:val="clear"/>
            <w:vAlign w:val="center"/>
          </w:tcPr>
          <w:p>
            <w:pPr>
              <w:pStyle w:val="TableContents"/>
              <w:spacing w:before="0" w:after="283"/>
              <w:jc w:val="center"/>
              <w:rPr>
                <w:b/>
              </w:rPr>
            </w:pPr>
            <w:r>
              <w:rPr>
                <w:b/>
              </w:rPr>
              <w:t xml:space="preserve">Number of </w:t>
              <w:br/>
              <w:t xml:space="preserve">Shares of Class B </w:t>
              <w:br/>
              <w:t>Stock (2)</w:t>
            </w:r>
          </w:p>
        </w:tc>
      </w:tr>
      <w:tr>
        <w:trPr/>
        <w:tc>
          <w:tcPr>
            <w:tcW w:w="4657" w:type="dxa"/>
            <w:tcBorders/>
            <w:shd w:fill="CCEEFF" w:val="clear"/>
            <w:tcMar>
              <w:bottom w:w="0" w:type="dxa"/>
            </w:tcMar>
            <w:vAlign w:val="center"/>
          </w:tcPr>
          <w:p>
            <w:pPr>
              <w:pStyle w:val="TableContents"/>
              <w:spacing w:before="0" w:after="283"/>
              <w:jc w:val="left"/>
              <w:rPr/>
            </w:pPr>
            <w:r>
              <w:rPr/>
              <w:t>Richard M. Jaffee (3)</w:t>
            </w:r>
          </w:p>
        </w:tc>
        <w:tc>
          <w:tcPr>
            <w:tcW w:w="60" w:type="dxa"/>
            <w:tcBorders/>
            <w:shd w:fill="CCEEFF" w:val="clear"/>
            <w:tcMar>
              <w:bottom w:w="0" w:type="dxa"/>
            </w:tcMar>
            <w:vAlign w:val="center"/>
          </w:tcPr>
          <w:p>
            <w:pPr>
              <w:pStyle w:val="TableContents"/>
              <w:spacing w:before="0" w:after="283"/>
              <w:rPr/>
            </w:pPr>
            <w:r>
              <w:rPr/>
              <w:t> </w:t>
            </w:r>
          </w:p>
        </w:tc>
        <w:tc>
          <w:tcPr>
            <w:tcW w:w="92" w:type="dxa"/>
            <w:tcBorders/>
            <w:shd w:fill="CCEEFF" w:val="clear"/>
            <w:tcMar>
              <w:bottom w:w="0" w:type="dxa"/>
            </w:tcMar>
            <w:vAlign w:val="center"/>
          </w:tcPr>
          <w:p>
            <w:pPr>
              <w:pStyle w:val="TableContents"/>
              <w:spacing w:before="0" w:after="283"/>
              <w:jc w:val="left"/>
              <w:rPr/>
            </w:pPr>
            <w:r>
              <w:rPr/>
              <w:t> </w:t>
            </w:r>
          </w:p>
        </w:tc>
        <w:tc>
          <w:tcPr>
            <w:tcW w:w="1236" w:type="dxa"/>
            <w:tcBorders/>
            <w:shd w:fill="CCEEFF" w:val="clear"/>
            <w:tcMar>
              <w:bottom w:w="0" w:type="dxa"/>
            </w:tcMar>
            <w:vAlign w:val="center"/>
          </w:tcPr>
          <w:p>
            <w:pPr>
              <w:pStyle w:val="TableContents"/>
              <w:spacing w:before="0" w:after="283"/>
              <w:jc w:val="right"/>
              <w:rPr/>
            </w:pPr>
            <w:r>
              <w:rPr/>
              <w:t>—  </w:t>
            </w:r>
          </w:p>
        </w:tc>
        <w:tc>
          <w:tcPr>
            <w:tcW w:w="714" w:type="dxa"/>
            <w:tcBorders/>
            <w:shd w:fill="CCEEFF" w:val="clear"/>
            <w:tcMar>
              <w:bottom w:w="0" w:type="dxa"/>
            </w:tcMar>
            <w:vAlign w:val="center"/>
          </w:tcPr>
          <w:p>
            <w:pPr>
              <w:pStyle w:val="TableContents"/>
              <w:spacing w:before="0" w:after="283"/>
              <w:jc w:val="left"/>
              <w:rPr/>
            </w:pPr>
            <w:r>
              <w:rPr/>
              <w:t> </w:t>
            </w:r>
            <w:r>
              <w:rPr/>
              <w:t>(4)</w:t>
            </w:r>
          </w:p>
        </w:tc>
        <w:tc>
          <w:tcPr>
            <w:tcW w:w="60"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center"/>
          </w:tcPr>
          <w:p>
            <w:pPr>
              <w:pStyle w:val="TableContents"/>
              <w:spacing w:before="0" w:after="283"/>
              <w:jc w:val="left"/>
              <w:rPr/>
            </w:pPr>
            <w:r>
              <w:rPr/>
              <w:t> </w:t>
            </w:r>
          </w:p>
        </w:tc>
        <w:tc>
          <w:tcPr>
            <w:tcW w:w="949" w:type="dxa"/>
            <w:tcBorders/>
            <w:shd w:fill="CCEEFF" w:val="clear"/>
            <w:tcMar>
              <w:bottom w:w="0" w:type="dxa"/>
            </w:tcMar>
            <w:vAlign w:val="center"/>
          </w:tcPr>
          <w:p>
            <w:pPr>
              <w:pStyle w:val="TableContents"/>
              <w:spacing w:before="0" w:after="283"/>
              <w:jc w:val="right"/>
              <w:rPr/>
            </w:pPr>
            <w:r>
              <w:rPr/>
              <w:t> </w:t>
            </w:r>
          </w:p>
        </w:tc>
        <w:tc>
          <w:tcPr>
            <w:tcW w:w="464"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5" w:type="dxa"/>
            <w:tcBorders/>
            <w:shd w:fill="CCEEFF" w:val="clear"/>
            <w:tcMar>
              <w:bottom w:w="0" w:type="dxa"/>
            </w:tcMar>
            <w:vAlign w:val="center"/>
          </w:tcPr>
          <w:p>
            <w:pPr>
              <w:pStyle w:val="TableContents"/>
              <w:spacing w:before="0" w:after="283"/>
              <w:jc w:val="left"/>
              <w:rPr/>
            </w:pPr>
            <w:r>
              <w:rPr/>
              <w:t> </w:t>
            </w:r>
          </w:p>
        </w:tc>
        <w:tc>
          <w:tcPr>
            <w:tcW w:w="1005" w:type="dxa"/>
            <w:tcBorders/>
            <w:shd w:fill="CCEEFF" w:val="clear"/>
            <w:tcMar>
              <w:bottom w:w="0" w:type="dxa"/>
            </w:tcMar>
            <w:vAlign w:val="center"/>
          </w:tcPr>
          <w:p>
            <w:pPr>
              <w:pStyle w:val="TableContents"/>
              <w:spacing w:before="0" w:after="283"/>
              <w:jc w:val="right"/>
              <w:rPr/>
            </w:pPr>
            <w:r>
              <w:rPr/>
              <w:t> </w:t>
            </w:r>
          </w:p>
        </w:tc>
        <w:tc>
          <w:tcPr>
            <w:tcW w:w="578" w:type="dxa"/>
            <w:tcBorders/>
            <w:shd w:fill="CCEEFF" w:val="clear"/>
            <w:tcMar>
              <w:bottom w:w="0" w:type="dxa"/>
            </w:tcMar>
            <w:vAlign w:val="center"/>
          </w:tcPr>
          <w:p>
            <w:pPr>
              <w:pStyle w:val="TableContents"/>
              <w:spacing w:before="0" w:after="283"/>
              <w:jc w:val="left"/>
              <w:rPr/>
            </w:pPr>
            <w:r>
              <w:rPr/>
              <w:t> </w:t>
            </w:r>
            <w:r>
              <w:rPr/>
              <w:t>(4)</w:t>
            </w:r>
          </w:p>
        </w:tc>
        <w:tc>
          <w:tcPr>
            <w:tcW w:w="75" w:type="dxa"/>
            <w:tcBorders/>
            <w:shd w:fill="CCEEFF" w:val="clear"/>
            <w:tcMar>
              <w:bottom w:w="0" w:type="dxa"/>
            </w:tcMar>
            <w:vAlign w:val="center"/>
          </w:tcPr>
          <w:p>
            <w:pPr>
              <w:pStyle w:val="TableContents"/>
              <w:spacing w:before="0" w:after="283"/>
              <w:rPr/>
            </w:pPr>
            <w:r>
              <w:rPr/>
              <w:t> </w:t>
            </w:r>
          </w:p>
        </w:tc>
        <w:tc>
          <w:tcPr>
            <w:tcW w:w="52" w:type="dxa"/>
            <w:tcBorders/>
            <w:shd w:fill="CCEEFF" w:val="clear"/>
            <w:tcMar>
              <w:bottom w:w="0" w:type="dxa"/>
            </w:tcMar>
            <w:vAlign w:val="center"/>
          </w:tcPr>
          <w:p>
            <w:pPr>
              <w:pStyle w:val="TableContents"/>
              <w:spacing w:before="0" w:after="283"/>
              <w:rPr>
                <w:sz w:val="4"/>
                <w:szCs w:val="4"/>
              </w:rPr>
            </w:pPr>
            <w:r>
              <w:rPr>
                <w:sz w:val="4"/>
                <w:szCs w:val="4"/>
              </w:rPr>
            </w:r>
          </w:p>
        </w:tc>
      </w:tr>
      <w:tr>
        <w:trPr/>
        <w:tc>
          <w:tcPr>
            <w:tcW w:w="4657" w:type="dxa"/>
            <w:tcBorders/>
            <w:shd w:fill="FFFFFF" w:val="clear"/>
            <w:tcMar>
              <w:bottom w:w="0" w:type="dxa"/>
            </w:tcMar>
            <w:vAlign w:val="center"/>
          </w:tcPr>
          <w:p>
            <w:pPr>
              <w:pStyle w:val="TableContents"/>
              <w:spacing w:before="0" w:after="283"/>
              <w:jc w:val="left"/>
              <w:rPr/>
            </w:pPr>
            <w:r>
              <w:rPr/>
              <w:t>Daniel S. Jaffee</w:t>
            </w:r>
          </w:p>
        </w:tc>
        <w:tc>
          <w:tcPr>
            <w:tcW w:w="60" w:type="dxa"/>
            <w:tcBorders/>
            <w:shd w:fill="FFFFFF" w:val="clear"/>
            <w:tcMar>
              <w:bottom w:w="0" w:type="dxa"/>
            </w:tcMar>
            <w:vAlign w:val="center"/>
          </w:tcPr>
          <w:p>
            <w:pPr>
              <w:pStyle w:val="TableContents"/>
              <w:spacing w:before="0" w:after="283"/>
              <w:rPr/>
            </w:pPr>
            <w:r>
              <w:rPr/>
              <w:t> </w:t>
            </w:r>
          </w:p>
        </w:tc>
        <w:tc>
          <w:tcPr>
            <w:tcW w:w="92" w:type="dxa"/>
            <w:tcBorders/>
            <w:shd w:fill="FFFFFF" w:val="clear"/>
            <w:tcMar>
              <w:bottom w:w="0" w:type="dxa"/>
            </w:tcMar>
            <w:vAlign w:val="center"/>
          </w:tcPr>
          <w:p>
            <w:pPr>
              <w:pStyle w:val="TableContents"/>
              <w:spacing w:before="0" w:after="283"/>
              <w:jc w:val="left"/>
              <w:rPr/>
            </w:pPr>
            <w:r>
              <w:rPr/>
              <w:t> </w:t>
            </w:r>
          </w:p>
        </w:tc>
        <w:tc>
          <w:tcPr>
            <w:tcW w:w="1236" w:type="dxa"/>
            <w:tcBorders/>
            <w:shd w:fill="FFFFFF" w:val="clear"/>
            <w:tcMar>
              <w:bottom w:w="0" w:type="dxa"/>
            </w:tcMar>
            <w:vAlign w:val="center"/>
          </w:tcPr>
          <w:p>
            <w:pPr>
              <w:pStyle w:val="TableContents"/>
              <w:spacing w:before="0" w:after="283"/>
              <w:jc w:val="right"/>
              <w:rPr/>
            </w:pPr>
            <w:r>
              <w:rPr/>
              <w:t>—  </w:t>
            </w:r>
          </w:p>
        </w:tc>
        <w:tc>
          <w:tcPr>
            <w:tcW w:w="714" w:type="dxa"/>
            <w:tcBorders/>
            <w:shd w:fill="FFFFFF" w:val="clear"/>
            <w:tcMar>
              <w:bottom w:w="0" w:type="dxa"/>
            </w:tcMar>
            <w:vAlign w:val="center"/>
          </w:tcPr>
          <w:p>
            <w:pPr>
              <w:pStyle w:val="TableContents"/>
              <w:spacing w:before="0" w:after="283"/>
              <w:jc w:val="left"/>
              <w:rPr/>
            </w:pPr>
            <w:r>
              <w:rPr/>
              <w:t> </w:t>
            </w:r>
            <w:r>
              <w:rPr/>
              <w:t>(4)</w:t>
            </w:r>
          </w:p>
        </w:tc>
        <w:tc>
          <w:tcPr>
            <w:tcW w:w="60"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center"/>
          </w:tcPr>
          <w:p>
            <w:pPr>
              <w:pStyle w:val="TableContents"/>
              <w:spacing w:before="0" w:after="283"/>
              <w:jc w:val="left"/>
              <w:rPr/>
            </w:pPr>
            <w:r>
              <w:rPr/>
              <w:t> </w:t>
            </w:r>
          </w:p>
        </w:tc>
        <w:tc>
          <w:tcPr>
            <w:tcW w:w="949" w:type="dxa"/>
            <w:tcBorders/>
            <w:shd w:fill="FFFFFF" w:val="clear"/>
            <w:tcMar>
              <w:bottom w:w="0" w:type="dxa"/>
            </w:tcMar>
            <w:vAlign w:val="center"/>
          </w:tcPr>
          <w:p>
            <w:pPr>
              <w:pStyle w:val="TableContents"/>
              <w:spacing w:before="0" w:after="283"/>
              <w:jc w:val="right"/>
              <w:rPr/>
            </w:pPr>
            <w:r>
              <w:rPr/>
              <w:t> </w:t>
            </w:r>
          </w:p>
        </w:tc>
        <w:tc>
          <w:tcPr>
            <w:tcW w:w="46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5" w:type="dxa"/>
            <w:tcBorders/>
            <w:shd w:fill="FFFFFF" w:val="clear"/>
            <w:tcMar>
              <w:bottom w:w="0" w:type="dxa"/>
            </w:tcMar>
            <w:vAlign w:val="center"/>
          </w:tcPr>
          <w:p>
            <w:pPr>
              <w:pStyle w:val="TableContents"/>
              <w:spacing w:before="0" w:after="283"/>
              <w:jc w:val="left"/>
              <w:rPr/>
            </w:pPr>
            <w:r>
              <w:rPr/>
              <w:t> </w:t>
            </w:r>
          </w:p>
        </w:tc>
        <w:tc>
          <w:tcPr>
            <w:tcW w:w="1005" w:type="dxa"/>
            <w:tcBorders/>
            <w:shd w:fill="FFFFFF" w:val="clear"/>
            <w:tcMar>
              <w:bottom w:w="0" w:type="dxa"/>
            </w:tcMar>
            <w:vAlign w:val="center"/>
          </w:tcPr>
          <w:p>
            <w:pPr>
              <w:pStyle w:val="TableContents"/>
              <w:spacing w:before="0" w:after="283"/>
              <w:jc w:val="right"/>
              <w:rPr/>
            </w:pPr>
            <w:r>
              <w:rPr/>
              <w:t> </w:t>
            </w:r>
          </w:p>
        </w:tc>
        <w:tc>
          <w:tcPr>
            <w:tcW w:w="578" w:type="dxa"/>
            <w:tcBorders/>
            <w:shd w:fill="FFFFFF" w:val="clear"/>
            <w:tcMar>
              <w:bottom w:w="0" w:type="dxa"/>
            </w:tcMar>
            <w:vAlign w:val="center"/>
          </w:tcPr>
          <w:p>
            <w:pPr>
              <w:pStyle w:val="TableContents"/>
              <w:spacing w:before="0" w:after="283"/>
              <w:jc w:val="left"/>
              <w:rPr/>
            </w:pPr>
            <w:r>
              <w:rPr/>
              <w:t> </w:t>
            </w:r>
            <w:r>
              <w:rPr/>
              <w:t>(4)</w:t>
            </w:r>
          </w:p>
        </w:tc>
        <w:tc>
          <w:tcPr>
            <w:tcW w:w="75" w:type="dxa"/>
            <w:tcBorders/>
            <w:shd w:fill="FFFFFF" w:val="clear"/>
            <w:tcMar>
              <w:bottom w:w="0" w:type="dxa"/>
            </w:tcMar>
            <w:vAlign w:val="center"/>
          </w:tcPr>
          <w:p>
            <w:pPr>
              <w:pStyle w:val="TableContents"/>
              <w:spacing w:before="0" w:after="283"/>
              <w:rPr/>
            </w:pPr>
            <w:r>
              <w:rPr/>
              <w:t> </w:t>
            </w:r>
          </w:p>
        </w:tc>
        <w:tc>
          <w:tcPr>
            <w:tcW w:w="52" w:type="dxa"/>
            <w:tcBorders/>
            <w:shd w:fill="FFFFFF" w:val="clear"/>
            <w:tcMar>
              <w:bottom w:w="0" w:type="dxa"/>
            </w:tcMar>
            <w:vAlign w:val="center"/>
          </w:tcPr>
          <w:p>
            <w:pPr>
              <w:pStyle w:val="TableContents"/>
              <w:spacing w:before="0" w:after="283"/>
              <w:rPr>
                <w:sz w:val="4"/>
                <w:szCs w:val="4"/>
              </w:rPr>
            </w:pPr>
            <w:r>
              <w:rPr>
                <w:sz w:val="4"/>
                <w:szCs w:val="4"/>
              </w:rPr>
            </w:r>
          </w:p>
        </w:tc>
      </w:tr>
      <w:tr>
        <w:trPr/>
        <w:tc>
          <w:tcPr>
            <w:tcW w:w="4657" w:type="dxa"/>
            <w:tcBorders/>
            <w:shd w:fill="CCEEFF" w:val="clear"/>
            <w:tcMar>
              <w:bottom w:w="0" w:type="dxa"/>
            </w:tcMar>
            <w:vAlign w:val="center"/>
          </w:tcPr>
          <w:p>
            <w:pPr>
              <w:pStyle w:val="TableContents"/>
              <w:spacing w:before="0" w:after="283"/>
              <w:jc w:val="left"/>
              <w:rPr/>
            </w:pPr>
            <w:r>
              <w:rPr/>
              <w:t>Thomas F. Cofsky (3)</w:t>
            </w:r>
          </w:p>
        </w:tc>
        <w:tc>
          <w:tcPr>
            <w:tcW w:w="60" w:type="dxa"/>
            <w:tcBorders/>
            <w:shd w:fill="CCEEFF" w:val="clear"/>
            <w:tcMar>
              <w:bottom w:w="0" w:type="dxa"/>
            </w:tcMar>
            <w:vAlign w:val="center"/>
          </w:tcPr>
          <w:p>
            <w:pPr>
              <w:pStyle w:val="TableContents"/>
              <w:spacing w:before="0" w:after="283"/>
              <w:rPr/>
            </w:pPr>
            <w:r>
              <w:rPr/>
              <w:t> </w:t>
            </w:r>
          </w:p>
        </w:tc>
        <w:tc>
          <w:tcPr>
            <w:tcW w:w="92" w:type="dxa"/>
            <w:tcBorders/>
            <w:shd w:fill="CCEEFF" w:val="clear"/>
            <w:tcMar>
              <w:bottom w:w="0" w:type="dxa"/>
            </w:tcMar>
            <w:vAlign w:val="center"/>
          </w:tcPr>
          <w:p>
            <w:pPr>
              <w:pStyle w:val="TableContents"/>
              <w:spacing w:before="0" w:after="283"/>
              <w:jc w:val="left"/>
              <w:rPr/>
            </w:pPr>
            <w:r>
              <w:rPr/>
              <w:t> </w:t>
            </w:r>
          </w:p>
        </w:tc>
        <w:tc>
          <w:tcPr>
            <w:tcW w:w="1236" w:type="dxa"/>
            <w:tcBorders/>
            <w:shd w:fill="CCEEFF" w:val="clear"/>
            <w:tcMar>
              <w:bottom w:w="0" w:type="dxa"/>
            </w:tcMar>
            <w:vAlign w:val="center"/>
          </w:tcPr>
          <w:p>
            <w:pPr>
              <w:pStyle w:val="TableContents"/>
              <w:spacing w:before="0" w:after="283"/>
              <w:jc w:val="right"/>
              <w:rPr/>
            </w:pPr>
            <w:r>
              <w:rPr/>
              <w:t>586</w:t>
            </w:r>
          </w:p>
        </w:tc>
        <w:tc>
          <w:tcPr>
            <w:tcW w:w="714" w:type="dxa"/>
            <w:tcBorders/>
            <w:shd w:fill="CCEEFF" w:val="clear"/>
            <w:tcMar>
              <w:bottom w:w="0" w:type="dxa"/>
            </w:tcMar>
            <w:vAlign w:val="center"/>
          </w:tcPr>
          <w:p>
            <w:pPr>
              <w:pStyle w:val="TableContents"/>
              <w:spacing w:before="0" w:after="283"/>
              <w:jc w:val="left"/>
              <w:rPr/>
            </w:pPr>
            <w:r>
              <w:rPr/>
              <w:t> </w:t>
            </w:r>
            <w:r>
              <w:rPr/>
              <w:t>(5)</w:t>
            </w:r>
          </w:p>
        </w:tc>
        <w:tc>
          <w:tcPr>
            <w:tcW w:w="60"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center"/>
          </w:tcPr>
          <w:p>
            <w:pPr>
              <w:pStyle w:val="TableContents"/>
              <w:spacing w:before="0" w:after="283"/>
              <w:jc w:val="left"/>
              <w:rPr/>
            </w:pPr>
            <w:r>
              <w:rPr/>
              <w:t> </w:t>
            </w:r>
          </w:p>
        </w:tc>
        <w:tc>
          <w:tcPr>
            <w:tcW w:w="949" w:type="dxa"/>
            <w:tcBorders/>
            <w:shd w:fill="CCEEFF" w:val="clear"/>
            <w:tcMar>
              <w:bottom w:w="0" w:type="dxa"/>
            </w:tcMar>
            <w:vAlign w:val="center"/>
          </w:tcPr>
          <w:p>
            <w:pPr>
              <w:pStyle w:val="TableContents"/>
              <w:spacing w:before="0" w:after="283"/>
              <w:jc w:val="right"/>
              <w:rPr>
                <w:sz w:val="17"/>
              </w:rPr>
            </w:pPr>
            <w:r>
              <w:rPr>
                <w:sz w:val="17"/>
              </w:rPr>
              <w:t>*</w:t>
            </w:r>
          </w:p>
        </w:tc>
        <w:tc>
          <w:tcPr>
            <w:tcW w:w="464"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5" w:type="dxa"/>
            <w:tcBorders/>
            <w:shd w:fill="CCEEFF" w:val="clear"/>
            <w:tcMar>
              <w:bottom w:w="0" w:type="dxa"/>
            </w:tcMar>
            <w:vAlign w:val="center"/>
          </w:tcPr>
          <w:p>
            <w:pPr>
              <w:pStyle w:val="TableContents"/>
              <w:spacing w:before="0" w:after="283"/>
              <w:jc w:val="left"/>
              <w:rPr/>
            </w:pPr>
            <w:r>
              <w:rPr/>
              <w:t> </w:t>
            </w:r>
          </w:p>
        </w:tc>
        <w:tc>
          <w:tcPr>
            <w:tcW w:w="1005" w:type="dxa"/>
            <w:tcBorders/>
            <w:shd w:fill="CCEEFF" w:val="clear"/>
            <w:tcMar>
              <w:bottom w:w="0" w:type="dxa"/>
            </w:tcMar>
            <w:vAlign w:val="center"/>
          </w:tcPr>
          <w:p>
            <w:pPr>
              <w:pStyle w:val="TableContents"/>
              <w:spacing w:before="0" w:after="283"/>
              <w:jc w:val="right"/>
              <w:rPr/>
            </w:pPr>
            <w:r>
              <w:rPr/>
              <w:t>63,453</w:t>
            </w:r>
          </w:p>
        </w:tc>
        <w:tc>
          <w:tcPr>
            <w:tcW w:w="578" w:type="dxa"/>
            <w:tcBorders/>
            <w:shd w:fill="CCEEFF" w:val="clear"/>
            <w:tcMar>
              <w:bottom w:w="0" w:type="dxa"/>
            </w:tcMar>
            <w:vAlign w:val="center"/>
          </w:tcPr>
          <w:p>
            <w:pPr>
              <w:pStyle w:val="TableContents"/>
              <w:spacing w:before="0" w:after="283"/>
              <w:jc w:val="left"/>
              <w:rPr/>
            </w:pPr>
            <w:r>
              <w:rPr/>
              <w:t> </w:t>
            </w:r>
            <w:r>
              <w:rPr/>
              <w:t>(6)</w:t>
            </w:r>
          </w:p>
        </w:tc>
        <w:tc>
          <w:tcPr>
            <w:tcW w:w="127" w:type="dxa"/>
            <w:gridSpan w:val="2"/>
            <w:tcBorders/>
            <w:shd w:fill="CCEEFF" w:val="clear"/>
            <w:tcMar>
              <w:bottom w:w="0" w:type="dxa"/>
            </w:tcMar>
          </w:tcPr>
          <w:p>
            <w:pPr>
              <w:pStyle w:val="TableContents"/>
              <w:spacing w:before="0" w:after="283"/>
              <w:rPr>
                <w:sz w:val="4"/>
                <w:szCs w:val="4"/>
              </w:rPr>
            </w:pPr>
            <w:r>
              <w:rPr>
                <w:sz w:val="4"/>
                <w:szCs w:val="4"/>
              </w:rPr>
            </w:r>
          </w:p>
        </w:tc>
      </w:tr>
      <w:tr>
        <w:trPr/>
        <w:tc>
          <w:tcPr>
            <w:tcW w:w="4657" w:type="dxa"/>
            <w:tcBorders/>
            <w:shd w:fill="FFFFFF" w:val="clear"/>
            <w:tcMar>
              <w:bottom w:w="0" w:type="dxa"/>
            </w:tcMar>
            <w:vAlign w:val="center"/>
          </w:tcPr>
          <w:p>
            <w:pPr>
              <w:pStyle w:val="TableContents"/>
              <w:spacing w:before="0" w:after="283"/>
              <w:jc w:val="left"/>
              <w:rPr/>
            </w:pPr>
            <w:r>
              <w:rPr/>
              <w:t>J. Steven Cole</w:t>
            </w:r>
          </w:p>
        </w:tc>
        <w:tc>
          <w:tcPr>
            <w:tcW w:w="60" w:type="dxa"/>
            <w:tcBorders/>
            <w:shd w:fill="FFFFFF" w:val="clear"/>
            <w:tcMar>
              <w:bottom w:w="0" w:type="dxa"/>
            </w:tcMar>
            <w:vAlign w:val="center"/>
          </w:tcPr>
          <w:p>
            <w:pPr>
              <w:pStyle w:val="TableContents"/>
              <w:spacing w:before="0" w:after="283"/>
              <w:rPr/>
            </w:pPr>
            <w:r>
              <w:rPr/>
              <w:t> </w:t>
            </w:r>
          </w:p>
        </w:tc>
        <w:tc>
          <w:tcPr>
            <w:tcW w:w="92" w:type="dxa"/>
            <w:tcBorders/>
            <w:shd w:fill="FFFFFF" w:val="clear"/>
            <w:tcMar>
              <w:bottom w:w="0" w:type="dxa"/>
            </w:tcMar>
            <w:vAlign w:val="center"/>
          </w:tcPr>
          <w:p>
            <w:pPr>
              <w:pStyle w:val="TableContents"/>
              <w:spacing w:before="0" w:after="283"/>
              <w:jc w:val="left"/>
              <w:rPr/>
            </w:pPr>
            <w:r>
              <w:rPr/>
              <w:t> </w:t>
            </w:r>
          </w:p>
        </w:tc>
        <w:tc>
          <w:tcPr>
            <w:tcW w:w="1236" w:type="dxa"/>
            <w:tcBorders/>
            <w:shd w:fill="FFFFFF" w:val="clear"/>
            <w:tcMar>
              <w:bottom w:w="0" w:type="dxa"/>
            </w:tcMar>
            <w:vAlign w:val="center"/>
          </w:tcPr>
          <w:p>
            <w:pPr>
              <w:pStyle w:val="TableContents"/>
              <w:spacing w:before="0" w:after="283"/>
              <w:jc w:val="right"/>
              <w:rPr/>
            </w:pPr>
            <w:r>
              <w:rPr/>
              <w:t>25,800</w:t>
            </w:r>
          </w:p>
        </w:tc>
        <w:tc>
          <w:tcPr>
            <w:tcW w:w="714" w:type="dxa"/>
            <w:tcBorders/>
            <w:shd w:fill="FFFFFF" w:val="clear"/>
            <w:tcMar>
              <w:bottom w:w="0" w:type="dxa"/>
            </w:tcMar>
            <w:vAlign w:val="center"/>
          </w:tcPr>
          <w:p>
            <w:pPr>
              <w:pStyle w:val="TableContents"/>
              <w:spacing w:before="0" w:after="283"/>
              <w:jc w:val="left"/>
              <w:rPr/>
            </w:pPr>
            <w:r>
              <w:rPr/>
              <w:t> </w:t>
            </w:r>
            <w:r>
              <w:rPr/>
              <w:t>(7)</w:t>
            </w:r>
          </w:p>
        </w:tc>
        <w:tc>
          <w:tcPr>
            <w:tcW w:w="60"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center"/>
          </w:tcPr>
          <w:p>
            <w:pPr>
              <w:pStyle w:val="TableContents"/>
              <w:spacing w:before="0" w:after="283"/>
              <w:jc w:val="left"/>
              <w:rPr/>
            </w:pPr>
            <w:r>
              <w:rPr/>
              <w:t> </w:t>
            </w:r>
          </w:p>
        </w:tc>
        <w:tc>
          <w:tcPr>
            <w:tcW w:w="949" w:type="dxa"/>
            <w:tcBorders/>
            <w:shd w:fill="FFFFFF" w:val="clear"/>
            <w:tcMar>
              <w:bottom w:w="0" w:type="dxa"/>
            </w:tcMar>
            <w:vAlign w:val="center"/>
          </w:tcPr>
          <w:p>
            <w:pPr>
              <w:pStyle w:val="TableContents"/>
              <w:spacing w:before="0" w:after="283"/>
              <w:jc w:val="right"/>
              <w:rPr>
                <w:sz w:val="17"/>
              </w:rPr>
            </w:pPr>
            <w:r>
              <w:rPr>
                <w:sz w:val="17"/>
              </w:rPr>
              <w:t>*</w:t>
            </w:r>
          </w:p>
        </w:tc>
        <w:tc>
          <w:tcPr>
            <w:tcW w:w="46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5" w:type="dxa"/>
            <w:tcBorders/>
            <w:shd w:fill="FFFFFF" w:val="clear"/>
            <w:tcMar>
              <w:bottom w:w="0" w:type="dxa"/>
            </w:tcMar>
            <w:vAlign w:val="center"/>
          </w:tcPr>
          <w:p>
            <w:pPr>
              <w:pStyle w:val="TableContents"/>
              <w:spacing w:before="0" w:after="283"/>
              <w:jc w:val="left"/>
              <w:rPr/>
            </w:pPr>
            <w:r>
              <w:rPr/>
              <w:t> </w:t>
            </w:r>
          </w:p>
        </w:tc>
        <w:tc>
          <w:tcPr>
            <w:tcW w:w="1005" w:type="dxa"/>
            <w:tcBorders/>
            <w:shd w:fill="FFFFFF" w:val="clear"/>
            <w:tcMar>
              <w:bottom w:w="0" w:type="dxa"/>
            </w:tcMar>
            <w:vAlign w:val="center"/>
          </w:tcPr>
          <w:p>
            <w:pPr>
              <w:pStyle w:val="TableContents"/>
              <w:spacing w:before="0" w:after="283"/>
              <w:jc w:val="right"/>
              <w:rPr/>
            </w:pPr>
            <w:r>
              <w:rPr/>
              <w:t>—  </w:t>
            </w:r>
          </w:p>
        </w:tc>
        <w:tc>
          <w:tcPr>
            <w:tcW w:w="578" w:type="dxa"/>
            <w:tcBorders/>
            <w:shd w:fill="FFFFFF" w:val="clear"/>
            <w:tcMar>
              <w:bottom w:w="0" w:type="dxa"/>
            </w:tcMar>
            <w:vAlign w:val="center"/>
          </w:tcPr>
          <w:p>
            <w:pPr>
              <w:pStyle w:val="TableContents"/>
              <w:spacing w:before="0" w:after="283"/>
              <w:jc w:val="left"/>
              <w:rPr/>
            </w:pPr>
            <w:r>
              <w:rPr/>
              <w:t> </w:t>
            </w:r>
          </w:p>
        </w:tc>
        <w:tc>
          <w:tcPr>
            <w:tcW w:w="127" w:type="dxa"/>
            <w:gridSpan w:val="2"/>
            <w:tcBorders/>
            <w:shd w:fill="FFFFFF" w:val="clear"/>
            <w:tcMar>
              <w:bottom w:w="0" w:type="dxa"/>
            </w:tcMar>
          </w:tcPr>
          <w:p>
            <w:pPr>
              <w:pStyle w:val="TableContents"/>
              <w:spacing w:before="0" w:after="283"/>
              <w:rPr>
                <w:sz w:val="4"/>
                <w:szCs w:val="4"/>
              </w:rPr>
            </w:pPr>
            <w:r>
              <w:rPr>
                <w:sz w:val="4"/>
                <w:szCs w:val="4"/>
              </w:rPr>
            </w:r>
          </w:p>
        </w:tc>
      </w:tr>
      <w:tr>
        <w:trPr/>
        <w:tc>
          <w:tcPr>
            <w:tcW w:w="4657" w:type="dxa"/>
            <w:tcBorders/>
            <w:shd w:fill="CCEEFF" w:val="clear"/>
            <w:tcMar>
              <w:bottom w:w="0" w:type="dxa"/>
            </w:tcMar>
            <w:vAlign w:val="center"/>
          </w:tcPr>
          <w:p>
            <w:pPr>
              <w:pStyle w:val="TableContents"/>
              <w:spacing w:before="0" w:after="283"/>
              <w:jc w:val="left"/>
              <w:rPr/>
            </w:pPr>
            <w:r>
              <w:rPr/>
              <w:t>Joseph C. Miller</w:t>
            </w:r>
          </w:p>
        </w:tc>
        <w:tc>
          <w:tcPr>
            <w:tcW w:w="60" w:type="dxa"/>
            <w:tcBorders/>
            <w:shd w:fill="CCEEFF" w:val="clear"/>
            <w:tcMar>
              <w:bottom w:w="0" w:type="dxa"/>
            </w:tcMar>
            <w:vAlign w:val="center"/>
          </w:tcPr>
          <w:p>
            <w:pPr>
              <w:pStyle w:val="TableContents"/>
              <w:spacing w:before="0" w:after="283"/>
              <w:rPr/>
            </w:pPr>
            <w:r>
              <w:rPr/>
              <w:t> </w:t>
            </w:r>
          </w:p>
        </w:tc>
        <w:tc>
          <w:tcPr>
            <w:tcW w:w="92" w:type="dxa"/>
            <w:tcBorders/>
            <w:shd w:fill="CCEEFF" w:val="clear"/>
            <w:tcMar>
              <w:bottom w:w="0" w:type="dxa"/>
            </w:tcMar>
            <w:vAlign w:val="center"/>
          </w:tcPr>
          <w:p>
            <w:pPr>
              <w:pStyle w:val="TableContents"/>
              <w:spacing w:before="0" w:after="283"/>
              <w:jc w:val="left"/>
              <w:rPr/>
            </w:pPr>
            <w:r>
              <w:rPr/>
              <w:t> </w:t>
            </w:r>
          </w:p>
        </w:tc>
        <w:tc>
          <w:tcPr>
            <w:tcW w:w="1236" w:type="dxa"/>
            <w:tcBorders/>
            <w:shd w:fill="CCEEFF" w:val="clear"/>
            <w:tcMar>
              <w:bottom w:w="0" w:type="dxa"/>
            </w:tcMar>
            <w:vAlign w:val="center"/>
          </w:tcPr>
          <w:p>
            <w:pPr>
              <w:pStyle w:val="TableContents"/>
              <w:spacing w:before="0" w:after="283"/>
              <w:jc w:val="right"/>
              <w:rPr/>
            </w:pPr>
            <w:r>
              <w:rPr/>
              <w:t>19,034</w:t>
            </w:r>
          </w:p>
        </w:tc>
        <w:tc>
          <w:tcPr>
            <w:tcW w:w="714" w:type="dxa"/>
            <w:tcBorders/>
            <w:shd w:fill="CCEEFF" w:val="clear"/>
            <w:tcMar>
              <w:bottom w:w="0" w:type="dxa"/>
            </w:tcMar>
            <w:vAlign w:val="center"/>
          </w:tcPr>
          <w:p>
            <w:pPr>
              <w:pStyle w:val="TableContents"/>
              <w:spacing w:before="0" w:after="283"/>
              <w:jc w:val="left"/>
              <w:rPr/>
            </w:pPr>
            <w:r>
              <w:rPr/>
              <w:t> </w:t>
            </w:r>
            <w:r>
              <w:rPr/>
              <w:t>(8)</w:t>
            </w:r>
          </w:p>
        </w:tc>
        <w:tc>
          <w:tcPr>
            <w:tcW w:w="60"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center"/>
          </w:tcPr>
          <w:p>
            <w:pPr>
              <w:pStyle w:val="TableContents"/>
              <w:spacing w:before="0" w:after="283"/>
              <w:jc w:val="left"/>
              <w:rPr/>
            </w:pPr>
            <w:r>
              <w:rPr/>
              <w:t> </w:t>
            </w:r>
          </w:p>
        </w:tc>
        <w:tc>
          <w:tcPr>
            <w:tcW w:w="949" w:type="dxa"/>
            <w:tcBorders/>
            <w:shd w:fill="CCEEFF" w:val="clear"/>
            <w:tcMar>
              <w:bottom w:w="0" w:type="dxa"/>
            </w:tcMar>
            <w:vAlign w:val="center"/>
          </w:tcPr>
          <w:p>
            <w:pPr>
              <w:pStyle w:val="TableContents"/>
              <w:spacing w:before="0" w:after="283"/>
              <w:jc w:val="right"/>
              <w:rPr>
                <w:sz w:val="17"/>
              </w:rPr>
            </w:pPr>
            <w:r>
              <w:rPr>
                <w:sz w:val="17"/>
              </w:rPr>
              <w:t>*</w:t>
            </w:r>
          </w:p>
        </w:tc>
        <w:tc>
          <w:tcPr>
            <w:tcW w:w="464"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5" w:type="dxa"/>
            <w:tcBorders/>
            <w:shd w:fill="CCEEFF" w:val="clear"/>
            <w:tcMar>
              <w:bottom w:w="0" w:type="dxa"/>
            </w:tcMar>
            <w:vAlign w:val="center"/>
          </w:tcPr>
          <w:p>
            <w:pPr>
              <w:pStyle w:val="TableContents"/>
              <w:spacing w:before="0" w:after="283"/>
              <w:jc w:val="left"/>
              <w:rPr/>
            </w:pPr>
            <w:r>
              <w:rPr/>
              <w:t> </w:t>
            </w:r>
          </w:p>
        </w:tc>
        <w:tc>
          <w:tcPr>
            <w:tcW w:w="1005" w:type="dxa"/>
            <w:tcBorders/>
            <w:shd w:fill="CCEEFF" w:val="clear"/>
            <w:tcMar>
              <w:bottom w:w="0" w:type="dxa"/>
            </w:tcMar>
            <w:vAlign w:val="center"/>
          </w:tcPr>
          <w:p>
            <w:pPr>
              <w:pStyle w:val="TableContents"/>
              <w:spacing w:before="0" w:after="283"/>
              <w:jc w:val="right"/>
              <w:rPr/>
            </w:pPr>
            <w:r>
              <w:rPr/>
              <w:t>—  </w:t>
            </w:r>
          </w:p>
        </w:tc>
        <w:tc>
          <w:tcPr>
            <w:tcW w:w="578" w:type="dxa"/>
            <w:tcBorders/>
            <w:shd w:fill="CCEEFF" w:val="clear"/>
            <w:tcMar>
              <w:bottom w:w="0" w:type="dxa"/>
            </w:tcMar>
            <w:vAlign w:val="center"/>
          </w:tcPr>
          <w:p>
            <w:pPr>
              <w:pStyle w:val="TableContents"/>
              <w:spacing w:before="0" w:after="283"/>
              <w:jc w:val="left"/>
              <w:rPr/>
            </w:pPr>
            <w:r>
              <w:rPr/>
              <w:t> </w:t>
            </w:r>
          </w:p>
        </w:tc>
        <w:tc>
          <w:tcPr>
            <w:tcW w:w="127" w:type="dxa"/>
            <w:gridSpan w:val="2"/>
            <w:tcBorders/>
            <w:shd w:fill="CCEEFF" w:val="clear"/>
            <w:tcMar>
              <w:bottom w:w="0" w:type="dxa"/>
            </w:tcMar>
          </w:tcPr>
          <w:p>
            <w:pPr>
              <w:pStyle w:val="TableContents"/>
              <w:spacing w:before="0" w:after="283"/>
              <w:rPr>
                <w:sz w:val="4"/>
                <w:szCs w:val="4"/>
              </w:rPr>
            </w:pPr>
            <w:r>
              <w:rPr>
                <w:sz w:val="4"/>
                <w:szCs w:val="4"/>
              </w:rPr>
            </w:r>
          </w:p>
        </w:tc>
      </w:tr>
      <w:tr>
        <w:trPr/>
        <w:tc>
          <w:tcPr>
            <w:tcW w:w="4657" w:type="dxa"/>
            <w:tcBorders/>
            <w:shd w:fill="FFFFFF" w:val="clear"/>
            <w:tcMar>
              <w:bottom w:w="0" w:type="dxa"/>
            </w:tcMar>
            <w:vAlign w:val="center"/>
          </w:tcPr>
          <w:p>
            <w:pPr>
              <w:pStyle w:val="TableContents"/>
              <w:spacing w:before="0" w:after="283"/>
              <w:jc w:val="left"/>
              <w:rPr/>
            </w:pPr>
            <w:r>
              <w:rPr/>
              <w:t>Michael A. Nemeroff</w:t>
            </w:r>
          </w:p>
        </w:tc>
        <w:tc>
          <w:tcPr>
            <w:tcW w:w="60" w:type="dxa"/>
            <w:tcBorders/>
            <w:shd w:fill="FFFFFF" w:val="clear"/>
            <w:tcMar>
              <w:bottom w:w="0" w:type="dxa"/>
            </w:tcMar>
            <w:vAlign w:val="center"/>
          </w:tcPr>
          <w:p>
            <w:pPr>
              <w:pStyle w:val="TableContents"/>
              <w:spacing w:before="0" w:after="283"/>
              <w:rPr/>
            </w:pPr>
            <w:r>
              <w:rPr/>
              <w:t> </w:t>
            </w:r>
          </w:p>
        </w:tc>
        <w:tc>
          <w:tcPr>
            <w:tcW w:w="92" w:type="dxa"/>
            <w:tcBorders/>
            <w:shd w:fill="FFFFFF" w:val="clear"/>
            <w:tcMar>
              <w:bottom w:w="0" w:type="dxa"/>
            </w:tcMar>
            <w:vAlign w:val="center"/>
          </w:tcPr>
          <w:p>
            <w:pPr>
              <w:pStyle w:val="TableContents"/>
              <w:spacing w:before="0" w:after="283"/>
              <w:jc w:val="left"/>
              <w:rPr/>
            </w:pPr>
            <w:r>
              <w:rPr/>
              <w:t> </w:t>
            </w:r>
          </w:p>
        </w:tc>
        <w:tc>
          <w:tcPr>
            <w:tcW w:w="1236" w:type="dxa"/>
            <w:tcBorders/>
            <w:shd w:fill="FFFFFF" w:val="clear"/>
            <w:tcMar>
              <w:bottom w:w="0" w:type="dxa"/>
            </w:tcMar>
            <w:vAlign w:val="center"/>
          </w:tcPr>
          <w:p>
            <w:pPr>
              <w:pStyle w:val="TableContents"/>
              <w:spacing w:before="0" w:after="283"/>
              <w:jc w:val="right"/>
              <w:rPr/>
            </w:pPr>
            <w:r>
              <w:rPr/>
              <w:t>20,401</w:t>
            </w:r>
          </w:p>
        </w:tc>
        <w:tc>
          <w:tcPr>
            <w:tcW w:w="714" w:type="dxa"/>
            <w:tcBorders/>
            <w:shd w:fill="FFFFFF" w:val="clear"/>
            <w:tcMar>
              <w:bottom w:w="0" w:type="dxa"/>
            </w:tcMar>
            <w:vAlign w:val="center"/>
          </w:tcPr>
          <w:p>
            <w:pPr>
              <w:pStyle w:val="TableContents"/>
              <w:spacing w:before="0" w:after="283"/>
              <w:jc w:val="left"/>
              <w:rPr/>
            </w:pPr>
            <w:r>
              <w:rPr/>
              <w:t> </w:t>
            </w:r>
            <w:r>
              <w:rPr/>
              <w:t>(9)</w:t>
            </w:r>
          </w:p>
        </w:tc>
        <w:tc>
          <w:tcPr>
            <w:tcW w:w="60"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center"/>
          </w:tcPr>
          <w:p>
            <w:pPr>
              <w:pStyle w:val="TableContents"/>
              <w:spacing w:before="0" w:after="283"/>
              <w:jc w:val="left"/>
              <w:rPr/>
            </w:pPr>
            <w:r>
              <w:rPr/>
              <w:t> </w:t>
            </w:r>
          </w:p>
        </w:tc>
        <w:tc>
          <w:tcPr>
            <w:tcW w:w="949" w:type="dxa"/>
            <w:tcBorders/>
            <w:shd w:fill="FFFFFF" w:val="clear"/>
            <w:tcMar>
              <w:bottom w:w="0" w:type="dxa"/>
            </w:tcMar>
            <w:vAlign w:val="center"/>
          </w:tcPr>
          <w:p>
            <w:pPr>
              <w:pStyle w:val="TableContents"/>
              <w:spacing w:before="0" w:after="283"/>
              <w:jc w:val="right"/>
              <w:rPr>
                <w:sz w:val="17"/>
              </w:rPr>
            </w:pPr>
            <w:r>
              <w:rPr>
                <w:sz w:val="17"/>
              </w:rPr>
              <w:t>*</w:t>
            </w:r>
          </w:p>
        </w:tc>
        <w:tc>
          <w:tcPr>
            <w:tcW w:w="46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5" w:type="dxa"/>
            <w:tcBorders/>
            <w:shd w:fill="FFFFFF" w:val="clear"/>
            <w:tcMar>
              <w:bottom w:w="0" w:type="dxa"/>
            </w:tcMar>
            <w:vAlign w:val="center"/>
          </w:tcPr>
          <w:p>
            <w:pPr>
              <w:pStyle w:val="TableContents"/>
              <w:spacing w:before="0" w:after="283"/>
              <w:jc w:val="left"/>
              <w:rPr/>
            </w:pPr>
            <w:r>
              <w:rPr/>
              <w:t> </w:t>
            </w:r>
          </w:p>
        </w:tc>
        <w:tc>
          <w:tcPr>
            <w:tcW w:w="1005" w:type="dxa"/>
            <w:tcBorders/>
            <w:shd w:fill="FFFFFF" w:val="clear"/>
            <w:tcMar>
              <w:bottom w:w="0" w:type="dxa"/>
            </w:tcMar>
            <w:vAlign w:val="center"/>
          </w:tcPr>
          <w:p>
            <w:pPr>
              <w:pStyle w:val="TableContents"/>
              <w:spacing w:before="0" w:after="283"/>
              <w:jc w:val="right"/>
              <w:rPr/>
            </w:pPr>
            <w:r>
              <w:rPr/>
              <w:t>—  </w:t>
            </w:r>
          </w:p>
        </w:tc>
        <w:tc>
          <w:tcPr>
            <w:tcW w:w="578" w:type="dxa"/>
            <w:tcBorders/>
            <w:shd w:fill="FFFFFF" w:val="clear"/>
            <w:tcMar>
              <w:bottom w:w="0" w:type="dxa"/>
            </w:tcMar>
            <w:vAlign w:val="center"/>
          </w:tcPr>
          <w:p>
            <w:pPr>
              <w:pStyle w:val="TableContents"/>
              <w:spacing w:before="0" w:after="283"/>
              <w:jc w:val="left"/>
              <w:rPr/>
            </w:pPr>
            <w:r>
              <w:rPr/>
              <w:t> </w:t>
            </w:r>
          </w:p>
        </w:tc>
        <w:tc>
          <w:tcPr>
            <w:tcW w:w="127" w:type="dxa"/>
            <w:gridSpan w:val="2"/>
            <w:tcBorders/>
            <w:shd w:fill="FFFFFF" w:val="clear"/>
            <w:tcMar>
              <w:bottom w:w="0" w:type="dxa"/>
            </w:tcMar>
          </w:tcPr>
          <w:p>
            <w:pPr>
              <w:pStyle w:val="TableContents"/>
              <w:spacing w:before="0" w:after="283"/>
              <w:rPr>
                <w:sz w:val="4"/>
                <w:szCs w:val="4"/>
              </w:rPr>
            </w:pPr>
            <w:r>
              <w:rPr>
                <w:sz w:val="4"/>
                <w:szCs w:val="4"/>
              </w:rPr>
            </w:r>
          </w:p>
        </w:tc>
      </w:tr>
      <w:tr>
        <w:trPr/>
        <w:tc>
          <w:tcPr>
            <w:tcW w:w="4657" w:type="dxa"/>
            <w:tcBorders/>
            <w:shd w:fill="CCEEFF" w:val="clear"/>
            <w:tcMar>
              <w:bottom w:w="0" w:type="dxa"/>
            </w:tcMar>
            <w:vAlign w:val="center"/>
          </w:tcPr>
          <w:p>
            <w:pPr>
              <w:pStyle w:val="TableContents"/>
              <w:spacing w:before="0" w:after="283"/>
              <w:jc w:val="left"/>
              <w:rPr/>
            </w:pPr>
            <w:r>
              <w:rPr/>
              <w:t>Allan H. Selig</w:t>
            </w:r>
          </w:p>
        </w:tc>
        <w:tc>
          <w:tcPr>
            <w:tcW w:w="60" w:type="dxa"/>
            <w:tcBorders/>
            <w:shd w:fill="CCEEFF" w:val="clear"/>
            <w:tcMar>
              <w:bottom w:w="0" w:type="dxa"/>
            </w:tcMar>
            <w:vAlign w:val="center"/>
          </w:tcPr>
          <w:p>
            <w:pPr>
              <w:pStyle w:val="TableContents"/>
              <w:spacing w:before="0" w:after="283"/>
              <w:rPr/>
            </w:pPr>
            <w:r>
              <w:rPr/>
              <w:t> </w:t>
            </w:r>
          </w:p>
        </w:tc>
        <w:tc>
          <w:tcPr>
            <w:tcW w:w="92" w:type="dxa"/>
            <w:tcBorders/>
            <w:shd w:fill="CCEEFF" w:val="clear"/>
            <w:tcMar>
              <w:bottom w:w="0" w:type="dxa"/>
            </w:tcMar>
            <w:vAlign w:val="center"/>
          </w:tcPr>
          <w:p>
            <w:pPr>
              <w:pStyle w:val="TableContents"/>
              <w:spacing w:before="0" w:after="283"/>
              <w:jc w:val="left"/>
              <w:rPr/>
            </w:pPr>
            <w:r>
              <w:rPr/>
              <w:t> </w:t>
            </w:r>
          </w:p>
        </w:tc>
        <w:tc>
          <w:tcPr>
            <w:tcW w:w="1236" w:type="dxa"/>
            <w:tcBorders/>
            <w:shd w:fill="CCEEFF" w:val="clear"/>
            <w:tcMar>
              <w:bottom w:w="0" w:type="dxa"/>
            </w:tcMar>
            <w:vAlign w:val="center"/>
          </w:tcPr>
          <w:p>
            <w:pPr>
              <w:pStyle w:val="TableContents"/>
              <w:spacing w:before="0" w:after="283"/>
              <w:jc w:val="right"/>
              <w:rPr/>
            </w:pPr>
            <w:r>
              <w:rPr/>
              <w:t>21,000</w:t>
            </w:r>
          </w:p>
        </w:tc>
        <w:tc>
          <w:tcPr>
            <w:tcW w:w="714"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center"/>
          </w:tcPr>
          <w:p>
            <w:pPr>
              <w:pStyle w:val="TableContents"/>
              <w:spacing w:before="0" w:after="283"/>
              <w:jc w:val="left"/>
              <w:rPr/>
            </w:pPr>
            <w:r>
              <w:rPr/>
              <w:t> </w:t>
            </w:r>
          </w:p>
        </w:tc>
        <w:tc>
          <w:tcPr>
            <w:tcW w:w="949" w:type="dxa"/>
            <w:tcBorders/>
            <w:shd w:fill="CCEEFF" w:val="clear"/>
            <w:tcMar>
              <w:bottom w:w="0" w:type="dxa"/>
            </w:tcMar>
            <w:vAlign w:val="center"/>
          </w:tcPr>
          <w:p>
            <w:pPr>
              <w:pStyle w:val="TableContents"/>
              <w:spacing w:before="0" w:after="283"/>
              <w:jc w:val="right"/>
              <w:rPr>
                <w:sz w:val="17"/>
              </w:rPr>
            </w:pPr>
            <w:r>
              <w:rPr>
                <w:sz w:val="17"/>
              </w:rPr>
              <w:t>*</w:t>
            </w:r>
          </w:p>
        </w:tc>
        <w:tc>
          <w:tcPr>
            <w:tcW w:w="464"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5" w:type="dxa"/>
            <w:tcBorders/>
            <w:shd w:fill="CCEEFF" w:val="clear"/>
            <w:tcMar>
              <w:bottom w:w="0" w:type="dxa"/>
            </w:tcMar>
            <w:vAlign w:val="center"/>
          </w:tcPr>
          <w:p>
            <w:pPr>
              <w:pStyle w:val="TableContents"/>
              <w:spacing w:before="0" w:after="283"/>
              <w:jc w:val="left"/>
              <w:rPr/>
            </w:pPr>
            <w:r>
              <w:rPr/>
              <w:t> </w:t>
            </w:r>
          </w:p>
        </w:tc>
        <w:tc>
          <w:tcPr>
            <w:tcW w:w="1005" w:type="dxa"/>
            <w:tcBorders/>
            <w:shd w:fill="CCEEFF" w:val="clear"/>
            <w:tcMar>
              <w:bottom w:w="0" w:type="dxa"/>
            </w:tcMar>
            <w:vAlign w:val="center"/>
          </w:tcPr>
          <w:p>
            <w:pPr>
              <w:pStyle w:val="TableContents"/>
              <w:spacing w:before="0" w:after="283"/>
              <w:jc w:val="right"/>
              <w:rPr/>
            </w:pPr>
            <w:r>
              <w:rPr/>
              <w:t>—  </w:t>
            </w:r>
          </w:p>
        </w:tc>
        <w:tc>
          <w:tcPr>
            <w:tcW w:w="578" w:type="dxa"/>
            <w:tcBorders/>
            <w:shd w:fill="CCEEFF" w:val="clear"/>
            <w:tcMar>
              <w:bottom w:w="0" w:type="dxa"/>
            </w:tcMar>
            <w:vAlign w:val="center"/>
          </w:tcPr>
          <w:p>
            <w:pPr>
              <w:pStyle w:val="TableContents"/>
              <w:spacing w:before="0" w:after="283"/>
              <w:jc w:val="left"/>
              <w:rPr/>
            </w:pPr>
            <w:r>
              <w:rPr/>
              <w:t> </w:t>
            </w:r>
          </w:p>
        </w:tc>
        <w:tc>
          <w:tcPr>
            <w:tcW w:w="127" w:type="dxa"/>
            <w:gridSpan w:val="2"/>
            <w:tcBorders/>
            <w:shd w:fill="CCEEFF" w:val="clear"/>
            <w:tcMar>
              <w:bottom w:w="0" w:type="dxa"/>
            </w:tcMar>
          </w:tcPr>
          <w:p>
            <w:pPr>
              <w:pStyle w:val="TableContents"/>
              <w:spacing w:before="0" w:after="283"/>
              <w:rPr>
                <w:sz w:val="4"/>
                <w:szCs w:val="4"/>
              </w:rPr>
            </w:pPr>
            <w:r>
              <w:rPr>
                <w:sz w:val="4"/>
                <w:szCs w:val="4"/>
              </w:rPr>
            </w:r>
          </w:p>
        </w:tc>
      </w:tr>
      <w:tr>
        <w:trPr/>
        <w:tc>
          <w:tcPr>
            <w:tcW w:w="4657" w:type="dxa"/>
            <w:tcBorders/>
            <w:shd w:fill="FFFFFF" w:val="clear"/>
            <w:tcMar>
              <w:bottom w:w="0" w:type="dxa"/>
            </w:tcMar>
            <w:vAlign w:val="center"/>
          </w:tcPr>
          <w:p>
            <w:pPr>
              <w:pStyle w:val="TableContents"/>
              <w:spacing w:before="0" w:after="283"/>
              <w:jc w:val="left"/>
              <w:rPr/>
            </w:pPr>
            <w:r>
              <w:rPr/>
              <w:t>Paul E. Suckow</w:t>
            </w:r>
          </w:p>
        </w:tc>
        <w:tc>
          <w:tcPr>
            <w:tcW w:w="60" w:type="dxa"/>
            <w:tcBorders/>
            <w:shd w:fill="FFFFFF" w:val="clear"/>
            <w:tcMar>
              <w:bottom w:w="0" w:type="dxa"/>
            </w:tcMar>
            <w:vAlign w:val="center"/>
          </w:tcPr>
          <w:p>
            <w:pPr>
              <w:pStyle w:val="TableContents"/>
              <w:spacing w:before="0" w:after="283"/>
              <w:rPr/>
            </w:pPr>
            <w:r>
              <w:rPr/>
              <w:t> </w:t>
            </w:r>
          </w:p>
        </w:tc>
        <w:tc>
          <w:tcPr>
            <w:tcW w:w="92" w:type="dxa"/>
            <w:tcBorders/>
            <w:shd w:fill="FFFFFF" w:val="clear"/>
            <w:tcMar>
              <w:bottom w:w="0" w:type="dxa"/>
            </w:tcMar>
            <w:vAlign w:val="center"/>
          </w:tcPr>
          <w:p>
            <w:pPr>
              <w:pStyle w:val="TableContents"/>
              <w:spacing w:before="0" w:after="283"/>
              <w:jc w:val="left"/>
              <w:rPr/>
            </w:pPr>
            <w:r>
              <w:rPr/>
              <w:t> </w:t>
            </w:r>
          </w:p>
        </w:tc>
        <w:tc>
          <w:tcPr>
            <w:tcW w:w="1236" w:type="dxa"/>
            <w:tcBorders/>
            <w:shd w:fill="FFFFFF" w:val="clear"/>
            <w:tcMar>
              <w:bottom w:w="0" w:type="dxa"/>
            </w:tcMar>
            <w:vAlign w:val="center"/>
          </w:tcPr>
          <w:p>
            <w:pPr>
              <w:pStyle w:val="TableContents"/>
              <w:spacing w:before="0" w:after="283"/>
              <w:jc w:val="right"/>
              <w:rPr/>
            </w:pPr>
            <w:r>
              <w:rPr/>
              <w:t>18,500</w:t>
            </w:r>
          </w:p>
        </w:tc>
        <w:tc>
          <w:tcPr>
            <w:tcW w:w="714" w:type="dxa"/>
            <w:tcBorders/>
            <w:shd w:fill="FFFFFF" w:val="clear"/>
            <w:tcMar>
              <w:bottom w:w="0" w:type="dxa"/>
            </w:tcMar>
            <w:vAlign w:val="center"/>
          </w:tcPr>
          <w:p>
            <w:pPr>
              <w:pStyle w:val="TableContents"/>
              <w:spacing w:before="0" w:after="283"/>
              <w:jc w:val="left"/>
              <w:rPr/>
            </w:pPr>
            <w:r>
              <w:rPr/>
              <w:t> </w:t>
            </w:r>
            <w:r>
              <w:rPr/>
              <w:t>(9)</w:t>
            </w:r>
          </w:p>
        </w:tc>
        <w:tc>
          <w:tcPr>
            <w:tcW w:w="60"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center"/>
          </w:tcPr>
          <w:p>
            <w:pPr>
              <w:pStyle w:val="TableContents"/>
              <w:spacing w:before="0" w:after="283"/>
              <w:jc w:val="left"/>
              <w:rPr/>
            </w:pPr>
            <w:r>
              <w:rPr/>
              <w:t> </w:t>
            </w:r>
          </w:p>
        </w:tc>
        <w:tc>
          <w:tcPr>
            <w:tcW w:w="949" w:type="dxa"/>
            <w:tcBorders/>
            <w:shd w:fill="FFFFFF" w:val="clear"/>
            <w:tcMar>
              <w:bottom w:w="0" w:type="dxa"/>
            </w:tcMar>
            <w:vAlign w:val="center"/>
          </w:tcPr>
          <w:p>
            <w:pPr>
              <w:pStyle w:val="TableContents"/>
              <w:spacing w:before="0" w:after="283"/>
              <w:jc w:val="right"/>
              <w:rPr>
                <w:sz w:val="17"/>
              </w:rPr>
            </w:pPr>
            <w:r>
              <w:rPr>
                <w:sz w:val="17"/>
              </w:rPr>
              <w:t>*</w:t>
            </w:r>
          </w:p>
        </w:tc>
        <w:tc>
          <w:tcPr>
            <w:tcW w:w="46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5" w:type="dxa"/>
            <w:tcBorders/>
            <w:shd w:fill="FFFFFF" w:val="clear"/>
            <w:tcMar>
              <w:bottom w:w="0" w:type="dxa"/>
            </w:tcMar>
            <w:vAlign w:val="center"/>
          </w:tcPr>
          <w:p>
            <w:pPr>
              <w:pStyle w:val="TableContents"/>
              <w:spacing w:before="0" w:after="283"/>
              <w:jc w:val="left"/>
              <w:rPr/>
            </w:pPr>
            <w:r>
              <w:rPr/>
              <w:t> </w:t>
            </w:r>
          </w:p>
        </w:tc>
        <w:tc>
          <w:tcPr>
            <w:tcW w:w="1005" w:type="dxa"/>
            <w:tcBorders/>
            <w:shd w:fill="FFFFFF" w:val="clear"/>
            <w:tcMar>
              <w:bottom w:w="0" w:type="dxa"/>
            </w:tcMar>
            <w:vAlign w:val="center"/>
          </w:tcPr>
          <w:p>
            <w:pPr>
              <w:pStyle w:val="TableContents"/>
              <w:spacing w:before="0" w:after="283"/>
              <w:jc w:val="right"/>
              <w:rPr/>
            </w:pPr>
            <w:r>
              <w:rPr/>
              <w:t>—  </w:t>
            </w:r>
          </w:p>
        </w:tc>
        <w:tc>
          <w:tcPr>
            <w:tcW w:w="578" w:type="dxa"/>
            <w:tcBorders/>
            <w:shd w:fill="FFFFFF" w:val="clear"/>
            <w:tcMar>
              <w:bottom w:w="0" w:type="dxa"/>
            </w:tcMar>
            <w:vAlign w:val="center"/>
          </w:tcPr>
          <w:p>
            <w:pPr>
              <w:pStyle w:val="TableContents"/>
              <w:spacing w:before="0" w:after="283"/>
              <w:jc w:val="left"/>
              <w:rPr/>
            </w:pPr>
            <w:r>
              <w:rPr/>
              <w:t> </w:t>
            </w:r>
          </w:p>
        </w:tc>
        <w:tc>
          <w:tcPr>
            <w:tcW w:w="127" w:type="dxa"/>
            <w:gridSpan w:val="2"/>
            <w:tcBorders/>
            <w:shd w:fill="FFFFFF" w:val="clear"/>
            <w:tcMar>
              <w:bottom w:w="0" w:type="dxa"/>
            </w:tcMar>
          </w:tcPr>
          <w:p>
            <w:pPr>
              <w:pStyle w:val="TableContents"/>
              <w:spacing w:before="0" w:after="283"/>
              <w:rPr>
                <w:sz w:val="4"/>
                <w:szCs w:val="4"/>
              </w:rPr>
            </w:pPr>
            <w:r>
              <w:rPr>
                <w:sz w:val="4"/>
                <w:szCs w:val="4"/>
              </w:rPr>
            </w:r>
          </w:p>
        </w:tc>
      </w:tr>
      <w:tr>
        <w:trPr/>
        <w:tc>
          <w:tcPr>
            <w:tcW w:w="4657" w:type="dxa"/>
            <w:tcBorders/>
            <w:shd w:fill="CCEEFF" w:val="clear"/>
            <w:tcMar>
              <w:bottom w:w="0" w:type="dxa"/>
            </w:tcMar>
            <w:vAlign w:val="center"/>
          </w:tcPr>
          <w:p>
            <w:pPr>
              <w:pStyle w:val="TableContents"/>
              <w:spacing w:before="0" w:after="283"/>
              <w:jc w:val="left"/>
              <w:rPr/>
            </w:pPr>
            <w:r>
              <w:rPr/>
              <w:t>Lawrence E. Washow</w:t>
            </w:r>
          </w:p>
        </w:tc>
        <w:tc>
          <w:tcPr>
            <w:tcW w:w="60" w:type="dxa"/>
            <w:tcBorders/>
            <w:shd w:fill="CCEEFF" w:val="clear"/>
            <w:tcMar>
              <w:bottom w:w="0" w:type="dxa"/>
            </w:tcMar>
            <w:vAlign w:val="center"/>
          </w:tcPr>
          <w:p>
            <w:pPr>
              <w:pStyle w:val="TableContents"/>
              <w:spacing w:before="0" w:after="283"/>
              <w:rPr/>
            </w:pPr>
            <w:r>
              <w:rPr/>
              <w:t> </w:t>
            </w:r>
          </w:p>
        </w:tc>
        <w:tc>
          <w:tcPr>
            <w:tcW w:w="92" w:type="dxa"/>
            <w:tcBorders/>
            <w:shd w:fill="CCEEFF" w:val="clear"/>
            <w:tcMar>
              <w:bottom w:w="0" w:type="dxa"/>
            </w:tcMar>
            <w:vAlign w:val="center"/>
          </w:tcPr>
          <w:p>
            <w:pPr>
              <w:pStyle w:val="TableContents"/>
              <w:spacing w:before="0" w:after="283"/>
              <w:jc w:val="left"/>
              <w:rPr/>
            </w:pPr>
            <w:r>
              <w:rPr/>
              <w:t> </w:t>
            </w:r>
          </w:p>
        </w:tc>
        <w:tc>
          <w:tcPr>
            <w:tcW w:w="1236" w:type="dxa"/>
            <w:tcBorders/>
            <w:shd w:fill="CCEEFF" w:val="clear"/>
            <w:tcMar>
              <w:bottom w:w="0" w:type="dxa"/>
            </w:tcMar>
            <w:vAlign w:val="center"/>
          </w:tcPr>
          <w:p>
            <w:pPr>
              <w:pStyle w:val="TableContents"/>
              <w:spacing w:before="0" w:after="283"/>
              <w:jc w:val="right"/>
              <w:rPr/>
            </w:pPr>
            <w:r>
              <w:rPr/>
              <w:t>5,000</w:t>
            </w:r>
          </w:p>
        </w:tc>
        <w:tc>
          <w:tcPr>
            <w:tcW w:w="714"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center"/>
          </w:tcPr>
          <w:p>
            <w:pPr>
              <w:pStyle w:val="TableContents"/>
              <w:spacing w:before="0" w:after="283"/>
              <w:jc w:val="left"/>
              <w:rPr/>
            </w:pPr>
            <w:r>
              <w:rPr/>
              <w:t> </w:t>
            </w:r>
          </w:p>
        </w:tc>
        <w:tc>
          <w:tcPr>
            <w:tcW w:w="949" w:type="dxa"/>
            <w:tcBorders/>
            <w:shd w:fill="CCEEFF" w:val="clear"/>
            <w:tcMar>
              <w:bottom w:w="0" w:type="dxa"/>
            </w:tcMar>
            <w:vAlign w:val="center"/>
          </w:tcPr>
          <w:p>
            <w:pPr>
              <w:pStyle w:val="TableContents"/>
              <w:spacing w:before="0" w:after="283"/>
              <w:jc w:val="right"/>
              <w:rPr>
                <w:sz w:val="17"/>
              </w:rPr>
            </w:pPr>
            <w:r>
              <w:rPr>
                <w:sz w:val="17"/>
              </w:rPr>
              <w:t>*</w:t>
            </w:r>
          </w:p>
        </w:tc>
        <w:tc>
          <w:tcPr>
            <w:tcW w:w="464"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5" w:type="dxa"/>
            <w:tcBorders/>
            <w:shd w:fill="CCEEFF" w:val="clear"/>
            <w:tcMar>
              <w:bottom w:w="0" w:type="dxa"/>
            </w:tcMar>
            <w:vAlign w:val="center"/>
          </w:tcPr>
          <w:p>
            <w:pPr>
              <w:pStyle w:val="TableContents"/>
              <w:spacing w:before="0" w:after="283"/>
              <w:jc w:val="left"/>
              <w:rPr/>
            </w:pPr>
            <w:r>
              <w:rPr/>
              <w:t> </w:t>
            </w:r>
          </w:p>
        </w:tc>
        <w:tc>
          <w:tcPr>
            <w:tcW w:w="1005" w:type="dxa"/>
            <w:tcBorders/>
            <w:shd w:fill="CCEEFF" w:val="clear"/>
            <w:tcMar>
              <w:bottom w:w="0" w:type="dxa"/>
            </w:tcMar>
            <w:vAlign w:val="center"/>
          </w:tcPr>
          <w:p>
            <w:pPr>
              <w:pStyle w:val="TableContents"/>
              <w:spacing w:before="0" w:after="283"/>
              <w:jc w:val="right"/>
              <w:rPr/>
            </w:pPr>
            <w:r>
              <w:rPr/>
              <w:t>—  </w:t>
            </w:r>
          </w:p>
        </w:tc>
        <w:tc>
          <w:tcPr>
            <w:tcW w:w="578" w:type="dxa"/>
            <w:tcBorders/>
            <w:shd w:fill="CCEEFF" w:val="clear"/>
            <w:tcMar>
              <w:bottom w:w="0" w:type="dxa"/>
            </w:tcMar>
            <w:vAlign w:val="center"/>
          </w:tcPr>
          <w:p>
            <w:pPr>
              <w:pStyle w:val="TableContents"/>
              <w:spacing w:before="0" w:after="283"/>
              <w:jc w:val="left"/>
              <w:rPr/>
            </w:pPr>
            <w:r>
              <w:rPr/>
              <w:t> </w:t>
            </w:r>
          </w:p>
        </w:tc>
        <w:tc>
          <w:tcPr>
            <w:tcW w:w="127" w:type="dxa"/>
            <w:gridSpan w:val="2"/>
            <w:tcBorders/>
            <w:shd w:fill="CCEEFF" w:val="clear"/>
            <w:tcMar>
              <w:bottom w:w="0" w:type="dxa"/>
            </w:tcMar>
          </w:tcPr>
          <w:p>
            <w:pPr>
              <w:pStyle w:val="TableContents"/>
              <w:spacing w:before="0" w:after="283"/>
              <w:rPr>
                <w:sz w:val="4"/>
                <w:szCs w:val="4"/>
              </w:rPr>
            </w:pPr>
            <w:r>
              <w:rPr>
                <w:sz w:val="4"/>
                <w:szCs w:val="4"/>
              </w:rPr>
            </w:r>
          </w:p>
        </w:tc>
      </w:tr>
      <w:tr>
        <w:trPr/>
        <w:tc>
          <w:tcPr>
            <w:tcW w:w="4657" w:type="dxa"/>
            <w:tcBorders/>
            <w:shd w:fill="FFFFFF" w:val="clear"/>
            <w:tcMar>
              <w:bottom w:w="0" w:type="dxa"/>
            </w:tcMar>
            <w:vAlign w:val="center"/>
          </w:tcPr>
          <w:p>
            <w:pPr>
              <w:pStyle w:val="TableContents"/>
              <w:spacing w:before="0" w:after="283"/>
              <w:jc w:val="left"/>
              <w:rPr/>
            </w:pPr>
            <w:r>
              <w:rPr/>
              <w:t>Daniel T. Smith</w:t>
            </w:r>
          </w:p>
        </w:tc>
        <w:tc>
          <w:tcPr>
            <w:tcW w:w="60" w:type="dxa"/>
            <w:tcBorders/>
            <w:shd w:fill="FFFFFF" w:val="clear"/>
            <w:tcMar>
              <w:bottom w:w="0" w:type="dxa"/>
            </w:tcMar>
            <w:vAlign w:val="center"/>
          </w:tcPr>
          <w:p>
            <w:pPr>
              <w:pStyle w:val="TableContents"/>
              <w:spacing w:before="0" w:after="283"/>
              <w:rPr/>
            </w:pPr>
            <w:r>
              <w:rPr/>
              <w:t> </w:t>
            </w:r>
          </w:p>
        </w:tc>
        <w:tc>
          <w:tcPr>
            <w:tcW w:w="92" w:type="dxa"/>
            <w:tcBorders/>
            <w:shd w:fill="FFFFFF" w:val="clear"/>
            <w:tcMar>
              <w:bottom w:w="0" w:type="dxa"/>
            </w:tcMar>
            <w:vAlign w:val="center"/>
          </w:tcPr>
          <w:p>
            <w:pPr>
              <w:pStyle w:val="TableContents"/>
              <w:spacing w:before="0" w:after="283"/>
              <w:jc w:val="left"/>
              <w:rPr/>
            </w:pPr>
            <w:r>
              <w:rPr/>
              <w:t> </w:t>
            </w:r>
          </w:p>
        </w:tc>
        <w:tc>
          <w:tcPr>
            <w:tcW w:w="1236" w:type="dxa"/>
            <w:tcBorders/>
            <w:shd w:fill="FFFFFF" w:val="clear"/>
            <w:tcMar>
              <w:bottom w:w="0" w:type="dxa"/>
            </w:tcMar>
            <w:vAlign w:val="center"/>
          </w:tcPr>
          <w:p>
            <w:pPr>
              <w:pStyle w:val="TableContents"/>
              <w:spacing w:before="0" w:after="283"/>
              <w:jc w:val="right"/>
              <w:rPr/>
            </w:pPr>
            <w:r>
              <w:rPr/>
              <w:t>2,515</w:t>
            </w:r>
          </w:p>
        </w:tc>
        <w:tc>
          <w:tcPr>
            <w:tcW w:w="714" w:type="dxa"/>
            <w:tcBorders/>
            <w:shd w:fill="FFFFFF" w:val="clear"/>
            <w:tcMar>
              <w:bottom w:w="0" w:type="dxa"/>
            </w:tcMar>
            <w:vAlign w:val="center"/>
          </w:tcPr>
          <w:p>
            <w:pPr>
              <w:pStyle w:val="TableContents"/>
              <w:spacing w:before="0" w:after="283"/>
              <w:jc w:val="left"/>
              <w:rPr/>
            </w:pPr>
            <w:r>
              <w:rPr/>
              <w:t> </w:t>
            </w:r>
            <w:r>
              <w:rPr/>
              <w:t>(10)</w:t>
            </w:r>
          </w:p>
        </w:tc>
        <w:tc>
          <w:tcPr>
            <w:tcW w:w="60"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center"/>
          </w:tcPr>
          <w:p>
            <w:pPr>
              <w:pStyle w:val="TableContents"/>
              <w:spacing w:before="0" w:after="283"/>
              <w:jc w:val="left"/>
              <w:rPr/>
            </w:pPr>
            <w:r>
              <w:rPr/>
              <w:t> </w:t>
            </w:r>
          </w:p>
        </w:tc>
        <w:tc>
          <w:tcPr>
            <w:tcW w:w="949" w:type="dxa"/>
            <w:tcBorders/>
            <w:shd w:fill="FFFFFF" w:val="clear"/>
            <w:tcMar>
              <w:bottom w:w="0" w:type="dxa"/>
            </w:tcMar>
            <w:vAlign w:val="center"/>
          </w:tcPr>
          <w:p>
            <w:pPr>
              <w:pStyle w:val="TableContents"/>
              <w:spacing w:before="0" w:after="283"/>
              <w:jc w:val="right"/>
              <w:rPr>
                <w:sz w:val="17"/>
              </w:rPr>
            </w:pPr>
            <w:r>
              <w:rPr>
                <w:sz w:val="17"/>
              </w:rPr>
              <w:t>*</w:t>
            </w:r>
          </w:p>
        </w:tc>
        <w:tc>
          <w:tcPr>
            <w:tcW w:w="46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5" w:type="dxa"/>
            <w:tcBorders/>
            <w:shd w:fill="FFFFFF" w:val="clear"/>
            <w:tcMar>
              <w:bottom w:w="0" w:type="dxa"/>
            </w:tcMar>
            <w:vAlign w:val="center"/>
          </w:tcPr>
          <w:p>
            <w:pPr>
              <w:pStyle w:val="TableContents"/>
              <w:spacing w:before="0" w:after="283"/>
              <w:jc w:val="left"/>
              <w:rPr/>
            </w:pPr>
            <w:r>
              <w:rPr/>
              <w:t> </w:t>
            </w:r>
          </w:p>
        </w:tc>
        <w:tc>
          <w:tcPr>
            <w:tcW w:w="1005" w:type="dxa"/>
            <w:tcBorders/>
            <w:shd w:fill="FFFFFF" w:val="clear"/>
            <w:tcMar>
              <w:bottom w:w="0" w:type="dxa"/>
            </w:tcMar>
            <w:vAlign w:val="center"/>
          </w:tcPr>
          <w:p>
            <w:pPr>
              <w:pStyle w:val="TableContents"/>
              <w:spacing w:before="0" w:after="283"/>
              <w:jc w:val="right"/>
              <w:rPr/>
            </w:pPr>
            <w:r>
              <w:rPr/>
              <w:t>—  </w:t>
            </w:r>
          </w:p>
        </w:tc>
        <w:tc>
          <w:tcPr>
            <w:tcW w:w="578" w:type="dxa"/>
            <w:tcBorders/>
            <w:shd w:fill="FFFFFF" w:val="clear"/>
            <w:tcMar>
              <w:bottom w:w="0" w:type="dxa"/>
            </w:tcMar>
            <w:vAlign w:val="center"/>
          </w:tcPr>
          <w:p>
            <w:pPr>
              <w:pStyle w:val="TableContents"/>
              <w:spacing w:before="0" w:after="283"/>
              <w:jc w:val="left"/>
              <w:rPr/>
            </w:pPr>
            <w:r>
              <w:rPr/>
              <w:t> </w:t>
            </w:r>
          </w:p>
        </w:tc>
        <w:tc>
          <w:tcPr>
            <w:tcW w:w="127" w:type="dxa"/>
            <w:gridSpan w:val="2"/>
            <w:tcBorders/>
            <w:shd w:fill="FFFFFF" w:val="clear"/>
            <w:tcMar>
              <w:bottom w:w="0" w:type="dxa"/>
            </w:tcMar>
          </w:tcPr>
          <w:p>
            <w:pPr>
              <w:pStyle w:val="TableContents"/>
              <w:spacing w:before="0" w:after="283"/>
              <w:rPr>
                <w:sz w:val="4"/>
                <w:szCs w:val="4"/>
              </w:rPr>
            </w:pPr>
            <w:r>
              <w:rPr>
                <w:sz w:val="4"/>
                <w:szCs w:val="4"/>
              </w:rPr>
            </w:r>
          </w:p>
        </w:tc>
      </w:tr>
      <w:tr>
        <w:trPr/>
        <w:tc>
          <w:tcPr>
            <w:tcW w:w="4657" w:type="dxa"/>
            <w:tcBorders/>
            <w:shd w:fill="CCEEFF" w:val="clear"/>
            <w:tcMar>
              <w:bottom w:w="0" w:type="dxa"/>
            </w:tcMar>
            <w:vAlign w:val="center"/>
          </w:tcPr>
          <w:p>
            <w:pPr>
              <w:pStyle w:val="TableContents"/>
              <w:spacing w:before="0" w:after="283"/>
              <w:jc w:val="left"/>
              <w:rPr/>
            </w:pPr>
            <w:r>
              <w:rPr/>
              <w:t>Mark E. Lewry</w:t>
            </w:r>
          </w:p>
        </w:tc>
        <w:tc>
          <w:tcPr>
            <w:tcW w:w="60" w:type="dxa"/>
            <w:tcBorders/>
            <w:shd w:fill="CCEEFF" w:val="clear"/>
            <w:tcMar>
              <w:bottom w:w="0" w:type="dxa"/>
            </w:tcMar>
            <w:vAlign w:val="center"/>
          </w:tcPr>
          <w:p>
            <w:pPr>
              <w:pStyle w:val="TableContents"/>
              <w:spacing w:before="0" w:after="283"/>
              <w:rPr/>
            </w:pPr>
            <w:r>
              <w:rPr/>
              <w:t> </w:t>
            </w:r>
          </w:p>
        </w:tc>
        <w:tc>
          <w:tcPr>
            <w:tcW w:w="92" w:type="dxa"/>
            <w:tcBorders/>
            <w:shd w:fill="CCEEFF" w:val="clear"/>
            <w:tcMar>
              <w:bottom w:w="0" w:type="dxa"/>
            </w:tcMar>
            <w:vAlign w:val="center"/>
          </w:tcPr>
          <w:p>
            <w:pPr>
              <w:pStyle w:val="TableContents"/>
              <w:spacing w:before="0" w:after="283"/>
              <w:jc w:val="left"/>
              <w:rPr/>
            </w:pPr>
            <w:r>
              <w:rPr/>
              <w:t> </w:t>
            </w:r>
          </w:p>
        </w:tc>
        <w:tc>
          <w:tcPr>
            <w:tcW w:w="1236" w:type="dxa"/>
            <w:tcBorders/>
            <w:shd w:fill="CCEEFF" w:val="clear"/>
            <w:tcMar>
              <w:bottom w:w="0" w:type="dxa"/>
            </w:tcMar>
            <w:vAlign w:val="center"/>
          </w:tcPr>
          <w:p>
            <w:pPr>
              <w:pStyle w:val="TableContents"/>
              <w:spacing w:before="0" w:after="283"/>
              <w:jc w:val="right"/>
              <w:rPr/>
            </w:pPr>
            <w:r>
              <w:rPr/>
              <w:t>12,000</w:t>
            </w:r>
          </w:p>
        </w:tc>
        <w:tc>
          <w:tcPr>
            <w:tcW w:w="714" w:type="dxa"/>
            <w:tcBorders/>
            <w:shd w:fill="CCEEFF" w:val="clear"/>
            <w:tcMar>
              <w:bottom w:w="0" w:type="dxa"/>
            </w:tcMar>
            <w:vAlign w:val="center"/>
          </w:tcPr>
          <w:p>
            <w:pPr>
              <w:pStyle w:val="TableContents"/>
              <w:spacing w:before="0" w:after="283"/>
              <w:jc w:val="left"/>
              <w:rPr/>
            </w:pPr>
            <w:r>
              <w:rPr/>
              <w:t> </w:t>
            </w:r>
            <w:r>
              <w:rPr/>
              <w:t>(11)</w:t>
            </w:r>
          </w:p>
        </w:tc>
        <w:tc>
          <w:tcPr>
            <w:tcW w:w="60"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center"/>
          </w:tcPr>
          <w:p>
            <w:pPr>
              <w:pStyle w:val="TableContents"/>
              <w:spacing w:before="0" w:after="283"/>
              <w:jc w:val="left"/>
              <w:rPr/>
            </w:pPr>
            <w:r>
              <w:rPr/>
              <w:t> </w:t>
            </w:r>
          </w:p>
        </w:tc>
        <w:tc>
          <w:tcPr>
            <w:tcW w:w="949" w:type="dxa"/>
            <w:tcBorders/>
            <w:shd w:fill="CCEEFF" w:val="clear"/>
            <w:tcMar>
              <w:bottom w:w="0" w:type="dxa"/>
            </w:tcMar>
            <w:vAlign w:val="center"/>
          </w:tcPr>
          <w:p>
            <w:pPr>
              <w:pStyle w:val="TableContents"/>
              <w:spacing w:before="0" w:after="283"/>
              <w:jc w:val="right"/>
              <w:rPr>
                <w:sz w:val="17"/>
              </w:rPr>
            </w:pPr>
            <w:r>
              <w:rPr>
                <w:sz w:val="17"/>
              </w:rPr>
              <w:t>*</w:t>
            </w:r>
          </w:p>
        </w:tc>
        <w:tc>
          <w:tcPr>
            <w:tcW w:w="464"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5" w:type="dxa"/>
            <w:tcBorders/>
            <w:shd w:fill="CCEEFF" w:val="clear"/>
            <w:tcMar>
              <w:bottom w:w="0" w:type="dxa"/>
            </w:tcMar>
            <w:vAlign w:val="center"/>
          </w:tcPr>
          <w:p>
            <w:pPr>
              <w:pStyle w:val="TableContents"/>
              <w:spacing w:before="0" w:after="283"/>
              <w:jc w:val="left"/>
              <w:rPr/>
            </w:pPr>
            <w:r>
              <w:rPr/>
              <w:t> </w:t>
            </w:r>
          </w:p>
        </w:tc>
        <w:tc>
          <w:tcPr>
            <w:tcW w:w="1005" w:type="dxa"/>
            <w:tcBorders/>
            <w:shd w:fill="CCEEFF" w:val="clear"/>
            <w:tcMar>
              <w:bottom w:w="0" w:type="dxa"/>
            </w:tcMar>
            <w:vAlign w:val="center"/>
          </w:tcPr>
          <w:p>
            <w:pPr>
              <w:pStyle w:val="TableContents"/>
              <w:spacing w:before="0" w:after="283"/>
              <w:jc w:val="right"/>
              <w:rPr/>
            </w:pPr>
            <w:r>
              <w:rPr/>
              <w:t>—  </w:t>
            </w:r>
          </w:p>
        </w:tc>
        <w:tc>
          <w:tcPr>
            <w:tcW w:w="578" w:type="dxa"/>
            <w:tcBorders/>
            <w:shd w:fill="CCEEFF" w:val="clear"/>
            <w:tcMar>
              <w:bottom w:w="0" w:type="dxa"/>
            </w:tcMar>
            <w:vAlign w:val="center"/>
          </w:tcPr>
          <w:p>
            <w:pPr>
              <w:pStyle w:val="TableContents"/>
              <w:spacing w:before="0" w:after="283"/>
              <w:jc w:val="left"/>
              <w:rPr/>
            </w:pPr>
            <w:r>
              <w:rPr/>
              <w:t> </w:t>
            </w:r>
          </w:p>
        </w:tc>
        <w:tc>
          <w:tcPr>
            <w:tcW w:w="127" w:type="dxa"/>
            <w:gridSpan w:val="2"/>
            <w:tcBorders/>
            <w:shd w:fill="CCEEFF" w:val="clear"/>
            <w:tcMar>
              <w:bottom w:w="0" w:type="dxa"/>
            </w:tcMar>
          </w:tcPr>
          <w:p>
            <w:pPr>
              <w:pStyle w:val="TableContents"/>
              <w:spacing w:before="0" w:after="283"/>
              <w:rPr>
                <w:sz w:val="4"/>
                <w:szCs w:val="4"/>
              </w:rPr>
            </w:pPr>
            <w:r>
              <w:rPr>
                <w:sz w:val="4"/>
                <w:szCs w:val="4"/>
              </w:rPr>
            </w:r>
          </w:p>
        </w:tc>
      </w:tr>
      <w:tr>
        <w:trPr/>
        <w:tc>
          <w:tcPr>
            <w:tcW w:w="4657" w:type="dxa"/>
            <w:tcBorders/>
            <w:shd w:fill="FFFFFF" w:val="clear"/>
            <w:tcMar>
              <w:bottom w:w="0" w:type="dxa"/>
            </w:tcMar>
            <w:vAlign w:val="center"/>
          </w:tcPr>
          <w:p>
            <w:pPr>
              <w:pStyle w:val="TableContents"/>
              <w:spacing w:before="0" w:after="283"/>
              <w:jc w:val="left"/>
              <w:rPr/>
            </w:pPr>
            <w:r>
              <w:rPr/>
              <w:t>Paul D. Ziemnisky Jr.</w:t>
            </w:r>
          </w:p>
        </w:tc>
        <w:tc>
          <w:tcPr>
            <w:tcW w:w="60" w:type="dxa"/>
            <w:tcBorders/>
            <w:shd w:fill="FFFFFF" w:val="clear"/>
            <w:tcMar>
              <w:bottom w:w="0" w:type="dxa"/>
            </w:tcMar>
            <w:vAlign w:val="center"/>
          </w:tcPr>
          <w:p>
            <w:pPr>
              <w:pStyle w:val="TableContents"/>
              <w:spacing w:before="0" w:after="283"/>
              <w:rPr/>
            </w:pPr>
            <w:r>
              <w:rPr/>
              <w:t> </w:t>
            </w:r>
          </w:p>
        </w:tc>
        <w:tc>
          <w:tcPr>
            <w:tcW w:w="92" w:type="dxa"/>
            <w:tcBorders/>
            <w:shd w:fill="FFFFFF" w:val="clear"/>
            <w:tcMar>
              <w:bottom w:w="0" w:type="dxa"/>
            </w:tcMar>
            <w:vAlign w:val="center"/>
          </w:tcPr>
          <w:p>
            <w:pPr>
              <w:pStyle w:val="TableContents"/>
              <w:spacing w:before="0" w:after="283"/>
              <w:jc w:val="left"/>
              <w:rPr/>
            </w:pPr>
            <w:r>
              <w:rPr/>
              <w:t> </w:t>
            </w:r>
          </w:p>
        </w:tc>
        <w:tc>
          <w:tcPr>
            <w:tcW w:w="1236" w:type="dxa"/>
            <w:tcBorders/>
            <w:shd w:fill="FFFFFF" w:val="clear"/>
            <w:tcMar>
              <w:bottom w:w="0" w:type="dxa"/>
            </w:tcMar>
            <w:vAlign w:val="center"/>
          </w:tcPr>
          <w:p>
            <w:pPr>
              <w:pStyle w:val="TableContents"/>
              <w:spacing w:before="0" w:after="283"/>
              <w:jc w:val="right"/>
              <w:rPr/>
            </w:pPr>
            <w:r>
              <w:rPr/>
              <w:t>10,000</w:t>
            </w:r>
          </w:p>
        </w:tc>
        <w:tc>
          <w:tcPr>
            <w:tcW w:w="714" w:type="dxa"/>
            <w:tcBorders/>
            <w:shd w:fill="FFFFFF" w:val="clear"/>
            <w:tcMar>
              <w:bottom w:w="0" w:type="dxa"/>
            </w:tcMar>
            <w:vAlign w:val="center"/>
          </w:tcPr>
          <w:p>
            <w:pPr>
              <w:pStyle w:val="TableContents"/>
              <w:spacing w:before="0" w:after="283"/>
              <w:jc w:val="left"/>
              <w:rPr/>
            </w:pPr>
            <w:r>
              <w:rPr/>
              <w:t> </w:t>
            </w:r>
            <w:r>
              <w:rPr/>
              <w:t>(12)</w:t>
            </w:r>
          </w:p>
        </w:tc>
        <w:tc>
          <w:tcPr>
            <w:tcW w:w="60"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center"/>
          </w:tcPr>
          <w:p>
            <w:pPr>
              <w:pStyle w:val="TableContents"/>
              <w:spacing w:before="0" w:after="283"/>
              <w:jc w:val="left"/>
              <w:rPr/>
            </w:pPr>
            <w:r>
              <w:rPr/>
              <w:t> </w:t>
            </w:r>
          </w:p>
        </w:tc>
        <w:tc>
          <w:tcPr>
            <w:tcW w:w="949" w:type="dxa"/>
            <w:tcBorders/>
            <w:shd w:fill="FFFFFF" w:val="clear"/>
            <w:tcMar>
              <w:bottom w:w="0" w:type="dxa"/>
            </w:tcMar>
            <w:vAlign w:val="center"/>
          </w:tcPr>
          <w:p>
            <w:pPr>
              <w:pStyle w:val="TableContents"/>
              <w:spacing w:before="0" w:after="283"/>
              <w:jc w:val="right"/>
              <w:rPr/>
            </w:pPr>
            <w:r>
              <w:rPr/>
              <w:t> </w:t>
            </w:r>
          </w:p>
        </w:tc>
        <w:tc>
          <w:tcPr>
            <w:tcW w:w="464"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75" w:type="dxa"/>
            <w:tcBorders/>
            <w:shd w:fill="FFFFFF" w:val="clear"/>
            <w:tcMar>
              <w:bottom w:w="0" w:type="dxa"/>
            </w:tcMar>
            <w:vAlign w:val="center"/>
          </w:tcPr>
          <w:p>
            <w:pPr>
              <w:pStyle w:val="TableContents"/>
              <w:spacing w:before="0" w:after="283"/>
              <w:jc w:val="left"/>
              <w:rPr/>
            </w:pPr>
            <w:r>
              <w:rPr/>
              <w:t> </w:t>
            </w:r>
          </w:p>
        </w:tc>
        <w:tc>
          <w:tcPr>
            <w:tcW w:w="1005" w:type="dxa"/>
            <w:tcBorders/>
            <w:shd w:fill="FFFFFF" w:val="clear"/>
            <w:tcMar>
              <w:bottom w:w="0" w:type="dxa"/>
            </w:tcMar>
            <w:vAlign w:val="center"/>
          </w:tcPr>
          <w:p>
            <w:pPr>
              <w:pStyle w:val="TableContents"/>
              <w:spacing w:before="0" w:after="283"/>
              <w:jc w:val="right"/>
              <w:rPr/>
            </w:pPr>
            <w:r>
              <w:rPr/>
              <w:t>—  </w:t>
            </w:r>
          </w:p>
        </w:tc>
        <w:tc>
          <w:tcPr>
            <w:tcW w:w="578" w:type="dxa"/>
            <w:tcBorders/>
            <w:shd w:fill="FFFFFF" w:val="clear"/>
            <w:tcMar>
              <w:bottom w:w="0" w:type="dxa"/>
            </w:tcMar>
            <w:vAlign w:val="center"/>
          </w:tcPr>
          <w:p>
            <w:pPr>
              <w:pStyle w:val="TableContents"/>
              <w:spacing w:before="0" w:after="283"/>
              <w:jc w:val="left"/>
              <w:rPr/>
            </w:pPr>
            <w:r>
              <w:rPr/>
              <w:t> </w:t>
            </w:r>
          </w:p>
        </w:tc>
        <w:tc>
          <w:tcPr>
            <w:tcW w:w="127" w:type="dxa"/>
            <w:gridSpan w:val="2"/>
            <w:tcBorders/>
            <w:shd w:fill="FFFFFF" w:val="clear"/>
            <w:tcMar>
              <w:bottom w:w="0" w:type="dxa"/>
            </w:tcMar>
          </w:tcPr>
          <w:p>
            <w:pPr>
              <w:pStyle w:val="TableContents"/>
              <w:spacing w:before="0" w:after="283"/>
              <w:rPr>
                <w:sz w:val="4"/>
                <w:szCs w:val="4"/>
              </w:rPr>
            </w:pPr>
            <w:r>
              <w:rPr>
                <w:sz w:val="4"/>
                <w:szCs w:val="4"/>
              </w:rPr>
            </w:r>
          </w:p>
        </w:tc>
      </w:tr>
      <w:tr>
        <w:trPr/>
        <w:tc>
          <w:tcPr>
            <w:tcW w:w="4657" w:type="dxa"/>
            <w:tcBorders/>
            <w:shd w:fill="CCEEFF" w:val="clear"/>
            <w:tcMar>
              <w:bottom w:w="0" w:type="dxa"/>
            </w:tcMar>
            <w:vAlign w:val="center"/>
          </w:tcPr>
          <w:p>
            <w:pPr>
              <w:pStyle w:val="TableContents"/>
              <w:spacing w:before="0" w:after="283"/>
              <w:jc w:val="left"/>
              <w:rPr/>
            </w:pPr>
            <w:r>
              <w:rPr/>
              <w:t>All Directors and Named Executive Officers as a Group</w:t>
            </w:r>
          </w:p>
        </w:tc>
        <w:tc>
          <w:tcPr>
            <w:tcW w:w="60" w:type="dxa"/>
            <w:tcBorders/>
            <w:shd w:fill="CCEEFF" w:val="clear"/>
            <w:tcMar>
              <w:bottom w:w="0" w:type="dxa"/>
            </w:tcMar>
            <w:vAlign w:val="center"/>
          </w:tcPr>
          <w:p>
            <w:pPr>
              <w:pStyle w:val="TableContents"/>
              <w:spacing w:before="0" w:after="283"/>
              <w:rPr/>
            </w:pPr>
            <w:r>
              <w:rPr/>
              <w:t> </w:t>
            </w:r>
          </w:p>
        </w:tc>
        <w:tc>
          <w:tcPr>
            <w:tcW w:w="92" w:type="dxa"/>
            <w:tcBorders/>
            <w:shd w:fill="CCEEFF" w:val="clear"/>
            <w:tcMar>
              <w:bottom w:w="0" w:type="dxa"/>
            </w:tcMar>
            <w:vAlign w:val="center"/>
          </w:tcPr>
          <w:p>
            <w:pPr>
              <w:pStyle w:val="TableContents"/>
              <w:spacing w:before="0" w:after="283"/>
              <w:jc w:val="left"/>
              <w:rPr/>
            </w:pPr>
            <w:r>
              <w:rPr/>
              <w:t> </w:t>
            </w:r>
          </w:p>
        </w:tc>
        <w:tc>
          <w:tcPr>
            <w:tcW w:w="1236" w:type="dxa"/>
            <w:tcBorders/>
            <w:shd w:fill="CCEEFF" w:val="clear"/>
            <w:tcMar>
              <w:bottom w:w="0" w:type="dxa"/>
            </w:tcMar>
            <w:vAlign w:val="center"/>
          </w:tcPr>
          <w:p>
            <w:pPr>
              <w:pStyle w:val="TableContents"/>
              <w:spacing w:before="0" w:after="283"/>
              <w:jc w:val="right"/>
              <w:rPr/>
            </w:pPr>
            <w:r>
              <w:rPr/>
              <w:t>134,836</w:t>
            </w:r>
          </w:p>
        </w:tc>
        <w:tc>
          <w:tcPr>
            <w:tcW w:w="714" w:type="dxa"/>
            <w:tcBorders/>
            <w:shd w:fill="CCEEFF" w:val="clear"/>
            <w:tcMar>
              <w:bottom w:w="0" w:type="dxa"/>
            </w:tcMar>
            <w:vAlign w:val="center"/>
          </w:tcPr>
          <w:p>
            <w:pPr>
              <w:pStyle w:val="TableContents"/>
              <w:spacing w:before="0" w:after="283"/>
              <w:jc w:val="left"/>
              <w:rPr/>
            </w:pPr>
            <w:r>
              <w:rPr/>
              <w:t> </w:t>
            </w:r>
            <w:r>
              <w:rPr/>
              <w:t>(13)</w:t>
            </w:r>
          </w:p>
        </w:tc>
        <w:tc>
          <w:tcPr>
            <w:tcW w:w="60"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center"/>
          </w:tcPr>
          <w:p>
            <w:pPr>
              <w:pStyle w:val="TableContents"/>
              <w:spacing w:before="0" w:after="283"/>
              <w:jc w:val="left"/>
              <w:rPr/>
            </w:pPr>
            <w:r>
              <w:rPr/>
              <w:t> </w:t>
            </w:r>
          </w:p>
        </w:tc>
        <w:tc>
          <w:tcPr>
            <w:tcW w:w="949" w:type="dxa"/>
            <w:tcBorders/>
            <w:shd w:fill="CCEEFF" w:val="clear"/>
            <w:tcMar>
              <w:bottom w:w="0" w:type="dxa"/>
            </w:tcMar>
            <w:vAlign w:val="center"/>
          </w:tcPr>
          <w:p>
            <w:pPr>
              <w:pStyle w:val="TableContents"/>
              <w:spacing w:before="0" w:after="283"/>
              <w:jc w:val="right"/>
              <w:rPr/>
            </w:pPr>
            <w:r>
              <w:rPr/>
              <w:t>2.68</w:t>
            </w:r>
          </w:p>
        </w:tc>
        <w:tc>
          <w:tcPr>
            <w:tcW w:w="464" w:type="dxa"/>
            <w:tcBorders/>
            <w:shd w:fill="CCEEFF" w:val="clear"/>
            <w:tcMar>
              <w:bottom w:w="0" w:type="dxa"/>
            </w:tcMar>
            <w:vAlign w:val="center"/>
          </w:tcPr>
          <w:p>
            <w:pPr>
              <w:pStyle w:val="TableContents"/>
              <w:spacing w:before="0" w:after="283"/>
              <w:jc w:val="left"/>
              <w:rPr/>
            </w:pPr>
            <w:r>
              <w:rPr/>
              <w:t>%</w:t>
            </w:r>
          </w:p>
        </w:tc>
        <w:tc>
          <w:tcPr>
            <w:tcW w:w="60" w:type="dxa"/>
            <w:tcBorders/>
            <w:shd w:fill="CCEEFF" w:val="clear"/>
            <w:tcMar>
              <w:bottom w:w="0" w:type="dxa"/>
            </w:tcMar>
            <w:vAlign w:val="center"/>
          </w:tcPr>
          <w:p>
            <w:pPr>
              <w:pStyle w:val="TableContents"/>
              <w:spacing w:before="0" w:after="283"/>
              <w:rPr/>
            </w:pPr>
            <w:r>
              <w:rPr/>
              <w:t> </w:t>
            </w:r>
          </w:p>
        </w:tc>
        <w:tc>
          <w:tcPr>
            <w:tcW w:w="75" w:type="dxa"/>
            <w:tcBorders/>
            <w:shd w:fill="CCEEFF" w:val="clear"/>
            <w:tcMar>
              <w:bottom w:w="0" w:type="dxa"/>
            </w:tcMar>
            <w:vAlign w:val="center"/>
          </w:tcPr>
          <w:p>
            <w:pPr>
              <w:pStyle w:val="TableContents"/>
              <w:spacing w:before="0" w:after="283"/>
              <w:jc w:val="left"/>
              <w:rPr/>
            </w:pPr>
            <w:r>
              <w:rPr/>
              <w:t> </w:t>
            </w:r>
          </w:p>
        </w:tc>
        <w:tc>
          <w:tcPr>
            <w:tcW w:w="1005" w:type="dxa"/>
            <w:tcBorders/>
            <w:shd w:fill="CCEEFF" w:val="clear"/>
            <w:tcMar>
              <w:bottom w:w="0" w:type="dxa"/>
            </w:tcMar>
            <w:vAlign w:val="center"/>
          </w:tcPr>
          <w:p>
            <w:pPr>
              <w:pStyle w:val="TableContents"/>
              <w:spacing w:before="0" w:after="283"/>
              <w:jc w:val="right"/>
              <w:rPr/>
            </w:pPr>
            <w:r>
              <w:rPr/>
              <w:t>741,129</w:t>
            </w:r>
          </w:p>
        </w:tc>
        <w:tc>
          <w:tcPr>
            <w:tcW w:w="578" w:type="dxa"/>
            <w:tcBorders/>
            <w:shd w:fill="CCEEFF" w:val="clear"/>
            <w:tcMar>
              <w:bottom w:w="0" w:type="dxa"/>
            </w:tcMar>
            <w:vAlign w:val="center"/>
          </w:tcPr>
          <w:p>
            <w:pPr>
              <w:pStyle w:val="TableContents"/>
              <w:spacing w:before="0" w:after="283"/>
              <w:jc w:val="left"/>
              <w:rPr/>
            </w:pPr>
            <w:r>
              <w:rPr/>
              <w:t> </w:t>
            </w:r>
            <w:r>
              <w:rPr/>
              <w:t>(14)</w:t>
            </w:r>
          </w:p>
        </w:tc>
        <w:tc>
          <w:tcPr>
            <w:tcW w:w="127" w:type="dxa"/>
            <w:gridSpan w:val="2"/>
            <w:tcBorders/>
            <w:shd w:fill="CCEEFF" w:val="clear"/>
            <w:tcMar>
              <w:bottom w:w="0" w:type="dxa"/>
            </w:tcMar>
          </w:tcPr>
          <w:p>
            <w:pPr>
              <w:pStyle w:val="TableContents"/>
              <w:spacing w:before="0" w:after="283"/>
              <w:rPr>
                <w:sz w:val="4"/>
                <w:szCs w:val="4"/>
              </w:rPr>
            </w:pPr>
            <w:r>
              <w:rPr>
                <w:sz w:val="4"/>
                <w:szCs w:val="4"/>
              </w:rPr>
            </w:r>
          </w:p>
        </w:tc>
      </w:tr>
    </w:tbl>
    <w:p>
      <w:pPr>
        <w:pStyle w:val="TextBody"/>
        <w:rPr/>
      </w:pPr>
      <w:r>
        <w:rPr/>
        <w:t> </w:t>
      </w:r>
    </w:p>
    <w:p>
      <w:pPr>
        <w:pStyle w:val="TextBody"/>
        <w:rPr>
          <w:sz w:val="17"/>
        </w:rPr>
      </w:pPr>
      <w:r>
        <w:rPr>
          <w:sz w:val="17"/>
        </w:rPr>
        <w:tab/>
        <w:t>          * Does not exceed 1%</w:t>
      </w:r>
    </w:p>
    <w:p>
      <w:pPr>
        <w:pStyle w:val="TextBody"/>
        <w:spacing w:before="200" w:after="20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Beneficial ownership is determined according to SEC rules and generally includes any shares over which a person possesses sole or shared power to vote or to direct the deposition of a security as well as any shares that such person has the right to acquire within 60 days of October 17, 2014,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5,015,442 shares of Common Stock and 2,064,994 shares of Class B Stock outstanding as of the close of business on October 17, 2014. Shares of Common Stock and Class B Stock subject to options, warrants or other rights that are exercisable or convertible within 60 days after October 17, 2014, are deemed outstanding for the purpose of calculating the percentage ownership of the person holding those options, warrants or other rights, but are not treated as outstanding for the purpose of calculating the percentage ownership of any other person.</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for Richard M. Jaffee, Daniel S. Jaffee and Thomas F. Cofsky, none of our directors or executive officers, including the named executive officers, own any shares of Class B Stock.</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Thomas F. Cofsky is Richard M. Jaffee’s son-in-law.</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For information regarding the shares beneficially owned by Richard M. Jaffee and Daniel S. Jaffee, see the table under “Principal Stockholders” above and the notes thereto.</w:t>
      </w:r>
    </w:p>
    <w:p>
      <w:pPr>
        <w:pStyle w:val="TextBody"/>
        <w:spacing w:lineRule="auto" w:line="256" w:before="0" w:after="160"/>
        <w:jc w:val="left"/>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Consists of 512 shares of Common Stock owned by Mr. Cofsky and 74 shares of Common Stock owned by his spouse.</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Consists of 10,835 shares of Class B Stock directly owned by Thomas F. Cofsky (6,135 of which are restricted shares), 42,867 shares of Class B Stock owned by his spouse, 9,375 shares of Class B Stock his spouse owns as trustee for their children, and 376 shares of Class B Stock held in joint tenancy with his spouse. Of the 6,135 restricted shares of Class B Stock, (a) 2,344 are scheduled to “cliff” vest in full on July 31, 2015 and (b) 3,791 are scheduled to “cliff” vest in full on July 31, 2016.</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Consists of 24,500 shares of Common Stock owned by Mr. Cole and 1,300 shares of Common Stock owned by his spouse.</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Includes 16,525 shares of Common Stock held by Mr. Miller as trustee for the benefit of his spouse.</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Includes 12,500 shares of Common Stock that this director has the right to acquire within 60 days of October 17, 2014, pursuant to stock options.</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Includes 1,000 restricted shares of Common Stock awarded on April 2, 2013, scheduled to vest on April 1, 2015.</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Consists of 12,000 restricted shares of Common Stock awarded on April 7, 2014, scheduled to vest on April 7, 2019.</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Consists of 10,000 restricted shares of Common Stock awarded on October 16, 2013, scheduled to vest on October 16, 2018.</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Includes 25,000 shares of Common Stock constituting all such shares that our directors and named executive officers have the right to acquire within 60 days of October 17, 2014, pursuant to stock options (including the shares of Common Stock that may be acquired as described in the notes above). Also includes 23,000 restricted shares of Common Stock: (a) 1,000 of which become non-forfeitable on April 1, 2015; (b) 12,000 of which become non-forfeitable on April 7, 2019 and (c) 10,000 of which become non-forfeitable on October 16, 2018. The number of shares of Common Stock owned beneficially by our directors and named executive officers as a group represents approximately 2.68% of the number of outstanding shares of Common Stock and approximately 0.52% of the aggregate voting power of the Common Stock and Class B Stock.</w:t>
      </w:r>
    </w:p>
    <w:p>
      <w:pPr>
        <w:pStyle w:val="TextBody"/>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Includes 42,531 restricted shares of Class B Stock: (a) 25,000 of which become non-forfeitable on October 6, 2015; (b) 7,350 of which become non-forfeitable on July 31, 2015; and (c) 10,181 of which become non-forfeitable on July 31, 2016.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named executive officers as a group represents approximately 35.89% of the number of outstanding shares of Class B Stock and approximately 28.85% of the aggregate voting power of the Common Stock and Class B Stock.</w:t>
      </w:r>
    </w:p>
    <w:p>
      <w:pPr>
        <w:pStyle w:val="TextBody"/>
        <w:spacing w:before="200" w:after="200"/>
        <w:ind w:left="200" w:right="200" w:hanging="0"/>
        <w:jc w:val="center"/>
        <w:rPr>
          <w:rFonts w:ascii="Times New Roman;Times;Serif" w:hAnsi="Times New Roman;Times;Serif"/>
          <w:b/>
          <w:i w:val="false"/>
          <w:caps w:val="false"/>
          <w:smallCaps w:val="false"/>
          <w:sz w:val="20"/>
        </w:rPr>
      </w:pPr>
      <w:bookmarkStart w:id="43" w:name="a_Toc339007582"/>
      <w:bookmarkEnd w:id="43"/>
      <w:r>
        <w:rPr>
          <w:rFonts w:ascii="Times New Roman;Times;Serif" w:hAnsi="Times New Roman;Times;Serif"/>
          <w:b/>
          <w:i w:val="false"/>
          <w:caps w:val="false"/>
          <w:smallCaps w:val="false"/>
          <w:sz w:val="20"/>
        </w:rPr>
        <w:t>Section 16(a) Beneficial Ownership Reporting Compliance</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 rules, our directors, executive officers and beneficial owners of more than 10% of the Company’s Common Stock or Class B Stock are required to file reports of their ownership and changes in that ownership with the SEC. Based solely on our review of copies of these reports and representations of the reporting persons, we believe that during the fiscal year ended July 31, 2014, all reportable transactions were reported and all required reports were timely filed with the SEC.</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24201</Words>
  <CharactersWithSpaces>154412</CharactersWithSpaces>
  <Paragraphs>4129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